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407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0702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Ackermann Michael</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Tarsus Pharmaceuticals,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TARS</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84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5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54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6"/>
            <w:vMerge w:val="continue"/>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5"/>
            <w:vMerge w:val="restart"/>
          </w:tcPr>
          <w:p>
            <w:pPr>
              <w:spacing w:after="0"/>
              <w:rPr>
                <w:sz w:val="20"/>
                <w:szCs w:val="20"/>
                <w:color w:val="auto"/>
              </w:rPr>
            </w:pPr>
            <w:r>
              <w:rPr>
                <w:rFonts w:ascii="Arial" w:cs="Arial" w:eastAsia="Arial" w:hAnsi="Arial"/>
                <w:sz w:val="17"/>
                <w:szCs w:val="17"/>
                <w:color w:val="0000FF"/>
              </w:rPr>
              <w:t>C/O TARSUS PHARMACEUTICALS, INC.</w:t>
            </w:r>
          </w:p>
        </w:tc>
        <w:tc>
          <w:tcPr>
            <w:tcW w:w="1540" w:type="dxa"/>
            <w:vAlign w:val="bottom"/>
            <w:gridSpan w:val="6"/>
          </w:tcPr>
          <w:p>
            <w:pPr>
              <w:ind w:left="160"/>
              <w:spacing w:after="0"/>
              <w:rPr>
                <w:sz w:val="20"/>
                <w:szCs w:val="20"/>
                <w:color w:val="auto"/>
              </w:rPr>
            </w:pPr>
            <w:r>
              <w:rPr>
                <w:rFonts w:ascii="Arial" w:cs="Arial" w:eastAsia="Arial" w:hAnsi="Arial"/>
                <w:sz w:val="17"/>
                <w:szCs w:val="17"/>
                <w:color w:val="0000FF"/>
              </w:rPr>
              <w:t>12/01/2021</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5"/>
            <w:vMerge w:val="restart"/>
          </w:tcPr>
          <w:p>
            <w:pPr>
              <w:spacing w:after="0"/>
              <w:rPr>
                <w:sz w:val="20"/>
                <w:szCs w:val="20"/>
                <w:color w:val="auto"/>
              </w:rPr>
            </w:pPr>
            <w:r>
              <w:rPr>
                <w:rFonts w:ascii="Arial" w:cs="Arial" w:eastAsia="Arial" w:hAnsi="Arial"/>
                <w:sz w:val="17"/>
                <w:szCs w:val="17"/>
                <w:color w:val="0000FF"/>
              </w:rPr>
              <w:t>15440 LAGUNA CANYON ROAD, SUITE 160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5"/>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7"/>
            <w:vMerge w:val="continue"/>
          </w:tcPr>
          <w:p>
            <w:pPr>
              <w:spacing w:after="0"/>
              <w:rPr>
                <w:sz w:val="8"/>
                <w:szCs w:val="8"/>
                <w:color w:val="auto"/>
              </w:rPr>
            </w:pPr>
          </w:p>
        </w:tc>
        <w:tc>
          <w:tcPr>
            <w:tcW w:w="34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vMerge w:val="restart"/>
          </w:tcPr>
          <w:p>
            <w:pPr>
              <w:spacing w:after="0"/>
              <w:rPr>
                <w:sz w:val="5"/>
                <w:szCs w:val="5"/>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80" w:type="dxa"/>
            <w:vAlign w:val="bottom"/>
            <w:gridSpan w:val="3"/>
            <w:vMerge w:val="continue"/>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7"/>
                <w:szCs w:val="17"/>
                <w:color w:val="0000FF"/>
              </w:rPr>
              <w:t>IRVINE</w:t>
            </w:r>
          </w:p>
        </w:tc>
        <w:tc>
          <w:tcPr>
            <w:tcW w:w="840" w:type="dxa"/>
            <w:vAlign w:val="bottom"/>
          </w:tcPr>
          <w:p>
            <w:pPr>
              <w:ind w:left="580"/>
              <w:spacing w:after="0"/>
              <w:rPr>
                <w:sz w:val="20"/>
                <w:szCs w:val="20"/>
                <w:color w:val="auto"/>
              </w:rPr>
            </w:pPr>
            <w:r>
              <w:rPr>
                <w:rFonts w:ascii="Arial" w:cs="Arial" w:eastAsia="Arial" w:hAnsi="Arial"/>
                <w:sz w:val="17"/>
                <w:szCs w:val="17"/>
                <w:color w:val="0000FF"/>
              </w:rPr>
              <w:t>CA</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92618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ind w:left="120"/>
              <w:spacing w:after="0" w:line="134"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90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420" w:type="dxa"/>
            <w:vAlign w:val="bottom"/>
            <w:tcBorders>
              <w:bottom w:val="single" w:sz="8" w:color="2C2C2C"/>
            </w:tcBorders>
            <w:gridSpan w:val="5"/>
          </w:tcPr>
          <w:p>
            <w:pPr>
              <w:spacing w:after="0"/>
              <w:rPr>
                <w:sz w:val="11"/>
                <w:szCs w:val="11"/>
                <w:color w:val="auto"/>
              </w:rPr>
            </w:pPr>
          </w:p>
        </w:tc>
        <w:tc>
          <w:tcPr>
            <w:tcW w:w="132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460" w:type="dxa"/>
            <w:vAlign w:val="bottom"/>
            <w:tcBorders>
              <w:top w:val="single" w:sz="8" w:color="2C2C2C"/>
            </w:tcBorders>
            <w:gridSpan w:val="18"/>
          </w:tcPr>
          <w:p>
            <w:pPr>
              <w:ind w:left="3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7"/>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780" w:type="dxa"/>
            <w:vAlign w:val="bottom"/>
            <w:gridSpan w:val="5"/>
          </w:tcPr>
          <w:p>
            <w:pPr>
              <w:jc w:val="center"/>
              <w:ind w:left="52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jc w:val="center"/>
              <w:ind w:left="547"/>
              <w:spacing w:after="0"/>
              <w:rPr>
                <w:sz w:val="20"/>
                <w:szCs w:val="20"/>
                <w:color w:val="auto"/>
              </w:rPr>
            </w:pPr>
            <w:r>
              <w:rPr>
                <w:rFonts w:ascii="Arial" w:cs="Arial" w:eastAsia="Arial" w:hAnsi="Arial"/>
                <w:sz w:val="17"/>
                <w:szCs w:val="17"/>
                <w:color w:val="0000FF"/>
                <w:w w:val="93"/>
              </w:rPr>
              <w:t>12/01/2021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3"/>
              </w:rPr>
              <w:t>2,442</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4"/>
          </w:tcPr>
          <w:p>
            <w:pPr>
              <w:ind w:left="12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23.85</w:t>
            </w:r>
            <w:r>
              <w:rPr>
                <w:rFonts w:ascii="Arial" w:cs="Arial" w:eastAsia="Arial" w:hAnsi="Arial"/>
                <w:sz w:val="22"/>
                <w:szCs w:val="22"/>
                <w:color w:val="008000"/>
                <w:w w:val="97"/>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1,207,407</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jc w:val="center"/>
              <w:ind w:left="547"/>
              <w:spacing w:after="0"/>
              <w:rPr>
                <w:sz w:val="20"/>
                <w:szCs w:val="20"/>
                <w:color w:val="auto"/>
              </w:rPr>
            </w:pPr>
            <w:r>
              <w:rPr>
                <w:rFonts w:ascii="Arial" w:cs="Arial" w:eastAsia="Arial" w:hAnsi="Arial"/>
                <w:sz w:val="17"/>
                <w:szCs w:val="17"/>
                <w:color w:val="0000FF"/>
                <w:w w:val="93"/>
              </w:rPr>
              <w:t>12/01/2021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3"/>
              </w:rPr>
              <w:t>2,054</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4"/>
          </w:tcPr>
          <w:p>
            <w:pPr>
              <w:ind w:left="12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24.68</w:t>
            </w:r>
            <w:r>
              <w:rPr>
                <w:rFonts w:ascii="Arial" w:cs="Arial" w:eastAsia="Arial" w:hAnsi="Arial"/>
                <w:sz w:val="22"/>
                <w:szCs w:val="22"/>
                <w:color w:val="008000"/>
                <w:w w:val="97"/>
                <w:vertAlign w:val="superscript"/>
              </w:rPr>
              <w:t>(3)</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1,205,353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jc w:val="center"/>
              <w:ind w:left="547"/>
              <w:spacing w:after="0"/>
              <w:rPr>
                <w:sz w:val="20"/>
                <w:szCs w:val="20"/>
                <w:color w:val="auto"/>
              </w:rPr>
            </w:pPr>
            <w:r>
              <w:rPr>
                <w:rFonts w:ascii="Arial" w:cs="Arial" w:eastAsia="Arial" w:hAnsi="Arial"/>
                <w:sz w:val="17"/>
                <w:szCs w:val="17"/>
                <w:color w:val="0000FF"/>
                <w:w w:val="93"/>
              </w:rPr>
              <w:t>12/01/2021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0000FF"/>
                <w:w w:val="91"/>
              </w:rPr>
              <w:t>809</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4"/>
          </w:tcPr>
          <w:p>
            <w:pPr>
              <w:ind w:left="12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25.87</w:t>
            </w:r>
            <w:r>
              <w:rPr>
                <w:rFonts w:ascii="Arial" w:cs="Arial" w:eastAsia="Arial" w:hAnsi="Arial"/>
                <w:sz w:val="22"/>
                <w:szCs w:val="22"/>
                <w:color w:val="008000"/>
                <w:w w:val="97"/>
                <w:vertAlign w:val="superscript"/>
              </w:rPr>
              <w:t>(4)</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1,204,544</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jc w:val="center"/>
              <w:ind w:left="547"/>
              <w:spacing w:after="0"/>
              <w:rPr>
                <w:sz w:val="20"/>
                <w:szCs w:val="20"/>
                <w:color w:val="auto"/>
              </w:rPr>
            </w:pPr>
            <w:r>
              <w:rPr>
                <w:rFonts w:ascii="Arial" w:cs="Arial" w:eastAsia="Arial" w:hAnsi="Arial"/>
                <w:sz w:val="17"/>
                <w:szCs w:val="17"/>
                <w:color w:val="0000FF"/>
                <w:w w:val="93"/>
              </w:rPr>
              <w:t>12/01/2021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0000FF"/>
                <w:w w:val="91"/>
              </w:rPr>
              <w:t>528</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4"/>
          </w:tcPr>
          <w:p>
            <w:pPr>
              <w:ind w:left="12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26.65</w:t>
            </w:r>
            <w:r>
              <w:rPr>
                <w:rFonts w:ascii="Arial" w:cs="Arial" w:eastAsia="Arial" w:hAnsi="Arial"/>
                <w:sz w:val="22"/>
                <w:szCs w:val="22"/>
                <w:color w:val="008000"/>
                <w:w w:val="97"/>
                <w:vertAlign w:val="superscript"/>
              </w:rPr>
              <w:t>(5)</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1,204,016</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by an automatic sale pursuant to a Rule 10b5-1 trading plan adopted by the Reporting Person on May 13, 2021.</w:t>
      </w:r>
    </w:p>
    <w:p>
      <w:pPr>
        <w:spacing w:after="0" w:line="50" w:lineRule="exact"/>
        <w:rPr>
          <w:rFonts w:ascii="Arial" w:cs="Arial" w:eastAsia="Arial" w:hAnsi="Arial"/>
          <w:sz w:val="13"/>
          <w:szCs w:val="13"/>
          <w:color w:val="008000"/>
        </w:rPr>
      </w:pPr>
    </w:p>
    <w:p>
      <w:pPr>
        <w:ind w:left="40" w:right="24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with the range of $23.24 to $24.22.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 shares were pooled and sold in multiple transactions at prices ranging from $24.28 to $25.16.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 shares were pooled and sold in multiple transactions at prices ranging from $25.51 to $26.30.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 shares were pooled and sold in multiple transactions at prices ranging from $26.53 to $27.02.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Leonard M. Greenstein,</w:t>
            </w:r>
          </w:p>
        </w:tc>
        <w:tc>
          <w:tcPr>
            <w:tcW w:w="2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12/03/2021</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91249" TargetMode="External"/><Relationship Id="rId13"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2021-12-03T17:58:30Z</dcterms:created>
  <dcterms:modified xsi:type="dcterms:W3CDTF">2021-12-03T17:58:30Z</dcterms:modified>
</cp:coreProperties>
</file>