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ANNUAL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before="0" w:after="0"/>
        <w:jc w:val="center"/>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56"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001-39614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16097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1057275"/>
                    </a:xfrm>
                    <a:prstGeom prst="rect">
                      <a:avLst/>
                    </a:prstGeom>
                  </pic:spPr>
                </pic:pic>
              </a:graphicData>
            </a:graphic>
          </wp:inline>
        </w:drawing>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center"/>
        <w:tblInd w:w="0" w:type="dxa"/>
        <w:tblLayout w:type="fixed"/>
        <w:tblCellMar>
          <w:top w:w="28" w:type="dxa"/>
          <w:left w:w="28" w:type="dxa"/>
          <w:bottom w:w="28" w:type="dxa"/>
          <w:right w:w="28" w:type="dxa"/>
        </w:tblCellMar>
      </w:tblPr>
      <w:tblGrid>
        <w:gridCol w:w="859"/>
        <w:gridCol w:w="753"/>
        <w:gridCol w:w="758"/>
        <w:gridCol w:w="109"/>
        <w:gridCol w:w="109"/>
        <w:gridCol w:w="109"/>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81-4717861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before="0" w:after="60"/>
        <w:jc w:val="center"/>
        <w:rPr/>
      </w:pPr>
      <w:r>
        <w:rPr/>
      </w:r>
    </w:p>
    <w:tbl>
      <w:tblPr>
        <w:tblW w:w="4241" w:type="dxa"/>
        <w:jc w:val="center"/>
        <w:tblInd w:w="0" w:type="dxa"/>
        <w:tblLayout w:type="fixed"/>
        <w:tblCellMar>
          <w:top w:w="28" w:type="dxa"/>
          <w:left w:w="28" w:type="dxa"/>
          <w:bottom w:w="28" w:type="dxa"/>
          <w:right w:w="28" w:type="dxa"/>
        </w:tblCellMar>
      </w:tblPr>
      <w:tblGrid>
        <w:gridCol w:w="1080"/>
        <w:gridCol w:w="950"/>
        <w:gridCol w:w="955"/>
        <w:gridCol w:w="109"/>
        <w:gridCol w:w="109"/>
        <w:gridCol w:w="109"/>
        <w:gridCol w:w="272"/>
        <w:gridCol w:w="272"/>
        <w:gridCol w:w="385"/>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Irvine, California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92618</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before="0" w:after="0"/>
        <w:jc w:val="center"/>
        <w:rPr/>
      </w:pPr>
      <w:r>
        <w:rPr/>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418-1801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827" w:type="dxa"/>
        <w:jc w:val="center"/>
        <w:tblInd w:w="0" w:type="dxa"/>
        <w:tblLayout w:type="fixed"/>
        <w:tblCellMar>
          <w:top w:w="28" w:type="dxa"/>
          <w:left w:w="28" w:type="dxa"/>
          <w:bottom w:w="28" w:type="dxa"/>
          <w:right w:w="28" w:type="dxa"/>
        </w:tblCellMar>
      </w:tblPr>
      <w:tblGrid>
        <w:gridCol w:w="1171"/>
        <w:gridCol w:w="1027"/>
        <w:gridCol w:w="1041"/>
        <w:gridCol w:w="424"/>
        <w:gridCol w:w="424"/>
        <w:gridCol w:w="42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3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No ☐</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 No </w:t>
      </w:r>
      <w:r>
        <w:rPr>
          <w:color w:val="000000"/>
        </w:rPr>
        <w:t>☒</w:t>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r>
    </w:tbl>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 of the registrant's executive officers during the relevant recovery period pursuant to §240.10D-1(b).☐</w:t>
      </w:r>
    </w:p>
    <w:p>
      <w:pPr>
        <w:pStyle w:val="TextBody"/>
        <w:bidi w:val="0"/>
        <w:spacing w:lineRule="auto" w:line="276"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 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the registrant’s voting and non-voting common equity held by non-affiliates of the registrant, based on the closing price of the registrant’s common stock as reported by the Nasdaq Global Select Market on June 30, 2024, was approximately $996.0 million. Shares of common stock held by each executive officer, director, and holder of 10% or more of the outstanding common stock have been excluded in that such persons may be deemed to be affiliates. This determination of affiliate status is not necessarily a conclusive determination for other purposes. </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19, 2025, the number of outstanding shares of the registrant’s common stock, par value $0.0001 per share, was 38,377,178.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information called for by Part III of this Annual Report on Form 10-K is hereby incorporated by reference to portions of the registrant’s definitive proxy statement for its 2025 annual meeting of stockholders, which will be filed with the Securities and Exchange Commission not later than 120 days after the registrant’s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100" w:after="283"/>
        <w:jc w:val="center"/>
        <w:rPr/>
      </w:pPr>
      <w:r>
        <w:rPr/>
      </w:r>
    </w:p>
    <w:tbl>
      <w:tblPr>
        <w:tblW w:w="10186" w:type="dxa"/>
        <w:jc w:val="left"/>
        <w:tblInd w:w="0" w:type="dxa"/>
        <w:tblLayout w:type="fixed"/>
        <w:tblCellMar>
          <w:top w:w="28" w:type="dxa"/>
          <w:left w:w="28" w:type="dxa"/>
          <w:bottom w:w="28" w:type="dxa"/>
          <w:right w:w="28" w:type="dxa"/>
        </w:tblCellMar>
      </w:tblPr>
      <w:tblGrid>
        <w:gridCol w:w="3512"/>
        <w:gridCol w:w="3073"/>
        <w:gridCol w:w="3135"/>
        <w:gridCol w:w="136"/>
        <w:gridCol w:w="136"/>
        <w:gridCol w:w="194"/>
      </w:tblGrid>
      <w:tr>
        <w:trPr/>
        <w:tc>
          <w:tcPr>
            <w:tcW w:w="3512"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
              <w:r>
                <w:rPr>
                  <w:rStyle w:val="InternetLink"/>
                  <w:rFonts w:ascii="Times New Roman;sans-serif" w:hAnsi="Times New Roman;sans-serif"/>
                  <w:b w:val="false"/>
                  <w:color w:val="0000FF"/>
                  <w:sz w:val="20"/>
                  <w:u w:val="single"/>
                </w:rPr>
                <w:t>Part 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
              <w:r>
                <w:rPr>
                  <w:rStyle w:val="InternetLink"/>
                  <w:rFonts w:ascii="Times New Roman;sans-serif" w:hAnsi="Times New Roman;sans-serif"/>
                  <w:b w:val="false"/>
                  <w:color w:val="0000FF"/>
                  <w:sz w:val="20"/>
                  <w:u w:val="single"/>
                </w:rPr>
                <w:t>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3">
              <w:r>
                <w:rPr>
                  <w:rStyle w:val="InternetLink"/>
                  <w:rFonts w:ascii="Times New Roman;sans-serif" w:hAnsi="Times New Roman;sans-serif"/>
                  <w:b w:val="false"/>
                  <w:color w:val="0000FF"/>
                  <w:sz w:val="20"/>
                  <w:u w:val="single"/>
                </w:rPr>
                <w:t>Item 1. Business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3">
              <w:r>
                <w:rPr>
                  <w:rStyle w:val="InternetLink"/>
                  <w:rFonts w:ascii="Times New Roman;sans-serif" w:hAnsi="Times New Roman;sans-serif"/>
                  <w:b w:val="false"/>
                  <w:color w:val="0000FF"/>
                  <w:sz w:val="20"/>
                  <w:u w:val="single"/>
                </w:rPr>
                <w:t>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
              <w:r>
                <w:rPr>
                  <w:rStyle w:val="InternetLink"/>
                  <w:rFonts w:ascii="Times New Roman;sans-serif" w:hAnsi="Times New Roman;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
              <w:r>
                <w:rPr>
                  <w:rStyle w:val="InternetLink"/>
                  <w:rFonts w:ascii="Times New Roman;sans-serif" w:hAnsi="Times New Roman;sans-serif"/>
                  <w:b w:val="false"/>
                  <w:color w:val="0000FF"/>
                  <w:sz w:val="20"/>
                  <w:u w:val="single"/>
                </w:rPr>
                <w:t>36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9">
              <w:r>
                <w:rPr>
                  <w:rStyle w:val="InternetLink"/>
                  <w:rFonts w:ascii="Times New Roman;sans-serif" w:hAnsi="Times New Roman;sans-serif"/>
                  <w:b w:val="false"/>
                  <w:color w:val="0000FF"/>
                  <w:sz w:val="20"/>
                  <w:u w:val="single"/>
                </w:rPr>
                <w:t>Item 1B. Unresolved Staff Comments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9">
              <w:r>
                <w:rPr>
                  <w:rStyle w:val="InternetLink"/>
                  <w:rFonts w:ascii="Times New Roman;sans-serif" w:hAnsi="Times New Roman;sans-serif"/>
                  <w:b w:val="false"/>
                  <w:color w:val="0000FF"/>
                  <w:sz w:val="20"/>
                  <w:u w:val="single"/>
                </w:rPr>
                <w:t>93</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25">
              <w:r>
                <w:rPr>
                  <w:rStyle w:val="InternetLink"/>
                  <w:rFonts w:ascii="Times New Roman;sans-serif" w:hAnsi="Times New Roman;sans-serif"/>
                  <w:b w:val="false"/>
                  <w:color w:val="0000FF"/>
                  <w:sz w:val="20"/>
                  <w:u w:val="single"/>
                </w:rPr>
                <w:t>Item 2. Properties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25">
              <w:r>
                <w:rPr>
                  <w:rStyle w:val="InternetLink"/>
                  <w:rFonts w:ascii="Times New Roman;sans-serif" w:hAnsi="Times New Roman;sans-serif"/>
                  <w:b w:val="false"/>
                  <w:color w:val="0000FF"/>
                  <w:sz w:val="20"/>
                  <w:u w:val="single"/>
                </w:rPr>
                <w:t>94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28">
              <w:r>
                <w:rPr>
                  <w:rStyle w:val="InternetLink"/>
                  <w:rFonts w:ascii="Times New Roman;sans-serif" w:hAnsi="Times New Roman;sans-serif"/>
                  <w:b w:val="false"/>
                  <w:color w:val="0000FF"/>
                  <w:sz w:val="20"/>
                  <w:u w:val="single"/>
                </w:rPr>
                <w:t>Item 3.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28">
              <w:r>
                <w:rPr>
                  <w:rStyle w:val="InternetLink"/>
                  <w:rFonts w:ascii="Times New Roman;sans-serif" w:hAnsi="Times New Roman;sans-serif"/>
                  <w:b w:val="false"/>
                  <w:color w:val="0000FF"/>
                  <w:sz w:val="20"/>
                  <w:u w:val="single"/>
                </w:rPr>
                <w:t>94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1">
              <w:r>
                <w:rPr>
                  <w:rStyle w:val="InternetLink"/>
                  <w:rFonts w:ascii="Times New Roman;sans-serif" w:hAnsi="Times New Roman;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1">
              <w:r>
                <w:rPr>
                  <w:rStyle w:val="InternetLink"/>
                  <w:rFonts w:ascii="Times New Roman;sans-serif" w:hAnsi="Times New Roman;sans-serif"/>
                  <w:b w:val="false"/>
                  <w:color w:val="0000FF"/>
                  <w:sz w:val="20"/>
                  <w:u w:val="single"/>
                </w:rPr>
                <w:t>95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4">
              <w:r>
                <w:rPr>
                  <w:rStyle w:val="InternetLink"/>
                  <w:rFonts w:ascii="Times New Roman;sans-serif" w:hAnsi="Times New Roman;sans-serif"/>
                  <w:b w:val="false"/>
                  <w:color w:val="0000FF"/>
                  <w:sz w:val="20"/>
                  <w:u w:val="single"/>
                </w:rPr>
                <w:t>Part II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4">
              <w:r>
                <w:rPr>
                  <w:rStyle w:val="InternetLink"/>
                  <w:rFonts w:ascii="Times New Roman;sans-serif" w:hAnsi="Times New Roman;sans-serif"/>
                  <w:b w:val="false"/>
                  <w:color w:val="0000FF"/>
                  <w:sz w:val="20"/>
                  <w:u w:val="single"/>
                </w:rPr>
                <w:t>96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7">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37">
              <w:r>
                <w:rPr>
                  <w:rStyle w:val="InternetLink"/>
                  <w:rFonts w:ascii="Times New Roman;sans-serif" w:hAnsi="Times New Roman;sans-serif"/>
                  <w:b w:val="false"/>
                  <w:color w:val="0000FF"/>
                  <w:sz w:val="20"/>
                  <w:u w:val="single"/>
                </w:rPr>
                <w:t>96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40">
              <w:r>
                <w:rPr>
                  <w:rStyle w:val="InternetLink"/>
                  <w:rFonts w:ascii="Times New Roman;sans-serif" w:hAnsi="Times New Roman;sans-serif"/>
                  <w:b w:val="false"/>
                  <w:color w:val="0000FF"/>
                  <w:sz w:val="20"/>
                  <w:u w:val="single"/>
                </w:rPr>
                <w:t>Item 6. [Reserved.]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40">
              <w:r>
                <w:rPr>
                  <w:rStyle w:val="InternetLink"/>
                  <w:rFonts w:ascii="Times New Roman;sans-serif" w:hAnsi="Times New Roman;sans-serif"/>
                  <w:b w:val="false"/>
                  <w:color w:val="0000FF"/>
                  <w:sz w:val="20"/>
                  <w:u w:val="single"/>
                </w:rPr>
                <w:t>97</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43">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43">
              <w:r>
                <w:rPr>
                  <w:rStyle w:val="InternetLink"/>
                  <w:rFonts w:ascii="Times New Roman;sans-serif" w:hAnsi="Times New Roman;sans-serif"/>
                  <w:b w:val="false"/>
                  <w:color w:val="0000FF"/>
                  <w:sz w:val="20"/>
                  <w:u w:val="single"/>
                </w:rPr>
                <w:t>98</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82">
              <w:r>
                <w:rPr>
                  <w:rStyle w:val="InternetLink"/>
                  <w:rFonts w:ascii="Times New Roman;sans-serif" w:hAnsi="Times New Roman;sans-serif"/>
                  <w:b w:val="false"/>
                  <w:color w:val="0000FF"/>
                  <w:sz w:val="20"/>
                  <w:u w:val="single"/>
                </w:rPr>
                <w:t>Item 7A.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82">
              <w:r>
                <w:rPr>
                  <w:rStyle w:val="InternetLink"/>
                  <w:rFonts w:ascii="Times New Roman;sans-serif" w:hAnsi="Times New Roman;sans-serif"/>
                  <w:b w:val="false"/>
                  <w:color w:val="0000FF"/>
                  <w:sz w:val="20"/>
                  <w:u w:val="single"/>
                </w:rPr>
                <w:t>113</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85">
              <w:r>
                <w:rPr>
                  <w:rStyle w:val="InternetLink"/>
                  <w:rFonts w:ascii="Times New Roman;sans-serif" w:hAnsi="Times New Roman;sans-serif"/>
                  <w:b w:val="false"/>
                  <w:color w:val="0000FF"/>
                  <w:sz w:val="20"/>
                  <w:u w:val="single"/>
                </w:rPr>
                <w:t>Item 8. Financial Statements and Supplementary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85">
              <w:r>
                <w:rPr>
                  <w:rStyle w:val="InternetLink"/>
                  <w:rFonts w:ascii="Times New Roman;sans-serif" w:hAnsi="Times New Roman;sans-serif"/>
                  <w:b w:val="false"/>
                  <w:color w:val="0000FF"/>
                  <w:sz w:val="20"/>
                  <w:u w:val="single"/>
                </w:rPr>
                <w:t>114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48">
              <w:r>
                <w:rPr>
                  <w:rStyle w:val="InternetLink"/>
                  <w:rFonts w:ascii="Times New Roman;sans-serif" w:hAnsi="Times New Roman;sans-serif"/>
                  <w:b w:val="false"/>
                  <w:color w:val="0000FF"/>
                  <w:sz w:val="20"/>
                  <w:u w:val="single"/>
                </w:rPr>
                <w:t>Item 9. Changes in and Disagreements With Accountants on Accounting and Financial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48">
              <w:r>
                <w:rPr>
                  <w:rStyle w:val="InternetLink"/>
                  <w:rFonts w:ascii="Times New Roman;sans-serif" w:hAnsi="Times New Roman;sans-serif"/>
                  <w:b w:val="false"/>
                  <w:color w:val="0000FF"/>
                  <w:sz w:val="20"/>
                  <w:u w:val="single"/>
                </w:rPr>
                <w:t>151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1">
              <w:r>
                <w:rPr>
                  <w:rStyle w:val="InternetLink"/>
                  <w:rFonts w:ascii="Times New Roman;sans-serif" w:hAnsi="Times New Roman;sans-serif"/>
                  <w:b w:val="false"/>
                  <w:color w:val="0000FF"/>
                  <w:sz w:val="20"/>
                  <w:u w:val="single"/>
                </w:rPr>
                <w:t>Item 9A.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1">
              <w:r>
                <w:rPr>
                  <w:rStyle w:val="InternetLink"/>
                  <w:rFonts w:ascii="Times New Roman;sans-serif" w:hAnsi="Times New Roman;sans-serif"/>
                  <w:b w:val="false"/>
                  <w:color w:val="0000FF"/>
                  <w:sz w:val="20"/>
                  <w:u w:val="single"/>
                </w:rPr>
                <w:t>151</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4">
              <w:r>
                <w:rPr>
                  <w:rStyle w:val="InternetLink"/>
                  <w:rFonts w:ascii="Times New Roman;sans-serif" w:hAnsi="Times New Roman;sans-serif"/>
                  <w:b w:val="false"/>
                  <w:color w:val="0000FF"/>
                  <w:sz w:val="20"/>
                  <w:u w:val="single"/>
                </w:rPr>
                <w:t>Item 9B.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4">
              <w:r>
                <w:rPr>
                  <w:rStyle w:val="InternetLink"/>
                  <w:rFonts w:ascii="Times New Roman;sans-serif" w:hAnsi="Times New Roman;sans-serif"/>
                  <w:b w:val="false"/>
                  <w:color w:val="0000FF"/>
                  <w:sz w:val="20"/>
                  <w:u w:val="single"/>
                </w:rPr>
                <w:t>154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7">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57">
              <w:r>
                <w:rPr>
                  <w:rStyle w:val="InternetLink"/>
                  <w:rFonts w:ascii="Times New Roman;sans-serif" w:hAnsi="Times New Roman;sans-serif"/>
                  <w:b w:val="false"/>
                  <w:color w:val="0000FF"/>
                  <w:sz w:val="20"/>
                  <w:u w:val="single"/>
                </w:rPr>
                <w:t>154</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0">
              <w:r>
                <w:rPr>
                  <w:rStyle w:val="InternetLink"/>
                  <w:rFonts w:ascii="Times New Roman;sans-serif" w:hAnsi="Times New Roman;sans-serif"/>
                  <w:b w:val="false"/>
                  <w:color w:val="0000FF"/>
                  <w:sz w:val="20"/>
                  <w:u w:val="single"/>
                </w:rPr>
                <w:t>Part III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0">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3">
              <w:r>
                <w:rPr>
                  <w:rStyle w:val="InternetLink"/>
                  <w:rFonts w:ascii="Times New Roman;sans-serif" w:hAnsi="Times New Roman;sans-serif"/>
                  <w:b w:val="false"/>
                  <w:color w:val="0000FF"/>
                  <w:sz w:val="20"/>
                  <w:u w:val="single"/>
                </w:rPr>
                <w:t>Item 10. Directors, Executive Officers and Corporate Governance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3">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6">
              <w:r>
                <w:rPr>
                  <w:rStyle w:val="InternetLink"/>
                  <w:rFonts w:ascii="Times New Roman;sans-serif" w:hAnsi="Times New Roman;sans-serif"/>
                  <w:b w:val="false"/>
                  <w:color w:val="0000FF"/>
                  <w:sz w:val="20"/>
                  <w:u w:val="single"/>
                </w:rPr>
                <w:t>Item 11. Executive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6">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9">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69">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2">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2">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5">
              <w:r>
                <w:rPr>
                  <w:rStyle w:val="InternetLink"/>
                  <w:rFonts w:ascii="Times New Roman;sans-serif" w:hAnsi="Times New Roman;sans-serif"/>
                  <w:b w:val="false"/>
                  <w:color w:val="0000FF"/>
                  <w:sz w:val="20"/>
                  <w:u w:val="single"/>
                </w:rPr>
                <w:t>Item 14. Principal Accounting Fees and Services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5">
              <w:r>
                <w:rPr>
                  <w:rStyle w:val="InternetLink"/>
                  <w:rFonts w:ascii="Times New Roman;sans-serif" w:hAnsi="Times New Roman;sans-serif"/>
                  <w:b w:val="false"/>
                  <w:color w:val="0000FF"/>
                  <w:sz w:val="20"/>
                  <w:u w:val="single"/>
                </w:rPr>
                <w:t>155</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8">
              <w:r>
                <w:rPr>
                  <w:rStyle w:val="InternetLink"/>
                  <w:rFonts w:ascii="Times New Roman;sans-serif" w:hAnsi="Times New Roman;sans-serif"/>
                  <w:b w:val="false"/>
                  <w:color w:val="0000FF"/>
                  <w:sz w:val="20"/>
                  <w:u w:val="single"/>
                </w:rPr>
                <w:t>Part IV</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78">
              <w:r>
                <w:rPr>
                  <w:rStyle w:val="InternetLink"/>
                  <w:rFonts w:ascii="Times New Roman;sans-serif" w:hAnsi="Times New Roman;sans-serif"/>
                  <w:b w:val="false"/>
                  <w:color w:val="0000FF"/>
                  <w:sz w:val="20"/>
                  <w:u w:val="single"/>
                </w:rPr>
                <w:t>156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1">
              <w:r>
                <w:rPr>
                  <w:rStyle w:val="InternetLink"/>
                  <w:rFonts w:ascii="Times New Roman;sans-serif" w:hAnsi="Times New Roman;sans-serif"/>
                  <w:b w:val="false"/>
                  <w:color w:val="0000FF"/>
                  <w:sz w:val="20"/>
                  <w:u w:val="single"/>
                </w:rPr>
                <w:t>Item 15. Exhibits, Financial Statement Schedules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1">
              <w:r>
                <w:rPr>
                  <w:rStyle w:val="InternetLink"/>
                  <w:rFonts w:ascii="Times New Roman;sans-serif" w:hAnsi="Times New Roman;sans-serif"/>
                  <w:b w:val="false"/>
                  <w:color w:val="0000FF"/>
                  <w:sz w:val="20"/>
                  <w:u w:val="single"/>
                </w:rPr>
                <w:t>156</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4">
              <w:r>
                <w:rPr>
                  <w:rStyle w:val="InternetLink"/>
                  <w:rFonts w:ascii="Times New Roman;sans-serif" w:hAnsi="Times New Roman;sans-serif"/>
                  <w:b w:val="false"/>
                  <w:color w:val="0000FF"/>
                  <w:sz w:val="20"/>
                  <w:u w:val="single"/>
                </w:rPr>
                <w:t>Item 16. Form 10-K 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4">
              <w:r>
                <w:rPr>
                  <w:rStyle w:val="InternetLink"/>
                  <w:rFonts w:ascii="Times New Roman;sans-serif" w:hAnsi="Times New Roman;sans-serif"/>
                  <w:b w:val="false"/>
                  <w:color w:val="0000FF"/>
                  <w:sz w:val="20"/>
                  <w:u w:val="single"/>
                </w:rPr>
                <w:t>158</w:t>
              </w:r>
            </w:hyperlink>
          </w:p>
        </w:tc>
      </w:tr>
      <w:tr>
        <w:trPr/>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7">
              <w:r>
                <w:rPr>
                  <w:rStyle w:val="InternetLink"/>
                  <w:rFonts w:ascii="Times New Roman;sans-serif" w:hAnsi="Times New Roman;sans-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87">
              <w:r>
                <w:rPr>
                  <w:rStyle w:val="InternetLink"/>
                  <w:rFonts w:ascii="Times New Roman;sans-serif" w:hAnsi="Times New Roman;sans-serif"/>
                  <w:b w:val="false"/>
                  <w:color w:val="0000FF"/>
                  <w:sz w:val="20"/>
                  <w:u w:val="single"/>
                </w:rPr>
                <w:t>160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Factors that may cause actual results to differ from expected results include, among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continue to successfully commercialize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the size of the market opportunity for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to continue commercializing XDEMVY and our product candidates, if approved, including commercialization timelines and sales strategy;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or likelihood of regulatory filings and approval for our product candidates and our ability to meet existing or future regulatory standards or comply with post-approval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health epidemics on our business and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unfavorable global and geopolitical economic conditions on our business and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estimates of the number of patients in the United States ("U.S.") or globally, as applicable,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Ocular Rosacea, Lyme disease and malaria and the number of patients that will enroll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and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and product candidates, including additional indications for which we may pursue;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plans and ability to obtain, maintain, and/or protect intellectual property rights, including extensions of existing patent terms where available;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hire additional personnel and our ability to attract and retain such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competitive position;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and March 2024 (the "March 2024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including those described in the section titled “Risk Factors” elsewhere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Annual Report on Form 10-K to the “Company,” “we,” “us,” “our,” “Tarsus,” and “Tarsus Pharmaceuticals” refer to Tarsus Pharmaceuticals, Inc. We primarily conduct our business activities as Tarsus Pharmaceuticals.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Tarsus Pharmaceuticals, Tarsus, and Tarsus Pharmaceuticals, Inc., our logo, XDEMVY, and other registered or common law trade names, trademarks or service marks of Tarsus appearing in this report are the property of the Company. This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 ™ or SM symbols, but such references are not intended to indicate, in any way, that we will not assert, to the fullest extent under applicable law, our rights or the right of the applicable licensor to these trade names, trademarks and service marks.</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a commercial stage biopharmaceutical company with a limited operating history and a single product approved for commercial sale. While we have generated revenues from the launch of XDEMVY, we have continued to incur significant losses and negative cash flows from operations since our inception and anticipate that we will continue to incur significant expenses and potential losses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obtained regulatory approval for XDEMVY in the U.S. in July 2023 and have limited experience as a commercial company generating revenue from product sales. If the commercialization of XDEMVY becomes unsuccessful or any future approved product launches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may not be successful in educating eye care providers ("ECPs"),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sizes of the market opportunity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commercialization of our products, including XDEMVY,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TP-04 for the potential treatment of Ocular Rosacea and TP-05 for potential Lyme disease prophylaxis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contract with third parties for the commercial manufacture of XDEMVY and for the manufacture of our product candidates for preclinical studies, clinical trials and for eventual commercialization. In some instances, we or our third party contract manufacturers rely on single source suppliers for certain of the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 as we expect that XDEMVY and each of our product candidates will only be covered by single source suppliers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We are a commercial stage biopharmaceutical company focused on the development and commercialization of therapeutics, starting with eye care. We launched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August 2023 after receiving U.S. Food and Drug Administration ("FDA") approval in July 2023.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Chronic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 ("GABA-Cl") channels with no GABA-Cl inhibition in humans.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trial (the "Saturn-2 trial"), a Phase 2b/3 trial (the "Saturn-1 trial"), four Phase 2 trials, and a Phase 1 trial (the "Hyperion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all of which met their primary, secondary and/or certain exploratory endpoints, with the drug generally safe and well tolerated throughout each trial. We have also completed, and/or have ongoing clinical trials for the potential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in patients with Meibomian Gland Disease ("MGD"), including a Phase 2a clinical trial (the "Ersa trial") that evaluated XDEMVY for the treatment of MGD in patients with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and a pilot clinical trial that evaluated an XDEMVY vehicle for the potential treatment of MGD in patients with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mites (the "Rhea trial"), TP-04 for the potential treatment of Ocular Rosacea, and TP-05 for potential Lyme disease prophylaxis, among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and infectious disease prevention. We are investigating the development of our product candidates to address targeted diseases with high unmet medical needs, which currently include TP-04, a novel ophthalmic gel formulation of lotilaner for the potential treatment of Ocular Rosacea, and TP-05, a novel investigational oral formulation of lotilaner, for potential Lyme disease prophylaxis and community malaria reduction.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TP-03 Demodex blepharitis in patients with Meibomian Gland Disease (MGD)</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MGD is commonly characterized by functional and structural dysfunction of the meibomian glands within the eyelid margin, which then results in blockage and/or thickened and decreased production of meibum. If left untreated, MGD can lead to permanent changes to the tear film and progressive gland loss. Approximately 30-40 million Americans are impacted by MGD. Currently, there are no FDA-approved pharmacologic therapies for MGD patients without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are key contributors to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causing eyelid inflammation and reduced meibomian gland function.</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pPr>
      <w:r>
        <w:rPr>
          <w:rFonts w:ascii="Times New Roman;sans-serif" w:hAnsi="Times New Roman;sans-serif"/>
          <w:b w:val="false"/>
          <w:color w:val="000000"/>
          <w:sz w:val="20"/>
        </w:rPr>
        <w:t xml:space="preserve">In August 2022, we announced the enrollment of our first patient in the Ersa trial. In December 2023, we announced positive topline results from the Ersa trial evaluating XDEMVY administered twice daily ("BID") or three times a day ("TID") for six weeks and twelve weeks.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at the American Academy of Optometry ("AAOpt") Annual Meeting 2024. The Rhea trial enrolled a similar patient population as the Ersa trial, and evaluated the same outcomes, with the same dosing regimens with XDEMVY vehicle. Both the Ersa and Rhea trials also assessed patient reported outcomes for some of the most commonly reported patient symptoms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namely fluctuating vision, itching, redness, and burning.</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The combined data from the Ersa and Rhea trials showed in a pooled analysis presented at the AAOpt Annual Meeting 2024 that XDEMVY could be the first pharmacologic treatment for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demonstrate statistically significant and clinically meaningful improvements from baseline, as well as when compared to XDEMVY vehicle. These improvements were shown across three objective measures of MGD: (i) the presence and quality of liquid secretion as measured by the Meibomian Gland Secretion Score; (ii) the number of glands secreting normal or clear liquid; and (iii) the number of glands yielding any liquid. Improvements were also demonstrated across some of the most reported patient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and the FDA’s feedback that these patients are already included in XDEMVY’s label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we are moving forward with sharing this data with eye care providers ("ECPs") to further educate them on the disease and the potential benefits of treating these patients with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TP-04 for the Potential Treatment of Ocular Rosacea</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exploring the therapeutic potential of TP-04 as a novel topical ophthalmic gel formulation of lotilaner for the treatment of Ocular Rosacea, a chronic eyelid disease characterized by redness, flushing and inflammation of the eyelid margin, visible blood vessels, and surrounding peri-ocular skin. Ocular Rosacea, like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believed to be caused by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Approximately 15-18 million Americans are impacted by Ocular Rosacea and there are currently no FDA-approved therapeutics to treat this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TP-04 is designed to eradicate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a potential root cause of Ocular Rosacea. In March 2023, we announced positive topline results from the Phase 1 Galatea trial (the "Galatea Phase 1 trial”) and initiated a Phase 2a trial (the "Galatea trial") for the potential treatment of rosacea. The Galatea trial was a multicenter, randomized, vehicle-controlled trial evaluating the safety, tolerability and efficacy of TP-04. In February 2024, we announced positive topline results from the Galatea trial which demonstrated statistically significant improvements (p&lt;0.05) in inflammatory lesions and Investigator's Global Assessment ("IGA") score (change in baseline and success rate) compared to vehicle at Week 12. After review of this data with the FDA and Key Opinion Leaders ("KOLs"), we decided to pursue development of TP-04 for the potential treatment for Ocular Rosacea. In January 2025, we announced plans to initiate a Phase 2 trial in the second half of 2025 for the potential treatment of Ocular Rosacea.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TP-05 for the Potential Prevention of Lyme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exploring the therapeutic potential of TP-05 as an oral, systematic prophylactic for Lyme disease designed to eradicate the tick before it can transmit the </w:t>
      </w:r>
      <w:r>
        <w:rPr>
          <w:rFonts w:ascii="Times New Roman;sans-serif" w:hAnsi="Times New Roman;sans-serif"/>
          <w:b w:val="false"/>
          <w:i/>
          <w:color w:val="000000"/>
          <w:sz w:val="20"/>
        </w:rPr>
        <w:t>Borrelia burgdorferi</w:t>
      </w:r>
      <w:r>
        <w:rPr>
          <w:color w:val="000000"/>
        </w:rPr>
        <w:t xml:space="preserve"> </w:t>
      </w:r>
      <w:r>
        <w:rPr>
          <w:rFonts w:ascii="Times New Roman;sans-serif" w:hAnsi="Times New Roman;sans-serif"/>
          <w:b w:val="false"/>
          <w:color w:val="000000"/>
          <w:sz w:val="20"/>
        </w:rPr>
        <w:t>infection that causes Lyme disease. There are approximately 80 million people in the U.S. at risk of Lyme disease exposure with nearly 30 million of which are moderate to high risk. Further, there are approximately 400,000 reported cases of Lyme disease in the U.S. each year, but it is believed that the actual number of cases could be much higher.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Lyme disease can potentially cause severe, often debilitating symptoms with permanent and irreversible damage. The disease can result in inflammation, nerve, joint and muscle pain or swelling, numbness, shortness of breath and, in severe cases, neurological complications such as facial palsy, vision issues and meningitis, including severe headaches and neck stiffness. Lyme disease can often go undetected and untreated because the ticks are not always noticed before they transmit the disease. People who are in high-risk areas and/or spend extended amounts of time outdoors in wooded, grassy areas are at higher risk of contracting the infection. Data from the Centers for Disease Control and Prevention ("CDC") show that the risk of Lyme disease is spreading to new geographic areas, resulting in a significant need for prophylactic solutions.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Currently, there are no FDA-approved pharmacological prophylactic options for Lyme disease. We believe TP-05 is currently the only non-vaccine, drug-based, preventive therapeutic in clinical development that targets the ticks, and potentially prevents Lyme disease transmission. It is designed to rapidly provide systemic blood levels of lotilaner, a well-characterized anti-parasitic agent that paralyzes and kills infected ticks attached to the human body through selective targeting of parasite-specific GABA-CI channels, before they can transmit the </w:t>
      </w:r>
      <w:r>
        <w:rPr>
          <w:rFonts w:ascii="Times New Roman;sans-serif" w:hAnsi="Times New Roman;sans-serif"/>
          <w:b w:val="false"/>
          <w:i/>
          <w:color w:val="000000"/>
          <w:sz w:val="20"/>
        </w:rPr>
        <w:t>Borrelia burgdorferi</w:t>
      </w:r>
      <w:r>
        <w:rPr>
          <w:color w:val="000000"/>
        </w:rPr>
        <w:t xml:space="preserve"> </w:t>
      </w:r>
      <w:r>
        <w:rPr>
          <w:rFonts w:ascii="Times New Roman;sans-serif" w:hAnsi="Times New Roman;sans-serif"/>
          <w:b w:val="false"/>
          <w:color w:val="000000"/>
          <w:sz w:val="20"/>
        </w:rPr>
        <w:t>infection.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announced positive topline results from the completed Phase 1 Callisto trial (the "Callisto trial") and enrollment of the first patient in the Phase 2a clinical trial (the "Carpo trial"). The Carpo trial was designed to evaluate TP-05, for the potential prevention of Lyme disease in humans. The Carpo trial was a randomized, double-blind, placebo-controlled trial that evaluated the efficacy of TP-05 in killing lab grown, non-disease carrying ticks after they have attached to the skin of healthy volunteers, as well as confirm the safety, tolerability, and blood concentration of TP-05. Sterile, non-pathogenic nymphal ticks were placed on the skin of healthy human volunteers at two separate instances (one day prior to dosing and 30 days after dosing). Tick mortality was evaluated within 24 hours of attachment after each placement. In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cases, ticks must be attached for 36-48 hours or more before Lyme disease can be transmitted, so killing ticks within 24 hours of attachment can greatly increase the probability of disease prevention.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announced positive topline results from the Carpo trial which demonstrated a statistically significant benefit in killing ticks compared to vehicle (p &lt; 0.0001). Specifically, after the Day 1 tick challenge, mean tick mortality was 97.0% (± 1.4 standard error, SE) and 92.0% (± 6.3 SE) for the high and low doses of TP-05, respectively, compared to only 5.0% (± 2.5 SE) for placebo. Similarly, at the 30-day challenge, mean tick mortality at 24 hours after placement was 89.0% (± 11.1 SE) and 91.0% (± 6.1 SE) for the high and low doses of TP-05, respectively, compared to only 9.0% (± 8.0 SE) for placebo (p&lt;0.001). No statistically significant differences in tick mortality were observed between the two TP-05 treatment arms, and TP-05 was generally well tolerated.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we met with the FDA about our Lyme disease program. The FDA agreed to our proposed approach for a Phase 2b clinical trial, which plans to include several hundred subjects. Additionally, the FDA confirmed that a Phase 3 clinical study would require a disease prevention field study that would likely require the enrollment of thousands of patients. We continue to believe that the best approach to potentially deliver this potential prophylactic therapy to patients is to enter into discussions to partner this program either prior to the initiation of the Phase 2b study or after the completion of the study.</w:t>
      </w:r>
    </w:p>
    <w:p>
      <w:pPr>
        <w:pStyle w:val="TextBody"/>
        <w:bidi w:val="0"/>
        <w:spacing w:lineRule="auto" w:line="288" w:before="24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chart presents our wholly owned product candidates and clinical development status:</w:t>
      </w:r>
    </w:p>
    <w:p>
      <w:pPr>
        <w:pStyle w:val="TextBody"/>
        <w:bidi w:val="0"/>
        <w:spacing w:before="0" w:after="0"/>
        <w:ind w:left="0" w:right="0" w:firstLine="900"/>
        <w:jc w:val="center"/>
        <w:rPr/>
      </w:pPr>
      <w:r>
        <w:rPr/>
      </w:r>
    </w:p>
    <w:p>
      <w:pPr>
        <w:pStyle w:val="TextBody"/>
        <w:bidi w:val="0"/>
        <w:spacing w:before="0" w:after="0"/>
        <w:jc w:val="center"/>
        <w:rPr/>
      </w:pPr>
      <w:r>
        <w:rPr/>
        <w:drawing>
          <wp:inline distT="0" distB="0" distL="0" distR="0">
            <wp:extent cx="6515100" cy="36576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Strategy</w:t>
      </w:r>
    </w:p>
    <w:p>
      <w:pPr>
        <w:pStyle w:val="TextBody"/>
        <w:bidi w:val="0"/>
        <w:spacing w:lineRule="auto" w:line="288" w:before="24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ambition is to become a leader in eye care. We have been intentional about charting a new course in eye care that is grounded in addressing the root cause of disease and we intend to achieve this ambition by pursuing the following key strategic objectives: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Continue to accelerate the launch trajectory of our first marketed product, XDEMVY</w:t>
      </w:r>
      <w:r>
        <w:rPr>
          <w:rFonts w:ascii="Times New Roman;sans-serif" w:hAnsi="Times New Roman;sans-serif"/>
          <w:b w:val="false"/>
          <w:color w:val="000000"/>
          <w:sz w:val="20"/>
        </w:rPr>
        <w:t xml:space="preserve">. We launched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after receiving FDA approval in July 2023. XDEMVY has delivered remarkable results for patients and ECPs, and offers a compelling value proposition for payers.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Continue to pursue a potentially transformative opportunity in Ocular Rosacea.</w:t>
      </w:r>
      <w:r>
        <w:rPr>
          <w:color w:val="000000"/>
        </w:rPr>
        <w:t xml:space="preserve"> </w:t>
      </w:r>
      <w:r>
        <w:rPr>
          <w:rFonts w:ascii="Times New Roman;sans-serif" w:hAnsi="Times New Roman;sans-serif"/>
          <w:b w:val="false"/>
          <w:color w:val="000000"/>
          <w:sz w:val="20"/>
        </w:rPr>
        <w:t xml:space="preserve">OR is our next opportunity to create another potential blockbuster market in eye care. Ocular Rosacea is another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eye disease that has been underdiagnosed and undertreated for years because there are no FDA-approved therapeutics. In January 2025, we announced plans to initiate a Phase 2 study in the second half of 2025.</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Continue to advance and expand our pipeline, bringing novel products utilizing lotilaner to unmet needs across human medicine, including Lyme disease prophylaxis.</w:t>
      </w:r>
      <w:r>
        <w:rPr>
          <w:color w:val="000000"/>
        </w:rPr>
        <w:t xml:space="preserve"> </w:t>
      </w:r>
      <w:r>
        <w:rPr>
          <w:rFonts w:ascii="Times New Roman;sans-serif" w:hAnsi="Times New Roman;sans-serif"/>
          <w:b w:val="false"/>
          <w:color w:val="000000"/>
          <w:sz w:val="20"/>
        </w:rPr>
        <w:t>The mechanism of lotilaner coupled with our insights into disease where it can demonstrate clinical benefit, provides an opportunity to expand into new indications for treatment or prevention. In December 2024, we met with the FDA about our Lyme disease prevention program. The FDA agreed to our proposed approach for a Phase 2b clinical trial, which would include several hundred subjects. We continue to believe that the best approach to potentially deliver this potential prophylactic therapy to patients is to enter into discussions to partner this program either prior to the initiation of the Phase 2b study or after the completion of the study.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Evaluate and strategically enter collaborations to maximize the potential of our pipeline and the scope of our eye care product offerings.</w:t>
      </w:r>
      <w:r>
        <w:rPr>
          <w:color w:val="000000"/>
        </w:rPr>
        <w:t xml:space="preserve"> </w:t>
      </w:r>
      <w:r>
        <w:rPr>
          <w:rFonts w:ascii="Times New Roman;sans-serif" w:hAnsi="Times New Roman;sans-serif"/>
          <w:b w:val="false"/>
          <w:color w:val="000000"/>
          <w:sz w:val="20"/>
        </w:rPr>
        <w:t xml:space="preserve">Apart from the development and license agreement (the "China Out-License") with Xi An Grand Chang An Pharmaceutical Co., Ltd. ("GrandPharma") of TP-03 for the potential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within the China Territory, as described below within</w:t>
      </w:r>
      <w:r>
        <w:rPr>
          <w:color w:val="000000"/>
        </w:rPr>
        <w:t xml:space="preserve"> </w:t>
      </w:r>
      <w:r>
        <w:rPr>
          <w:rFonts w:ascii="Times New Roman;sans-serif" w:hAnsi="Times New Roman;sans-serif"/>
          <w:b w:val="false"/>
          <w:i/>
          <w:color w:val="000000"/>
          <w:sz w:val="20"/>
        </w:rPr>
        <w:t>License Agreements: GrandPharma Agreement</w:t>
      </w:r>
      <w:r>
        <w:rPr>
          <w:rFonts w:ascii="Times New Roman;sans-serif" w:hAnsi="Times New Roman;sans-serif"/>
          <w:b w:val="false"/>
          <w:color w:val="000000"/>
          <w:sz w:val="20"/>
        </w:rPr>
        <w:t xml:space="preserve">, we have retained our rights globally to all of our indications for use in humans, including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TP-04 for the potential treatment of Ocular Rosacea and TP-05 for potential Lyme disease prophylaxis and community malaria reduction. Given the potential to treat patients worldwide we may opportunistically enter into additional strategic collaborations around certain product candidates, disease and/or geographic regions.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Continue innovating and planning for growth.</w:t>
      </w:r>
      <w:r>
        <w:rPr>
          <w:color w:val="000000"/>
        </w:rPr>
        <w:t xml:space="preserve"> </w:t>
      </w:r>
      <w:r>
        <w:rPr>
          <w:rFonts w:ascii="Times New Roman;sans-serif" w:hAnsi="Times New Roman;sans-serif"/>
          <w:b w:val="false"/>
          <w:color w:val="000000"/>
          <w:sz w:val="20"/>
        </w:rPr>
        <w:t>We have assembled an exceptional management team with decades of deep and expansive strategic expertise building new markets across eye care and biotechnology. This team, coupled with their strong execution capabilities and financial discipline will potentially enable further innovation and growth.</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Additional Potential Growth Drivers in 2025 and Beyond</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We are on track for potential European regulatory approval of a preservative-free formulation of XDEMVY for the potential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2027. We have initiated market development work, including Key Opinion Leader engagement, disease education and scientific presentations at major conferences.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In Japan, we expect to share results from a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prevalence study in the first half of 2025 and meet with Japanese regulatory authorities to help determine a regulatory path forward.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The Chinese regulatory agency, National Medical Products Administration, accepted the New Drug Application ("NDA") submitted by our partner, Grand Pharmaceutical Group Ltd., for TP-03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jc w:val="left"/>
        <w:rPr/>
      </w:pPr>
      <w:r>
        <w:rPr>
          <w:rFonts w:ascii="Times New Roman;sans-serif" w:hAnsi="Times New Roman;sans-serif"/>
          <w:b/>
          <w:color w:val="000000"/>
          <w:sz w:val="20"/>
        </w:rPr>
        <w:t xml:space="preserve">Commercial Strategy for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launched XDEMVY in the U.S. with a specialty sales force, social and digital media, and ECP education campaigns and targeted prescribing ophthalmologists and optometrists.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During 2024, we continued to work with KOLs and various associations to increase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awareness and education, and we have highlighted prevalence, impact, and simplicity of diagnosis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Our goal is to continue to educate ECPs about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simplicity and efficiency of diagnosis, and the positive profile of XDEMVY. Consistent with our goal to educate ECPs, we expanded our sales force by approximately 50 new representatives and leaders in 2024. In addition to educating ECPs, we activated our first Direct-to-Consumer ("DTC") campaign in streaming television in the fourth quarter of 2024 that leverages creative and memorable visuals to illustrate the damaging impact of the disease, with the goal of supporting patients in their journey and encouraging them to consult with ECPs to see whether XDEMVY is right for them.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2024, the first full year XDEMVY was available on the market, XDEMVY generated $180.1 million in net product sales, more than 163,000 bottles were dispensed to patients, and we secured broad commercial and Medicare coverage. The success of XDEMVY was built on a very core set of fundamentals and a reflection of our strategic approach to an unwavering focus on evidence generation, education, ease of access and execution, which we believe will drive continued success in 2025 and beyond.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Blepharitis: Market Overview</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Blepharitis is a common, chronic ophthalmic lid margin disease characterized by inflammation of the eyelid margin, redness and ocular irritation. It is also a progressive disease that often manifests with more severe symptoms if left untreated, such as blurring of vision, missing eyelashes, MGD, corneal damage and potentially, in extreme cases, blindness.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affect approximately 25 million Americans based on an extrapolation from the Titan study (as defined below) indicating 58% of patients presenting to U.S. eye care clinics have collarettes, a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that at least 45 million people annually visit an eye care clinic. In addition, there is growing awareness among ECPs of the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called collarettes or cylindrical dandruff, which is a specific type of debris found at the base of the eyelashes. Collarettes are composed of partially digested epithelial cells, mite waste products and eggs among other things and can be easily diagnosed by ECPs as part of a standard eye examination.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increases progressively with aging, which is one main risk factor for the disease, though other frequently presenting patients can also suffer from dry eye, contact lens intolerance, and cataracts. These patients commonly present to the offices of ECPs for other ophthalmic diseases besides blepharitis, such as cataract surgery evaluation and contact lens discomfort. Accordingly, we believe that there is significant opportunity to increase the diagnosis rate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through ECP and patient education that encourages examination of the disease in standard practice.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Despite the high prevalence of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growing awareness of the disease among ECPs, there were no FDA-approved therapeutics for the treatment of blepharitis, let alone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until XDEMVY was approved in July 2023. Although we believe blepharitis and</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are significantly under-diagnosed diseases with limited treatment alternatives, there are already approximately 1.5 million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diagnoses in the U.S. based on findings from the Titan study and data that show blepharitis classified per the International Classification of Diseases, Tenth Revision, Clinical Modification ("ICD-10-CM").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conducted epidemiology and market research on the prevalence of blepharitis and potential adoption of XDEMVY. Our research indicates approximately 58% of patients presenting to ECP offices have collarettes and, based on the Gao et al 2005 study (the "Gao study"), all patients with collarettes were also found to have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In addition, our market research suggests the potential for a high level of adoption of XDEMVY. We believe there is a significant opportunity to increase the diagnosis rate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build a significant new market with XDEMVY, a therapy that addresses the underlying root cause of the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Further, patients continue to have underlying risk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as there could be a recurrence or reinfestation based on the presence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in the facial pores even after eradication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from the eyelid, that may potentially necessitate retreatment. The Saturn-2 trial enrolled 412 adults having, among other things, more than ten collarettes per lid and at least mild lid erythema. All pre-specified primary and secondary endpoints were met, XDEMVY was well tolerated, and improvement in lids (reduction of collarettes to no more than 2 collarettes per upper lid) was demonstrated in 55% of patients treated with XDEMVY. The Saturn-1 trial enrolled 421 adult patients having more than ten collarettes on the upper lid and at least mild erythema of the upper eyelid margin. The Saturn-1 trial results showed the pre-specified primary and secondary endpoints were met, and improvement in lids (reduction of collarettes to no more than 2 collarettes per upper lid) was demonstrated in 44% of patients treated with XDEMVY by day 43.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Blepharitis 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Blepharitis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Blepharitis is a common, chronic ophthalmic lid margin disease, which may lead to or exacerbate ocular surface disease. Blepharitis is primarily diagnosed and treated by ECPs, including ophthalmologists and optometrists. Typical signs and symptoms of blepharitis include debris on the eyelashes, redness of the eye and eyelid, missing or misdirected eyelashes, blurring of vision, irritation, lid itchiness and ocular discomfort. Blepharitis can be challenging to manage, recurs frequently, and its progression can lead to scarring of the eyelid, loss of proper eyelid and tear-film function, eyelid and lash abnormalities, inflammation of the conjunctiva and surrounding skin, MGD, suboptimal surgical outcomes, corneal damage, and potentially in extreme cases, blindness.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Multiple factors can cause blepharitis, including infestation by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bacterial infection, clogging of the meibomian glands and seborrheic dermatitis.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following images illustrate representative eyelids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demonstrating the characteristic sign of collarettes: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250"/>
        <w:jc w:val="center"/>
        <w:rPr/>
      </w:pPr>
      <w:r>
        <w:rPr>
          <w:rFonts w:ascii="Times New Roman;sans-serif" w:hAnsi="Times New Roman;sans-serif"/>
          <w:b/>
          <w:color w:val="000000"/>
          <w:sz w:val="20"/>
        </w:rPr>
        <w:t xml:space="preserve">Figure 2: Eyelids With </w:t>
      </w:r>
      <w:r>
        <w:rPr>
          <w:rFonts w:ascii="Times New Roman;sans-serif" w:hAnsi="Times New Roman;sans-serif"/>
          <w:b/>
          <w:i/>
          <w:color w:val="000000"/>
          <w:sz w:val="20"/>
        </w:rPr>
        <w:t xml:space="preserve">Demodex </w:t>
      </w:r>
      <w:r>
        <w:rPr>
          <w:rFonts w:ascii="Times New Roman;sans-serif" w:hAnsi="Times New Roman;sans-serif"/>
          <w:b/>
          <w:color w:val="000000"/>
          <w:sz w:val="20"/>
        </w:rPr>
        <w:t>Blepharitis</w:t>
      </w:r>
    </w:p>
    <w:p>
      <w:pPr>
        <w:pStyle w:val="TextBody"/>
        <w:bidi w:val="0"/>
        <w:spacing w:before="240" w:after="283"/>
        <w:jc w:val="center"/>
        <w:rPr/>
      </w:pPr>
      <w:r>
        <w:rPr/>
        <w:drawing>
          <wp:inline distT="0" distB="0" distL="0" distR="0">
            <wp:extent cx="6515100" cy="93345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6515100" cy="93345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Demodex Blepharitis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is a major cause of blepharitis, and we estimate that the number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patients in the U.S. may be as many as approximately 25 million. Although we believe blepharitis and</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are significantly under-diagnosed diseases, with limited treatment options, there are already an estimated 1.5 million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diagnoses in the U.S. based on the Titan study and coding for blepharitis classified per the ICD-10-CM.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are the most common ectoparasite found on humans and are more likely to cause infestation and disease with aging.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typically presents bilaterally in patients with the disease. There are two species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w:t>
      </w:r>
      <w:r>
        <w:rPr>
          <w:rFonts w:ascii="Times New Roman;sans-serif" w:hAnsi="Times New Roman;sans-serif"/>
          <w:b w:val="false"/>
          <w:i/>
          <w:color w:val="000000"/>
          <w:sz w:val="20"/>
        </w:rPr>
        <w:t>folliculorum</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brevis</w:t>
      </w:r>
      <w:r>
        <w:rPr>
          <w:rFonts w:ascii="Times New Roman;sans-serif" w:hAnsi="Times New Roman;sans-serif"/>
          <w:b w:val="false"/>
          <w:color w:val="000000"/>
          <w:sz w:val="20"/>
        </w:rPr>
        <w:t xml:space="preserve">, that live on the skin of the face and eyelids.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i/>
          <w:color w:val="000000"/>
          <w:sz w:val="20"/>
        </w:rPr>
        <w:t>folliculorum,</w:t>
      </w:r>
      <w:r>
        <w:rPr>
          <w:color w:val="000000"/>
        </w:rPr>
        <w:t xml:space="preserve"> </w:t>
      </w:r>
      <w:r>
        <w:rPr>
          <w:rFonts w:ascii="Times New Roman;sans-serif" w:hAnsi="Times New Roman;sans-serif"/>
          <w:b w:val="false"/>
          <w:color w:val="000000"/>
          <w:sz w:val="20"/>
        </w:rPr>
        <w:t xml:space="preserve">which is commonly found in the follicle, is the more common sub-species of mite that causes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pathognomonic sign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is a specific type of eyelid debris known as the collarette, which is also sometimes referred to as cylindrical dandruff, sleeves, or waxy scurf. Collarettes are composed of partially digested epithelial cells, mite waste products and eggs among other things and can be easily diagnosed by ECPs with a standard eye examination known as the slit lamp examination. Other bothersome signs and symptoms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that can lead to further disease progression include missing or misdirected eyelashes, crusting, redness of the lid margin, inflammation of the lid margin, inflammation of the conjunctiva and/or inflammation of the cornea, also known as blepharoconjunctivitis and blepharokeratitis.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is a progressive disease that often manifests with more severe signs and symptoms if left untreated, such as blurring of vision, missing eyelashes, MGD, corneal damage and potentially, in extreme cases, blindness. Furthermore,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negatively impact daily activities and create an emotional burden for individuals with the disease. According to studies we have conducted, approximately 56% of cataract patients have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which may increase the risk for infection after cataract and refractive surgery. Therefore,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may potentially improve patient satisfaction with cataract and refractive surgery. Additionally, the primary reason people stop wearing contact lenses is due to discomfort; blepharitis has been shown to cause contact lens intolerance. Therefore,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may reduce contact lens intolerance. We believe these benefits may lead to better vision and improved activities of daily living for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1131"/>
        <w:jc w:val="left"/>
        <w:rPr/>
      </w:pPr>
      <w:r>
        <w:rPr>
          <w:rFonts w:ascii="Times New Roman;sans-serif" w:hAnsi="Times New Roman;sans-serif"/>
          <w:b w:val="false"/>
          <w:color w:val="000000"/>
          <w:sz w:val="20"/>
        </w:rPr>
        <w:t xml:space="preserve">The following figures illustrate how </w:t>
      </w:r>
      <w:r>
        <w:rPr>
          <w:rFonts w:ascii="Times New Roman;sans-serif" w:hAnsi="Times New Roman;sans-serif"/>
          <w:b w:val="false"/>
          <w:i/>
          <w:color w:val="000000"/>
          <w:sz w:val="20"/>
        </w:rPr>
        <w:t>Demodex folliculorum</w:t>
      </w:r>
      <w:r>
        <w:rPr>
          <w:color w:val="000000"/>
        </w:rPr>
        <w:t xml:space="preserve"> </w:t>
      </w:r>
      <w:r>
        <w:rPr>
          <w:rFonts w:ascii="Times New Roman;sans-serif" w:hAnsi="Times New Roman;sans-serif"/>
          <w:b w:val="false"/>
          <w:color w:val="000000"/>
          <w:sz w:val="20"/>
        </w:rPr>
        <w:t>mites enter and reside in the eyelash follicles:</w:t>
      </w:r>
    </w:p>
    <w:p>
      <w:pPr>
        <w:pStyle w:val="TextBody"/>
        <w:bidi w:val="0"/>
        <w:spacing w:lineRule="auto" w:line="288" w:before="240" w:after="283"/>
        <w:ind w:left="0" w:right="0" w:firstLine="250"/>
        <w:jc w:val="center"/>
        <w:rPr/>
      </w:pPr>
      <w:r>
        <w:rPr>
          <w:rFonts w:ascii="Times New Roman;sans-serif" w:hAnsi="Times New Roman;sans-serif"/>
          <w:b/>
          <w:color w:val="000000"/>
          <w:sz w:val="20"/>
        </w:rPr>
        <w:t>Figure 3:</w:t>
      </w:r>
      <w:r>
        <w:rPr>
          <w:color w:val="000000"/>
        </w:rPr>
        <w:t xml:space="preserve"> </w:t>
      </w:r>
      <w:r>
        <w:rPr>
          <w:rFonts w:ascii="Times New Roman;sans-serif" w:hAnsi="Times New Roman;sans-serif"/>
          <w:b/>
          <w:i/>
          <w:color w:val="000000"/>
          <w:sz w:val="20"/>
        </w:rPr>
        <w:t>Demodex folliculorum</w:t>
      </w:r>
      <w:r>
        <w:rPr>
          <w:color w:val="000000"/>
        </w:rPr>
        <w:t xml:space="preserve"> </w:t>
      </w:r>
      <w:r>
        <w:rPr>
          <w:rFonts w:ascii="Times New Roman;sans-serif" w:hAnsi="Times New Roman;sans-serif"/>
          <w:b/>
          <w:color w:val="000000"/>
          <w:sz w:val="20"/>
        </w:rPr>
        <w:t>Mites Entering and Residing in Eyelash Follicles</w:t>
      </w:r>
    </w:p>
    <w:p>
      <w:pPr>
        <w:pStyle w:val="TextBody"/>
        <w:bidi w:val="0"/>
        <w:spacing w:before="240" w:after="283"/>
        <w:jc w:val="center"/>
        <w:rPr/>
      </w:pPr>
      <w:r>
        <w:rPr/>
        <w:drawing>
          <wp:inline distT="0" distB="0" distL="0" distR="0">
            <wp:extent cx="4924425" cy="357187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4924425" cy="3571875"/>
                    </a:xfrm>
                    <a:prstGeom prst="rect">
                      <a:avLst/>
                    </a:prstGeom>
                  </pic:spPr>
                </pic:pic>
              </a:graphicData>
            </a:graphic>
          </wp:inline>
        </w:drawing>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can lead to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three main ways: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Mechanical:</w:t>
            </w:r>
            <w:r>
              <w:rPr>
                <w:color w:val="000000"/>
              </w:rPr>
              <w:t xml:space="preserve"> </w:t>
            </w:r>
            <w:r>
              <w:rPr>
                <w:rFonts w:ascii="Times New Roman;sans-serif" w:hAnsi="Times New Roman;sans-serif"/>
                <w:b w:val="false"/>
                <w:color w:val="000000"/>
                <w:sz w:val="20"/>
              </w:rPr>
              <w:t>Overcrowded mites scrape the epithelial cell lining of the eyelash follicles with their claws and lay eggs, causing follicular distention, misdirected lashes, eyelash loss and irritation. Dead mites and collarettes also obstruct the hair follicle opening, leading to inflammation.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Chemical:</w:t>
            </w:r>
            <w:r>
              <w:rPr>
                <w:color w:val="000000"/>
              </w:rPr>
              <w:t xml:space="preserve"> </w:t>
            </w:r>
            <w:r>
              <w:rPr>
                <w:rFonts w:ascii="Times New Roman;sans-serif" w:hAnsi="Times New Roman;sans-serif"/>
                <w:b w:val="false"/>
                <w:color w:val="000000"/>
                <w:sz w:val="20"/>
              </w:rPr>
              <w:t>Mites excrete digestive enzymes as they feed and exude digestive waste when they die, resulting in inflammation, redness, irritation and epithelial hyperplasia.</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Bacterial:</w:t>
            </w:r>
            <w:r>
              <w:rPr>
                <w:color w:val="000000"/>
              </w:rPr>
              <w:t xml:space="preserve"> </w:t>
            </w:r>
            <w:r>
              <w:rPr>
                <w:rFonts w:ascii="Times New Roman;sans-serif" w:hAnsi="Times New Roman;sans-serif"/>
                <w:b w:val="false"/>
                <w:color w:val="000000"/>
                <w:sz w:val="20"/>
              </w:rPr>
              <w:t>Bacteria living on the mite surface or in its gut may cause inflammation of the surrounding ocular tissues.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mites scratch and feed on the skin, the partially digested epithelial cells, keratin, mite waste and eggs combine to form collarettes. These collarettes are typically found at the base of the lash but can migrate away as the hair shaft grows. </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figure illustrates collarettes at the base of an eyelash:</w:t>
      </w:r>
    </w:p>
    <w:p>
      <w:pPr>
        <w:pStyle w:val="TextBody"/>
        <w:bidi w:val="0"/>
        <w:spacing w:lineRule="auto" w:line="288" w:before="240" w:after="283"/>
        <w:ind w:left="0" w:right="0" w:firstLine="250"/>
        <w:jc w:val="center"/>
        <w:rPr/>
      </w:pPr>
      <w:r>
        <w:rPr>
          <w:rFonts w:ascii="Times New Roman;sans-serif" w:hAnsi="Times New Roman;sans-serif"/>
          <w:b/>
          <w:color w:val="000000"/>
          <w:sz w:val="20"/>
        </w:rPr>
        <w:t xml:space="preserve">Figure 4: Collarettes Are the Pathognomonic Sign of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Blepharitis</w:t>
      </w:r>
    </w:p>
    <w:p>
      <w:pPr>
        <w:pStyle w:val="TextBody"/>
        <w:bidi w:val="0"/>
        <w:spacing w:before="240" w:after="283"/>
        <w:ind w:left="0" w:right="0" w:firstLine="1890"/>
        <w:jc w:val="center"/>
        <w:rPr/>
      </w:pPr>
      <w:r>
        <w:rPr/>
        <w:drawing>
          <wp:inline distT="0" distB="0" distL="0" distR="0">
            <wp:extent cx="4943475" cy="2095500"/>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4943475" cy="2095500"/>
                    </a:xfrm>
                    <a:prstGeom prst="rect">
                      <a:avLst/>
                    </a:prstGeom>
                  </pic:spPr>
                </pic:pic>
              </a:graphicData>
            </a:graphic>
          </wp:inline>
        </w:drawing>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Gao study confirmed the pathognomonic relationship of the collarette to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The study included 55 patients seen at the Ocular Surface Center in Miami, Florida to determine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 eyelashes with collarettes. All patients underwent a routine, complete eye examination and photography. Patients were divided into three main groups: (i) those with collarettes; (ii) those without collarettes and those who had been using daily lid scrubs for a full year; and (iii) those without collarettes who were not using daily lid scrubs. Of the 32 patients in the study, 100% of patients with at least one collarette had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present. Those patients without collarettes were divided into two groups; patients who were using lid scrubs for a full year and those who were not. Only 7% (n=15) of patients without collarettes and who were not performing the daily lid scrubs had </w:t>
      </w:r>
      <w:r>
        <w:rPr>
          <w:rFonts w:ascii="Times New Roman;sans-serif" w:hAnsi="Times New Roman;sans-serif"/>
          <w:b w:val="false"/>
          <w:i/>
          <w:color w:val="000000"/>
          <w:sz w:val="20"/>
        </w:rPr>
        <w:t>Demodex</w:t>
      </w:r>
      <w:r>
        <w:rPr>
          <w:rFonts w:ascii="Times New Roman;sans-serif" w:hAnsi="Times New Roman;sans-serif"/>
          <w:b w:val="false"/>
          <w:color w:val="000000"/>
          <w:sz w:val="20"/>
        </w:rPr>
        <w:t xml:space="preserve">, while 50% (n=8) of those subjects without collarettes, but who were using daily lid scrubs with shampoo for a full year, had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implying that hygiene alone did not eradicate the mites. All 55 patients were seen at one location and may not be representative of the U.S. population. However, subsequent studies, including the XDEMVY pivotal Saturn-1 and Saturn-2 trials, that had &gt;800 patients, consistently demonstrated a correlation between the presence of collarettes and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can be diagnosed by ECPs with a slit lamp examination, by confirming the presence of collarettes. The slit lamp examination is routinely performed by ECPs as part of standard practice during a customary eye examination, so diagnosing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via presence of collarettes would not involve any additional equipment or workflow alterations on the part of the ECP.</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Treatment Options Before Approval of XDEMVY and Their Limitations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Other than the use of XDEMVY, the first ever FDA-approved pharmaceutical therapy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has been generally managed with a variety of over-the-counter remedies such as tea tree oil, lid wipes and artificial tears, as well as off-label prescription products for dry eye.</w:t>
      </w:r>
    </w:p>
    <w:p>
      <w:pPr>
        <w:pStyle w:val="TextBody"/>
        <w:bidi w:val="0"/>
        <w:spacing w:lineRule="auto" w:line="288" w:before="240" w:after="283"/>
        <w:ind w:left="0" w:right="0" w:firstLine="1131"/>
        <w:jc w:val="left"/>
        <w:rPr>
          <w:rFonts w:ascii="Times New Roman;sans-serif" w:hAnsi="Times New Roman;sans-serif"/>
          <w:b w:val="false"/>
          <w:color w:val="000000"/>
          <w:sz w:val="20"/>
        </w:rPr>
      </w:pPr>
      <w:r>
        <w:rPr>
          <w:rFonts w:ascii="Times New Roman;sans-serif" w:hAnsi="Times New Roman;sans-serif"/>
          <w:b w:val="false"/>
          <w:color w:val="000000"/>
          <w:sz w:val="20"/>
        </w:rPr>
        <w:t>These approaches have significant limitations,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limited efficacy of over-the-counter and off-label treatments as well as device-based treatments administered in clinic by ECPs;</w:t>
            </w:r>
          </w:p>
        </w:tc>
      </w:tr>
    </w:tbl>
    <w:tbl>
      <w:tblPr>
        <w:tblW w:w="79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43"/>
        <w:gridCol w:w="2043"/>
        <w:gridCol w:w="29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insufficient definitive knowledge of diagnostic criteria to guide treatment decisions;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prohibitive side effects (significant burning and stinging) from treatments that target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(e.g. tea tree oil);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current treatments do not typically eradicate the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leading to a chronic and progressive disease; and</w:t>
            </w:r>
          </w:p>
        </w:tc>
      </w:tr>
    </w:tbl>
    <w:tbl>
      <w:tblPr>
        <w:tblW w:w="71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09"/>
        <w:gridCol w:w="1809"/>
        <w:gridCol w:w="2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treatments may be harmful (e.g. to meibomian gland epithelial cells).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According to the Titan real-world prevalence study, 75% of patients using tea tree oils and 57% of those using lid wipes were found to have a high prevalence of collarettes, indicating that current management tools for this disease are ineffective. The Titan study was an Institutional Review Board ("IRB") -approved, retrospective chart review of 1,032 patients across six U.S.-based ophthalmology and optometry practices conducted by seven investigators. The study was designed to better understand 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via collarettes in U.S. eye care clinics.</w:t>
      </w:r>
    </w:p>
    <w:p>
      <w:pPr>
        <w:pStyle w:val="TextBody"/>
        <w:bidi w:val="0"/>
        <w:spacing w:lineRule="auto" w:line="288" w:before="240" w:after="283"/>
        <w:jc w:val="left"/>
        <w:rPr/>
      </w:pPr>
      <w:r>
        <w:rPr>
          <w:rFonts w:ascii="Times New Roman;sans-serif" w:hAnsi="Times New Roman;sans-serif"/>
          <w:b/>
          <w:color w:val="000000"/>
          <w:sz w:val="20"/>
        </w:rPr>
        <w:t xml:space="preserve">Our Approach: Treating </w:t>
      </w:r>
      <w:r>
        <w:rPr>
          <w:rFonts w:ascii="Times New Roman;sans-serif" w:hAnsi="Times New Roman;sans-serif"/>
          <w:b/>
          <w:i/>
          <w:color w:val="000000"/>
          <w:sz w:val="20"/>
        </w:rPr>
        <w:t>Demodex</w:t>
      </w:r>
      <w:r>
        <w:rPr>
          <w:color w:val="000000"/>
        </w:rPr>
        <w:t xml:space="preserve"> </w:t>
      </w:r>
      <w:r>
        <w:rPr>
          <w:rFonts w:ascii="Times New Roman;sans-serif" w:hAnsi="Times New Roman;sans-serif"/>
          <w:b/>
          <w:color w:val="000000"/>
          <w:sz w:val="20"/>
        </w:rPr>
        <w:t>Mites, a Root Cause of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address these limitations and high unmet need for effectively treating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we developed and are in the process of commercializing XDEMVY</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which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a novel therapeutic based on the drug lotilaner, which is designed to paralyze and eradicate mites and other parasites through the inhibition of parasite-specific GABA-Cl channels. XDEMVY met all endpoints in its clinical trials and was generally well tolerated throughout each of these trials. As a result, XDEMVY was approved by the FDA in July 2023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we began commercializing XDEMVY in August 2023. </w:t>
      </w:r>
    </w:p>
    <w:p>
      <w:pPr>
        <w:pStyle w:val="TextBody"/>
        <w:bidi w:val="0"/>
        <w:spacing w:lineRule="auto" w:line="288" w:before="240" w:after="283"/>
        <w:ind w:left="0" w:right="0" w:firstLine="250"/>
        <w:jc w:val="left"/>
        <w:rPr>
          <w:rFonts w:ascii="Times New Roman;sans-serif" w:hAnsi="Times New Roman;sans-serif"/>
          <w:b/>
          <w:color w:val="000000"/>
          <w:sz w:val="20"/>
        </w:rPr>
      </w:pPr>
      <w:r>
        <w:rPr>
          <w:rFonts w:ascii="Times New Roman;sans-serif" w:hAnsi="Times New Roman;sans-serif"/>
          <w:b/>
          <w:color w:val="000000"/>
          <w:sz w:val="20"/>
        </w:rPr>
        <w:t>XDEMVY Eye Drops – Mechanism of Action</w:t>
      </w:r>
    </w:p>
    <w:tbl>
      <w:tblPr>
        <w:tblW w:w="10205" w:type="dxa"/>
        <w:jc w:val="left"/>
        <w:tblInd w:w="0" w:type="dxa"/>
        <w:tblLayout w:type="fixed"/>
        <w:tblCellMar>
          <w:top w:w="28" w:type="dxa"/>
          <w:left w:w="28" w:type="dxa"/>
          <w:bottom w:w="28" w:type="dxa"/>
          <w:right w:w="28" w:type="dxa"/>
        </w:tblCellMar>
      </w:tblPr>
      <w:tblGrid>
        <w:gridCol w:w="3445"/>
        <w:gridCol w:w="3028"/>
        <w:gridCol w:w="3032"/>
        <w:gridCol w:w="109"/>
        <w:gridCol w:w="109"/>
        <w:gridCol w:w="109"/>
        <w:gridCol w:w="109"/>
        <w:gridCol w:w="109"/>
        <w:gridCol w:w="155"/>
      </w:tblGrid>
      <w:tr>
        <w:trPr/>
        <w:tc>
          <w:tcPr>
            <w:tcW w:w="3445"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990"/>
              <w:jc w:val="left"/>
              <w:rPr/>
            </w:pPr>
            <w:r>
              <w:rPr>
                <w:rFonts w:ascii="Times New Roman;sans-serif" w:hAnsi="Times New Roman;sans-serif"/>
                <w:b w:val="false"/>
                <w:color w:val="000000"/>
                <w:sz w:val="20"/>
              </w:rPr>
              <w:t xml:space="preserve">The active ingredient in XDEMVY is lotilaner, a member of a class of anti-parasitic molecules called isoxazolines. It is a potent non-competitive antagonist of insect and arachnid GABA-Cl channels. Lotilaner is designed to eradicate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by selectively inhibiting GABA-Cl channels, causing mite paralysis and eventual death. It has demonstrated no binding to human GABA-Cl and other ion channels (e.g. hERG) and thus likely has no impact on the human nervous system. Lotilaner is a lipophilic molecule, which may promote its uptake in the oily sebum of the hair follicle, where the mites reside. In clinical trials, XDEMVY was topically applied to the eye BID to better ensure delivery of the drug to the eyelid margin. Following mite eradication, collarettes eventually clear from the eyelid since they are composed of mite-related waste.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figures illustrate the intended paralysis of mites in the hair follicle by XDEMVY administration:</w:t>
      </w:r>
    </w:p>
    <w:p>
      <w:pPr>
        <w:pStyle w:val="TextBody"/>
        <w:bidi w:val="0"/>
        <w:spacing w:lineRule="auto" w:line="288" w:before="240" w:after="283"/>
        <w:ind w:left="0" w:right="0" w:firstLine="25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Figure 5: Progression of XDEMVY Application, Mite Paralysis and Eradication</w:t>
      </w:r>
    </w:p>
    <w:p>
      <w:pPr>
        <w:pStyle w:val="TextBody"/>
        <w:bidi w:val="0"/>
        <w:spacing w:before="240" w:after="283"/>
        <w:jc w:val="center"/>
        <w:rPr/>
      </w:pPr>
      <w:r>
        <w:rPr/>
        <w:drawing>
          <wp:inline distT="0" distB="0" distL="0" distR="0">
            <wp:extent cx="6067425" cy="292417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6067425" cy="2924175"/>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Clinical Development Program</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one Phase 3 trial, one Phase 2b/3 trial, four Phase 2 trials, and one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all of which met primary, secondary and/or certain exploratory endpoints, while demonstrating XDEMVY was well tolerated. These pivotal trial results (Phase 2b/3 and Phase 3) supported the FDA approval of XDEMVY in July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also completed, and/or have ongoing clinical trials for the potential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patients with MGD including the Ersa trial involving XDEMVY, and the Rhea trial involving a XDEMVY vehicle; TP-04 for the potential treatment of Ocular Rosacea, and TP-05 for potential Lyme disease prophylaxis, among others.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Saturn-2 Trial</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May 2021, we initiated the Saturn-2 trial; a randomized, controlled, multicenter, double-masked trial studying the safety and efficacy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Saturn-2 trial was similar in design and size to the Saturn-1 trial, which met the primary and all secondary endpoints. The Saturn-2 trial's primary endpoint was the proportion of patients achieving collarette cure, defined as zero to two collarettes per lid. Secondary endpoints included the eradication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and the proportion of patients achieving a cure based on a composite of collarette cure and erythema cure (eyelid redness). 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we announced positive topline results of the Saturn-2 trial, our second XDEMVY pivotal trial. The Saturn-2 trial enrolled 412 adults having, among other things, more than ten collarettes per lid and at least mild lid erythema. All pre-specified primary and secondary endpoints were met, XDEMVY was well tolerated and improvement in lids (reduction of collarettes to no more than 2 collarettes per upper lid) was demonstrated in 55% of patients treated with XDEMVY.</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Primary Endpoint: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55% of patients on XDEMVY achieved complete collarette cure, defined as zero to two collarettes per lid at day 43, compared to 12% on vehicle (p&lt;0.0001).</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Secondary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50% of patients on XDEMVY achieved mite eradication defined as zero mites per lash at day 43, compared to 14% on vehicle (p&lt;0.0001).</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30% of patients on XDEMVY compared to 9% of patients on vehicle (p&lt;0.0001) achieved complete lid erythema cure at day 43.</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19% of patients on XDEMVY achieved a complete composite cure, based on achieving both complete collarette cure and complete lid erythema cure, compared to 4% on vehicle (p&lt;0.0001) at day 43.</w:t>
      </w:r>
    </w:p>
    <w:p>
      <w:pPr>
        <w:pStyle w:val="TextBody"/>
        <w:bidi w:val="0"/>
        <w:spacing w:lineRule="auto" w:line="288" w:before="240" w:after="283"/>
        <w:ind w:left="0" w:right="0" w:firstLine="54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Safety Profile: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Consistent with the results from the Saturn-1 trial, the Saturn-2 trial demonstrated that XDEMVY was well tolerated with a safety profile similar to the vehicle group.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91% of XDEMVY patients reported that the drop comfort was neutral to very comfortable.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There were no serious treatment-related adverse events nor any treatment-related adverse events leading to treatment discontinuation. </w:t>
      </w:r>
    </w:p>
    <w:p>
      <w:pPr>
        <w:pStyle w:val="TextBody"/>
        <w:bidi w:val="0"/>
        <w:spacing w:lineRule="auto" w:line="288" w:before="240" w:after="283"/>
        <w:ind w:left="0" w:right="0" w:hanging="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Additional Analysis: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89% of patients on XDEMVY achieved a clinically meaningful collarette reduction, defined as zero to ten collarettes per lid at day 43 compared to 33% of those on vehicle (p&lt;0.0001).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Saturn-1 Trial</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September 2020, we commenced the Saturn-1 trial; a randomized, controlled, multicenter, double-masked Phase 2b/3 trial that evaluated the safety and efficacy of XDEMVY in adults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The Saturn-1 trial enrolled 421 adult patients having more than ten collarettes on the upper lid and at least mild erythema of the upper eyelid margin.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had at least 1.5 mites per lash on the upper and lower eyelids combined. One drop of XDEMVY was self-administered twice per day in each eye for six weeks. Enrolled patients received no treatment for blepharitis symptoms (i.e. lid hygiene) during the trial or 14 days prior to enrollment. The primary endpoint was complete collarette cure (grade zero defined as - zero to two collarettes per lid) and the secondary endpoints included complete mite eradication (mite density of zero mites per lash) and composite cure (the presence of zero to two collarettes on the upper eyelid and the absence of erythema (redness).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we announced positive results of the Saturn-1 trial. The pre-specified primary and secondary endpoints were met, and improvement in lids (reduction of collarettes to no more than 2 collarettes per upper lid) was demonstrated in 44% of patients treated with XDEMVY.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44% of patients on XDEMVY achieved the primary endpoint of complete collarette reduction at day 43 compared to 7% on vehicle (p&lt;0.0001). 81% of patients achieved a significant, clinically meaningful collarette count reduction defined as zero to ten collarettes per lid at day 43 compared to 23% of those on vehicle (p&lt;0.0001). Additionally, a significant, clinically meaningful collarette reduction was seen in 23% of patients on XDEMVY compared to 11% on vehicle as early as day 8 (p=0.03).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secondary endpoint of complete mite eradication achieved statistically significant results by day 15, and 68% of patients on XDEMVY achieved mite eradication compared to 17% on vehicle (p&lt;0.0001) at day 43.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composite cure, 13.4% of patients on TP-03 achieved a complete cure based on a composite endpoint of collarette cure and erythema cure compared to 1.0% on vehicle (p&lt;0.0001) at day 43. Results for complete erythema cure (19% of patients on XDEMVY compared to 7% of patients on vehicle, p&lt;0.0001) and one grade or more erythema improvement (45% of patients on XDEMVY compared to 28% of patients on vehicle, p=0.0002) were also statistically significant. Additionally, 92% of XDEMVY patients reported that the drop comfort was neutral to very comfortable. There were no serious treatment-related adverse events nor any treatment-related adverse events leading to treatment discontinuation.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July 2021, we presented additional data from the Saturn-1 trial at the American Society of Cataract and Refractive Surgery 2021 Annual Meeting demonstrating high treatment response rates, and reinforcing the potential of XDEMVY to be the standard of care for</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95% of XDEMVY patients showed a significant improvement in mite count, achieving ≤0.5 mites per lash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93% of XDEMVY patients improved by at least one collarette grade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also announced results from an additional Saturn-1 trial safety analysis, which reinforced XDEMVY’s positive profile, revealing that XDEMVY had no clinically significant adverse effect on multiple safety measures including Corrected Distance Visual Acuity ("CDVA"), corneal staining, and intraocular pressure ("IOP"), and no significant findings from slit lamp biomicroscopy or fundus exam in the study. In addition, no impact to endothelial cell density ("ECD") was demonstrated in a subset of 21 patients. ECD was further evaluated as part of the Saturn-2 trial plan and also demonstrated no impact.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Phase 2 Clinical Trials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completed four Phase 2 clinical trials for XDEMVY, along with one additional ex vivo study, which included our Mars, Jupiter, Io, and Europa clinical trials.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The primary, secondary and/or certain exploratory endpoints were met, as applicable, in such trials, and showed statistically significant cure and eradication rates in Io and Europa. XDEMVY was generally well tolerated throughout these trials.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Additional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TP-04 Topical Formulation for the Treatment of Ocular Rosacea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Rosacea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Rosacea is a chronic skin disease characterized by facial redness, inflammatory lesions, burning and stinging, which can flare up in response to certain triggers such as sun exposure or emotional stress. Approximately 10% of people in the U.S., or nearly 30 million Americans, are affected by rosacea and a study estimates rosacea prevalence can represent up to 5.4%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the global population. . More than half of all rosacea patients present with ocular manifestations. Hallmarks of Ocular Rosacea include telangiectasias and erythema (flushing or redness). Clinical symptoms can range from bloodshot appearance, foreign body sensation, burning or stinging, light sensitivity and blurred vision. Ocular rosacea can also lead to inflammatory MGD, conjunctivitis, and decreased visual acuity caused by corneal complications.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cause of rosacea remains multifactorial but there is increasing evidence that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play a role in the disease. Studies have found a correlation between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infestation and rosacea, with a higher density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found in the skin of rosacea patients. A proposed theory suggests that the </w:t>
      </w:r>
      <w:r>
        <w:rPr>
          <w:rFonts w:ascii="Times New Roman;sans-serif" w:hAnsi="Times New Roman;sans-serif"/>
          <w:b w:val="false"/>
          <w:i/>
          <w:color w:val="000000"/>
          <w:sz w:val="20"/>
        </w:rPr>
        <w:t>Bacillus oleronius</w:t>
      </w:r>
      <w:r>
        <w:rPr>
          <w:color w:val="000000"/>
        </w:rPr>
        <w:t xml:space="preserve"> </w:t>
      </w:r>
      <w:r>
        <w:rPr>
          <w:rFonts w:ascii="Times New Roman;sans-serif" w:hAnsi="Times New Roman;sans-serif"/>
          <w:b w:val="false"/>
          <w:color w:val="000000"/>
          <w:sz w:val="20"/>
        </w:rPr>
        <w:t xml:space="preserve">bacteria has a pathogenic role, contributing to skin inflammation and the signs and symptoms of rosacea; these bacteria are also known to be sensitive to the antibiotics typically prescribed to treat rosacea. Meanwhile,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have been shown to carry </w:t>
      </w:r>
      <w:r>
        <w:rPr>
          <w:rFonts w:ascii="Times New Roman;sans-serif" w:hAnsi="Times New Roman;sans-serif"/>
          <w:b w:val="false"/>
          <w:i/>
          <w:color w:val="000000"/>
          <w:sz w:val="20"/>
        </w:rPr>
        <w:t>Bacillus oleronius</w:t>
      </w:r>
      <w:r>
        <w:rPr>
          <w:color w:val="000000"/>
        </w:rPr>
        <w:t xml:space="preserve"> </w:t>
      </w:r>
      <w:r>
        <w:rPr>
          <w:rFonts w:ascii="Times New Roman;sans-serif" w:hAnsi="Times New Roman;sans-serif"/>
          <w:b w:val="false"/>
          <w:color w:val="000000"/>
          <w:sz w:val="20"/>
        </w:rPr>
        <w:t xml:space="preserve">in their digestive tracts, suggesting that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may contribute to rosacea by being a transporter for the bacteria that causes the disease. Furthering that point, there is evidence to suggest that </w:t>
      </w:r>
      <w:r>
        <w:rPr>
          <w:rFonts w:ascii="Times New Roman;sans-serif" w:hAnsi="Times New Roman;sans-serif"/>
          <w:b w:val="false"/>
          <w:i/>
          <w:color w:val="000000"/>
          <w:sz w:val="20"/>
        </w:rPr>
        <w:t>Bacillus oleronius</w:t>
      </w:r>
      <w:r>
        <w:rPr>
          <w:color w:val="000000"/>
        </w:rPr>
        <w:t xml:space="preserve"> </w:t>
      </w:r>
      <w:r>
        <w:rPr>
          <w:rFonts w:ascii="Times New Roman;sans-serif" w:hAnsi="Times New Roman;sans-serif"/>
          <w:b w:val="false"/>
          <w:color w:val="000000"/>
          <w:sz w:val="20"/>
        </w:rPr>
        <w:t xml:space="preserve">forms a symbiotic relationship with </w:t>
      </w:r>
      <w:r>
        <w:rPr>
          <w:rFonts w:ascii="Times New Roman;sans-serif" w:hAnsi="Times New Roman;sans-serif"/>
          <w:b w:val="false"/>
          <w:i/>
          <w:color w:val="000000"/>
          <w:sz w:val="20"/>
        </w:rPr>
        <w:t>Demodex</w:t>
      </w:r>
      <w:r>
        <w:rPr>
          <w:rFonts w:ascii="Times New Roman;sans-serif" w:hAnsi="Times New Roman;sans-serif"/>
          <w:b w:val="false"/>
          <w:color w:val="000000"/>
          <w:sz w:val="20"/>
        </w:rPr>
        <w:t>, and that both species must be present in order to cause the signs and symptoms of rosacea. Other bacteria such as S</w:t>
      </w:r>
      <w:r>
        <w:rPr>
          <w:rFonts w:ascii="Times New Roman;sans-serif" w:hAnsi="Times New Roman;sans-serif"/>
          <w:b w:val="false"/>
          <w:i/>
          <w:color w:val="000000"/>
          <w:sz w:val="20"/>
        </w:rPr>
        <w:t>taphylococcus epidermidis</w:t>
      </w:r>
      <w:r>
        <w:rPr>
          <w:rFonts w:ascii="Times New Roman;sans-serif" w:hAnsi="Times New Roman;sans-serif"/>
          <w:b w:val="false"/>
          <w:color w:val="000000"/>
          <w:sz w:val="20"/>
        </w:rPr>
        <w:t xml:space="preserve">, also potentially carried by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mites, may play a role in the disease as well.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Our Approach: TP-04 Topical Formulation for Ocular Rosacea</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There are no FDA-approved therapeutics for Ocular Rosacea available today. Treatment options include topical anti-inflammatories including steroids for acute flares, and topical and/or oral antibiotics (e.g. tetracyclines, azithromycin). To address this unmet need in the rosacea market, we are developing lotilaner as a topical sterile ophthalmic product, TP-04. TP-04 is designed to be active after topical administration with no systemic activity. Lotilaner’s mechanism of targeting and killing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has been established through our preclinical study and clinical trials evaluating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which is why we believe it may be effective in another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driven disease. We believe we can improve upon existing treatments with an API that is potentially more effective (longer half-life, more lipophilic, greater therapeutic window). We believe a longer half-life leads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completed the initial preclinical studies and a Phase 1 trial for TP-04 and have selected a topical ophthalmic formulation for early clinical studies. We intend to leverage systemic preclinical data from our XDEMVY program such as embryofetal development studies, genotoxicity studies and safety pharmacology studies, and augment with the dermal toxicology studies. In March 2023, we initiated the Galatea trial evaluating TP-04, a novel gel formulation of lotilaner, for the treatment of rosacea. In February 2024, we announced positive topline results from the Galatea trial, which demonstrated statistically significant improvements (p&lt;0.05) in inflammatory lesions and IGA score (change in baseline and success rate) were observed compared to vehicle at week 12. TP-04 was generally well tolerated. After review of this data with the FDA and KOLs, we decided to pursue development of TP-04 for the potential treatment of Ocular Rosacea. In January 2025, we announced plans to initiate a Phase 2 study in the second half of 2025 for the potential treatment of Ocular Rosacea.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TP-05 Oral Formulation for Prophylactic Protection against Lyme Disease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Lyme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Lyme disease is the most common vector-borne disease in the U.S., caused by infection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bacteria following a bite by a tick vector, predominantly ticks of the Ixodes genus (namely Ixodes scapularis in the U.S.). There are approximately 80 million people in the U.S. at risk of Lyme disease exposure with more than 30 million of which are moderate to high risk, according to a report commissioned by the Company. Further, there are approximately 400,000 reported cases in the U.S. each year, but it is believed that the actual number of cases could be more. We estimate a greater than $1.3 billion impact to the U.S. healthcare system as a result of Lyme disease. Lyme disease occurs most commonly in geographical areas where the Ixodes scapularis tick is prevalent, namely in the Northeast and Mid-Atlantic regions of the U.S., but also in other regions of the U.S. Lyme disease also occurs in certain parts of Europe, typically resulting from a different Ixodes species vector.</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mechanism of Lyme disease infection is well understood.</w:t>
      </w:r>
      <w:r>
        <w:rPr>
          <w:color w:val="000000"/>
        </w:rPr>
        <w:t xml:space="preserv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colonizes the salivary glands of the ticks, and the infected saliva is transmitted to the human host when a tick attaches to a person for feeding. The transfer usually occurs at the conclusion of the feeding and therefore, the probability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transmission, and thus the risk of Lyme disease, increases with the duration of the tick’s attachment.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is rarely transferred during the first or even second day of feeding but transfers quite efficiently during and after the third day of feeding (greater than 48 hours). This window from the time of bite to the time of transmission offers an opportunity for intervention to prevent Lyme disease if the tick can be killed prior to the transfer of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bacteria.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Lyme disease can be a serious condition that may affect multiple organ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 Because many people are either undiagnosed or misdiagnosed, the treatment of Lyme disease with antibiotics may be commonly delayed or absent.</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Current Lyme Disease Prophylaxis Options and Their Limitations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post-bite.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there are currently no FDA-approved small molecules or biologics for the prevention of Lyme disease. A vaccine for Lyme disease, LYMERix, was developed and launched by SmithKline Beecham in 1999. Approximately 1.5 million doses of the vaccine were sold in 1999, but the product was quickly removed from the market following negative press and a class-action litigation claiming a dangerous side effect profile. We are aware of vaccines currently under development including a multivalent recombinant protein vaccine, VLA-15, being developed by Valneva in partnership with Pfizer for Lyme disease; mRNA-based vaccine mRNA-1982/1975, being developed by Moderna and eliciting high levels of anti-OspA antibodies; and a pre-exposure prophylaxis injectable therapy being developed by MassBiologics involving a human anti-Lyme monoclonal antibody.</w:t>
      </w:r>
    </w:p>
    <w:p>
      <w:pPr>
        <w:pStyle w:val="TextBody"/>
        <w:bidi w:val="0"/>
        <w:spacing w:lineRule="auto" w:line="288" w:before="24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Our Approach: TP-05 Oral Formulation for the Prophylactic Protection against Lyme Disease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Since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is usually transferred during the second or third day following a tick bite, our approach is to eradicate the tick before it can transmit the bacteria. To do this, we are developing TP-05 as an oral tablet formulation of lotilaner. We are targeting potentially at least 30 days of prophylactic protection against Lyme disease with a simple oral regimen of TP-05. Given that lotilaner was developed specifically, in part, to eradicate ticks with systemic administration to domesticated animals such as dogs or cats, the pharmacology of lotilaner for Lyme disease prophylaxis is well understood. Similar to its mechanism against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lotilaner is a potent non-competitive antagonist of tick GABA-Cl channels. Antagonism of these channels in ticks induces paralysis and eventual death. While lotilaner results in the paralysis and eventual death of the </w:t>
      </w:r>
      <w:r>
        <w:rPr>
          <w:rFonts w:ascii="Times New Roman;sans-serif" w:hAnsi="Times New Roman;sans-serif"/>
          <w:b w:val="false"/>
          <w:i/>
          <w:color w:val="000000"/>
          <w:sz w:val="20"/>
        </w:rPr>
        <w:t>I. scapularis</w:t>
      </w:r>
      <w:r>
        <w:rPr>
          <w:color w:val="000000"/>
        </w:rPr>
        <w:t xml:space="preserve"> </w:t>
      </w:r>
      <w:r>
        <w:rPr>
          <w:rFonts w:ascii="Times New Roman;sans-serif" w:hAnsi="Times New Roman;sans-serif"/>
          <w:b w:val="false"/>
          <w:color w:val="000000"/>
          <w:sz w:val="20"/>
        </w:rPr>
        <w:t xml:space="preserve">vector, it does also result in the death of </w:t>
      </w:r>
      <w:r>
        <w:rPr>
          <w:rFonts w:ascii="Times New Roman;sans-serif" w:hAnsi="Times New Roman;sans-serif"/>
          <w:b w:val="false"/>
          <w:i/>
          <w:color w:val="000000"/>
          <w:sz w:val="20"/>
        </w:rPr>
        <w:t>Borrelia burgdorferi</w:t>
      </w:r>
      <w:r>
        <w:rPr>
          <w:rFonts w:ascii="Times New Roman;sans-serif" w:hAnsi="Times New Roman;sans-serif"/>
          <w:b w:val="false"/>
          <w:color w:val="000000"/>
          <w:sz w:val="20"/>
        </w:rPr>
        <w:t>, a non-free-living bacterium whose entire survival is conditional upon its living host. The high selectivity for insect and arachnid GABA-Cl channels over human channels where there has been no demonstrated binding, is a highly advantageous part of the profile of the molecule. Extensive preclinical systemic toxicology and safety pharmacology studies have been performed by third parties to date and support advancing TP-05 into clinical development. Lotilaner has a long, approximately 30-day systemic half-life in dogs, which we believe could provide for a convenient oral tablet administration.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announced positive topline results from the Phase 1 Callisto trial for TP-05, a novel, oral, non-vaccine therapeutic for the potential prevention of Lyme disease. The Callisto trial was a randomized, double-blind, single and multiple-ascending dose trial that evaluated the safety, tolerability, and pharmacokinetic ("PK") of TP-05 in healthy subjects. Results from the trial showed that TP-05 was well tolerated with no dose-related or drug-related serious adverse events. PK data from the trial demonstrated rapid absorption and an extended half-life of TP-05 that potentially supports a convenient oral regiment supporting its potential as a rapid onset, prophylactic therapy for Lyme disease. Additionally, exploratory ex-vivo tick kill modeling that utilized serum from TP-05 treated subjects demonstrated potent, rapid killing of adult and nymph ticks. In December 2022, we also announced the initiation of the Phase 2a Carpo trial, evaluating TP-05 for the potential prevention of Lyme disease in humans. The Carpo trial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we met with the FDA about our Lyme disease program. The FDA agreed to our proposed approach for a Phase 2b clinical trial, which plans to include several hundred subjects. Additionally, the FDA confirmed that a Phase 3 clinical study would require a disease prevention field study that would likely require the enrollment of thousands of patients. We continue to believe that the best approach to get this potential prophylactic therapy to patients is to partner this program either prior to the initiation of the Phase 2b study or after the completion of the study.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designed to target ticks, and potentially prevent Lyme disease transmission. It is designed to rapidly and durably provide systemic blood levels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lotilaner potentially sufficient to kill infected ticks attached to the human body before they can transmit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that causes Lyme disease.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Chemistry, Manufacturing and Controls ("CMC")</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own or operate and currently have no plans to establish facilities for manufacturing, storing, distributing or testing our product or product candidates. We rely and expect to continue to rely for the foreseeable future on contract manufacturing organizations ("CMOs") to manufacture and supply our preclinical and clinical materials to be used during the development of our product candidates. We have assembled a team of employees and consultants to oversee our technical quality and CMOs.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lead product, XDEMVY, is a presentation of lotilaner, the API, formulated into a topical eye drop formulation. We believe that the existing capacity of our current API supplier is sufficient to support commercial scale-up, validation and commercial launch activities. Our current supplier currently manufactures current good manufacturing practice ("cGMP") lotilaner at multiple geographically distinct facilities.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relied on a single supplier for both non-clinical and clinical supply for lotilaner under cGMP protocols and a single CMO to manufacture XDEMVY and to perform analytical testing services, we have identified and are in the process of qualifying an additional manufacturer to provide lotilaner and drug product manufacturing and analytical testing services. The drug product manufacturing is a compounding and aseptic filling operation that we believe could be transferred to additional CMOs as necessary. We have suppliers for TP-04 topical formulation for Ocular Rosacea and TP-05 oral formulation for our Phase 1/2 trials.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third-party service providers, our third-party supply chain providers, their facilities and XDEMVY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XDEMVY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commercial supplies of XDEMVY, clinical supplies of TP-03 or our other product candidates. Contract manufacturers at times encounter difficulties involving production yields, quality control and quality assurance, as well as shortages of qualified personnel.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products or product candidates that we successfully develop and commercialize will compete with existing approaches and new therapies that may become available in the future. We believe that the key competitive factors affecting the success of any of our products or product candidates will include efficacy, combinability, safety profile, convenience, cost, level of promotional activity devoted to them and intellectual property protection.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Other than XDEMVY, there are currently no other on-label prescription pharmaceutical treatments available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specifically, in the U.S. Other than XDEMVY, current treatments for blepharitis in the U.S. include over the counter and off-label remedies such as tea tree oil, lid wipes and artificial tears. We are aware of other companies developing potential prescription therapies for blepharitis, including Azura Ophthalmics, Aperta Biosciences, LLC, Formosa Pharmaceuticals, Inc., Glaukos Corp., Hovione Scientia, Nicox, Premark Pharma, Quorum Innovations, and Viatris. To our knowledge, Azura Ophthalmics, Aperta Biosciences, LLC, Atticus Medical, and Glaukos Corp. are the only companies currently focused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are in pre-clinical stage for the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indication (Aperta, Atticus, and Glaukos have publicly disclosed plans to initiate Phase 2 trials in 2025), and Premark Pharma, Azura Ophthalmics, Nicox, and Viatris are the only companies with blepharitis programs that have completed Phase 2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launched XDEMVY in the U.S. in August 2023. In 2024, XDEMVY generated $180.1 million of net product sales driven by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than 163,000 bottles have been dispensed to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than 15,000 ECPs have prescribed XDEMVY;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Broad commercial, Medicare, and Medicaid reimbursement has extended to more than 90% of covered lives, as of February 25, 2025;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Gross to net discounts of approximately 45%.</w:t>
      </w:r>
    </w:p>
    <w:p>
      <w:pPr>
        <w:pStyle w:val="TextBody"/>
        <w:bidi w:val="0"/>
        <w:spacing w:before="0" w:after="0"/>
        <w:ind w:left="0" w:right="0" w:firstLine="1131"/>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There are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we are initially targeting the approximately 9 million people who are proactively seeking treatment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or seeking treatment for complementary eye conditions or treatments.</w:t>
      </w:r>
    </w:p>
    <w:p>
      <w:pPr>
        <w:pStyle w:val="TextBody"/>
        <w:bidi w:val="0"/>
        <w:spacing w:before="0" w:after="0"/>
        <w:ind w:left="0" w:right="0" w:firstLine="990"/>
        <w:jc w:val="left"/>
        <w:rPr/>
      </w:pPr>
      <w:r>
        <w:rPr/>
      </w:r>
    </w:p>
    <w:p>
      <w:pPr>
        <w:pStyle w:val="TextBody"/>
        <w:bidi w:val="0"/>
        <w:spacing w:before="0" w:after="0"/>
        <w:jc w:val="center"/>
        <w:rPr/>
      </w:pPr>
      <w:r>
        <w:rPr/>
        <w:drawing>
          <wp:inline distT="0" distB="0" distL="0" distR="0">
            <wp:extent cx="6515100" cy="365760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observed increased adoption and utilization in the additional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patient segments noted above, which was further validated by our latest market research detailing that even at this early stage in the launch, approximately 40% of ECPs surveyed are already prescribing XDEMVY across each of these additional patient segments. And over 90% of the ECPs indicated they plan to increase utilization across these segments.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Outside the U.S., we intend to further develop commercialization strategies for TP-03, which may include collaborations with other companies. In March 2021, we entered into the China Out-License with LianBio Ophthalmology Limited ("LianBio"), granting exclusive commercial rights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MGD within the China Territory. In March 2024, we executed an agreement with GrandPharma and LianBio to transition these rights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GrandPharma. The terms of this agreement are further described below in the section "</w:t>
      </w:r>
      <w:r>
        <w:rPr>
          <w:rFonts w:ascii="Times New Roman;sans-serif" w:hAnsi="Times New Roman;sans-serif"/>
          <w:b w:val="false"/>
          <w:i/>
          <w:color w:val="000000"/>
          <w:sz w:val="20"/>
        </w:rPr>
        <w:t>License Agreements: GrandPharma Agreement</w:t>
      </w:r>
      <w:r>
        <w:rPr>
          <w:rFonts w:ascii="Times New Roman;sans-serif" w:hAnsi="Times New Roman;sans-serif"/>
          <w:b w:val="false"/>
          <w:color w:val="000000"/>
          <w:sz w:val="20"/>
        </w:rPr>
        <w:t xml:space="preserve">." We are also exploring development and commercialization opportunities in other markets, including Europe and Japan.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XDEMVY, TP-03, TP-04, TP-05 or future pipeline product candidates and alternative technologies. Some of our issued patents and patent applications are exclusively licensed to us in therapeutic fields of use from Elanco. </w:t>
      </w:r>
    </w:p>
    <w:p>
      <w:pPr>
        <w:pStyle w:val="TextBody"/>
        <w:bidi w:val="0"/>
        <w:spacing w:lineRule="auto" w:line="25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material licensed-in portfolio includes approximately 38 issued patents and approximately 17 pending patent applications from Elanco. These patents and patent applications relate to lotilaner and are issued or pending in, for example, the U.S., Argentina, Australia, Brazil, Canada, Chile, China, Columbia, several European territories, India, Japan, South Korea, Mexico, New Zealand, the Russian Federation, South Africa and Taiwan. The issued patents include composition of matter claims. The estimated natural expiration dates of the issued material in-licensed patents is approximately 2029 or 2030 with a potential extension until 2032.</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Approximately 76 of our owned material patents and pending patent applications include treatment and composition of matter claims which relate to XDEMVY or TP-03 with respect to our lead indication (e.g., isoxazoline parasiticides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well as other conditions. These pending material patent applications include applications in the U.S., Australia, Brazil, Canada, China, several European territories, Hong Kong, Israel, India, Japan, South Korea, Mexico, New Zealand, the Russian Federation, and South Africa. We have a total of 38 material XDEMVY or TP-03-related issued patents worldwide. The estimated natural expiration dates of these issued patents are in 2038, and if additional patents issue on the material XDEMVY or TP-03-related pending applications of ours, the estimated natural expiration dates are between approximately 2038 and 2040.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also protect our brand through trademark rights. As of December 31, 2024, we own: i) approximately 7 trademark registrations in the U.S., ii) approximately 3 pending trademark applications in the U.S., iii) approximately 34 trademark registrations in foreign countries, and iv) approximately 50 pending trademark applications in foreign countries. In order to supplement the protection of our brand, we also own at least 6 registered internet domain names.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Cybersecurity Risk Management and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 (the "Board").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we've implemented a set of comprehensive cybersecurity and data protection policies and procedures. Our employees and contractors receive regular cybersecurity awareness trainings, including specific topics related to social engineering and email fraud. We have capable employees and consultants with significant expertise and certifications in cybersecurity related to our industry, as well as access to additional resources and other third parties as needed.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3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General Controls ("ITGCs") are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We conduct cybersecurity penetration testing annually to identify and remediate cybersecurity gaps. We also perform cybersecurity assessments of all our third-party providers who have access to our information technology systems and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License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we entered into an agreement with Elanco granting us exclusive, worldwide, sublicensable license rights to certain intellectual property for the development, marketing, and commercialization of lotilaner for the treatment, palliation, prevention or cure of any eye or skin disease or condition in humans (as amended and restated in June 2022, the "Eye and Derm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Elanco's consent, additional third parties.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Under the Eye and Derm Elanco Agreement, we have made cash payments to Elanco totaling $14.0 million for clinical milestone achievements, including: a $1.0 million upfront payment at execution in 2019, and a total of $4.0 million for three specified clinical milestone achievements in September 2020, April 2021, and March 2023, which were recorded as research and development expense in the accompanying Statements of Operations and Comprehensive Loss in the respective periods incurred. Additionally, a sales-based milestone of $5.0 million and a commercial milestone of $4.0 million were achieved and paid to Elanco during the years ended December 31, 2024 and 2023, respectively. These milestones were recorded to intangible assets and cash and cash equivalents in the accompanying Balance Sheets as of December 31, 2024 and 2023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Eye and Derm Elanco Agreement, we are obligated to make further cash payments to Elanco upon our achievement of various clinical milestones up to an aggregate maximum of $2.0 million and various sales milestones up to an aggregate maximum of $70.0 million. If we receive certain types of payments from sublicensees, we are obligated to pay Elanco a variable percentage in the mid to high single digits of such proceeds and decreasing after certain milestones are met, except for sublicense revenue.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As a result of the commercialization of XDEMVY in August 2023, we began accruing royalties payable, which were recorded to cost of sales in the accompanying Statements of Operations and Comprehensive Loss for the years ended December 31, 2024 and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 All eye-related and dermatological diligence milestones have been achieved.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31"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Eye and Derm Elanco Agreement, we granted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granted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we entered into a license agreement with Elanco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Elanco's consent, additional third parties.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Under the terms of the All Human Uses Elanco Agreement, we issued </w:t>
      </w:r>
      <w:r>
        <w:rPr>
          <w:rFonts w:ascii="Times New Roman;sans-serif" w:hAnsi="Times New Roman;sans-serif"/>
          <w:b w:val="false"/>
          <w:color w:val="000000"/>
          <w:sz w:val="20"/>
          <w:shd w:fill="FFFFFF" w:val="clear"/>
        </w:rPr>
        <w:t>222,460 shares</w:t>
      </w:r>
      <w:r>
        <w:rPr>
          <w:color w:val="000000"/>
        </w:rPr>
        <w:t xml:space="preserve"> </w:t>
      </w:r>
      <w:r>
        <w:rPr>
          <w:rFonts w:ascii="Times New Roman;sans-serif" w:hAnsi="Times New Roman;sans-serif"/>
          <w:b w:val="false"/>
          <w:color w:val="000000"/>
          <w:sz w:val="20"/>
        </w:rPr>
        <w:t xml:space="preserve">of our common stock to Elanco at the execution of the agreement in September 2020, with an estimated fair value of $3.1 million.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In March 2021, we issued 187,500 shares of our common stock to Elanco, with an estimated fair value of $5.5 million, to maintain the All Human Uses Elanco Agreement.</w:t>
      </w:r>
      <w:r>
        <w:rPr>
          <w:color w:val="000000"/>
        </w:rPr>
        <w:t xml:space="preserve"> </w:t>
      </w:r>
      <w:r>
        <w:rPr>
          <w:rFonts w:ascii="Times New Roman;sans-serif" w:hAnsi="Times New Roman;sans-serif"/>
          <w:b w:val="false"/>
          <w:color w:val="000000"/>
          <w:sz w:val="20"/>
        </w:rPr>
        <w:t xml:space="preserve">In December 2022, we achieved a clinical milestone of $0.5 million related to the initiation of our Phase 2a Carpo trial for the potential treatment of Lyme disease.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All Human Uses Elanco Agreement, we have made cash payments to Elanco totaling $0.5 million for clinical milestone achievements. We are required to make additional cash payments to Elanco upon the achievement of various clinical milestones for an aggregate maximum of $4.0 million and various commercial and sales threshold milestones for an aggregate maximum of $77.0 million. In addition, we are obligated to pay contractual royalties to Elanco for sales in certain countries. If we receive payments from sublicensees, we are obligated to pay Elanco a variable percentage beginning in the low to mid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or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3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30-day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All Human Uses Elanco Agreement, we granted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and other non-human-use applications,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and other non-human applications.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GrandPharma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we entered into the China Out-License with LianBio (the "China Out-License") for its exclusive development and commercialization rights of TP-03 (lotilaner ophthalmic solution) 0.25% in The People's Republic of China, Macau, Hong Kong, and Taiwan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In March 2024, the Company executed an agreement assigning the China Out-License from LianBio to GrandPharma (the "Novation Agreement") and LianBio made a one-time payment of $2.5 million (the "Termination Payment") to the Company in April 2024. The Termination Payment was recorded as license fees and collaboration revenue in the accompanying Statement of Operations and Comprehensive Loss for the twelve months ended December 31, 2024. The Novation Agreement amended the $15.0 million future development milestone payable on China regulatory approval of the China Out-License with a combined condition of patent issuance related to TP-03 in China.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the Company entered into a warrant termination agreement (the "Warrant Termination Agreement) for a total cancellation payment received by us of $0.4 million (the "Warrant Cancellation Payment"). This Warrant Cancellation Payment was recorded as license fees and collaboration revenue in the accompanying Statement of Operations and Comprehensive Loss for the twelve months ended December 31, 2024 and cash and cash equivalents in the accompanying Balance Sheet as of December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December 31, 2024, we received aggregate payments from LianBio totaling $86.1 million comprised of: (i) initial consideration of $15.0 million; (ii) $67.5 million for the achievement of specified milestone events;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will be eligible to receive further consideration from GrandPharma upon the achievement of additional TP-03 events, including: (i) additional regulatory and/or patent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33"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U.S. and other countries, as appropriate, along with subsequent compliance with appropriate federal, state, local and foreign statutes and regulations, require the expenditure of substantial time and resources.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 Drug Regulation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U.S.,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pStyle w:val="TextBody"/>
        <w:bidi w:val="0"/>
        <w:spacing w:lineRule="auto" w:line="288" w:before="24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are considered small molecule drugs and must be approved by the FDA through the NDA process before they may be legally marketed in the U.S. The process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completion of extensive preclinical studies in accordance with applicable regulations, including studies conducted in accordance with good laboratory practice ("GLP") requirements;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submission to the FDA of an IND, which must become effective before human clinical trials may begin in the U.S.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approval by an independent IRB or independent ethics committee at each clinical trial site before each trial may be initiated;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of adequate and well-controlled human clinical trials in accordance with applicable IND regulations, good clinical practices ("GCP"), requirements and other clinical trial-related regulations to establish substantial evidence of the safety and efficacy of the investigational product for each proposed indication;</w:t>
            </w:r>
          </w:p>
        </w:tc>
      </w:tr>
    </w:tbl>
    <w:tbl>
      <w:tblPr>
        <w:tblW w:w="395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65"/>
        <w:gridCol w:w="865"/>
        <w:gridCol w:w="1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submission to the FDA of an NDA;</w:t>
            </w:r>
          </w:p>
        </w:tc>
      </w:tr>
    </w:tbl>
    <w:tbl>
      <w:tblPr>
        <w:tblW w:w="954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03"/>
        <w:gridCol w:w="2503"/>
        <w:gridCol w:w="35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determination by the FDA within 60 days of its receipt of an NDA to accept the submission for review;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satisfactory completion of an FDA pre-approval inspection of the manufacturing facility or facilities where the drug will be produced to assess compliance with cGMP requirements, and of selected clinical investigational sites to assess compliance with GCP;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potential FDA audit of the preclinical study and/or clinical trial sites that generated the data in support of the NDA filing;</w:t>
            </w:r>
          </w:p>
        </w:tc>
      </w:tr>
    </w:tbl>
    <w:tbl>
      <w:tblPr>
        <w:tblW w:w="848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191"/>
        <w:gridCol w:w="2191"/>
        <w:gridCol w:w="31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user fees for FDA review of the NDA as well as annual fees after NDA approval;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 review and approval of the NDA, including consideration of the views of any FDA advisory committee, prior to any commercial marketing or sale of the drug in the U.S.;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any post-approval requirements, including the potential requirement to implement a Risk Evaluation and Migration Strategy ("REMS") and the potential requirement to conduct post-approval studies.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3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Preclinical Studies and IND Submission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Trials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sponsor who wishes to conduct a clinical trial outside of the U.S.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in the U.S. generally are conducted in three sequential phases, known as Phase 1, Phase 2 and Phase 3. Although the phases are usually conducted sequentially, they may overlap or be combined.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35"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Phase 2b/3 clinical trial has elements of a late Phase 2 trial and a Phase 3 trial. We have designated the Saturn-1 trial as a Phase 2b/3 trial as it is both our first multi-center trial based in the U.S., and also a pivotal trial for the U.S.</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Phase 1, Phase 2 and Phase 3 clinical trials may not be completed successfully within any specified period, if at all. The FDA or the sponsor may suspend or terminate a clinical trial at any time on various grounds,</w:t>
      </w:r>
      <w:r>
        <w:rPr>
          <w:color w:val="000000"/>
        </w:rPr>
        <w:t xml:space="preserve"> </w:t>
      </w:r>
      <w:r>
        <w:rPr>
          <w:rFonts w:ascii="Times New Roman;sans-serif" w:hAnsi="Times New Roman;sans-serif"/>
          <w:b w:val="false"/>
          <w:color w:val="000000"/>
          <w:sz w:val="20"/>
        </w:rPr>
        <w:t>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Equivalent, and similarly detailed, obligations will apply to the conduct of clinical trials in third countries including the European Union (“EU”).</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NDA Review and Marketing Approval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Prescription Drug User Fee Act (the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conducts a preliminary review of all submitted NDAs before it accepts them for filing to determine if they are sufficiently complete to permit a substantive review, and the FDA may request additional information rather than accepting the NDA for filing. In this event, the application must be resubmitted with the additional information. The resubmitted application is also subject to review before the FDA accepts it for filing. The FDA must make a decision on accepting an NDA for filing within 60 days of receipt. Once the submission is accepted for filing, the FDA begins an in-depth review of the NDA to determine, among other things, whether the drug is safe and effective and whether the facility in which 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 manufactured, processed, packaged or held meets standards designed to assure the product’s continued safety, quality and purity.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PDUFA, the FDA has agreed to certain performance goals in the review of NDAs through a two-tiered classification system, (i) standard review; and (ii)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may also audit data from clinical trials to ensure compliance with GCP requirements.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Post-Approval Requirements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physicians may prescribe legally available drugs for off-label uses, manufacturers may not market or promote such uses. Prescription drug promotional materials must be submitted to the FDA in conjunction with their first use or first publication.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also place other conditions on approvals including the requirement for a Risk Evaluation and Mitigation Strategy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on the marketing or manufacturing of the product, suspension of the approval, complete withdrawal of the product from the market, or product recalls;</w:t>
            </w:r>
          </w:p>
        </w:tc>
      </w:tr>
    </w:tbl>
    <w:tbl>
      <w:tblPr>
        <w:tblW w:w="617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513"/>
        <w:gridCol w:w="1513"/>
        <w:gridCol w:w="21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fines, warning letters, or holds on post-approval clinical trials;</w:t>
            </w:r>
          </w:p>
        </w:tc>
      </w:tr>
    </w:tbl>
    <w:tbl>
      <w:tblPr>
        <w:tblW w:w="87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258"/>
        <w:gridCol w:w="2258"/>
        <w:gridCol w:w="3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refusal of the FDA to approve pending applications or supplements to approved applications;</w:t>
            </w:r>
          </w:p>
        </w:tc>
      </w:tr>
    </w:tbl>
    <w:tbl>
      <w:tblPr>
        <w:tblW w:w="495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57"/>
        <w:gridCol w:w="1157"/>
        <w:gridCol w:w="1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suspension or revocation of product approvals;</w:t>
            </w:r>
          </w:p>
        </w:tc>
      </w:tr>
    </w:tbl>
    <w:tbl>
      <w:tblPr>
        <w:tblW w:w="79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028"/>
        <w:gridCol w:w="2028"/>
        <w:gridCol w:w="2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seizure or detention, or refusal to permit the import or export of products; or</w:t>
            </w:r>
          </w:p>
        </w:tc>
      </w:tr>
    </w:tbl>
    <w:tbl>
      <w:tblPr>
        <w:tblW w:w="590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434"/>
        <w:gridCol w:w="1434"/>
        <w:gridCol w:w="2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injunctions or the imposition of civil or criminal penalties.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Regulatory Matters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 companies are subject to additional healthcare regulation and enforcement by the federal government and by authorities in the states and foreign jurisdictions in which they conduct their business. For example, in the U.S.,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(“AKS”) which prohibits, among other things, knowingly and willfully offering, paying, soliciting or receiving remuneration (i.e., anything of value), directly or indirectly, in cash or in kind, to induce or in return either for the referral of an individual for, or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one hand and prescribers, purchasers, and formulary managers on the other. Although there are a number of statutory exceptions and regulatory safe harbors protecting certain common business arrangements and activities from prosecution or regulatory sanctions, the exceptions and safe harbors are drawn narrowly and practices that involve remuneration intended to induce prescribing, purchasing or recommending may be subject to scrutiny if they do not fit squarely within an exception or safe harbor. Our practices may not in all cases meet all of the criteria for safe harbor protection from AKS liability. Moreover, there are no safe harbors for many common practices, such as educational and research grants, charitable donations, product support and patient assistance programs. The regulatory safe harbors also are subject to regulatory revision and interpretation by a number of government agencies. Liability under the AKS may be established without proving actual knowledge of the statute or specific intent to violate it. In addition, the government may assert that a claim including items or services resulting from a violation of the AKS constitutes a false or fraudulent claim for purposes of the federal civil False Claims Act (discussed below). Violations of the AKS are punishable by imprisonment, criminal fines, damages, civil monetary penalties, and exclusion from participation in federal healthcare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2"/>
        <w:gridCol w:w="2692"/>
        <w:gridCol w:w="3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civil False Claims Act (“FCA”) which prohibits any person from, among other things,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Attorney General or as a qui tam action by a private individual in the name of the government. Such private individuals may share in amounts paid by the entity to the government in recovery or settlement.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FCA liability is potentially significant in the healthcare industry because the statute provides for treble damages and significant mandatory penalties per false or fraudulent claim or statement for violations, as well as exclusion from participation in federal healthcare programs. Pharmaceutical and other healthcare companies also are subject to other federal false claims laws, including, among others, federal criminal healthcare fraud and false statement statutes that extend to non-government health benefit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Health Insurance Portability and Accountability Act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HIPAA and its implementing regulations, also imposes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federal consumer protection and unfair competition laws, which broadly regulate marketplace activities and activities that potentially harm consumers;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FDCA, which prohibits, among other things, the adulteration or misbranding of drugs, biologics and medical devices, including off-label or pre-approval promotion;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5"/>
        <w:gridCol w:w="2695"/>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analogous state and foreign laws and regulations, such as state anti-kickback and false claims laws which may apply to sales or marketing arrangements and claims involving healthcare items or services reimbursed by non- governmental third-party payers,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state and local laws that require the licensure and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tc>
      </w:tr>
    </w:tbl>
    <w:p>
      <w:pPr>
        <w:pStyle w:val="TextBody"/>
        <w:bidi w:val="0"/>
        <w:spacing w:lineRule="auto" w:line="288" w:before="240" w:after="283"/>
        <w:ind w:left="0" w:right="0" w:firstLine="990"/>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California has enacted the California Consumer Privacy Act ("CCPA"), as amended by the California Privacy Rights Act ("CPRA"). The CCPA created new transparency requirements, granted California consumers (as that word is broadly defined in the law) several new rights with regard their personal information,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In addition, the CPRA introduced significant amendments to the CCPA and established and funded a dedicated California privacy regulator, the California Privacy Protection Agency (“CPPA”).</w:t>
      </w:r>
      <w:r>
        <w:rPr>
          <w:color w:val="000000"/>
        </w:rPr>
        <w:t xml:space="preserve"> </w:t>
      </w:r>
      <w:r>
        <w:rPr>
          <w:rFonts w:ascii="Times New Roman;sans-serif" w:hAnsi="Times New Roman;sans-serif"/>
          <w:b w:val="false"/>
          <w:color w:val="000000"/>
          <w:sz w:val="20"/>
        </w:rPr>
        <w:t>The amendments introduced by the CPRA went into effect on January 1, 2023, and implementing regulations continue to be introduced by the CPPA.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Failure to comply with the CCPA and other state law may result in, among other things, significant civil penalties and injunctive relief, or potential statutory or actual damages. These laws could impact our business activities depending on how they are interpreted and exemplify the vulnerability of our business to not only cyber threats but also the evolving regulatory environment related to personal data and protected health information. We have implemented processes to manage compliance with the CCPA and other state laws and we continue to assess their impact on our business as additional information and guidance becomes available.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 Patent-Term Restoration and Marketing Exclusivity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FDA approval of any future product candidates, some of our U.S. patents may be eligible for limited patent term extension under the Drug Price Competition and Patent Term Restoration Act of 1984, also known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Drug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U.S.,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27 member states of the EU (the "EU Member States") have transposed and applied the provisions of the Directive differently. This has led to significant variations in the member state regimes. Under the regime of the Clinical Trials Directive, before a clinical trial can be initiated it must be approved in each of the EU countries where the trial is to be conducted by two distinct bodies: the National Competent Authority ("NCA"), and one or more ethics committees. Under the regime of the Clinical Trials Directive all suspected unexpected serious adverse reactions to the investigated drug that occur during the clinical trial have to be reported to the NCA and ECs of the Member State where they occurred.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order to streamline the regulation of clinical trials across the EU, the EU legislator has adopted Regulation (EU) No 536/2014 (the "EU Clinical Trials Regulation"). The new EU Clinical Trials Regulation, which has repealed and replaced the EU Clinical Trials Directive, introduced a complete overhaul of the former regulation of clinical trials for medicinal products in the EU.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The EU Clinical Trials Regulation is applicable as of January 31, 2022 and is applicable directly in all countries of the European Economic Area ("EEA") (which is comprised of 27 Member States of the EU plus Norway, Iceland and Liechtenstein). Clinical trials that were authorized under the Clinical Trials Directive before January 31, 2023 can continue to be conducted under the Clinical Trials Directive until January 31, 2025.</w:t>
      </w:r>
      <w:r>
        <w:rPr>
          <w:color w:val="000000"/>
        </w:rPr>
        <w:t xml:space="preserve"> </w:t>
      </w:r>
      <w:r>
        <w:rPr>
          <w:rFonts w:ascii="Times New Roman;sans-serif" w:hAnsi="Times New Roman;sans-serif"/>
          <w:b w:val="false"/>
          <w:color w:val="000000"/>
          <w:sz w:val="20"/>
        </w:rPr>
        <w:t xml:space="preserve">An application to transition ongoing trials from the current Clinical Trials Directive to the new EU Clinical Trials Regulation will need to be submitted and authorized in time before the end of the transitional period. From January 31, 2023 onwards, the application for new clinical trials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done in accordance with the new EU Clinical Trials Regulation. The EU Clinical Trials Regulation is intended to simplify and streamline the approval of clinical trials in the EEA.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European Union Drug Review and Approval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Marketing Authorization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EEA, medicinal products can only be commercialized after obtaining a Marketing Authorization ("MA"). There are a number of types of marketing authorizations.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Community MA is adopted by the European Commission in the form of a decision through the Centralized Procedure (the "Centralized Procedure"). The decision, which is based on the opinion of the Committee for Medicinal Products for Human Use ("CHMP") of the European Medicine Agency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8"/>
        <w:gridCol w:w="2698"/>
        <w:gridCol w:w="38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MAs based on the Mutual Recognition Procedure or the Decentralized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Reference Member State, the product is subsequently granted a national MA in all the Member States (i.e., in the Reference Member State and the Concerned Member States).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Regulatory data protection and market exclusivity in the EU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new medicinal products are granted a protection period of 8 years of data exclusivity and an additional 2 years of market exclusivity. As such, for a period of 8 years, generics cannot use the data of the innovator to obtain a marketing authorization. Only after 8 years have lapsed, other parties that apply for a marketing authorization (generics or biosimilars) may make reference to the dossier of the originator product. Only after another 2 years (i.e. a total of 10 years) may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generic or biosimilar medicinal product be placed on the market. In April 2023, the European Commission published a proposal to reform this system. In this proposal, the current standard period of regulatory data protection will be reduced from eight years to six years. The legislative process for this reform is expected to take several years. It is currently uncertain if the proposal will be adopted in its current form and it is uncertain if and when the revised legislation would enter into force.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Coverage and Reimbursement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products will depend, in part, on the extent to which our products will be covered by third-party payers, such as government health programs, commercial insurance, and managed healthcare organizations. In the U.S., for example, principal decisions about reimbursement for new products are typically made by CMS, the agency that administers the Medicare program through regional contractors, state Medicaid programs, third-party payers, and insurance plans. These entities decide whether and to what extent a new product will be covered and reimbursed based on clinical needs and economic impact. To date, no uniform policy of coverage and reimbursement for drug products exists. Accordingly, decisions regarding the extent of coverage and amount of reimbursement to be provided for any of our products will be made on a payer-by-payer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payers are requiring that drug companies provide them with discounts usually in the form of rebates from list prices and are challenging the prices charged for medical products. Further, such payers are examining the medical necessity and reviewing the cost effectiveness of newly launched drugs. There may be especially significant delays in obtaining coverage and reimbursement for newly approved drugs or new indications for products as several large payers have implemented new to market blocks that can last anywhere between six to twelve months. Third-party payers may limit coverage to specific product candidates on an approved list, known as a formulary, which might not include all FDA-approved drugs for a particular indication. We may need to conduct additional expensive pharmaco-economic Phase 4 real-world studies to demonstrate the medical necessity and cost effectiveness of our products. As a result, the coverage determination process is often a time-consuming and costly process that will require us to provide scientific and clinical support for the use of our products, with no assurance that coverage and adequate reimbursement will be obtained. Additionally, maintaining coverage for a product is often evaluated annually by payers and additional barriers may be placed impacting access. We are committed to partnering with payers to ensure broad access and affordability.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Pharmaceutical Pricing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the Medicaid Drug Rebate Program and Medicare Part D Coverage Gap Discounts Program ("Medicare Part D"). Participation is required for federal funds to be available for our covered outpatient drugs under Medicaid and Medicare Part B ("Medicare Part B"), and under Medicare Part D, respectively. Under the Medicaid Drug Rebate Program, we are required to pay a mandatory rebate to each state Medicaid program for our covered outpatient drugs that are dispensed to Medicaid beneficiaries and paid for by a state Medicaid program as a condition of having federal funds being made available to the states for our drugs under Medicaid.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Under the Medicare Part D Coverage Gap Discount Program, manufacturers, including us, are currently required to provide to CMS a 70% discount on brand name prescription drugs utilized by Medicare Part D beneficiaries when those beneficiaries are in the coverage gap phase of the Medicare Part D benefit design. The IRA sunsets the coverage gap discount program starting in 2025 and replaces it with a new manufacturer discount program.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(“ACA”) (addressed further in the section on “Healthcare Reform”)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is calculated using a statutory formula, which is based on the average manufacturer price and rebate amount for the covered outpatient drug as calculated under the Medicaid Drug Rebate Program.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Inflation Reduction Act ("IRA") of 2022 (addressed further in the section on “Healthcare Reform”) establishes a Medicare Part D inflation rebate schemes (the first rebate period is in fourth quarter 2022 through third quarter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the VA, U.S. Department of Defense ("DoD"), Public Health Service and U.S. Coast Guard - that is no higher than the statutory Federal Ceiling Price ("FCP"). Manufacturers also are obligated to calculate and submit to the VA on a quarterly and annual basis, their Non-Federal Average Manufacturer Price (“Non-FAMP”), which the VA uses to calculate the FCP.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Reform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and/or lower cost over the counter alternatives for branded prescription drugs. For example, the ACA substantially changed the way healthcare is financed by both the government and private insurers, and significantly impacts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ACA made several changes to the Medicaid Drug Rebate Program, including increasing pharmaceutical manufacturers’ rebate liability by raising the minimum basic Medicaid rebate. The ACA also expanded the universe of Medicaid utilization subject to drug rebates by requiring pharmaceutical manufacturers to pay rebates on Medicaid managed care utilization and by enlarging the population potentially eligible for Medicaid drug benefits.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There have been judicial challenges to certain aspects of the ACA, as well as efforts by Congress to modify, and by agencies to alter the implementation of, certain aspects of the ACA. For example, Congress eliminated the tax penalty for not complying with the ACA’s individual mandate to carry health insurance. Further, the Bipartisan Budget Act of 2018, among other things, amended the ACA to increase from 50 percent to 70 percent the point-of-sale discount that is owed by pharmaceutical manufacturers who participate in Medicare Part D to close the coverage gap in most Medicare drug plans, commonly referred to as the "donut hole"</w:t>
      </w:r>
      <w:r>
        <w:rPr>
          <w:color w:val="000000"/>
        </w:rPr>
        <w:t xml:space="preserve"> </w:t>
      </w:r>
      <w:r>
        <w:rPr>
          <w:rFonts w:ascii="Times New Roman;sans-serif" w:hAnsi="Times New Roman;sans-serif"/>
          <w:b w:val="false"/>
          <w:color w:val="000000"/>
          <w:sz w:val="20"/>
        </w:rPr>
        <w:t>(the IRA sunsets the coverage gap discount program and replaces it with a new manufacturer discount, beginning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Other legislative changes have been proposed and adopted in the U.S. since the ACA was enacted. These changes included aggregate reductions to Medicare payments to providers of 2% per fiscal year required by the Budget Control Act of 2021, as amended by the American Taxpayer Relief Act of 2012 (“ATRA”).</w:t>
      </w:r>
      <w:r>
        <w:rPr>
          <w:color w:val="000000"/>
        </w:rPr>
        <w:t xml:space="preserve"> </w:t>
      </w:r>
      <w:r>
        <w:rPr>
          <w:rFonts w:ascii="Times New Roman;sans-serif" w:hAnsi="Times New Roman;sans-serif"/>
          <w:b w:val="false"/>
          <w:color w:val="000000"/>
          <w:sz w:val="20"/>
        </w:rPr>
        <w:t>Subsequent legislation extended the 2% reduction, generally to 2031. Sequestration is currently set at 2% and will increase to 2.25% for the first half of fiscal year 2030, to 3% for the second half of fiscal year 2030, and to 4% for the remainder of the sequestration period that lasts through the first six months of fiscal year 2031. ATRA, among other things, also reduced Medicare payments to several types of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payers often follow Medicare coverage policy and payment limitations in setting their own payment rates and in establishing their formulary placement.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established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Congress continues to examine various policy proposals that may result in pressure on the prices of prescription drugs with respect to the government health benefit programs and otherwise. The IRA or other legislative changes could impact the market conditions for our product candidates.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Finally, some states have established Prescription Drug Affordability Boards (or similar entities) to review high-cost drugs and, in some cases, set upper payment limits.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Human Capital </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323 employees, all of which were full-time employees. None of our employees are represented by a labor union or covered under a collective bargaining agreement.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Development and Training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 </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Diversity, Equity, and Inclusion</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76"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were incorporated under the laws of the State of Delaware in November 2016. Our principal executive offices are located at 15440 Laguna Canyon Road, Suite 160, Irvine, California 92618. Our telephone number is (949) 418-1801. Our website address is www.tarsusrx.com. Information contained on the website is not incorporated by reference into this Annual Report.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annual reports on Form 10-K, quarterly reports on Form 10-Q and current reports on Form 8-K, and amendments to those reports filed or furnished pursuant to Sections 13(a) and 15(d) of the Securities Exchange Act of 1934, as amended, may be obtained free of charge at the Investor &amp; News section of our website, www.tarsusrx.com, as soon as reasonably practicable after we electronically file such material with, or furnish it to, the SEC. Additionally, the SEC maintains an internet site that contains reports, proxy and information statements and other information. The address of the SEC’s website is www.sec.gov. The contents of these websites are not incorporated into this Annual Report on Form 10-K. Further, references to the URLs for these websites are intended to be inactive textual references only.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lease approximately 39,181 square feet of office and laboratory space in Irvine, California under certain leases that last expire in January 2027. In December 2024, we entered into a lease agreement for 59,626 square feet of new office space located in Irvine, California for a 10-year lease term. The lease payments for the new office space are expected to commence in late 2025 following the earlier of: (i) eleven months following the lease execution date; or (ii) the date the Company commences its regular business activities at the premises following completion of tenant improvements, at which time we plan to terminate our current leases without penalty. We believe that these spaces will be sufficient to meet our needs for the foreseeable future and that any additional space we may require will be available on commercially reasonable terms.</w:t>
      </w:r>
    </w:p>
    <w:p>
      <w:pPr>
        <w:pStyle w:val="TextBody"/>
        <w:bidi w:val="0"/>
        <w:spacing w:before="0" w:after="0"/>
        <w:ind w:left="0" w:right="0" w:firstLine="1131"/>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ind w:left="0" w:right="0" w:firstLine="25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79"/>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an early commercial stage biopharmaceutical company with a limited operating history and a single product approved for commercial sale. We have incurred significant losses and negative cash flows from operations since our inception and could continue to incur significant expenses and losses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We have one product,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which obtained Food Drug and Administration ("FDA") approval for the treatment of </w:t>
      </w:r>
      <w:r>
        <w:rPr>
          <w:rFonts w:ascii="Times New Roman;sans-serif" w:hAnsi="Times New Roman;sans-serif"/>
          <w:b w:val="false"/>
          <w:i/>
          <w:color w:val="000000"/>
          <w:sz w:val="20"/>
        </w:rPr>
        <w:t>Demode</w:t>
      </w:r>
      <w:r>
        <w:rPr>
          <w:rFonts w:ascii="Times New Roman;sans-serif" w:hAnsi="Times New Roman;sans-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"2023 ATM Prospectus"), as well as proceeds from product sales, net, our China Out-License and draws from our Credit Facilities (as defined below). For the years ended December 31, 2024, 2023, and 2022, our net losses were $115.6 million, $135.9 million, and $62.1 million, respectively. As of December 31, 2024 and December 31, 2023, we had an accumulated deficit of $360.2 million and $244.7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could potentially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incurring significant expenses and increasing operating losses for the foreseeable future. We expect that our expenses will increase substantially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 or add additional manufacturers or suppliers, some of which may require additional permits or other governmental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protect, enforce and expand our intellectual property portfolio;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are any third-party challenges to our intellectual property or we need to defend against any intellectual property-related claim.</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reporting systems and procedures.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employees, consultants and advisors and to attract, retain and motivate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implementation of security measures, given their size and complexity and the increasing amounts of confidential information that they maintain, our internal information technology systems and those of our third-party CROs, contract manufacturing organizations ("CMO"),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or lead to data leakage. Further, due to the political uncertainty involving Russia and Ukraine and conflict in the Middle East,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inability or delay of our efforts to commercialize XDEMVY or any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decreased demand for XDEMVY or any product candidates or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the related litigation and diversion of management’s time and our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new labeling requirements, marketing or promotional restrictions;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disruptions that could severely impact our business, preclinical studies, and clinical trials,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and supply chain disruptions;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regulatory approvals for our product candidates due to the FDA focusing on clinical trials related to therapies and vaccines targeting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global and geopolitical economic conditions could adversely affect our business, financial condition or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the current conflict in the Middle East,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TextBody"/>
        <w:bidi w:val="0"/>
        <w:spacing w:before="0" w:after="0"/>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disclosed as cash equivalents and marketable securities in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received approval by the FDA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eye care providers ("ECPs") and third-party payers. Further, our commercial success is dependent on our ability to educate ECPs, patients and others in the medical community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We currently have one product approved for commercial sale, XDEMVY, which was approved by the FDA in July 2023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the U.S. The success of our business, including our ability to generate revenue from product sales in the future, will primarily depend on the continued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and timely completion of preclinical and clinical development of our product candidates;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successfully educating ECPs about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related diagnosis;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commercial acceptance of XDEMVY and any of our other product candidates by patients, the medical community and third-party payers, including our planned direct-to-consumer television advertising campaign;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relationships with CROs and clinical sites for the clinical development, both in the U.S. and internationally,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an IND prior to commencing clinical trials in the U.S. for drug for a particular indication, such as TP-04 for the potential treatment of Ocular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continued acceptable safety and efficacy profile both prior to and following any marketing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has required and may continue to require significant resources and we may not be 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Although XDEMVY is approved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ECPs and potential patients may not have sufficient information about, or recognize the need for a treatment specifically targeting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It is possible that ECPs may continue to rely on other treatments for treating symptoms consistent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key tenet of our continued commercialization strategy is to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diagnose it with a simple slit lamp examination as well as raise patient awareness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our efforts may prove to be unsuccessful, and we may not be able to develop this new market for XDEMVY. We may still not achieve success in 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because of the possibility that the disease will recur despite mite eradication, or after adoption fail to continue to use XDEMVY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XDEMVY or any other product candidate that we develop does not achieve an adequate level of acceptance, formulary coverage, pricing or reimbursement we may not generate significant product revenues and we may not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profitable. The degree of market acceptance of XDEMVY or any other product candidate that we develop, if approved for commercial sale, will depend on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perception by patients or physicians that the diseases we are targeting, including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sales, marketing, and distribution of XDEMVY or any future approved products may be unsuccessful or less successful than anticipated. If we are unable to establish sales and marketing capabilities for any of our future approved products or enter into agreements with third parties to sell and market XDEMVY or any future approved products on acceptable terms, we may be unable to successfully commercialize XDEMVY or any future approved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planned, we may require significant additional capital and financial resources, we may not become profitable, and we may not be able to compete against more established companies in our industry. </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sizes of the market opportunities for our product or product candidates, particularly XDEMVY for the treatment of Demodex blepharitis,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face significant potential competition in the future,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face potential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Additionally, while XDEMVY is approved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including XDEMVY, outside of the U.S., we will need to comply with additional onerous and varying regulatory requirements of other countries regarding safety and efficacy on a country-by-country basis. Approval by the FDA in the U.S. does not ensure approval by comparable regulatory authorities in other countries or 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products are tested in large-scale, Phase 3 clinical trials or, in some cases, after they are made available to patients on a commercial scale after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change the way the product is administered or conduct additional clinical trials or post-approval studies;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reputation may suffer and there may be resulting harm to physician or patient acceptance of our product.</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ans-serif" w:hAnsi="Times New Roman;sans-serif"/>
          <w:b w:val="false"/>
          <w:color w:val="000000"/>
          <w:sz w:val="20"/>
        </w:rPr>
        <w:t>CMS could also decide to terminate our Medicaid Drug Rebate Program, in which case federal payments may not be available under Medicaid or Medicare Part B for our covered outpatient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ACA (addressed further above in the section on “Business – Government Regulatory – Coverage and Reimbursement”)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managers ("PBM") “accumulator” and "maximizer" programs were invalidated by a court, such programs may continue to negatively affect us in other ways. Our failure to comply with these price reporting and rebate payment options, as well as PBM “accumulator” and "maximizer" programs, could negatively impact our financial results.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IRA established a Medicare Part D Prescription Drug Program ("Medicare Part D") inflation rebate scheme, (with the first rebate period taking place in the fourth quarter of 2022 through the third quarter of 2023, and a drug price negotiation program, with the first negotiated prices to take effect in 2026. It also makes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rebates for contractually agreed-upon discounts with commercial insurance companies and mandated discounts under government programs such as the Medicaid Drug Rebate Program, Medicare Part D, and other government health care programs in the U.S. Our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Our rebate calculations may require estimates, including estimates of customer mix, to determine which product sales will be subject to rebates and the amount of such rebates. We updates our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we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XDEMVY and other product candidates may not yield any commercially viable products. If we do not accurately evaluate the commercial potential or target market for XDEMVY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76" w:before="240" w:after="283"/>
        <w:jc w:val="left"/>
        <w:rPr/>
      </w:pPr>
      <w:r>
        <w:rPr>
          <w:rFonts w:ascii="Times New Roman;sans-serif" w:hAnsi="Times New Roman;sans-serif"/>
          <w:b/>
          <w:i/>
          <w:color w:val="000000"/>
          <w:sz w:val="20"/>
        </w:rPr>
        <w:t>If XDEMVY</w:t>
      </w:r>
      <w:r>
        <w:rPr>
          <w:color w:val="000000"/>
        </w:rPr>
        <w:t xml:space="preserve"> </w:t>
      </w:r>
      <w:r>
        <w:rPr>
          <w:rFonts w:ascii="Times New Roman;sans-serif" w:hAnsi="Times New Roman;sans-serif"/>
          <w:b/>
          <w:i/>
          <w:color w:val="000000"/>
          <w:sz w:val="20"/>
        </w:rPr>
        <w:t xml:space="preserve">or any of our product candidates that are approved for marketing are found to have been improperly promoted for off-label uses by us, or if ECPs misuse our products or use our products off-label, we may become subject to prohibitions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on the sale or marketing of our products, product liability claims and significant fines, penalties and sanctions, and our brand and reputation could be harmed.</w:t>
      </w:r>
    </w:p>
    <w:p>
      <w:pPr>
        <w:pStyle w:val="TextBody"/>
        <w:bidi w:val="0"/>
        <w:spacing w:before="0" w:after="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are not permitted to promote XDEMVY for any other uses, unless and until such uses are approved.</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are early in our development efforts for our product candidates and indications, including TP-04 for the treatment of Ocular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to satisfy the preclinical study requirements for TP-04 and TP-05 and other indications. For rosacea, we conducted the Phase 1 Galatea trial with TP-04 and initiated the Phase 2a Galatea trial, for the treatment of rosacea in March 2023. In February 2024, we announced positive topline results and in January 2025, we announced plans to initiate a Phase 2 study in the second half of 2025. With respect to Lyme disease, in December 2022 we announced positive topline results from the completed Callisto trial and enrollment of the first patient in the Carpo trial. The Carpo trial, evaluating TP-05, a novel investigational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In December 2024, we met with the FDA about our Lyme disease program. The FDA agreed to our proposed approach for a Phase 2b clinical trial, which would include several hundred subjects. Additionally, the FDA confirmed that a Phase 3 clinical study would require a disease prevention field study that would likely require the enrollment of thousands of patients.</w:t>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The FDA may reject our use of data from TP-03 preclinical studies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experienced delays related to our Carpo trial with topline results pushing to February 2024 as a result of patient enrollment delays. The enrollment of patients depends on many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changes to our manufacturing process that may be necessary or desired;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lead times for shipping;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in February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conducted a number of our completed clinical trials and may conduct ongoing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inherent in conducting clinical trials in multiple jurisdictions, inside and outside of the U.S. and if we conduct trials outside of the U.S., we may face risks, such 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"the All Human Uses Elanco Agreement" and with the Eye and Derm Elanco Agreement, the "Elanco Agreements"), and have also entered into the China Out-License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$291.4 million as of December 31, 2024 and expected sales of XDEMVY is sufficient to fund our current and planned operations for at least the next twelve months from the date of filing this Annual Report on Form 10-K.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raise substantial additional capital to complete the development and commercialization of XDEMVY and our other product candidates through one or more of: equity offerings, draws from our Credit Facilities,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complexities of our transition to a commercial 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receipt and amount of sales and marketing capabilities of any current and future products, including the success of our commercialization efforts involving XDEMVY;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manufacturing development and commercial manufacturing activities and our ability to scale them up;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Demodex 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and March 2024, we completed the Follow-On Public Offerings, in which we received total net proceeds of $74.2 million, $99.3 million, and $107.7 million, respectively, (after deducting underwriting discounts, commissions and other estimated offering-related expenses) through the issuance of 5,889,832 shares of our common stock in the May 2022 Public Offering, 6,069,449 shares of our common stock in the August 2023 Public Offering, and 3,281,250 shares of our common stock and, in lieu of common stock to a certain investor, pre-funded warrants to purchase 312,500 shares of our common stock in the March 2024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certain properties or assets, incurring additional indebtedness, granting liens, making 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("SVB") was closed by the California Department of Financial Protection and Innovation, which appointed the Federal Deposit Insurance Corporation ("FDIC"), as receiver, and SVB was subsequently transferred into a new entity, Silicon Valley Bridge Bank ("SVBB").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indebtedness may limit our flexibility in financing and operating our business and adversely affect our business, financial condition and results of operations.</w:t>
      </w:r>
    </w:p>
    <w:p>
      <w:pPr>
        <w:pStyle w:val="TextBody"/>
        <w:bidi w:val="0"/>
        <w:spacing w:before="0" w:after="0"/>
        <w:ind w:left="0" w:right="0" w:firstLine="490"/>
        <w:jc w:val="left"/>
        <w:rPr/>
      </w:pPr>
      <w:r>
        <w:rPr/>
      </w:r>
    </w:p>
    <w:p>
      <w:pPr>
        <w:pStyle w:val="TextBody"/>
        <w:bidi w:val="0"/>
        <w:spacing w:lineRule="auto" w:line="28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we entered into the 2024 Credit Facility with Pharmakon. The 2024 Credit Facility provides a $75.0 million initial term loan which was drawn in April 2024, a portion of which was utilized to repay all outstanding indebtedness, for total net proceeds of $39.6 million. The 2024 Credit Facility provides for three potential additional term loan tranches in principal amounts up to $25.0 million, $50.0 million, and $50.0 million, respectively, subject to customary conditions to funding and, in the case of the last two tranches, achieving minimum net sales milestones, which may be requested on or prior to December 31, 2024, June 30, 2025 and December 31, 2025, respectively. We did not draw on the related $25.0 million first tranche prior to December 31, 2024. The 2024 Credit Facility contains representations and warranties, affirmative and negative covenants in each case, which is customary for financings of this type. Certain of the customary negative covenants limit our ability to, among other things, dispose of certain properties or assets,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before="0" w:after="0"/>
        <w:ind w:left="0" w:right="0" w:firstLine="979"/>
        <w:jc w:val="left"/>
        <w:rPr/>
      </w:pPr>
      <w:r>
        <w:rPr/>
      </w:r>
    </w:p>
    <w:p>
      <w:pPr>
        <w:pStyle w:val="TextBody"/>
        <w:bidi w:val="0"/>
        <w:spacing w:lineRule="auto" w:line="28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engage in acquisitions or strategic partnerships that could disrupt our business, cause dilution to our stockholders, reduce our financial resources, cause us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76" w:before="0" w:after="0"/>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Reliance on Third Parties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commercial manufacture of XDEMVY and for the manufacture of our product candidates for preclinical studies, clinical trials and eventual commercialization. In some instances, we or our third party contract manufacturers rely on single source suppliers for certain of the materials for our product and product candidates. This reliance on third parties and single source suppliers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If the third parties we engage with are unable to supply us with sufficient quantities of XDEMVY or our product candidates, and we are unable to timely establish an alternate supply from one or more third-party manufacturers, we will experience delays in our commercialization and development efforts as we seek to locate and qualify new manufacturers. In particular, any replacement of our third-party manufacturers could require significant effort and expertise because there may be a limited number of qualified replacements or capacity could be limited at each of the qualified replacements. We currently have limited manufacturing arrangements and expect that XDEMVY and each of our product candidates will only be covered by third party manufacturers, which exacerbates these and other related risks for us. Additionally, we and our third party contract manufacturers rely and we expect that we will continue to rely on single-source suppliers for certain of the materials for our products and product candidates for the foreseeable future. For example, we purchase our API for XDEMVY, lotilaner, from Elanco, who sources through a single source supplier. This reliance on third parties, including single source suppliers, increases the risk that we will not have sufficient quantities of XDEMVY or our product candidates or any future approved products, or such quantities at an acceptable cost or quality, which could delay, prevent or impair our commercialization or development efforts. If current or future suppliers are delayed or unable to supply sufficient materials to manufacture our products and product candidates, we may experience delays in our commercialization and development efforts, which would have an adverse affect on our business and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requirements to cease development or to recall batches of XDEMVY or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 inability to initiate or continue clinical trials of our product candidates under development;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the cooperation of an existing or future collaborator, including by Elanco and under the Elanco Agreements;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patent by USPTO administered post-grant proceedings, including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ind w:left="0" w:right="0" w:firstLine="979"/>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products, including our lead product XDEMVY, for the treatment of Demodex blepharitis, TP-04 for the potential treatment of Ocular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XDEMVY, TP-03, TP-04 and TP-05 in any country where the license is terminated and could subject us to claims of breach of contract and patent infringement by Elanco if any continued research, development, manufacture or commercialization of XDEMVY,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agreement with a combined condition of patent issuance related to TP-03 in China. If we are not able to obtain the aforementioned patent issuance in China, the likelihood we achieve the associated milestone, as well as commercialization in the China Territory, would be substantially decreased.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candidates, our competitive position, business, financial condition, results of operations and prospects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and marketing XDEMVY, and our TP-03, 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and market conditions generally.</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U.S. and foreign patent applications in our portfolio, we cannot predict: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we may develop, our business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and other intellectual property rights, which could be expensive, time-consuming and unsuccessful.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our commercial activities or product candidates will not infringe upon the patents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and preclinical programs for an adequate amount of time.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ACA substantially changed the way healthcare is financed by both the government and private insurers, and significantly impacted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CMS to test innovative payment and service delivery models to lower Medicare and Medicaid spending, potentially including prescription drug spending.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to 70%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ans-serif" w:hAnsi="Times New Roman;sans-serif"/>
          <w:b w:val="false"/>
          <w:color w:val="000000"/>
          <w:sz w:val="20"/>
        </w:rPr>
        <w:t xml:space="preserve">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established Prescription Drug Affordability Boards (or similar entities) to review high-cost drugs and, in some cases, set upper payment limits.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from the business. Any such investigation or settlement could increase our costs or otherwise have an adverse effect on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ans-serif" w:hAnsi="Times New Roman;sans-serif"/>
          <w:b w:val="false"/>
          <w:color w:val="000000"/>
          <w:sz w:val="20"/>
        </w:rPr>
        <w:t xml:space="preserve">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United States, at both the federal and state level, that could impose new obligations or limitations in areas affecting our business.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ans-serif" w:hAnsi="Times New Roman;sans-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stock price of our common stock may be volatile or may decline regardless of our operating performance and you could lose all or part of your investment.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rPr>
        <w:t>our failure to achieve product development or commercialization goals or regulatory approval milestones in the timeframe we announce;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factors discussed in this report.</w:t>
      </w:r>
      <w:r>
        <w:rPr>
          <w:color w:val="000000"/>
          <w:shd w:fill="FFFFFF" w:val="clear"/>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ind w:left="0" w:right="0" w:firstLine="979"/>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of December 31, 2024, we no longer qualified as an emerging growth company or a smaller reporting company and, as a result, are no longer able to avail ourselves of certain reduced reporting requirements applicable to emerging growth companies or smaller reporting companies, subject to applicable transition relief.</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2024, the last business day of the second quarter of 2024, the aggregate market value of the shares of our common stock held by non-affiliate stockholders exceeded $700.0 million. As a result, we became a large accelerated filer as of December 31, 2024, as defined in Rule 12b-2 under the Exchange Act, and ceased to qualify as an emerging growth company. Effective December 31, 2024, due to large accelerated filer status, we no longer qualify as a smaller reporting company and accordingly are not permitted to take advantage of the reduced reporting requirements for smaller reporting companies, subject to a transition period that allows us to use smaller reporting company scaled disclosure for our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on Form 10-K for the year ending December 31, 2024. With the transition to becoming a large accelerated filer, we did not elect to use the smaller reporting company scaled disclosures.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loss of emerging growth company and smaller reporting company status, we expect our operating costs to increase as our compliance, reporting and other costs increase.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cause the price of our common stock to fall.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2024, we had 38,349,826 shares of common stock outstanding. Shares held by directors, executive officers and other affiliates will be subject to volume limitations under Rule 144 under the Securities Act of 1933, as amended, ("Securities Act") and various vesting agreements.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2023 ATM Prospectus, convertible securities or other equity securities in one or more transactions at prices and in a manner we determine from time to time. For example,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approximately $107.7 million (after deducting underwriting discounts, commissions and other estimated offering-related expenses) and in 2023 we raised approximately $19.2 million, after deducting broker commissions and fees, through sales under our 2023 ATM Prospectus.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officers, directors and the holders of more than 5% of our outstanding stock collectively beneficially own approximately 50%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Requirements associated with being a public company will increase our costs significantly, as well as divert significant company resources and management attention.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ans-serif" w:hAnsi="Times New Roman;sans-serif"/>
          <w:b w:val="false"/>
          <w:color w:val="000000"/>
          <w:sz w:val="20"/>
          <w:shd w:fill="FFFFFF" w:val="clear"/>
        </w:rPr>
        <w:t xml:space="preserve">Our 2024 Credit Facility also contains a negative covenant that prohibits us from paying dividends subject to limited exceptions. </w:t>
      </w:r>
      <w:r>
        <w:rPr>
          <w:rFonts w:ascii="Times New Roman;sans-serif" w:hAnsi="Times New Roman;sans-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gross-to-net yields for XDEMVY or our other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make substantial investments to augment the capabilities of our people, processes, and technologies in order to address our cybersecurity risks. Our cybersecurity risks, and the controls designed to mitigate those risks, are integrated into our overall risk management governance and are reviewed quarterly by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we've implemented a set of comprehensive cybersecurity and data protection policies and procedures. Our employees and contractors receive regular cybersecurity awareness trainings, including specific topics related to social engineering and email frauds. We have capable employees and consultants with significant expertise and certifications in cybersecurity related to our industry. We invest in advanced technologies for continuous cybersecurity monitoring across our information technology environment which are designed to prevent, detect, and minimize cybersecurity attacks, as well as alert management of such attacks.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general controls are established based on recognized industry standards and cover areas such as risk management, data backup, and disaster recovery. We have implemented processes to monitor security threats and vulnerabilities and respond to all cybersecurity incidents affecting us, including prompt escalation and communication of major security incidents to senior business leadership and our Board of Directors. We conduct cybersecurity penetration testing annually to identify and remediate cybersecurity gaps. We also perform cybersecurity assessments of all our third-party providers who have access to our information technology systems and data.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Primary responsibility for assessing, monitoring and managing our cybersecurity risks rests with the Head of Information Technology ("IT") who reports to our Chief Financial Officer, to manage the risk assessment and mitigation process. We have a dedicated IT resource with expertise in cybersecurity and risk management who is dedicated to working with our internal IT team on cybersecurity risk management.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engage other consultants and other third parties in connection with our risk assessment and mitigation processes. These service providers assist with the design and implementation of our cybersecurity policies and procedures, as well as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Audit Committee are responsible for overseeing our cybersecurity risk management and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Head of IT provides periodic briefings to the Audit Committee including our cybersecurity risks and activities, any potential cybersecurity incidents and related responses, cybersecurity systems testing and, activities of third parties. Our Audit Committee regularly meets with our Chief Financial Officer and Head of IT about the Company’s ongoing compliance and risk management and reports to the Board of Directors regularly.</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Threat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are not aware of any cybersecurity threats that have materially affected or are reasonably likely to materially affect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cybersecurity risks, please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currently lease approximately 39,181 square feet of office and laboratory space in Irvine, California. In December 2024, we entered into a new lease agreement for 59,626 square feet of office space located in Irvine, California for a 10-year lease term. The lease payments are expected to commence in late 2025 following the earlier of: (i) eleven months following the lease execution date, or (ii) the date the Company commences its regular business activities at the premises following completion of tenant improvements. We believe that this space will be sufficient to meet our needs for the foreseeable future and that any additional space we may require will be available on commercially reasonable terms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currently a party to any material legal proceedings. From time to time, we may become involved in legal proceedings arising in the ordinary course of our business. Regardless of outcome, litigation can have an adverse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publicly traded on the Nasdaq Global Market LLC under the symbol “TARS” since our IPO on October 15, 2020. Prior to this date, there was no public market for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Holders of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19, 2025, the closing price of our common stock on the Nasdaq was $49.55 per share, and there were approximately 27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anticipate paying cash dividends in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definitive proxy statement to be filed with the SEC in connection with our Annual Meeting of Stockholders within 120 days after December 31, 2024 and is incorporated in this Annual Report on Form 10-K by reference.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Performance Graph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Tarsus Pharmaceuticals, Inc. under the Securities Act of 1933, as amended, or the Exchange Act.</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illustrates a comparison of the total cumulative stockholder return on our common stock since the date of the IPO on October 19, 2020, compared to two indices for each fiscal year end thereafter: the Nasdaq Composite Index and the Nasdaq Biotechnology Index. The graph assumes an initial investment of $100 on the date of the IPO, both in our common stock and each index. Historical stockholder return shown is not necessarily indicative of future performance, and we do not make or endorse any predictions as to future stockholder returns.</w:t>
      </w:r>
    </w:p>
    <w:p>
      <w:pPr>
        <w:pStyle w:val="TextBody"/>
        <w:bidi w:val="0"/>
        <w:spacing w:before="240" w:after="283"/>
        <w:jc w:val="center"/>
        <w:rPr/>
      </w:pPr>
      <w:r>
        <w:rPr/>
        <w:drawing>
          <wp:inline distT="0" distB="0" distL="0" distR="0">
            <wp:extent cx="4610100" cy="2828925"/>
            <wp:effectExtent l="0" t="0" r="0" b="0"/>
            <wp:docPr id="10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 descr=""/>
                    <pic:cNvPicPr>
                      <a:picLocks noChangeAspect="1" noChangeArrowheads="1"/>
                    </pic:cNvPicPr>
                  </pic:nvPicPr>
                  <pic:blipFill>
                    <a:blip r:embed="rId9"/>
                    <a:stretch>
                      <a:fillRect/>
                    </a:stretch>
                  </pic:blipFill>
                  <pic:spPr bwMode="auto">
                    <a:xfrm>
                      <a:off x="0" y="0"/>
                      <a:ext cx="4610100" cy="28289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07"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08"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“Selected Financial Data” and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“Note Regarding Forward-Looking Statements”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We are a commercial stage biopharmaceutical company focused on the development and commercialization of therapeutics, starting with eye care. We launched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in August 2023 after receiving the U.S. Food and Drug Administration ("FDA") approval in July 2023.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is 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 ("GABA-Cl") channels with no GABA-Cl inhibition in humans.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all of which met their primary, secondary and/or certain exploratory endpoints, with the drug well tolerated throughout each trial. We have also completed, and/or have ongoing clinical trials for the potential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patients with Meibomian Gland Disease ("MGD"), including the Ersa clinical trial involving XDEMVY, and the Rhea clinical trial involving an XDEMVY vehicle; TP-04 for the potential treatment of Ocular Rosacea; and TP-05 for potential Lyme disease prophylaxis, among others.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and infectious disease prevention. We are investigating the development of our product candidates to address targeted diseases with high unmet medical needs, which currently include TP-04, a novel gel formulation of lotilaner for the potential treatment of Ocular Rosacea, and TP-05, a novel investigational oral formulation of lotilaner, for potential Lyme disease prophylaxis and community malaria reduction.</w:t>
      </w:r>
    </w:p>
    <w:p>
      <w:pPr>
        <w:pStyle w:val="TextBody"/>
        <w:bidi w:val="0"/>
        <w:spacing w:before="0" w:after="0"/>
        <w:ind w:left="0" w:right="0" w:firstLine="900"/>
        <w:jc w:val="left"/>
        <w:rPr/>
      </w:pPr>
      <w:r>
        <w:rPr/>
      </w:r>
    </w:p>
    <w:p>
      <w:pPr>
        <w:pStyle w:val="TextBody"/>
        <w:bidi w:val="0"/>
        <w:spacing w:lineRule="auto" w:line="276" w:before="0" w:after="0"/>
        <w:jc w:val="left"/>
        <w:rPr/>
      </w:pPr>
      <w:r>
        <w:rPr>
          <w:rFonts w:ascii="Times New Roman;sans-serif" w:hAnsi="Times New Roman;sans-serif"/>
          <w:b/>
          <w:color w:val="000000"/>
          <w:sz w:val="20"/>
        </w:rPr>
        <w:t>Recent Business and Clinical Highlights</w:t>
      </w:r>
      <w:r>
        <w:rPr>
          <w:color w:val="000000"/>
        </w:rPr>
        <w:t xml:space="preserve"> </w:t>
      </w:r>
    </w:p>
    <w:p>
      <w:pPr>
        <w:pStyle w:val="TextBody"/>
        <w:bidi w:val="0"/>
        <w:spacing w:before="0" w:after="0"/>
        <w:ind w:left="0" w:right="0" w:firstLine="990"/>
        <w:jc w:val="left"/>
        <w:rPr/>
      </w:pPr>
      <w:r>
        <w:rPr/>
      </w:r>
    </w:p>
    <w:p>
      <w:pPr>
        <w:pStyle w:val="TextBody"/>
        <w:bidi w:val="0"/>
        <w:spacing w:lineRule="auto" w:line="268" w:before="0" w:after="0"/>
        <w:jc w:val="left"/>
        <w:rPr/>
      </w:pPr>
      <w:r>
        <w:rPr>
          <w:rFonts w:ascii="Times New Roman;sans-serif" w:hAnsi="Times New Roman;sans-serif"/>
          <w:b/>
          <w:color w:val="000000"/>
          <w:sz w:val="20"/>
          <w:u w:val="single"/>
        </w:rPr>
        <w:t>XDEMVY</w:t>
      </w:r>
      <w:r>
        <w:rPr>
          <w:color w:val="000000"/>
        </w:rPr>
        <w:t xml:space="preserve"> </w:t>
      </w:r>
    </w:p>
    <w:p>
      <w:pPr>
        <w:pStyle w:val="TextBody"/>
        <w:bidi w:val="0"/>
        <w:spacing w:before="0" w:after="0"/>
        <w:ind w:left="0" w:right="0" w:firstLine="99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recognized $66.4 million and $180.1 million in XDEMVY net product sales for the fourth quarter and full year 2024,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dispensed more than 58,500 and 163,000 bottles of XDEMVY to patients during the fourth quarter and full year 2024, respectively.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established broad Eye Care Professional ("ECP") utilization across more than 15,000 targets.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expanded sales force deployed in the third quarter 2024 started to deliver meaningfully to the increased ECP utilization and prescription volumes reported for the fourth quarter 2024.</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Broad commercial, Medicare, and Medicaid reimbursement of XDEMVY now extends to more than 90% of covered lives, as of February 25, 2025.</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Recognized a gross-to-net discount of approximately 45% in the fourth quarter and full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73685"/>
                <wp:effectExtent l="0" t="0" r="0" b="0"/>
                <wp:wrapNone/>
                <wp:docPr id="109"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activated a memorable and action-oriented Direct-to-Consumer ("DTC") campaign on streamlining platforms in the fourth quarter 2024 and initiated a trial-run on network televisions in January 2025, including spots on the Golden Globes, the GRAMMYs and the National Football League playoffs.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initial patient response from this campaign has been positive across multiple leading indicators, including the downloading of materials, taking the Demodex blepharitis quiz and utilizing the "find an eye doctor tool on the XDEMVY website.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DTC initiatives will continue on streamlining platforms and will meaningfully expand into a network television campaign beginning in the first quarter of 2025.</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u w:val="single"/>
        </w:rPr>
        <w:t xml:space="preserve">TP-03 </w:t>
      </w:r>
      <w:r>
        <w:rPr>
          <w:rFonts w:ascii="Times New Roman;sans-serif" w:hAnsi="Times New Roman;sans-serif"/>
          <w:b/>
          <w:i/>
          <w:color w:val="000000"/>
          <w:sz w:val="20"/>
          <w:u w:val="single"/>
        </w:rPr>
        <w:t>Demodex</w:t>
      </w:r>
      <w:r>
        <w:rPr>
          <w:color w:val="000000"/>
          <w:u w:val="single"/>
        </w:rPr>
        <w:t xml:space="preserve"> </w:t>
      </w:r>
      <w:r>
        <w:rPr>
          <w:rFonts w:ascii="Times New Roman;sans-serif" w:hAnsi="Times New Roman;sans-serif"/>
          <w:b/>
          <w:color w:val="000000"/>
          <w:sz w:val="20"/>
          <w:u w:val="single"/>
        </w:rPr>
        <w:t>blepharitis in patients with Meibomian Gland Disease, Ersa and Rhea Trials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we announced positive topline results of the Ersa trial evaluating XDEMVY administered twice daily ("BID") or three times a day ("TID") for 6 weeks and 12 weeks for the treatment of MGD in patients with Demodex mites. XDEMVY demonstrated statistically significant and clinically meaningful improvements compared to baseline in two objective measures of the disease: the presence and quality of liquid secretion as measured by the Meibomian Gland Secretion Score; and the number of glands secreting normal or clear liquid. In November 2024, additional positive data was presented from the Ersa trial as well as data from the Rhea trial, a pilot study evaluating XDEMVY vehicle for the treatment of MGD in patients with Demodex mites, at the American Academy of Optometry ("AAOpt") Annual Meeting 2024. The Rhea trial enrolled a similar patient population as the Ersa trial, and evaluated the same outcomes, with the same dosing regimens, except the Rhea trial participants received XDEMVY vehicle. Both the Ersa and Rhea trials also assessed patient reported outcomes for some of the most commonly reported patient symptoms in Demodex blepharitis and MGD, namely fluctuating vision, itching, redness, and burning.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AAOpt presentation, which combined the Ersa and Rhea trials data in a pooled analysis, demonstrated that XDEMVY provided statistically significant and clinically meaningful improvements from baseline and when compared to vehicle. These improvements were shown across three objective measures of MGD: 1) the presence and quality of liquid secretion as measured by the Meibomian Gland Secretion Score; 2) the number of glands secreting normal or clear liquid; and 3) the number of glands yielding any liquid. Improvements were also demonstrated across certain patient reported outcomes, including fluctuating vision, itching and redness. Further, XDEMVY demonstrated statistically significant rates of collarette cure and lid margin erythema cure that are consistent with previous XDEMVY studies. No statistically significant differences were observed between the BID and TID treatment arms in both the Ersa and Rhea trials, respectively, and XDEMVY and the XDEMVY vehicle were well tolerated. Given the positive results of these trials, plus the FDA’s feedback that these patients are already covered under XDEMVY’s label for the treatment of Demodex blepharitis, our medical affairs team is moving forward with sharing this data with ECPs.</w:t>
      </w:r>
    </w:p>
    <w:p>
      <w:pPr>
        <w:pStyle w:val="TextBody"/>
        <w:bidi w:val="0"/>
        <w:spacing w:lineRule="auto" w:line="288" w:before="240" w:after="283"/>
        <w:jc w:val="left"/>
        <w:rPr/>
      </w:pPr>
      <w:r>
        <w:rPr>
          <w:rFonts w:ascii="Times New Roman;sans-serif" w:hAnsi="Times New Roman;sans-serif"/>
          <w:b/>
          <w:color w:val="000000"/>
          <w:sz w:val="20"/>
          <w:u w:val="single"/>
        </w:rPr>
        <w:t>TP-04 Rosacea, Galatea Trial</w:t>
      </w:r>
      <w:r>
        <w:rPr>
          <w:color w:val="00000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we initiated the Galatea trial, a Phase 2a trial evaluating TP-04, a novel gel formulation of lotilaner, for the treatment of rosacea. In February 2024, we announced positive topline results from the Galatea trial evaluating TP-04 for the treatment of rosacea which demonstrated statistically significant improvements (p&lt;0.05) in inflammatory lesions and Investigator's Global Assessment score (change in baseline and success rate) were observed compared to vehicle at week 12. TP-04 was generally well tolerated. After review of this data with the FDA and Key Opinion Leaders, we decided to pursue development of TP-04 for the potential treatment for Ocular Rosacea. In January 2025, we announced plans to initiate a Phase 2 study in the second half of 2025 for the potential treatment of Ocular Rosacea.</w:t>
      </w:r>
    </w:p>
    <w:p>
      <w:pPr>
        <w:pStyle w:val="TextBody"/>
        <w:bidi w:val="0"/>
        <w:spacing w:lineRule="auto" w:line="288" w:before="240" w:after="283"/>
        <w:jc w:val="left"/>
        <w:rPr/>
      </w:pPr>
      <w:r>
        <w:rPr>
          <w:rFonts w:ascii="Times New Roman;sans-serif" w:hAnsi="Times New Roman;sans-serif"/>
          <w:b/>
          <w:color w:val="000000"/>
          <w:sz w:val="20"/>
          <w:u w:val="single"/>
        </w:rPr>
        <w:t>TP-05 Lyme Disease, Carpo Trial</w:t>
      </w:r>
      <w:r>
        <w:rPr>
          <w:color w:val="00000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announced positive topline results from the Carpo trial, which demonstrated statistical significance in the mortality of ticks compared to vehicle (p&lt;0.001), regardless of treatment arm, and was well tolerated. The Carpo trial is designed to evaluate TP-05, a novel investigational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2024, we met with the FDA about our Lyme disease program. The FDA agreed to our proposed approach for a Phase 2b clinical trial, which would include several hundred subjects. Additionally, the FDA confirmed that a Phase 3 clinical study would require a disease prevention field study that would likely require the enrollment of thousands of patients. We continue to believe that the best approach to get this potential prophylactic therapy to patients is to partner this program either prior to the initiation of the Phase 2b study or after the completion of the study.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73685"/>
                <wp:effectExtent l="0" t="0" r="0" b="0"/>
                <wp:wrapNone/>
                <wp:docPr id="110"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w:t>
      </w:r>
      <w:r>
        <w:rPr>
          <w:rFonts w:ascii="Times New Roman;sans-serif" w:hAnsi="Times New Roman;sans-serif"/>
          <w:b w:val="false"/>
          <w:i/>
          <w:color w:val="000000"/>
          <w:sz w:val="20"/>
        </w:rPr>
        <w:t>Borrelia</w:t>
      </w:r>
      <w:r>
        <w:rPr>
          <w:color w:val="000000"/>
        </w:rPr>
        <w:t xml:space="preserve"> </w:t>
      </w:r>
      <w:r>
        <w:rPr>
          <w:rFonts w:ascii="Times New Roman;sans-serif" w:hAnsi="Times New Roman;sans-serif"/>
          <w:b w:val="false"/>
          <w:color w:val="000000"/>
          <w:sz w:val="20"/>
        </w:rPr>
        <w:t xml:space="preserve">bacteria that causes Lyme disease. </w:t>
      </w:r>
    </w:p>
    <w:p>
      <w:pPr>
        <w:pStyle w:val="TextBody"/>
        <w:bidi w:val="0"/>
        <w:spacing w:lineRule="auto" w:line="268" w:before="240" w:after="283"/>
        <w:jc w:val="left"/>
        <w:rPr/>
      </w:pPr>
      <w:r>
        <w:rPr>
          <w:rFonts w:ascii="Times New Roman;sans-serif" w:hAnsi="Times New Roman;sans-serif"/>
          <w:b/>
          <w:color w:val="000000"/>
          <w:sz w:val="20"/>
          <w:u w:val="single"/>
        </w:rPr>
        <w:t>Officer and Board Appointments</w:t>
      </w:r>
      <w:r>
        <w:rPr>
          <w:color w:val="000000"/>
        </w:rPr>
        <w:t xml:space="preserve"> </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expanded and strengthened our eye care leadership with two key appointments to our executive team and Board of Directors. Elizabeth Yeu, M.D. was appointed Chief Medical Officer in November 2024. Dr. Yeu is a distinguished ophthalmologist with more than two decades of experience who transitioned from her role as our Chief Medical Advisor and a member of our Board of Directors. Katherine H. Goodrich, M.D., MHS was appointed to our Board of Directors in November 2024. Dr. Goodrich is currently the Chief Medical Officer of Humana Inc., and brings decades of experience driving innovative and value-based initiatives designed to improve patient outcomes.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Additional Potential Growth Drivers in 2025 and Beyond</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We are on track for potential European regulatory approval of a preservative-free formulation of XDEMVY for the potential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2027. We have initiated market development work, including Key Opinion Leader engagement, disease education and scientific presentations at major conferences.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In Japan, we expect to share results from a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prevalence study in the first half of 2025 and meet with Japanese regulatory authorities to help determine a regulatory path forward.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The Chinese regulatory agency, National Medical Products Administration, accepted the New Drug Application ("NDA") submitted by our partner, Grand Pharmaceutical Group Ltd., for TP-03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To date we have financed our operations through private placements of preferred stock, convertible promissory notes, net proceeds from issuance of common stock in our Initial Public Offering ("IPO"), our subsequent follow-on public offerings in May 2022 (the "May 2022 Public Offering"), August 2023 (the "August 2023 Public Offering"), and March 2024 (the "March 2024 Public Offering", collectively the "Follow-On Public Offerings"), and our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(the "2023 ATM Prospectus"), as well as proceeds from net product sales, our China Out-License, and drawdowns from the Credit Facilities.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as we advance our other product candidates through clinical trials, regulatory submissions, and potential commercialization. Our net losses were $115.6 million, $135.9 million and $62.1 million for the years ended December 31, 2024, 2023, and 2022,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our other product candidates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TP-04 for the potential treatment of Ocular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73685"/>
                <wp:effectExtent l="0" t="0" r="0" b="0"/>
                <wp:wrapNone/>
                <wp:docPr id="111"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began generating product sales during the year ended December 31,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before="0" w:after="0"/>
        <w:ind w:left="0" w:right="0" w:firstLine="99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As of December 31, 2024, our aggregate cash, cash equivalents and marketable securities was $291.4 million – see the section below titled "</w:t>
      </w:r>
      <w:r>
        <w:rPr>
          <w:rFonts w:ascii="Times New Roman;sans-serif" w:hAnsi="Times New Roman;sans-serif"/>
          <w:b w:val="false"/>
          <w:i/>
          <w:color w:val="000000"/>
          <w:sz w:val="20"/>
        </w:rPr>
        <w:t>Management's Discussion and Analysis of Financial Condition and Results of Operations —</w:t>
      </w:r>
    </w:p>
    <w:p>
      <w:pPr>
        <w:pStyle w:val="TextBody"/>
        <w:bidi w:val="0"/>
        <w:spacing w:lineRule="auto" w:line="268" w:before="0" w:after="0"/>
        <w:jc w:val="left"/>
        <w:rPr/>
      </w:pP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 xml:space="preserve">the economy has experienced downward pressure, and together with high rates of inflation and energy supply issues experienced in certain regions, </w:t>
      </w:r>
      <w:r>
        <w:rPr>
          <w:rFonts w:ascii="Times New Roman;sans-serif" w:hAnsi="Times New Roman;sans-serif"/>
          <w:b w:val="false"/>
          <w:color w:val="000000"/>
          <w:sz w:val="20"/>
        </w:rPr>
        <w:t xml:space="preserve">war and geopolitical conflicts, </w:t>
      </w:r>
      <w:r>
        <w:rPr>
          <w:rFonts w:ascii="Times New Roman;sans-serif" w:hAnsi="Times New Roman;sans-serif"/>
          <w:b w:val="false"/>
          <w:color w:val="000000"/>
          <w:sz w:val="20"/>
          <w:shd w:fill="FFFFFF" w:val="clear"/>
        </w:rPr>
        <w:t>have led to regional and/or global macroeconomic challenges, the effects of which may be of an extended duration.</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institutions and the types of accounts we hold, but we will continue to monitor regularly and adjust, if needed, to mitigate risk, including any ongoing or new events involving limited liquidity, defaults, non-performance or other adverse developments that affect financial institutions.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See the section 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for a further discussion of the potential adverse impact of unfavorable global and geopolitical economic conditions on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product sales, net when a customer obtains control of promised goods or services, which occurs at a point in time, typically upon delivery of the Company's product to the customer. We record the amount of revenue that reflects the consideration we expect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73685"/>
                <wp:effectExtent l="0" t="0" r="0" b="0"/>
                <wp:wrapNone/>
                <wp:docPr id="112"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sell XDEMVY to customers in the U.S., which became available for commercial sale during the third quarter of 2023. We sell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we utilize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our best estimate of the amount of consideration to which we expect to be entitled based on the terms of the contract. Actual amounts of consideration ultimately received may differ materially from estimates. If actual results in the future vary from estimates, we will adjust these estimates, which would affect product sales, net and earnings in the period such variances are adjusted. We categorize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We engage with wholesalers and specialty pharmacies to distribute our products to end customers. We pay the wholesalers and certain specialty pharmacies a fee for services such as: inventory management, chargeback administration, and service level commitments. We estimate the amount of distribution services fees to be paid to the customers and adjust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 xml:space="preserve">We provide our customers with a percentage discount on their invoice if the customers pay within the agreed upon timeframe. We expect that our customers will earn prompt pay discounts. We estimate the probability of customers paying promptly based on the percentage of discount outlined in the purchase agreement between the two parties, and deduct the full amount of these discounts from gross product sales and accounts receivable at the time revenue is recognized.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Product Returns: </w:t>
      </w:r>
      <w:r>
        <w:rPr>
          <w:rFonts w:ascii="Times New Roman;sans-serif" w:hAnsi="Times New Roman;sans-serif"/>
          <w:b w:val="false"/>
          <w:color w:val="000000"/>
          <w:sz w:val="20"/>
        </w:rPr>
        <w:t>Our customers are contractually permitted to return the product within the contractual allowable time before and after the applicable expiration date. In the initial sales period, we estimate a provision for returns based on industry data and adjust the transaction price at the time of the product sale to the customer. Once sufficient history has been collected for product returns, we will utilize that history to inform our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our invoice price to the wholesaler and the wholesaler’s customer's contract price. The wholesaler tracks these sales and charges us back for the difference between the negotiated prices paid between the wholesaler's customers and the wholesaler's acquisition cost. We estimate the percentage of goods sold that are eligible for chargeback and adjust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funded by the Company. We record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w:t>
      </w:r>
      <w:r>
        <w:rPr>
          <w:color w:val="000000"/>
        </w:rPr>
        <w:t xml:space="preserve"> </w:t>
      </w:r>
      <w:r>
        <w:rPr>
          <w:rFonts w:ascii="Times New Roman;sans-serif" w:hAnsi="Times New Roman;sans-serif"/>
          <w:b w:val="false"/>
          <w:color w:val="000000"/>
          <w:sz w:val="20"/>
        </w:rPr>
        <w:t xml:space="preserve">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based on data received from our customers. The estimates for rebates under government programs are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73685"/>
                <wp:effectExtent l="0" t="0" r="0" b="0"/>
                <wp:wrapNone/>
                <wp:docPr id="113"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An accrued liability is recorded for unpaid rebates related to product for which control has transferred to the customer.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License fees and collaboration revenue is primarily attributable to contractual milestones under the China Out-License. These amounts represent the contractual milestones achieved or allocated under the China Out-License that had been fully or partially completed by period end. These allocated amounts represented the satisfaction of the transfer of license rights to LianBio and GrandPharma and the completion of related performance obligations. License fees and collaboration revenue also includes the satisfaction of performance obligations under an existing clinical supply agreement.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recognize additional license fees and collaboration revenue under the China Out-License to the extent other events occur, specifically related to (i) milestone achievement of an additional drug supply agreement execution, (ii) milestone achievement of certain regulatory events in the China Territory, and (iii) royalties and milestones from our licensee's product sales of TP-03 in the China Territory. As of the date of this filing, it is uncertain if and when we will receive any royalties or future milestone consideration under the China Out-License, including but not limited to the milestone achievement of an additional drug supply agreement execution.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freight-in, third-party royalties payable on our product sales, net and amortization of capitalized intangible assets associated with XDEMVY. Cost of sales may also include period costs related to certain inventory warehouse and distribution operations and inventory adjustment charges. Prior to FDA approval of XDEMVY, manufacturing and other inventory costs were recorded to research and development expenses in the Statements of Operations and Comprehensive Loss. As of December 31, 2024, we have sold materially all inventory that was recorded to research and development expense prior to FDA approval of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license fees and collaboration revenue includes the expense recognized under the terms of the China Out-License payable under the terms of our in-license agreement for lotilaner.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of expenses incurred in connection with the development of our product candidates,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fees paid to third parties to conduct certain research and development activities on our behalf, including under agreements with CROs;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payments under licensing agreements, such as our upfront in-license fee for lotilaner;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consulting costs and certain allocated payroll, employee benefit and other employee-related costs (including stock-based compensation, salaries, payroll taxes) for personnel engaged in research and development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related to compliance with clinical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of procuring drug products for use in our preclinical studies and clinical trials;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facilities expenses, which include direct and allocated expenses for rent of our laboratory.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73685"/>
                <wp:effectExtent l="0" t="0" r="0" b="0"/>
                <wp:wrapNone/>
                <wp:docPr id="114"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deliverables provided by CROs and CMOs and (ii) patient visits for dosing or other follow-up. To estimate period expense for recognition, we use information provided to us by our service providers and we then apply the corresponding fee schedule.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employee time on a program-by-program basis. Prior to commercialization of XDEMVY, the vast majority of our external and internal research and development expenses were attributable to the development of XDEMVY.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of personnel-related costs including salaries, benefits, stock-based compensation and other personnel-related expenses for our executive, finance, sales and marketing, and other administrative functions. Selling, general and administrative expenses also include sales and marketing costs to support our commercial launch starting in August 2023, consulting fees, legal services, rent and other facilities costs, patient assistance donations, the U.S. healthcare reform federal excise fee on Branded Pharmaceutical Manufacturers and Importers, and other general operating expenses, not otherwise classified as research and development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selling, general and administrative expenses will increase substantially in the future as a result of expanding our operations, including hiring personnel, continued commercialization of XDEMVY, preparing for potential commercialization of our other product candidates, and additional facility occupancy costs, as well as various incremental costs associated with being a public company, including: increased legal and accounting fees, regulatory costs associated with maintaining compliance with the rules of Nasdaq and SEC regulations, investor relations activities, directors and officers liability insurance premiums, and other accompanying compliance and governance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primarily consists of (i) interest income earned on our cash, cash equivalents, and marketable securities, (ii) interest expense on the Credit Facilities, and (iii) the change in estimated fair value of the LianBio equity warrants and LianBio common stock we received as part of the China Out-License.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73685"/>
                <wp:effectExtent l="0" t="0" r="0" b="0"/>
                <wp:wrapNone/>
                <wp:docPr id="115"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2024 and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8171" w:type="dxa"/>
        <w:jc w:val="center"/>
        <w:tblInd w:w="0" w:type="dxa"/>
        <w:tblLayout w:type="fixed"/>
        <w:tblCellMar>
          <w:top w:w="28" w:type="dxa"/>
          <w:left w:w="28" w:type="dxa"/>
          <w:bottom w:w="28" w:type="dxa"/>
          <w:right w:w="28" w:type="dxa"/>
        </w:tblCellMar>
      </w:tblPr>
      <w:tblGrid>
        <w:gridCol w:w="1519"/>
        <w:gridCol w:w="1336"/>
        <w:gridCol w:w="1344"/>
        <w:gridCol w:w="196"/>
        <w:gridCol w:w="811"/>
        <w:gridCol w:w="109"/>
        <w:gridCol w:w="109"/>
        <w:gridCol w:w="109"/>
        <w:gridCol w:w="109"/>
        <w:gridCol w:w="196"/>
        <w:gridCol w:w="811"/>
        <w:gridCol w:w="109"/>
        <w:gridCol w:w="109"/>
        <w:gridCol w:w="109"/>
        <w:gridCol w:w="109"/>
        <w:gridCol w:w="196"/>
        <w:gridCol w:w="73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 increased by $165.3 million for the year ended December 31, 2024 to $180.1 million, as compared to the prior year period. This increase was primarily driven by more than 163,000 bottles of XDEMVY dispensed to patients, compared to 17,400 bottles dispensed to patients in the prior year period. XDEMVY was approved by the FDA in July 2023 and was commercially launched in August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recognized $2.9 million of license fees and collaboration revenue including (i) $2.5 million for the Termination Payment related to the Novation Agreement, and (ii) $0.4 million for the Warrant Termination Payment. For the year ended December 31, 2023, we recognized $2.7 million related to (i) the achievement of a $2.5 million contractual milestone under the China Out-License, and (ii) $0.2 million from the satisfaction of performance obligations under an existing clinical supply agreement.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recognize additional license fees and collaboration revenue under the China Out-License to the extent other events occur, specifically related to (i) milestone achievement of regulatory events and/or patent issuance in the China Territory, and (ii) royalties and milestones from our licensee's product sales of TP-03 in the China Territory.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increased by $11.2 million for the year ended December 31, 2024 to $12.8 million, as compared to the prior year period as a result of the increase in bottles of XDEMVY that were dispensed.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73685"/>
                <wp:effectExtent l="0" t="0" r="0" b="0"/>
                <wp:wrapNone/>
                <wp:docPr id="116" name="Frame10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506"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55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rPr>
        <w:t xml:space="preserve">Research and development expenses increased by $3.1 million for the year ended December 31, 2024 to $53.4 million, as compared to the prior year period. The increase was primarily due to (i) $3.5 million of increased indirect expenses related to payroll and personnel-related costs (including increased stock-based compensation expense of $1.0 million) for employee additions to drive our product development initiatives, (ii) $0.7 million of increased other indirect expenses, (iii) a $1.5 million increase in milestone expense related to our in-license agreements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and (iv) $1.2 million of increased TP-03 program expenses. These increases were partially offset by (i) $2.7 million of decreased TP-05 program expenses including $1.5 million for the food effect study and $1.2 million for the Carpo trial, and (ii) a $1.2 million decrease in TP-04 program expenses related to completion of the Galatea trial.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$128.6 million for the year ended December 31, 2024, to $237.3 million as compared to the prior year period. The increase was primarily due to (i) $39.7 million of increased payroll and personnel-related costs (including increased stock-based compensation expense of $6.6 million) for commercial and corporate employee additions to support our business growth and commercial leadership hires for XDEMVY, (ii) $52.0 million of increased commercial and marketing costs as we continued our commercial expansion of XDEMVY, (iii) $36.8 million of increased information technology applications, legal, professional and other corporate expenses. Our field sales headcount and associated vendor expenses continued to increase during 2024 due to further growth and expansion of our commercial activities for XDEMVY. XDEMVY was approved by the FDA in July 2023 and was commercially launched in August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decreased by $2.2 million for the year ended December 31, 2024 due to (i) $1.9 million of loss on debt extinguishment related to the termination of our 2022 Credit Facility (defined below), (ii) $4.5 million of increased interest expense related to the Credit Facilities, (iii) a $0.9 million decrease related to the change in fair value of the LianBio common stock sold in June, and (iv) a $0.3 million decrease related to the change in fair value related to the final mark-to-market adjustment on the unvested third tranche equity warrant. These decreases were partially offset by (i) $4.7 million of increased interest income earned on our cash, cash equivalents and marketable securities, and (ii) $0.7 million of dividend income from LianBio.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the year ended December 31, 2023 compared to the year ended December 31, 2022, please refer to Part II, Item 7, "Management's Discussion and Analysis of Financial Condition and Results of Operations" in our Annual Report on Form 10-K for the year ended December 31, 2023, filed with the SEC on 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73685"/>
                <wp:effectExtent l="0" t="0" r="0" b="0"/>
                <wp:wrapNone/>
                <wp:docPr id="117"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substantially through private placements of preferred stock, net proceeds from the issuance of common stock through our IPO, Follow-on Public Offerings, and the 2023 ATM Prospectus, as well as proceeds from product sales, net, the China Out-License, and drawdowns from our Credit Facilities. As of December 31, 2024, we had cash, cash equivalents and marketable securities of $291.4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completed the August 2023 Public Offering in which 5,714,285 shares of our common stock were sold at a public offering price of $17.50 per share. In September 2023, the underwriters partially exercised an option to purchase an additional 355,164 shares of common stock at the public offering price of $17.50 per share. After giving effect to the exercise of the underwriters' option, we sold a total of 6,069,449 shares and received aggregate net proceeds of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an automatic shelf registration statement on Form S-3 ASR (the "2024 Shelf Registration Statement"). In March 2024 we completed the March 2024 Public Offering. The 2024 Public Offering was an underwritten follow-on public offering under the 2024 Shelf Registration Statement, pursuant to which we sold 2,812,500 shares of our common stock,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its common stock at the public offering price of $32.00 per share, which the underwriters exercised in full in March 2024. We received $107.7 million in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1,000,000 shares of our common stock for $20.00 per share under a sales agreement prospectus filed in November 2023, pursuant to the 2023 Shelf Registration Statement (defined below) covering the sale of up to $100.0 million of our common stock pursuant to the 2023 ATM Prospectus with Jefferies LLC ("Jefferies"). This resulted in net proceeds of $19.2 million, after deducting broker commissions and offering 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there were no sales of our common stock pursuant to the 2023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the Warrant Termination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are eligible to receive further consideration from GrandPharma upon the achievement of additional TP-03 events, including: (i) $20.0 million of potential future regulatory and/or patent milestones; (ii) $100.0 million of potential future China-based TP-03 sales threshold milestones; and (iii) tiered low-to-high-teen royalties for China Territory TP-03 product sales.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executed the Credit Facility with Hercules Capital, Inc. and SVB (the "2022 Credit Facility"). Concurrent with the execution of the 2022 Credit Facility we drew $20.0 million. The 2022 Credit Facility was amended in January 2023 and August 2023. The Credit Facility, as amended, set a maximum interest rate, updated the terms of prepayment and included an extended period to drawdown the tranche associated with the NDA submission. During 2023, we made two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73685"/>
                <wp:effectExtent l="0" t="0" r="0" b="0"/>
                <wp:wrapNone/>
                <wp:docPr id="118" name="Frame1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separate draws for an aggregate of $10.0 million from the $25.0 million tranche associated with the NDA submission of TP-03. We did not incur lender fees as part of the 2022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we executed the 2024 Credit Facility with Pharmakon with maturity in April 2029 (collectively, with the 2022 Credit Facility, the “Credit Facilities”). The 2024 Credit Facility is collateralized by substantially all of the Company's presently existing and subsequently acquired assets. Upon execution, we made a $75.0 million draw from the initial tranche, a portion of which was utilized to repay all outstanding indebtedness associated with the 2022 Credit Facility, for total net proceeds of $39.6 million. The 2024 Credit Facility provides for three potential additional term loan tranches in principal amounts up to $25.0 million, $50.0 million, and $50.0 million, respectively, subject to customary conditions to funding and, in the case of the last two tranches, achieving minimum net sales milestones. The three additional tranches may be requested on or prior to December 31, 2024, June 30, 2025 and December 31, 2025,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2024 Credit Facility bears interest at a floating rate based upon the secured overnight financing rate (“SOFR”), plus a margin of 6.75% per annum. The SOFR is subject to a 3.75% floor. The 2024 Credit Facility contains representations and warranties, affirmative and negative covenants in each case. There is also no warrant coverage to the lenders and no financial covenants associated with the financing.</w:t>
      </w:r>
    </w:p>
    <w:p>
      <w:pPr>
        <w:pStyle w:val="TextBody"/>
        <w:bidi w:val="0"/>
        <w:spacing w:lineRule="auto" w:line="256" w:before="240" w:after="283"/>
        <w:jc w:val="left"/>
        <w:rPr>
          <w:rFonts w:ascii="Times New Roman;sans-serif" w:hAnsi="Times New Roman;sans-serif"/>
          <w:b/>
          <w:color w:val="000000"/>
          <w:sz w:val="20"/>
        </w:rPr>
      </w:pPr>
      <w:r>
        <w:rPr>
          <w:rFonts w:ascii="Times New Roman;sans-serif" w:hAnsi="Times New Roman;sans-serif"/>
          <w:b/>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$360.2 million and $244.7 million as of December 31, 2024 and 2023,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of $291.4 million as of December 31, 2024 is sufficient to fund our current and planned operations for at least the next twelve months from the date of filing this Annual Report on Form 10-K. We also have additional availability from our 2024 Credit Facility of $100.0 million contingent on maintaining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filed a shelf registration statement on Form S-3 that was declared effective by the SEC on November 21, 2023, (the "2023 Shelf Registration Statement"), which replaced the November 2021 Shelf Registration Statement, as defined below, and permits us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part of the 2023 Shelf Registration Statement, we concurrently filed the 2023 ATM Prospectus with Jefferies covering the sale of up to $100.0 million of our common stock pursuant to an Open Market Sales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we entered into with Jefferies in 2021 (the "ATM Sales Agreement"). Under the terms of the 2023 ATM Prospectus and ATM Sales Agreement, Jefferies will act as the Company's sales agent and is entitled to compensation for its services equal to 3% of the gross proceeds of any shares of common stock sold. We have not sold any shares of our common stock under the 2023 ATM Prospectus during the year ended December 31, 2024. In December 2023, we sold 1,000,000 shares of our common stock under the 2023 ATM Prospectus for $20.00 per share and received net proceeds of $19.2 million, after deducting broker commission and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filed a shelf registration statement on Form S-3 that was declared effective by the SEC on November 5, 2021 (the “2021 Shelf Registration Statement”), which permitted us to offer up to $300.0 million of common stock, preferred stock, debt securities and warrants in one or more offerings and in any combination, including in units from time to time. The 2023 Shelf Registration Statement replaced the 2021 Shelf Registration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73685"/>
                <wp:effectExtent l="0" t="0" r="0" b="0"/>
                <wp:wrapNone/>
                <wp:docPr id="119" name="Frame1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Also, as part of the 2021 Shelf Registration Statement, we concurrently filed a sales agreement prospectus (the “2021 ATM Prospectus”) covering the sale of up to $100.0 million of our common stock pursuant to an Open Market Sale Agreement</w:t>
      </w:r>
      <w:r>
        <w:rPr>
          <w:rFonts w:ascii="Times New Roman;sans-serif" w:hAnsi="Times New Roman;sans-serif"/>
          <w:b w:val="false"/>
          <w:color w:val="000000"/>
          <w:sz w:val="13"/>
        </w:rPr>
        <w:t>TM</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did not sell any shares of our common stock under the 2021 ATM Prospectus. In July 2023, in connection with the August 2023 Public Offering, we terminated the sales agreement prospectus relating to the 2021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Liquidity Risks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operating losses for the foreseeable future, and for these losses to further increase, as we expand our clinical development programs for our other product candidates and continue to commercialize XDEMVY. We may also encounter unforeseen expenses, difficulties, complications, delays and other currently unknown factors that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our 2024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73685"/>
                <wp:effectExtent l="0" t="0" r="0" b="0"/>
                <wp:wrapNone/>
                <wp:docPr id="120" name="Frame1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Annual Report on Form 10-K titled “Risk Factors” for additional risks associated with our substantial capital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arrangements that contractually obligate us to make payments that will affect our liquidity and cash flows in future periods. Such arrangements include those related to the contractual obligations described below:</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lease commitments reflect payments due for our active lease agreements in Irvine, California, for adjacent office and laboratory suites. In December 2024, we entered into a lease agreement for office space located in Irvine, California for a 10-year lease term. The lease payments are expected to commence in late 2025 following the earlier of: (i) eleven months following the lease execution date, or (ii) the date the Company commences its regular business activities at the premises following completion of tenant improvements. The base rent for the first year of the lease will be approximately $2.5 million and is subject to annual increases of 3% thereafter. The Company is entitled to an abatement of base rent for the first five full calendar months from the beginning of the lease commencement date for an aggregate amount of $0.7 million. As of December 31, 2024, our contractual commitments for our leases were $0.8 million, which will be paid over the remaining lease term of 0.8 years.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have entered into manufacturing supply agreements for the commercial supply of XDEMVY. These amounts do not represent all of our anticipated purchases, but instead represent the contractually obligated minimum purchases or firm commitments of non-cancelable minimum amounts, as follows:</w:t>
      </w:r>
    </w:p>
    <w:tbl>
      <w:tblPr>
        <w:tblW w:w="2164" w:type="dxa"/>
        <w:jc w:val="left"/>
        <w:tblInd w:w="0" w:type="dxa"/>
        <w:tblLayout w:type="fixed"/>
        <w:tblCellMar>
          <w:top w:w="28" w:type="dxa"/>
          <w:left w:w="28" w:type="dxa"/>
          <w:bottom w:w="28" w:type="dxa"/>
          <w:right w:w="28" w:type="dxa"/>
        </w:tblCellMar>
      </w:tblPr>
      <w:tblGrid>
        <w:gridCol w:w="304"/>
        <w:gridCol w:w="267"/>
        <w:gridCol w:w="270"/>
        <w:gridCol w:w="109"/>
        <w:gridCol w:w="109"/>
        <w:gridCol w:w="109"/>
        <w:gridCol w:w="196"/>
        <w:gridCol w:w="64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Milestone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terms of our Eye and Derm Elanco Agreement, All Human Uses Elanco Agreement, and Other In-License Agreement requires us to make future development milestone payments aggregating up to $9.0 million and future commercial and sales-based milestone payments aggregating up to $249.0 million upon our achievement of the specified milestones. The amount and timing of such obligations are unknown or uncertain as of December 31,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Statement of 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73685"/>
                <wp:effectExtent l="0" t="0" r="0" b="0"/>
                <wp:wrapNone/>
                <wp:docPr id="121" name="Frame1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tbl>
      <w:tblPr>
        <w:tblW w:w="6398" w:type="dxa"/>
        <w:jc w:val="left"/>
        <w:tblInd w:w="0" w:type="dxa"/>
        <w:tblLayout w:type="fixed"/>
        <w:tblCellMar>
          <w:top w:w="28" w:type="dxa"/>
          <w:left w:w="28" w:type="dxa"/>
          <w:bottom w:w="28" w:type="dxa"/>
          <w:right w:w="28" w:type="dxa"/>
        </w:tblCellMar>
      </w:tblPr>
      <w:tblGrid>
        <w:gridCol w:w="1373"/>
        <w:gridCol w:w="1202"/>
        <w:gridCol w:w="1219"/>
        <w:gridCol w:w="196"/>
        <w:gridCol w:w="811"/>
        <w:gridCol w:w="109"/>
        <w:gridCol w:w="109"/>
        <w:gridCol w:w="109"/>
        <w:gridCol w:w="109"/>
        <w:gridCol w:w="196"/>
        <w:gridCol w:w="81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$83.0 million for the year ended December 31, 2024, which primarily consisted of our net loss of $115.6 million, partially offset by net increases in non-cash and other charges of $28.7 million and net operating assets and liabilities of $3.8 million. The increase in net non-cash and other charges were primarily related to stock-based compensation expense of $27.8 million and a loss on debt extinguishment of $1.9 million. The increase in net operating assets and liabilities was primarily due to cash increases in accounts payable and other accrued liabilities of $40.3 million and $2.6 million of accrued payroll and benefits, partially offset by cash decreases including $30.1 million of accounts receivable, $7.0 million of prepaid expenses, and $2.0 million of inventory.</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$117.5 million for the year ended December 31, 2023, which primarily consisted of our net loss of $135.9 million, partially offset by net increases in non-cash and other charges of $18.1 million and net operating assets and liabilities of $0.3 million. The increase in net non-cash and other charges primarily related to stock-based compensation of $19.8 million. The increase in net operating assets and liabilities was primarily due to cash increases in accounts payable and other accrued liabilities of $13.2 million, accrued payroll and benefits of $7.7 million, partially offset by cash decreases including $16.6 million of account receivables, $2.9 million of prepaid expenses, and $0.7 million of other non-current assets.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$199.2 million for the year ended December 31, 2024, and consisted of (i) $262.6 million of purchased marketable securities, (ii) $3.0 million of purchased long-term investments, (iii) $5.0 million of intangible asset additions, and (iv) $1.6 million of purchased property, plant and equipment. These cash decreases were partially offset by $73.0 million of proceeds from maturities of marketable securities.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Net cash provided by investing activities was $140.6 million for the year ended December 31, 2023, </w:t>
      </w:r>
      <w:r>
        <w:rPr>
          <w:rFonts w:ascii="Times New Roman;sans-serif" w:hAnsi="Times New Roman;sans-serif"/>
          <w:b w:val="false"/>
          <w:color w:val="000000"/>
          <w:sz w:val="20"/>
          <w:shd w:fill="FFFFFF" w:val="clear"/>
        </w:rPr>
        <w:t xml:space="preserve">and consisted of </w:t>
      </w:r>
      <w:r>
        <w:rPr>
          <w:rFonts w:ascii="Times New Roman;sans-serif" w:hAnsi="Times New Roman;sans-serif"/>
          <w:b w:val="false"/>
          <w:color w:val="000000"/>
          <w:sz w:val="20"/>
        </w:rPr>
        <w:t>$174.8 million</w:t>
      </w:r>
      <w:r>
        <w:rPr>
          <w:color w:val="000000"/>
          <w:shd w:fill="FFFFFF" w:val="clear"/>
        </w:rPr>
        <w:t xml:space="preserve"> </w:t>
      </w:r>
      <w:r>
        <w:rPr>
          <w:rFonts w:ascii="Times New Roman;sans-serif" w:hAnsi="Times New Roman;sans-serif"/>
          <w:b w:val="false"/>
          <w:color w:val="000000"/>
          <w:sz w:val="20"/>
        </w:rPr>
        <w:t>of proceeds from maturities of marketable securities, partially offset by (i) $28.7 million of purchased marketable securities, (ii) $4.0 million of intangible asset additions, and (iii) $1.5 million of purchased property, plant and equipment.</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$154.7 million for the year ended December 31, 2024, and consisted of (i) $98.3 million of net proceeds from the issuance of common stock from our March 2024 Public Offering, (ii) $9.4 million from the issuance of pre-funded warrants related to the March 2024 Public Offering, (iii) $75.0 million of proceeds from an initial draw against our 2024 Credit Facility, (iv) $5.6 million of proceeds from the exercise of vested employee stock options, and (v) $1.8 million of proceeds from our Employee Stock Purchase Plan ("ESPP"). These increases to cash were partially offset by $31.9 million of debt extinguishment payments on the 2022 Credit Facility and $3.5 million of cash paid for loan issuance costs on the 2024 Credit Facility.</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$130.2 million for the year ended December 31, 2023, and consisted of (i) $99.4 million of net proceeds from the issuance of common stock from our August 2023 Public Offering, (ii) $19.2 million of net proceeds from common stock sold under the 2023 ATM Prospectus, (iii) $10.0 million of proceeds from our 2022 Credit Facility, (iv) $1.0 million of proceeds from our ESPP, and (v) $0.6 million of proceeds from the exercise of vested employee stock options.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the statement of cash flows for the year ended December 31, 2022, please refer to Part II, Item 7, "Management's Discussion and Analysis of Financial Condition and Results of Operations" in our Annual Report on Form 10-K for the year ended December 31, 2023, filed with the SEC on 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73685"/>
                <wp:effectExtent l="0" t="0" r="0" b="0"/>
                <wp:wrapNone/>
                <wp:docPr id="122" name="Frame1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Historically, revisions to our estimates have not resulted in a material change to the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the notes to our financial statements also included in this Annual Report on Form 10-K, we believe this critical accounting policy is the most important to understanding and evaluating our reported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Rebates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accrue rebates for contractually agreed-upon discounts with commercial payers and mandated discounts under government programs such as the Medicaid Drug Rebate Program, Medicare Part D Prescription Drug Program, and other government health care programs in the U.S. Our estimates for expected utilization of commercial payer rebates are based on data received from our customers. The estimates for rebates under government programs are based on statutory discount rates and expected utilization as well as historical data we have accumulated since product launch. We calculate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we may need to adjust accruals, which would affect product sales, net in the period of adjustment. An accrued liability is recorded for unpaid rebates related to product for which control has transferred to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is disclosed in the notes to which they relate within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73685"/>
                <wp:effectExtent l="0" t="0" r="0" b="0"/>
                <wp:wrapNone/>
                <wp:docPr id="123" name="Frame1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ind w:left="0" w:right="0" w:firstLine="990"/>
        <w:jc w:val="left"/>
        <w:rPr/>
      </w:pPr>
      <w:r>
        <w:rPr/>
      </w:r>
    </w:p>
    <w:p>
      <w:pPr>
        <w:pStyle w:val="TextBody"/>
        <w:bidi w:val="0"/>
        <w:spacing w:lineRule="auto" w:line="288" w:before="0" w:after="0"/>
        <w:ind w:left="0" w:right="0" w:hanging="9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risk inherent in our financial instruments and in our financial position represents the potential loss arising from adverse changes in interest rates. As of December 31, 2024, we had cash, cash equivalents and marketable securities of $291.4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cash equivalents and marketable securities.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$75.0 million of debt principal outstanding. Our 2024 Credit Facility accrues interest at a floating rate based upon the secured overnight financing rate (“SOFR”), plus a margin of 6.75% per annum. The SOFR is subject to a 3.75% floor. As a result, we are exposed to risks related to our indebtedness from changes in interest rates. We do not believe that a hypothetical 100 basis point increase or decrease in the applicable interest rate would have had a significant impact on our interest expense for the year ended December 31, 2024.</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Inflation, interest rate changes, and foreign currency exchange rate fluctuations did not have a significant impact on our results of operations for any periods presented herein. However, with further inflationary pressures, certain significant increased costs could have an adverse impact on the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73685"/>
                <wp:effectExtent l="0" t="0" r="0" b="0"/>
                <wp:wrapNone/>
                <wp:docPr id="124" name="Frame1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6136" w:type="dxa"/>
        <w:jc w:val="center"/>
        <w:tblInd w:w="0" w:type="dxa"/>
        <w:tblLayout w:type="fixed"/>
        <w:tblCellMar>
          <w:top w:w="28" w:type="dxa"/>
          <w:left w:w="28" w:type="dxa"/>
          <w:bottom w:w="28" w:type="dxa"/>
          <w:right w:w="28" w:type="dxa"/>
        </w:tblCellMar>
      </w:tblPr>
      <w:tblGrid>
        <w:gridCol w:w="2016"/>
        <w:gridCol w:w="1769"/>
        <w:gridCol w:w="1780"/>
        <w:gridCol w:w="167"/>
        <w:gridCol w:w="167"/>
        <w:gridCol w:w="237"/>
      </w:tblGrid>
      <w:tr>
        <w:trPr/>
        <w:tc>
          <w:tcPr>
            <w:tcW w:w="201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94">
              <w:r>
                <w:rPr>
                  <w:rStyle w:val="InternetLink"/>
                  <w:rFonts w:ascii="Times New Roman;sans-serif" w:hAnsi="Times New Roman;sans-serif"/>
                  <w:b w:val="false"/>
                  <w:color w:val="0000FF"/>
                  <w:sz w:val="18"/>
                  <w:u w:val="single"/>
                </w:rPr>
                <w:t>Report of Independent Registered Public Accounting Firm</w:t>
              </w:r>
            </w:hyperlink>
            <w:r>
              <w:rPr>
                <w:color w:val="000000"/>
              </w:rPr>
              <w:t xml:space="preserve"> </w:t>
            </w:r>
            <w:r>
              <w:rPr>
                <w:rFonts w:ascii="Times New Roman;sans-serif" w:hAnsi="Times New Roman;sans-serif"/>
                <w:b w:val="false"/>
                <w:color w:val="000000"/>
                <w:sz w:val="18"/>
              </w:rPr>
              <w:t>(PCAOB ID: 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fdc2d09541e4fa8a41f33573472039a_94">
              <w:r>
                <w:rPr>
                  <w:rStyle w:val="InternetLink"/>
                  <w:rFonts w:ascii="Times New Roman;sans-serif" w:hAnsi="Times New Roman;sans-serif"/>
                  <w:b w:val="false"/>
                  <w:color w:val="0000FF"/>
                  <w:sz w:val="18"/>
                  <w:u w:val="single"/>
                </w:rPr>
                <w:t>115</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97">
              <w:r>
                <w:rPr>
                  <w:rStyle w:val="InternetLink"/>
                  <w:rFonts w:ascii="Times New Roman;sans-serif" w:hAnsi="Times New Roman;sans-serif"/>
                  <w:b w:val="false"/>
                  <w:color w:val="0000FF"/>
                  <w:sz w:val="18"/>
                  <w:u w:val="single"/>
                </w:rPr>
                <w:t>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dc2d09541e4fa8a41f33573472039a_97">
              <w:r>
                <w:rPr>
                  <w:rStyle w:val="InternetLink"/>
                  <w:rFonts w:ascii="Times New Roman;sans-serif" w:hAnsi="Times New Roman;sans-serif"/>
                  <w:b w:val="false"/>
                  <w:color w:val="0000FF"/>
                  <w:sz w:val="18"/>
                  <w:u w:val="single"/>
                </w:rPr>
                <w:t>117</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0">
              <w:r>
                <w:rPr>
                  <w:rStyle w:val="InternetLink"/>
                  <w:rFonts w:ascii="Times New Roman;sans-serif" w:hAnsi="Times New Roman;sans-serif"/>
                  <w:b w:val="false"/>
                  <w:color w:val="0000FF"/>
                  <w:sz w:val="18"/>
                  <w:u w:val="single"/>
                </w:rPr>
                <w:t>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dc2d09541e4fa8a41f33573472039a_100">
              <w:r>
                <w:rPr>
                  <w:rStyle w:val="InternetLink"/>
                  <w:rFonts w:ascii="Times New Roman;sans-serif" w:hAnsi="Times New Roman;sans-serif"/>
                  <w:b w:val="false"/>
                  <w:color w:val="0000FF"/>
                  <w:sz w:val="18"/>
                  <w:u w:val="single"/>
                </w:rPr>
                <w:t>118</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3">
              <w:r>
                <w:rPr>
                  <w:rStyle w:val="InternetLink"/>
                  <w:rFonts w:ascii="Times New Roman;sans-serif" w:hAnsi="Times New Roman;sans-serif"/>
                  <w:b w:val="false"/>
                  <w:color w:val="0000FF"/>
                  <w:sz w:val="18"/>
                  <w:u w:val="single"/>
                </w:rPr>
                <w:t>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dc2d09541e4fa8a41f33573472039a_103">
              <w:r>
                <w:rPr>
                  <w:rStyle w:val="InternetLink"/>
                  <w:rFonts w:ascii="Times New Roman;sans-serif" w:hAnsi="Times New Roman;sans-serif"/>
                  <w:b w:val="false"/>
                  <w:color w:val="0000FF"/>
                  <w:sz w:val="18"/>
                  <w:u w:val="single"/>
                </w:rPr>
                <w:t>119</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6">
              <w:r>
                <w:rPr>
                  <w:rStyle w:val="InternetLink"/>
                  <w:rFonts w:ascii="Times New Roman;sans-serif" w:hAnsi="Times New Roman;sans-serif"/>
                  <w:b w:val="false"/>
                  <w:color w:val="0000FF"/>
                  <w:sz w:val="18"/>
                  <w:u w:val="single"/>
                </w:rPr>
                <w:t>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dc2d09541e4fa8a41f33573472039a_106">
              <w:r>
                <w:rPr>
                  <w:rStyle w:val="InternetLink"/>
                  <w:rFonts w:ascii="Times New Roman;sans-serif" w:hAnsi="Times New Roman;sans-serif"/>
                  <w:b w:val="false"/>
                  <w:color w:val="0000FF"/>
                  <w:sz w:val="18"/>
                  <w:u w:val="single"/>
                </w:rPr>
                <w:t>120</w:t>
              </w:r>
            </w:hyperlink>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dc2d09541e4fa8a41f33573472039a_109">
              <w:r>
                <w:rPr>
                  <w:rStyle w:val="InternetLink"/>
                  <w:rFonts w:ascii="Times New Roman;sans-serif" w:hAnsi="Times New Roman;sans-serif"/>
                  <w:b w:val="false"/>
                  <w:color w:val="0000FF"/>
                  <w:sz w:val="18"/>
                  <w:u w:val="single"/>
                </w:rPr>
                <w:t>Notes to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dc2d09541e4fa8a41f33573472039a_109">
              <w:r>
                <w:rPr>
                  <w:rStyle w:val="InternetLink"/>
                  <w:rFonts w:ascii="Times New Roman;sans-serif" w:hAnsi="Times New Roman;sans-serif"/>
                  <w:b w:val="false"/>
                  <w:color w:val="0000FF"/>
                  <w:sz w:val="18"/>
                  <w:u w:val="single"/>
                </w:rPr>
                <w:t>121</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73685"/>
                <wp:effectExtent l="0" t="0" r="0" b="0"/>
                <wp:wrapNone/>
                <wp:docPr id="125" name="Frame1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0"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Tarsus Pharmaceuticals, Inc. </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balance sheets of Tarsus Pharmaceuticals, Inc. (the Company) as of December 31, 2024 and 2023, the related statements of operations and comprehensive loss,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0"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433"/>
        <w:gridCol w:w="381"/>
        <w:gridCol w:w="383"/>
        <w:gridCol w:w="109"/>
        <w:gridCol w:w="109"/>
        <w:gridCol w:w="109"/>
        <w:gridCol w:w="2598"/>
        <w:gridCol w:w="2518"/>
        <w:gridCol w:w="3565"/>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Accrued Commercial and Government Rebates Impacted by Estimated Payer Mix</w:t>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2 to the financial statements, where appropriate, the Company utilizes the expected value method to estimate variable consideration based on factors such as current contractual and statutory requirements, specific known market events and trends, industry data and forecasted customer buying and payment patterns. The Company accrues variable consideration for rebates for contractually agreed-upon discounts with commercial payers and mandated discounts under government programs such as the Medicaid Drug Rebate Program, Medicare Part D Prescription Drug Program, and other government health care programs in the U.S. The Company calculates the accruals for commercial and government rebates based on various assumptions, including payer mix, with actual rebates potentially requiring accrual adjustments affecting net product sales. </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estimated payer mix used in the calculation of the accrued commercial and government rebates was especially challenging because it involved subjective management assumptions based on variability of rebates with commercial payers and government programs. Changes in the payer mix assumptions could have a material impact on the accrued commercial and government rebates.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26"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tbl>
      <w:tblPr>
        <w:tblW w:w="10205" w:type="dxa"/>
        <w:jc w:val="left"/>
        <w:tblInd w:w="0" w:type="dxa"/>
        <w:tblLayout w:type="fixed"/>
        <w:tblCellMar>
          <w:top w:w="28" w:type="dxa"/>
          <w:left w:w="28" w:type="dxa"/>
          <w:bottom w:w="28" w:type="dxa"/>
          <w:right w:w="28" w:type="dxa"/>
        </w:tblCellMar>
      </w:tblPr>
      <w:tblGrid>
        <w:gridCol w:w="508"/>
        <w:gridCol w:w="446"/>
        <w:gridCol w:w="448"/>
        <w:gridCol w:w="109"/>
        <w:gridCol w:w="109"/>
        <w:gridCol w:w="109"/>
        <w:gridCol w:w="2480"/>
        <w:gridCol w:w="2480"/>
        <w:gridCol w:w="3516"/>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management’s payer mix assumptions, our audit procedures included, among others, comparing management’s estimate to our independently developed expectation based on historical results and inquiring of sales and marketing personnel. We performed a sensitivity analysis to evaluate the impact of changes in management’s estimated payer mix on the accrued commercial and government rebates. Additionally, we compared the accrued rebates, based on the estimated payer mix, to actual rebate invoices received in the subsequent period.</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27"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75"/>
        <w:gridCol w:w="2441"/>
        <w:gridCol w:w="2334"/>
        <w:gridCol w:w="196"/>
        <w:gridCol w:w="736"/>
        <w:gridCol w:w="109"/>
        <w:gridCol w:w="109"/>
        <w:gridCol w:w="109"/>
        <w:gridCol w:w="109"/>
        <w:gridCol w:w="196"/>
        <w:gridCol w:w="736"/>
        <w:gridCol w:w="155"/>
      </w:tblGrid>
      <w:tr>
        <w:trPr/>
        <w:tc>
          <w:tcPr>
            <w:tcW w:w="297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9</w:t>
            </w:r>
            <w:r>
              <w:rPr>
                <w:rFonts w:ascii="Times New Roman;sans-serif" w:hAnsi="Times New Roman;sans-serif"/>
                <w:b/>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no shares issued and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38,349,826 shares issued and outstanding at December 31, 2024; 34,211,190 shares issued and outstanding at December 31, 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376,991 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28"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8921" w:type="dxa"/>
        <w:jc w:val="center"/>
        <w:tblInd w:w="0" w:type="dxa"/>
        <w:tblLayout w:type="fixed"/>
        <w:tblCellMar>
          <w:top w:w="28" w:type="dxa"/>
          <w:left w:w="28" w:type="dxa"/>
          <w:bottom w:w="28" w:type="dxa"/>
          <w:right w:w="28" w:type="dxa"/>
        </w:tblCellMar>
      </w:tblPr>
      <w:tblGrid>
        <w:gridCol w:w="1782"/>
        <w:gridCol w:w="1564"/>
        <w:gridCol w:w="1574"/>
        <w:gridCol w:w="196"/>
        <w:gridCol w:w="811"/>
        <w:gridCol w:w="109"/>
        <w:gridCol w:w="109"/>
        <w:gridCol w:w="109"/>
        <w:gridCol w:w="109"/>
        <w:gridCol w:w="196"/>
        <w:gridCol w:w="811"/>
        <w:gridCol w:w="109"/>
        <w:gridCol w:w="109"/>
        <w:gridCol w:w="109"/>
        <w:gridCol w:w="109"/>
        <w:gridCol w:w="219"/>
        <w:gridCol w:w="742"/>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marketable securities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37,604,538 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29,383,276 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24,619,700 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29"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789"/>
        <w:gridCol w:w="452"/>
        <w:gridCol w:w="453"/>
        <w:gridCol w:w="109"/>
        <w:gridCol w:w="109"/>
        <w:gridCol w:w="131"/>
        <w:gridCol w:w="131"/>
        <w:gridCol w:w="493"/>
        <w:gridCol w:w="468"/>
        <w:gridCol w:w="132"/>
        <w:gridCol w:w="109"/>
        <w:gridCol w:w="109"/>
        <w:gridCol w:w="109"/>
        <w:gridCol w:w="297"/>
        <w:gridCol w:w="365"/>
        <w:gridCol w:w="166"/>
        <w:gridCol w:w="190"/>
        <w:gridCol w:w="190"/>
        <w:gridCol w:w="191"/>
        <w:gridCol w:w="227"/>
        <w:gridCol w:w="853"/>
        <w:gridCol w:w="126"/>
        <w:gridCol w:w="109"/>
        <w:gridCol w:w="109"/>
        <w:gridCol w:w="109"/>
        <w:gridCol w:w="235"/>
        <w:gridCol w:w="505"/>
        <w:gridCol w:w="131"/>
        <w:gridCol w:w="109"/>
        <w:gridCol w:w="109"/>
        <w:gridCol w:w="109"/>
        <w:gridCol w:w="196"/>
        <w:gridCol w:w="755"/>
        <w:gridCol w:w="109"/>
        <w:gridCol w:w="109"/>
        <w:gridCol w:w="109"/>
        <w:gridCol w:w="109"/>
        <w:gridCol w:w="196"/>
        <w:gridCol w:w="736"/>
        <w:gridCol w:w="162"/>
      </w:tblGrid>
      <w:tr>
        <w:trPr/>
        <w:tc>
          <w:tcPr>
            <w:tcW w:w="78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c>
          <w:tcPr>
            <w:tcW w:w="1421"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2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20,698,737 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$5.3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5,889,832 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repurchase obligation for stock option exercises, prior to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$6.9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6,069,449 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an at-the-market sale agreement, net of issuance costs of $0.8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34,211,190 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$6.7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pre-funded warrants, net of issuance costs of $0.6 million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38,349,826 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584,559 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224,534 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30"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TARSUS PHARMACEUTICALS, INC.</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315"/>
        <w:gridCol w:w="1976"/>
        <w:gridCol w:w="1992"/>
        <w:gridCol w:w="196"/>
        <w:gridCol w:w="798"/>
        <w:gridCol w:w="109"/>
        <w:gridCol w:w="109"/>
        <w:gridCol w:w="109"/>
        <w:gridCol w:w="109"/>
        <w:gridCol w:w="196"/>
        <w:gridCol w:w="798"/>
        <w:gridCol w:w="109"/>
        <w:gridCol w:w="109"/>
        <w:gridCol w:w="109"/>
        <w:gridCol w:w="109"/>
        <w:gridCol w:w="196"/>
        <w:gridCol w:w="708"/>
        <w:gridCol w:w="158"/>
      </w:tblGrid>
      <w:tr>
        <w:trPr/>
        <w:tc>
          <w:tcPr>
            <w:tcW w:w="2315"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Amortization/accretion of debt-related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debt extinguishment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amortization/accretion on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Realized/unrealized loss (gain) on equity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equity warrants issued by licensee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(49,030)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and maturities of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long-term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(144,629)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net of paid issuance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pre-funded warrants, net of paid issuance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an at-the-market sales agreement, net of paid issuance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debt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extinguishment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common stock under employee stock purchase plan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deferred offering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increase in cash, cash equivalents and restricted cash</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(99,672)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beginning of period</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From Noncash, Investing and Financing Activities:</w:t>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modification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paid in cash</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6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Additions of property and equipment included within accounts payable and other accrued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Offering costs included within accounts payable and other accrued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31"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(lotilaner ophthalmic solution) 0.25%, formerly known as TP-03, for the treatment of Demodex blepharitis, in August 2023, after receiving United States ("U.S.") Food and Drug Administration ("FDA") approval in July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filed an automatic shelf registration on Form S-3 ASR (the "2024 Shelf Registration Statement"). In March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December 31, 2024, 312,500 of pre-funded warrants are exercisable. The Company also granted the underwriters a 30-day option to purchase up to 468,750 additional shares of its common stock at the public offering price of $32.00 per share, which the underwriters exercised in full and was completed in March 2024. The aggregate net proceeds received by the Company were $107.7 million, after deducting underwriting discounts, commissions, and other estimated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 completed a follow-on public offering under its shelf registration statement on Form S-3 (the "2021 Shelf Registration Statement") of 5,714,285 shares of common stock at a public offering price of $17.50 per share. In September 2023, the underwriters partially exercised the underwriters' option to purchase additional shares resulting in the Company's issuance of an additional 355,164 shares of common stock at the public offering price of $17.50 per share. The aggregate net proceeds received by the Company were $99.3 million, after deducting underwriting discounts, commissions, and other offering-related expenses.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completed a follow-on public offering under the 2021 Shelf Registration Statement for an initial underwritten sale of 5,600,000 shares of its common stock at the public offering price of $13.50 per share. The Company also granted the underwriters a 30-day option to purchase up to 840,000 additional shares of its common stock at the public offering price, which the underwriters partially exercised in June 2022 for an additional 289,832 shares at the public offering price of $13.50 per share. Total aggregate net proceeds received by the Company were $74.2 million, after deducting underwriting discounts, commissions, and other offering-related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(the "2021 ATM Prospectus"). Under the terms of the 2023 ATM Prospectus, Jefferies will act as the Company's sales agent and is entitled to compensation for its services equal to 3% of the gross proceeds of any shares of common stock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32"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there were no sales of the Company's common stock pursuant to the 2023 ATM Prospectus. During the year ended December 31, 2023, the Company sold 1,000,000 shares of common stock under the 2023 ATM Prospectus for net proceeds of $19.2 million, after deducting broker commissions and offering-related expenses. During the year ended December 31, 2022, there were no sales of the Company's common stock pursuant to the 2021 ATM Prospectus.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has a limited operating history, limited history of product sales and has accumulated losses and negative cash flows from operations since inception. The Company has funded its inception-to-date operations through the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Pharmakon Advisors, LP ("Pharmakon") and the previous loan and security agreement with Hercules Capital, Inc. ("Hercules") and Silicon Valley Bank, a division of First-Citizens Bank &amp; Trust Company ("SVB") (collectively, the "Credit Facilities").</w:t>
      </w:r>
      <w:r>
        <w:rPr>
          <w:color w:val="000000"/>
        </w:rPr>
        <w:t xml:space="preserve"> </w:t>
      </w:r>
      <w:r>
        <w:rPr>
          <w:rFonts w:ascii="Times New Roman;sans-serif" w:hAnsi="Times New Roman;sans-serif"/>
          <w:b w:val="false"/>
          <w:color w:val="000000"/>
          <w:sz w:val="20"/>
        </w:rPr>
        <w:t>The Company estimates that its existing capital resources will be sufficient to meet projected operating expense requirements and other liquidity needs for at least 12 months from the issuance date of the accompanying Financial Statements that have been prepared on a going-concern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Use of Estimates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generally accepted accounting principles (“GAAP”) in the U.S. and with the rules and regulations of the SEC. The preparation of financial statements in conformity with GAAP and with the rules and regulations of the SEC requires management to make informed estimates and assumptions that affect the amounts reported in these accompanying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the recognition of revenue, clinical trial accruals, contract manufacturing accruals, expected demand for inventory, fair value of assets and liabilities, income taxes, and stock-based compensation. Management bases its estimates on historical experience and various other market-specific and relevant assumptions that management believes to be reasonable under the circumstances. Actual results could differ materially from those estimates and assumptions used in the preparation of the accompanying Financial Statements under different assumptions and conditions.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as of and for the year ended December 31, 2024 reflect the Company’s estimates of the impact of the macroeconomic and geopolitical environment, including the impact of inflation,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33"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and estimates that most significantly impact the presented amounts within these accompanying Financial Statements are further described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Balance Sheets for cash and cash equivalents are valued at cost, which approximate their fair value.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As of December 31, 2024, the Company held $2.6 million of restricted cash as collateral for a letter of credit related to the Company's new office space lease that was executed in December 2024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The restricted cash will be held for longer than one year and is reported in non-current assets on the accompanying Balance Sheet.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are recorded at fair value with unrealized gains and losses reported as a component of accumulated other comprehensive income (loss) within the accompanying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in the accompanying Statements of Operations and Comprehensive Loss. The Company evaluates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Statements of Operations and Comprehensive Loss.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April 2024, the Company made a preferred stock investment in a privately-held eye care company which does not meet the criteria for in-substance common stock. This preferred stock investment is included in long-term investments in the accompanying Balance Sheet given the Company's intent to hold these securities for longer than one year. In accordance with the measurement alternative under the Accounting Standards Codification 321,</w:t>
      </w:r>
      <w:r>
        <w:rPr>
          <w:color w:val="000000"/>
        </w:rPr>
        <w:t xml:space="preserve"> </w:t>
      </w:r>
      <w:r>
        <w:rPr>
          <w:rFonts w:ascii="Times New Roman;sans-serif" w:hAnsi="Times New Roman;sans-serif"/>
          <w:b w:val="false"/>
          <w:i/>
          <w:color w:val="000000"/>
          <w:sz w:val="20"/>
        </w:rPr>
        <w:t>Investments— Equity Securities</w:t>
      </w:r>
      <w:r>
        <w:rPr>
          <w:rFonts w:ascii="Times New Roman;sans-serif" w:hAnsi="Times New Roman;sans-serif"/>
          <w:b w:val="false"/>
          <w:color w:val="000000"/>
          <w:sz w:val="20"/>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Statements of Operations and Comprehensive Loss. As of December 31, 2024, there have been no observable transactions or impairment indicators that would result in a change to the fair value of the Company's preferred stock investment. As of December 31, 2023, there were no preferred stock investments.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LianBio common stock was classified as long-term investments due to the Company's intent at that time to hold these shares for longer than one year. These equity securities were designated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34"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with associated unrealized gains or losses reported in other income (expense) within the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as of and during the years ended December 31, 2024 and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Inventories include the costs of material, third-party manufacturing costs, packaging services, and freight-in. Cost is determined on a first-in, first-out basis.</w:t>
      </w:r>
      <w:r>
        <w:rPr>
          <w:color w:val="000000"/>
        </w:rPr>
        <w:t xml:space="preserve"> </w:t>
      </w:r>
      <w:r>
        <w:rPr>
          <w:rFonts w:ascii="Times New Roman;sans-serif" w:hAnsi="Times New Roman;sans-serif"/>
          <w:b w:val="false"/>
          <w:color w:val="000000"/>
          <w:sz w:val="20"/>
        </w:rPr>
        <w:t>Inventory is measured at the lower-of-cost and net realizable value, based on a number of factors including, but not limited to, damage, expiration, or changes in price level.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Statements of Operations and Comprehensive Loss as incurred, as long as they do not have an alternative use. Prior to FDA approval of XDEMVY in July 2023, costs related to the production of such inventory were recorded as research and development expense on the Statements of Operations and Comprehensive Loss in the period incurred. The Company evaluates inventory levels that would be sold within one year. The portion of inventory that is not expected to be sold or used within one year is classified as inventory, non-current in the accompanying Balance Sheet.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achieving certain commercial milestones was $8.3 million and $3.9 million as of December 31, 2024 and 2023, respectively. Intangible assets are amortized to cost of sales over the remaining useful life of 8.7 years as of December 31, 2024, with an initial useful life of 10 years from the date of first commercial sale (see </w:t>
      </w:r>
      <w:r>
        <w:rPr>
          <w:rFonts w:ascii="Times New Roman;sans-serif" w:hAnsi="Times New Roman;sans-serif"/>
          <w:b w:val="false"/>
          <w:i/>
          <w:color w:val="000000"/>
          <w:sz w:val="20"/>
        </w:rPr>
        <w:t>Note 9</w:t>
      </w:r>
      <w:r>
        <w:rPr>
          <w:rFonts w:ascii="Times New Roman;sans-serif" w:hAnsi="Times New Roman;sans-serif"/>
          <w:b w:val="false"/>
          <w:color w:val="000000"/>
          <w:sz w:val="20"/>
        </w:rPr>
        <w:t>). Amortization expense for the years ended December 31, 2024 and 2023 were $0.5 million and $0.1 million, respectively. Accumulated amortization was $0.7 million and $0.1 million as of December 31, 2024 and 2023, respectively. The Company had no intangible assets or amortization expense as of and during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35"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of December 31, 2024, the expected future amortization expense for the Company's intangible assets is as follows:</w:t>
      </w:r>
      <w:r>
        <w:rPr>
          <w:color w:val="000000"/>
        </w:rPr>
        <w:t xml:space="preserve"> </w:t>
      </w:r>
    </w:p>
    <w:tbl>
      <w:tblPr>
        <w:tblW w:w="3137" w:type="dxa"/>
        <w:jc w:val="left"/>
        <w:tblInd w:w="0" w:type="dxa"/>
        <w:tblLayout w:type="fixed"/>
        <w:tblCellMar>
          <w:top w:w="28" w:type="dxa"/>
          <w:left w:w="28" w:type="dxa"/>
          <w:bottom w:w="28" w:type="dxa"/>
          <w:right w:w="28" w:type="dxa"/>
        </w:tblCellMar>
      </w:tblPr>
      <w:tblGrid>
        <w:gridCol w:w="688"/>
        <w:gridCol w:w="603"/>
        <w:gridCol w:w="613"/>
        <w:gridCol w:w="109"/>
        <w:gridCol w:w="109"/>
        <w:gridCol w:w="109"/>
        <w:gridCol w:w="196"/>
        <w:gridCol w:w="55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future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Long-lived intangible assets are evaluated for impairment whenever events or changes in circumstances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Statements of Operations and Comprehensive Loss. There have been no impairments of intangible assets for the years ended December 31,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36"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years ended December 31, 2024, 2023, and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and evaluates each lease agreement to determine whether the lease is an operating or finance lease. Right-of-use assets (“ROU assets”) represent the Company’s right to control an underlying asset for the lease term and lease liabilities represent the Company’s obligation to make lease payments arising from the lease. ROU assets and liabilities are recognized at the lease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Balance Sheets. The current and noncurrent portion of the operating lease liability are included in accounts payable and other accrued liabilities and other long-term liabilities, respectively, in the accompanying Balance Sheets. Rent expense is allocated to research and development and general and administrative expenses in the accompanying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Risk</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agreements with certain limited specialty pharmacies and specialty distributors for the sale of XDEMVY in the U.S. Major customers are defined as customers that individually accounted for greater than 10%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37"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revenue. The following table presents each major customer that accounted for more than 10% of its gross product sales:</w:t>
      </w:r>
    </w:p>
    <w:tbl>
      <w:tblPr>
        <w:tblW w:w="4666" w:type="dxa"/>
        <w:jc w:val="left"/>
        <w:tblInd w:w="0" w:type="dxa"/>
        <w:tblLayout w:type="fixed"/>
        <w:tblCellMar>
          <w:top w:w="28" w:type="dxa"/>
          <w:left w:w="28" w:type="dxa"/>
          <w:bottom w:w="28" w:type="dxa"/>
          <w:right w:w="28" w:type="dxa"/>
        </w:tblCellMar>
      </w:tblPr>
      <w:tblGrid>
        <w:gridCol w:w="1131"/>
        <w:gridCol w:w="993"/>
        <w:gridCol w:w="996"/>
        <w:gridCol w:w="165"/>
        <w:gridCol w:w="166"/>
        <w:gridCol w:w="256"/>
        <w:gridCol w:w="109"/>
        <w:gridCol w:w="109"/>
        <w:gridCol w:w="109"/>
        <w:gridCol w:w="165"/>
        <w:gridCol w:w="166"/>
        <w:gridCol w:w="30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revenue from major customers</w:t>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Represents less than 10% of respective balance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each major customer that accounted for more than 10% of its accounts receivable, net:</w:t>
      </w:r>
    </w:p>
    <w:tbl>
      <w:tblPr>
        <w:tblW w:w="5130" w:type="dxa"/>
        <w:jc w:val="left"/>
        <w:tblInd w:w="0" w:type="dxa"/>
        <w:tblLayout w:type="fixed"/>
        <w:tblCellMar>
          <w:top w:w="28" w:type="dxa"/>
          <w:left w:w="28" w:type="dxa"/>
          <w:bottom w:w="28" w:type="dxa"/>
          <w:right w:w="28" w:type="dxa"/>
        </w:tblCellMar>
      </w:tblPr>
      <w:tblGrid>
        <w:gridCol w:w="1267"/>
        <w:gridCol w:w="1112"/>
        <w:gridCol w:w="1115"/>
        <w:gridCol w:w="165"/>
        <w:gridCol w:w="166"/>
        <w:gridCol w:w="256"/>
        <w:gridCol w:w="109"/>
        <w:gridCol w:w="109"/>
        <w:gridCol w:w="109"/>
        <w:gridCol w:w="209"/>
        <w:gridCol w:w="212"/>
        <w:gridCol w:w="30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E</w:t>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from major customers</w:t>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Represents less than 10% of respective balance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concentration of credit risk in its accounts receivable is mitigated by its credit evaluation process, relatively short collection terms, and the level of credit worthiness of its customers.</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Suppliers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own manufacturing facilities and depends on an outsourced manufacturing strategy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net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XDEMVY to customers in the U.S., which became available for commercial sale during the third quarter of 2023. The Company sells XDEMVY to a limited number of specialty pharmacies and distributors (i.e.,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38"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product sales are recorded at the net sales price, or the transaction price, which may include fixed or variable consideration for (i) invoice discounts for prompt payment and distribution service fees, (ii) commercial and government rebates, chargebacks, discounts and fees, (iii) product returns and (iv) costs of co-pay assistance programs for patients, as 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discount rates,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 xml:space="preserve">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Product Returns: </w:t>
      </w:r>
      <w:r>
        <w:rPr>
          <w:rFonts w:ascii="Times New Roman;sans-serif" w:hAnsi="Times New Roman;sans-serif"/>
          <w:b w:val="false"/>
          <w:color w:val="000000"/>
          <w:sz w:val="20"/>
        </w:rPr>
        <w:t>The Company's customers are contractually permitted to return the product within the contractual allowable time before 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the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w:t>
      </w:r>
      <w:r>
        <w:rPr>
          <w:color w:val="000000"/>
        </w:rPr>
        <w:t xml:space="preserve"> </w:t>
      </w:r>
      <w:r>
        <w:rPr>
          <w:rFonts w:ascii="Times New Roman;sans-serif" w:hAnsi="Times New Roman;sans-serif"/>
          <w:b w:val="false"/>
          <w:color w:val="000000"/>
          <w:sz w:val="20"/>
        </w:rPr>
        <w:t xml:space="preserve">The Company accrues rebates for contractually agreed-upon discounts with commercial payers and mandated discounts under government programs such as the Medicaid Drug Rebate Program, Medicare Part D Prescription Drug Program, and other government health care programs in the U.S. The Company's estimates for expected utilization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39"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payer rebates are based on data received from its customers. The estimates for rebates under government programs are based on statutory discount rates and expected utilization as well as historical data the Company has accumulated since product launch. The Company calculates the accruals for commercial and government rebates based on various assumptions, including payer mix, with actual rebates potentially requiring accrual adjustments affecting product sales, net. Rebates are generally invoiced and paid in arrears so that the accrual balance consists of an estimate of the amount expected to be incurred for the current period's activity, plus an accrual balance for known prior periods’ unpaid rebates. If actual rebates vary from estimates, the Company may need to adjust accruals, which would affect product sales, net in the period of adjustment. An accrued liability is recorded for unpaid rebates related to product for which control has transferred to the customer.</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(ii) License Fees and Collaboration Revenue</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License fees and collaboration revenue in the accompanying Statements of Operations and Comprehensive Loss have historically related to the China Out-License that allows the third-party licensee to market the Company's TP-03 product candidate (representing functional intellectual property) in the People's Republic of China, Hong Kong, Macau, and Taiwan (the "China Territory")—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 xml:space="preserve">.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China Out-License arrangement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terms that establish the Company’s right to collect specified amounts from its customers and that require contemporaneous evaluation and documentation under GAAP for the corresponding timing and amount of revenue recognition, are as follows: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w:t>
      </w:r>
      <w:r>
        <w:rPr>
          <w:color w:val="000000"/>
        </w:rPr>
        <w:t xml:space="preserve"> </w:t>
      </w:r>
      <w:r>
        <w:rPr>
          <w:rFonts w:ascii="Times New Roman;sans-serif" w:hAnsi="Times New Roman;sans-serif"/>
          <w:b w:val="false"/>
          <w:color w:val="000000"/>
          <w:sz w:val="20"/>
        </w:rPr>
        <w:t xml:space="preserve">The Company also evaluates whether it has any other requirements to provide substantive services that are inseparable from the performance obligation of the license transfer to determine whether any combined performance obligation is satisfied over time or at a point in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40"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Threshold Milestones:</w:t>
      </w:r>
      <w:r>
        <w:rPr>
          <w:color w:val="000000"/>
        </w:rPr>
        <w:t xml:space="preserve"> </w:t>
      </w:r>
      <w:r>
        <w:rPr>
          <w:rFonts w:ascii="Times New Roman;sans-serif" w:hAnsi="Times New Roman;sans-serif"/>
          <w:b w:val="false"/>
          <w:color w:val="000000"/>
          <w:sz w:val="20"/>
        </w:rPr>
        <w:t xml:space="preserve">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freight-in, third-party royalties payable on the Company’s product sales, net and amortization of capitalized intangible assets associated with XDEMVY. Cost of sales also includes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Statements of Operations and Comprehensive Loss. As of December 31, 2024 the Company has sold materially all inventory that was recorded to research and development expenses prior to FDA approval of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the Company's commercial launch starting in August 2023, consulting fees, legal services, rent and other facilities costs, patient assistance donations, the U.S. healthcare reform federal excise fee on Branded Prescription Pharmaceutical Manufacturers and Importers, and other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41"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not otherwise classified as research and development expenses. Advertising costs are expensed as incurred and were $29.8 million and $9.4 million for the years ended December 31, 2024 and 2023, respectively. There were no advertising costs incurred for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42"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of the fair value of stock option awards and recognition of stock-based compensation expense requires assumptions to be estimated by management that involve inherent uncertainties and the application of management’s judgment, including (i) the fair value of the Company’s common stock on the date of the option grant for all awards granted prior to the IPO, (ii) the expected term of the stock option until its exercise by the recipient, (iii) stock price volatility over the expected term, (iv) the prevailing risk-free interest rate over the expected term, and (v) expected dividend payments over the expected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 xml:space="preserve">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 </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144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 xml:space="preserve">The Company’s expected dividend yield is zero because it has never paid cash dividends and does not expect to for the foreseeable future.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43"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unrecognized tax benefits, if any, are recorded as a component of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represents (i) net loss for the periods presented, and (ii) unrealized gains or losses on the Company's reported marketable securities and cash equivalents.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Outside of the pronouncements below, other recent accounting pronouncements not disclosed in these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November 2023, the Financial Accounting Standards Board ("FASB") issued Accounting Standards Update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This requires publicly traded entities to provide enhanced disclosures about significant segment expenses regularly reviewed by the CODM, including publicly traded entities with a single reportable segment. The amendments in this ASU are effective for fiscal years beginning after December 15, 2023, and interim periods within fiscal years beginning after December 15, 2024. The Company adopted this standard during the year ended December 31, 2024. Refer to the Segment Reporting Footnote (</w:t>
      </w:r>
      <w:r>
        <w:rPr>
          <w:rFonts w:ascii="Times New Roman;sans-serif" w:hAnsi="Times New Roman;sans-serif"/>
          <w:b w:val="false"/>
          <w:i/>
          <w:color w:val="000000"/>
          <w:sz w:val="20"/>
        </w:rPr>
        <w:t>Note 8</w:t>
      </w:r>
      <w:r>
        <w:rPr>
          <w:rFonts w:ascii="Times New Roman;sans-serif" w:hAnsi="Times New Roman;sans-serif"/>
          <w:b w:val="false"/>
          <w:color w:val="000000"/>
          <w:sz w:val="20"/>
        </w:rPr>
        <w:t>) for related disclosures.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w:t>
      </w:r>
      <w:r>
        <w:rPr>
          <w:color w:val="000000"/>
        </w:rPr>
        <w:t xml:space="preserve"> </w:t>
      </w:r>
      <w:r>
        <w:rPr>
          <w:rFonts w:ascii="Times New Roman;sans-serif" w:hAnsi="Times New Roman;sans-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its Annual Report on Form 10-K for the year ending 2025. Early adoption is permitted. ASU 2023-09 should be applied prospectively. Retrospective adoption is permitted. The Company is currently assessing the impact this standard will have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assets and liabilities subject to fair value measurements on a recurring basis and the level of inputs used in such measurements by major security type are presented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44"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735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64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bl>
      <w:tblPr>
        <w:tblW w:w="7424" w:type="dxa"/>
        <w:jc w:val="left"/>
        <w:tblInd w:w="0" w:type="dxa"/>
        <w:tblLayout w:type="fixed"/>
        <w:tblCellMar>
          <w:top w:w="28" w:type="dxa"/>
          <w:left w:w="28" w:type="dxa"/>
          <w:bottom w:w="28" w:type="dxa"/>
          <w:right w:w="28" w:type="dxa"/>
        </w:tblCellMar>
      </w:tblPr>
      <w:tblGrid>
        <w:gridCol w:w="986"/>
        <w:gridCol w:w="870"/>
        <w:gridCol w:w="873"/>
        <w:gridCol w:w="196"/>
        <w:gridCol w:w="736"/>
        <w:gridCol w:w="109"/>
        <w:gridCol w:w="109"/>
        <w:gridCol w:w="109"/>
        <w:gridCol w:w="109"/>
        <w:gridCol w:w="196"/>
        <w:gridCol w:w="55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contemporaneous with the China Out-License transaction, the Company and LianBio executed a warrant agreement for the Company to purchase, in three tranches, common shares in LianBio at an exercise price equal to common stock par value, which converted into warrants of the parent company of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exercised, and converted into 156,746 shares of LianBio common stock as of December 31, 2022 and were recognized at fair value within long-term investments on the Balance Sheets as of December 31, 2023. As of December 31, 2023, LianBio common stock was classified within Level 1 of the fair value hierarchy, given its publicly reported price.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LianBio announced its plan to wind down its operations. In March 2024, LianBio's Board of Directors made a special cash dividend payment to the Company for $0.7 million (equivalent to $4.80 per share), which was recorded to other income (expense) in the Statements of Operations and Comprehensive Loss for the year ended December 31, 2024. LianBio was delisted from Nasdaq in March 2024 and trades on the over-the-counter markets. In June 2024, the Company sold its LianBio common stock and recognized a realized loss within other income (expense) in the Statements of Operations and Comprehensive Loss during the year ended December 31, 2024, which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45"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Company entered into an agreement with LianBio to terminate the unvested third tranche of the equity warrants related to the purchase of 78,373 shares of LianBio common stock (the "Warrant Termination Agreement") for a cancellation payment of $0.4 million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 Upon execution of the Warrant Termination Agreement the Company recorded the final change in fair value of the equity warrant to other income (expense) in the Statements of Operations and Comprehensive Loss for the year ended December 31, 2024.</w:t>
      </w:r>
    </w:p>
    <w:p>
      <w:pPr>
        <w:pStyle w:val="TextBody"/>
        <w:bidi w:val="0"/>
        <w:spacing w:before="0" w:after="0"/>
        <w:ind w:left="0" w:right="0" w:firstLine="990"/>
        <w:jc w:val="left"/>
        <w:rPr/>
      </w:pPr>
      <w:r>
        <w:rPr/>
      </w:r>
    </w:p>
    <w:p>
      <w:pPr>
        <w:pStyle w:val="TextBody"/>
        <w:bidi w:val="0"/>
        <w:spacing w:lineRule="auto" w:line="288" w:before="0" w:after="24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available-for-sale investments, and long-term investments by major security type are presented in the following table:</w:t>
      </w:r>
    </w:p>
    <w:tbl>
      <w:tblPr>
        <w:tblW w:w="8658" w:type="dxa"/>
        <w:jc w:val="left"/>
        <w:tblInd w:w="0" w:type="dxa"/>
        <w:tblLayout w:type="fixed"/>
        <w:tblCellMar>
          <w:top w:w="28" w:type="dxa"/>
          <w:left w:w="28" w:type="dxa"/>
          <w:bottom w:w="28" w:type="dxa"/>
          <w:right w:w="28" w:type="dxa"/>
        </w:tblCellMar>
      </w:tblPr>
      <w:tblGrid>
        <w:gridCol w:w="811"/>
        <w:gridCol w:w="709"/>
        <w:gridCol w:w="714"/>
        <w:gridCol w:w="226"/>
        <w:gridCol w:w="849"/>
        <w:gridCol w:w="125"/>
        <w:gridCol w:w="109"/>
        <w:gridCol w:w="109"/>
        <w:gridCol w:w="109"/>
        <w:gridCol w:w="352"/>
        <w:gridCol w:w="756"/>
        <w:gridCol w:w="197"/>
        <w:gridCol w:w="109"/>
        <w:gridCol w:w="109"/>
        <w:gridCol w:w="109"/>
        <w:gridCol w:w="363"/>
        <w:gridCol w:w="752"/>
        <w:gridCol w:w="204"/>
        <w:gridCol w:w="109"/>
        <w:gridCol w:w="109"/>
        <w:gridCol w:w="109"/>
        <w:gridCol w:w="292"/>
        <w:gridCol w:w="1098"/>
        <w:gridCol w:w="229"/>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94,818 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94,819 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98,317 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46,644 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196,557 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before="0" w:after="0"/>
        <w:jc w:val="left"/>
        <w:rPr/>
      </w:pPr>
      <w:r>
        <w:rPr/>
      </w:r>
    </w:p>
    <w:tbl>
      <w:tblPr>
        <w:tblW w:w="8657" w:type="dxa"/>
        <w:jc w:val="left"/>
        <w:tblInd w:w="0" w:type="dxa"/>
        <w:tblLayout w:type="fixed"/>
        <w:tblCellMar>
          <w:top w:w="28" w:type="dxa"/>
          <w:left w:w="28" w:type="dxa"/>
          <w:bottom w:w="28" w:type="dxa"/>
          <w:right w:w="28" w:type="dxa"/>
        </w:tblCellMar>
      </w:tblPr>
      <w:tblGrid>
        <w:gridCol w:w="811"/>
        <w:gridCol w:w="709"/>
        <w:gridCol w:w="71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81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substantially all available-for-sale debt securities had a maturity of 12 months or less. Eight securities had a contractual maturity between one and five years, with an estimated fair market value of $19.0 million and amortized cost of $19.0 million. As of December 31, 2023, all available-for-sale debt securities had a maturity of 12 months or less.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ten available-for-sale debt securities and one available-for-sale debt security, respectively, in a continuous gross unrealized loss position for less than one year. As of December 31, 2024 and 2023,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46"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Balance Sheets are summarized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3819" w:type="dxa"/>
        <w:jc w:val="left"/>
        <w:tblInd w:w="0" w:type="dxa"/>
        <w:tblLayout w:type="fixed"/>
        <w:tblCellMar>
          <w:top w:w="28" w:type="dxa"/>
          <w:left w:w="28" w:type="dxa"/>
          <w:bottom w:w="28" w:type="dxa"/>
          <w:right w:w="28" w:type="dxa"/>
        </w:tblCellMar>
      </w:tblPr>
      <w:tblGrid>
        <w:gridCol w:w="624"/>
        <w:gridCol w:w="549"/>
        <w:gridCol w:w="552"/>
        <w:gridCol w:w="196"/>
        <w:gridCol w:w="556"/>
        <w:gridCol w:w="109"/>
        <w:gridCol w:w="109"/>
        <w:gridCol w:w="109"/>
        <w:gridCol w:w="109"/>
        <w:gridCol w:w="196"/>
        <w:gridCol w:w="55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progress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5799" w:type="dxa"/>
        <w:jc w:val="center"/>
        <w:tblInd w:w="0" w:type="dxa"/>
        <w:tblLayout w:type="fixed"/>
        <w:tblCellMar>
          <w:top w:w="28" w:type="dxa"/>
          <w:left w:w="28" w:type="dxa"/>
          <w:bottom w:w="28" w:type="dxa"/>
          <w:right w:w="28" w:type="dxa"/>
        </w:tblCellMar>
      </w:tblPr>
      <w:tblGrid>
        <w:gridCol w:w="1341"/>
        <w:gridCol w:w="1179"/>
        <w:gridCol w:w="1185"/>
        <w:gridCol w:w="196"/>
        <w:gridCol w:w="556"/>
        <w:gridCol w:w="109"/>
        <w:gridCol w:w="109"/>
        <w:gridCol w:w="109"/>
        <w:gridCol w:w="109"/>
        <w:gridCol w:w="196"/>
        <w:gridCol w:w="55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val="false"/>
          <w:color w:val="000000"/>
          <w:sz w:val="20"/>
        </w:rPr>
        <w:t>Depreciation expense for the years ended December 31, 2024, 2023, and 2022 was $0.7 million,</w:t>
      </w:r>
      <w:r>
        <w:rPr>
          <w:color w:val="000000"/>
          <w:shd w:fill="FFFFFF" w:val="clear"/>
        </w:rPr>
        <w:t xml:space="preserve"> </w:t>
      </w:r>
      <w:r>
        <w:rPr>
          <w:rFonts w:ascii="Times New Roman;sans-serif" w:hAnsi="Times New Roman;sans-serif"/>
          <w:b w:val="false"/>
          <w:color w:val="000000"/>
          <w:sz w:val="20"/>
          <w:shd w:fill="FFFFFF" w:val="clear"/>
        </w:rPr>
        <w:t>$0.7 million, and $0.3 million, res</w:t>
      </w:r>
      <w:r>
        <w:rPr>
          <w:rFonts w:ascii="Times New Roman;sans-serif" w:hAnsi="Times New Roman;sans-serif"/>
          <w:b w:val="false"/>
          <w:color w:val="000000"/>
          <w:sz w:val="20"/>
        </w:rPr>
        <w:t>pectively.</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5618" w:type="dxa"/>
        <w:jc w:val="center"/>
        <w:tblInd w:w="0" w:type="dxa"/>
        <w:tblLayout w:type="fixed"/>
        <w:tblCellMar>
          <w:top w:w="28" w:type="dxa"/>
          <w:left w:w="28" w:type="dxa"/>
          <w:bottom w:w="28" w:type="dxa"/>
          <w:right w:w="28" w:type="dxa"/>
        </w:tblCellMar>
      </w:tblPr>
      <w:tblGrid>
        <w:gridCol w:w="1208"/>
        <w:gridCol w:w="1064"/>
        <w:gridCol w:w="1072"/>
        <w:gridCol w:w="196"/>
        <w:gridCol w:w="646"/>
        <w:gridCol w:w="109"/>
        <w:gridCol w:w="109"/>
        <w:gridCol w:w="109"/>
        <w:gridCol w:w="109"/>
        <w:gridCol w:w="196"/>
        <w:gridCol w:w="64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sales deductions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royalty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47"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STOCKHOLDERS’ EQUITY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2020 and 2016 Equity Incentive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and stockholders adopted and approved the Company's 2020 Equity Incentive Plan (the “2020 Plan”) in October 2020. The 2020 Plan replaced the Company's 2016 Equity Incentive Plan that was earlier adopted in December 2016 (the "2016 Plan", collectively "the 2020 and 2016 Plans"). However, awards outstanding under the 2016 Plan will continue to be governed by its original terms. The number of shares of the Company's common stock that were initially available for issuance under the 2020 Plan equaled the initial sum of 9,000,000 shares plus 2,432,980 shares that were then available for issuance under the 2016 Plan. The 2020 Plan provides for the following types of awards: incentive and non-statutory stock options, stock appreciation rights, restricted shares, and restricted stock units.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Company's 2020 Employee Stock Purchase Plan ("ESPP"), eligible employees can purchase common stock through scheduled payroll deductions. The purchase price is equal to the closing price of the Company's common stock on the first or last day of the offering period (whichever is less), minus a 15% discount. To determine the value of ESPP expense to be recognized during each offering period, the Black-Scholes option-pricing model is used, in combination with the discounted employee price. A participant may purchase a maximum of 3,000 shares of common stock during a six-month offering period, not to exceed $25,000 at full market value on the offering date during each ESPP year.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ESPP, the number of shares of common stock reserved for issuance under the ESPP are increased automatically on the first business day of each fiscal year, commencing in 2021 and ending in 2040, by an amount equal to the lesser of (i) one percent of the total number of shares of common stock outstanding on the last day of the year, (ii) 2.5 million shares, or (iii) a number determined by the Board of Directors.</w:t>
      </w:r>
    </w:p>
    <w:p>
      <w:pPr>
        <w:pStyle w:val="TextBody"/>
        <w:bidi w:val="0"/>
        <w:spacing w:lineRule="auto" w:line="256"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38.3 million shares of common stock issued and outstanding, which excludes 312,500 of pre-funded warrants that remained exercisable at period end and are reserved for future issuance. As of December 31, 2023 the Company had 34.2 million shares of common stock issued and outstanding. Common stockholders have one vote for each share of common stock held and are entitled to receive dividends declared by the Company’s Board of Directors when legally available for distribution, then-subject to the dividend rights of the holders of preferred stock. For the years ended December 31, 2024, 2023, and 2022, no dividends were declared.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total shares reserved for future issuance under its 2020 and 2016 Equity Incentive Plans and 2020 Employee Stock Purchase Plan are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48"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9254" w:type="dxa"/>
        <w:jc w:val="center"/>
        <w:tblInd w:w="0" w:type="dxa"/>
        <w:tblLayout w:type="fixed"/>
        <w:tblCellMar>
          <w:top w:w="28" w:type="dxa"/>
          <w:left w:w="28" w:type="dxa"/>
          <w:bottom w:w="28" w:type="dxa"/>
          <w:right w:w="28" w:type="dxa"/>
        </w:tblCellMar>
      </w:tblPr>
      <w:tblGrid>
        <w:gridCol w:w="2392"/>
        <w:gridCol w:w="2097"/>
        <w:gridCol w:w="2111"/>
        <w:gridCol w:w="479"/>
        <w:gridCol w:w="482"/>
        <w:gridCol w:w="156"/>
        <w:gridCol w:w="121"/>
        <w:gridCol w:w="121"/>
        <w:gridCol w:w="121"/>
        <w:gridCol w:w="479"/>
        <w:gridCol w:w="482"/>
        <w:gridCol w:w="213"/>
      </w:tblGrid>
      <w:tr>
        <w:trPr/>
        <w:tc>
          <w:tcPr>
            <w:tcW w:w="239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Pre-funded warrants to purchase common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award plans: </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the 2020 and 2016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the 2020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17,206,308 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recognized in the accompanying Statements of Operations and Comprehensive Loss as follows:</w:t>
      </w:r>
    </w:p>
    <w:tbl>
      <w:tblPr>
        <w:tblW w:w="6101" w:type="dxa"/>
        <w:jc w:val="center"/>
        <w:tblInd w:w="0" w:type="dxa"/>
        <w:tblLayout w:type="fixed"/>
        <w:tblCellMar>
          <w:top w:w="28" w:type="dxa"/>
          <w:left w:w="28" w:type="dxa"/>
          <w:bottom w:w="28" w:type="dxa"/>
          <w:right w:w="28" w:type="dxa"/>
        </w:tblCellMar>
      </w:tblPr>
      <w:tblGrid>
        <w:gridCol w:w="918"/>
        <w:gridCol w:w="810"/>
        <w:gridCol w:w="821"/>
        <w:gridCol w:w="196"/>
        <w:gridCol w:w="646"/>
        <w:gridCol w:w="109"/>
        <w:gridCol w:w="109"/>
        <w:gridCol w:w="109"/>
        <w:gridCol w:w="109"/>
        <w:gridCol w:w="196"/>
        <w:gridCol w:w="646"/>
        <w:gridCol w:w="109"/>
        <w:gridCol w:w="109"/>
        <w:gridCol w:w="109"/>
        <w:gridCol w:w="109"/>
        <w:gridCol w:w="196"/>
        <w:gridCol w:w="64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tbl>
      <w:tblPr>
        <w:tblW w:w="8694" w:type="dxa"/>
        <w:jc w:val="center"/>
        <w:tblInd w:w="0" w:type="dxa"/>
        <w:tblLayout w:type="fixed"/>
        <w:tblCellMar>
          <w:top w:w="28" w:type="dxa"/>
          <w:left w:w="28" w:type="dxa"/>
          <w:bottom w:w="28" w:type="dxa"/>
          <w:right w:w="28" w:type="dxa"/>
        </w:tblCellMar>
      </w:tblPr>
      <w:tblGrid>
        <w:gridCol w:w="1464"/>
        <w:gridCol w:w="1280"/>
        <w:gridCol w:w="1291"/>
        <w:gridCol w:w="300"/>
        <w:gridCol w:w="853"/>
        <w:gridCol w:w="167"/>
        <w:gridCol w:w="109"/>
        <w:gridCol w:w="109"/>
        <w:gridCol w:w="109"/>
        <w:gridCol w:w="300"/>
        <w:gridCol w:w="853"/>
        <w:gridCol w:w="167"/>
        <w:gridCol w:w="109"/>
        <w:gridCol w:w="109"/>
        <w:gridCol w:w="109"/>
        <w:gridCol w:w="295"/>
        <w:gridCol w:w="838"/>
        <w:gridCol w:w="232"/>
      </w:tblGrid>
      <w:tr>
        <w:trPr/>
        <w:tc>
          <w:tcPr>
            <w:tcW w:w="146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price</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$20.16 to $50.40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$12.48 to $18.78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$12.89 to $20.64</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3.57% to 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3.38% to 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1.63% to 4.21%</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69.3% to 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69.7% to 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77.3% to 83.0%</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during the year was as follows:</w:t>
      </w:r>
    </w:p>
    <w:tbl>
      <w:tblPr>
        <w:tblW w:w="8711" w:type="dxa"/>
        <w:jc w:val="center"/>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334"/>
        <w:gridCol w:w="949"/>
        <w:gridCol w:w="188"/>
        <w:gridCol w:w="109"/>
        <w:gridCol w:w="109"/>
        <w:gridCol w:w="109"/>
        <w:gridCol w:w="490"/>
        <w:gridCol w:w="490"/>
        <w:gridCol w:w="491"/>
        <w:gridCol w:w="109"/>
        <w:gridCol w:w="109"/>
        <w:gridCol w:w="109"/>
        <w:gridCol w:w="196"/>
        <w:gridCol w:w="73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784,036 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(323,148)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(213,346)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5,007,908 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 December 31, 2024</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3,349,367 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 December 31, 2024</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1,658,541 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25.64 </w:t>
            </w:r>
          </w:p>
        </w:tc>
        <w:tc>
          <w:tcPr>
            <w:tcW w:w="1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49"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aggregate intrinsic value is calculated as the difference between the exercise price of the options and the fair value of the Company's common stock as of December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total grant-date fair value of options that vested during the years ended December 31, 2024, 2023, and 2022 was $13.5 million, $13.4 million, and $11.4 million, respectively. The total intrinsic value of options exercised during the years ended December 31, 2024, 2023, and 2022 was $7.0 million, $1.6 million, and $0.5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 Company recorded stock-based compensation expense for stock options of $15.2 million, $13.0 million, and $10.7 million, respectively. As of December 31, 2024, there was approximately $24.2 million of unrecognized compensation expense related to unvested stock options, which the Company expects to recognize over a weighted average period of 2.3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during the year was as follows:</w:t>
      </w:r>
    </w:p>
    <w:tbl>
      <w:tblPr>
        <w:tblW w:w="6428" w:type="dxa"/>
        <w:jc w:val="left"/>
        <w:tblInd w:w="0" w:type="dxa"/>
        <w:tblLayout w:type="fixed"/>
        <w:tblCellMar>
          <w:top w:w="28" w:type="dxa"/>
          <w:left w:w="28" w:type="dxa"/>
          <w:bottom w:w="28" w:type="dxa"/>
          <w:right w:w="28" w:type="dxa"/>
        </w:tblCellMar>
      </w:tblPr>
      <w:tblGrid>
        <w:gridCol w:w="918"/>
        <w:gridCol w:w="806"/>
        <w:gridCol w:w="811"/>
        <w:gridCol w:w="435"/>
        <w:gridCol w:w="436"/>
        <w:gridCol w:w="296"/>
        <w:gridCol w:w="109"/>
        <w:gridCol w:w="109"/>
        <w:gridCol w:w="109"/>
        <w:gridCol w:w="517"/>
        <w:gridCol w:w="1472"/>
        <w:gridCol w:w="410"/>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w:t>
              <w:br/>
              <w:t> Fair Value</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(440,746)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(238,767)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1,915,281 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grant date fair value of RSUs that vested during the years ended December 31, 2024, 2023, and 2022 was $7.3 million, $3.7 million, and $0.6 million, respectively. For the years ended December 31, 2024, 2023, and 2022 the Company recorded stock-based compensation expense for restricted stock units of $11.8 million, $6.5 million, and $2.5 million, respectively. As of December 31, 2024, there was approximately $37.6 million of unrecognized compensation expense related to unvested restricted stock units, which the Company expects to recognize over a weighted average period of 3.0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the ESPP was $0.8 million, $0.3 million, and $0.3 million, respectively, for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tbl>
      <w:tblPr>
        <w:tblW w:w="7495" w:type="dxa"/>
        <w:jc w:val="center"/>
        <w:tblInd w:w="0" w:type="dxa"/>
        <w:tblLayout w:type="fixed"/>
        <w:tblCellMar>
          <w:top w:w="28" w:type="dxa"/>
          <w:left w:w="28" w:type="dxa"/>
          <w:bottom w:w="28" w:type="dxa"/>
          <w:right w:w="28" w:type="dxa"/>
        </w:tblCellMar>
      </w:tblPr>
      <w:tblGrid>
        <w:gridCol w:w="1264"/>
        <w:gridCol w:w="1109"/>
        <w:gridCol w:w="1121"/>
        <w:gridCol w:w="196"/>
        <w:gridCol w:w="811"/>
        <w:gridCol w:w="109"/>
        <w:gridCol w:w="109"/>
        <w:gridCol w:w="109"/>
        <w:gridCol w:w="109"/>
        <w:gridCol w:w="196"/>
        <w:gridCol w:w="811"/>
        <w:gridCol w:w="109"/>
        <w:gridCol w:w="109"/>
        <w:gridCol w:w="109"/>
        <w:gridCol w:w="109"/>
        <w:gridCol w:w="219"/>
        <w:gridCol w:w="742"/>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Weighted-average shares — basic and diluted</w:t>
            </w:r>
            <w:r>
              <w:rPr>
                <w:rFonts w:ascii="Times New Roman;sans-serif" w:hAnsi="Times New Roman;sans-serif"/>
                <w:b w:val="false"/>
                <w:color w:val="000000"/>
                <w:sz w:val="12"/>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37,604,538 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basic and diluted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9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Weighted-average shares outstanding includes pre-funded warrants issued on March 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50"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tbl>
      <w:tblPr>
        <w:tblW w:w="7650" w:type="dxa"/>
        <w:jc w:val="center"/>
        <w:tblInd w:w="0" w:type="dxa"/>
        <w:tblLayout w:type="fixed"/>
        <w:tblCellMar>
          <w:top w:w="28" w:type="dxa"/>
          <w:left w:w="28" w:type="dxa"/>
          <w:bottom w:w="28" w:type="dxa"/>
          <w:right w:w="28" w:type="dxa"/>
        </w:tblCellMar>
      </w:tblPr>
      <w:tblGrid>
        <w:gridCol w:w="1346"/>
        <w:gridCol w:w="1182"/>
        <w:gridCol w:w="1192"/>
        <w:gridCol w:w="435"/>
        <w:gridCol w:w="436"/>
        <w:gridCol w:w="156"/>
        <w:gridCol w:w="132"/>
        <w:gridCol w:w="132"/>
        <w:gridCol w:w="132"/>
        <w:gridCol w:w="435"/>
        <w:gridCol w:w="436"/>
        <w:gridCol w:w="156"/>
        <w:gridCol w:w="132"/>
        <w:gridCol w:w="132"/>
        <w:gridCol w:w="132"/>
        <w:gridCol w:w="435"/>
        <w:gridCol w:w="436"/>
        <w:gridCol w:w="213"/>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 — 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5,007,908 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3,899,342 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 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551,258 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6,923,189 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6,469,091 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4,450,600 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SEGMENT REPORTING</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Company manages business activities on an aggregated basis and operates in one reportable segment: therapeutics. The therapeutics segment derives revenue primarily through sales of XDEMVY to specialty pharmacies and distributors in the U.S, who in turn sell it directly to clinics, hospitals, pharmacies and federal healthcare programs. The segment also generates license fees and collaboration revenue related to the China Out-License arrangement (see </w:t>
      </w:r>
      <w:r>
        <w:rPr>
          <w:rFonts w:ascii="Times New Roman;sans-serif" w:hAnsi="Times New Roman;sans-serif"/>
          <w:b w:val="false"/>
          <w:i/>
          <w:color w:val="000000"/>
          <w:sz w:val="20"/>
        </w:rPr>
        <w:t>Note 10</w:t>
      </w:r>
      <w:r>
        <w:rPr>
          <w:rFonts w:ascii="Times New Roman;sans-serif" w:hAnsi="Times New Roman;sans-serif"/>
          <w:b w:val="false"/>
          <w:color w:val="000000"/>
          <w:sz w:val="20"/>
        </w:rPr>
        <w:t xml:space="preserve">). The accounting policies of the therapeutics segment are the same as those described in the summary of significant accounting policies (see </w:t>
      </w:r>
      <w:r>
        <w:rPr>
          <w:rFonts w:ascii="Times New Roman;sans-serif" w:hAnsi="Times New Roman;sans-serif"/>
          <w:b w:val="false"/>
          <w:i/>
          <w:color w:val="000000"/>
          <w:sz w:val="20"/>
        </w:rPr>
        <w:t>Note 2</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decision-maker ("CODM") is its Chief Executive Officer. The CODM uses net loss, as reported in the accompanying Statements of Operations and Comprehensive Loss, to assess performance of the therapeutics segment and in deciding whether to allocate resources into the therapeutics segment or outside the segment, such as for acquisitions or new in-license agreements. The CODM uses net loss to regularly monitor budget versus actual results which are used in assessing performance of the segment and in establishing management’s compensation. The CODM does not review assets in evaluating the results of the therapeutics segment, and therefore, such information is not presented.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operating financial results of the therapeutics segment:</w:t>
      </w:r>
    </w:p>
    <w:tbl>
      <w:tblPr>
        <w:tblW w:w="7316" w:type="dxa"/>
        <w:jc w:val="left"/>
        <w:tblInd w:w="0" w:type="dxa"/>
        <w:tblLayout w:type="fixed"/>
        <w:tblCellMar>
          <w:top w:w="28" w:type="dxa"/>
          <w:left w:w="28" w:type="dxa"/>
          <w:bottom w:w="28" w:type="dxa"/>
          <w:right w:w="28" w:type="dxa"/>
        </w:tblCellMar>
      </w:tblPr>
      <w:tblGrid>
        <w:gridCol w:w="1216"/>
        <w:gridCol w:w="1068"/>
        <w:gridCol w:w="1075"/>
        <w:gridCol w:w="196"/>
        <w:gridCol w:w="811"/>
        <w:gridCol w:w="109"/>
        <w:gridCol w:w="109"/>
        <w:gridCol w:w="109"/>
        <w:gridCol w:w="109"/>
        <w:gridCol w:w="196"/>
        <w:gridCol w:w="811"/>
        <w:gridCol w:w="109"/>
        <w:gridCol w:w="109"/>
        <w:gridCol w:w="109"/>
        <w:gridCol w:w="109"/>
        <w:gridCol w:w="196"/>
        <w:gridCol w:w="721"/>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license fees and collaboration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reconciliation items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86" w:type="dxa"/>
        <w:jc w:val="left"/>
        <w:tblInd w:w="0" w:type="dxa"/>
        <w:tblLayout w:type="fixed"/>
        <w:tblCellMar>
          <w:top w:w="28" w:type="dxa"/>
          <w:left w:w="28" w:type="dxa"/>
          <w:bottom w:w="28" w:type="dxa"/>
          <w:right w:w="28" w:type="dxa"/>
        </w:tblCellMar>
      </w:tblPr>
      <w:tblGrid>
        <w:gridCol w:w="1032"/>
        <w:gridCol w:w="907"/>
        <w:gridCol w:w="910"/>
        <w:gridCol w:w="196"/>
        <w:gridCol w:w="646"/>
        <w:gridCol w:w="109"/>
        <w:gridCol w:w="109"/>
        <w:gridCol w:w="109"/>
        <w:gridCol w:w="109"/>
        <w:gridCol w:w="196"/>
        <w:gridCol w:w="646"/>
        <w:gridCol w:w="109"/>
        <w:gridCol w:w="109"/>
        <w:gridCol w:w="109"/>
        <w:gridCol w:w="109"/>
        <w:gridCol w:w="196"/>
        <w:gridCol w:w="63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segment disclosures: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151"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Current Lease Agreement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lease agreements with unaffiliated third parties for its facilities and office equipment. As of December 31, 2024, 2023, and 2022, the Company had six, five, and four active leases, respectively, for adjacent office and laboratory suites in Irvine, California.</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executed an amendment for an additional office suite. This amendment was accounted for as a lease modification and resulted in the recognition of an operating lease ROU asset valued at $0.4 million as of the execution date.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the Company entered into an agreement to terminate its existing facility lease agreements (the "Current Lease") and entered into a new lease agreement (the "New Lease"), both with the same landlord, to relocate its corporate headquarters. The Current Lease will terminate upon the earlier of the substantial completion of tenant improvements at the New Lease premises or the commencement of the Company's regular business activities at the New Lease premises, which the Company expects to begin occupying in late 2025, as discussed in more detail below.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expense for the Current Lease is as follows:</w:t>
      </w:r>
    </w:p>
    <w:tbl>
      <w:tblPr>
        <w:tblW w:w="4976" w:type="dxa"/>
        <w:jc w:val="left"/>
        <w:tblInd w:w="0" w:type="dxa"/>
        <w:tblLayout w:type="fixed"/>
        <w:tblCellMar>
          <w:top w:w="28" w:type="dxa"/>
          <w:left w:w="28" w:type="dxa"/>
          <w:bottom w:w="28" w:type="dxa"/>
          <w:right w:w="28" w:type="dxa"/>
        </w:tblCellMar>
      </w:tblPr>
      <w:tblGrid>
        <w:gridCol w:w="662"/>
        <w:gridCol w:w="582"/>
        <w:gridCol w:w="585"/>
        <w:gridCol w:w="196"/>
        <w:gridCol w:w="556"/>
        <w:gridCol w:w="109"/>
        <w:gridCol w:w="109"/>
        <w:gridCol w:w="109"/>
        <w:gridCol w:w="109"/>
        <w:gridCol w:w="196"/>
        <w:gridCol w:w="556"/>
        <w:gridCol w:w="109"/>
        <w:gridCol w:w="109"/>
        <w:gridCol w:w="109"/>
        <w:gridCol w:w="109"/>
        <w:gridCol w:w="196"/>
        <w:gridCol w:w="42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the Current Lease is as follows:</w:t>
      </w:r>
    </w:p>
    <w:tbl>
      <w:tblPr>
        <w:tblW w:w="5139" w:type="dxa"/>
        <w:jc w:val="left"/>
        <w:tblInd w:w="0" w:type="dxa"/>
        <w:tblLayout w:type="fixed"/>
        <w:tblCellMar>
          <w:top w:w="28" w:type="dxa"/>
          <w:left w:w="28" w:type="dxa"/>
          <w:bottom w:w="28" w:type="dxa"/>
          <w:right w:w="28" w:type="dxa"/>
        </w:tblCellMar>
      </w:tblPr>
      <w:tblGrid>
        <w:gridCol w:w="815"/>
        <w:gridCol w:w="714"/>
        <w:gridCol w:w="720"/>
        <w:gridCol w:w="296"/>
        <w:gridCol w:w="170"/>
        <w:gridCol w:w="264"/>
        <w:gridCol w:w="109"/>
        <w:gridCol w:w="109"/>
        <w:gridCol w:w="109"/>
        <w:gridCol w:w="296"/>
        <w:gridCol w:w="170"/>
        <w:gridCol w:w="264"/>
        <w:gridCol w:w="109"/>
        <w:gridCol w:w="109"/>
        <w:gridCol w:w="109"/>
        <w:gridCol w:w="297"/>
        <w:gridCol w:w="169"/>
        <w:gridCol w:w="310"/>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lease term (years)</w:t>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as of December 31, 2024 the (i) minimum lease payments over the next five years and thereafter, (ii) lease arrangement imputed interest, and (iii) present value of future lease payments for the Current Lease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152"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4213" w:type="dxa"/>
        <w:jc w:val="center"/>
        <w:tblInd w:w="0" w:type="dxa"/>
        <w:tblLayout w:type="fixed"/>
        <w:tblCellMar>
          <w:top w:w="28" w:type="dxa"/>
          <w:left w:w="28" w:type="dxa"/>
          <w:bottom w:w="28" w:type="dxa"/>
          <w:right w:w="28" w:type="dxa"/>
        </w:tblCellMar>
      </w:tblPr>
      <w:tblGrid>
        <w:gridCol w:w="1117"/>
        <w:gridCol w:w="981"/>
        <w:gridCol w:w="992"/>
        <w:gridCol w:w="109"/>
        <w:gridCol w:w="109"/>
        <w:gridCol w:w="109"/>
        <w:gridCol w:w="202"/>
        <w:gridCol w:w="434"/>
        <w:gridCol w:w="160"/>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New Lease Agreement</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2024, the Company entered into the New Lease agreement for 59,626 square feet of office space located in Irvine, California for a 10-year lease term. The lease payments are expected to commence in late 2025 following the earlier of: (i) eleven months following the lease execution date, or (ii) the date the Company commences its regular business activities at the premises following completion of tenant improvements. The base rent for the first year of the lease will be $2.5 million and is subject to annual increases of 3% thereafter. The Company is entitled to an abatement of base rent for the first five full calendar months from the beginning of the lease commencement date for an aggregate amount of $0.7 million. The lease also provides for a tenant improvement allowance, not to exceed $6.0 million, to be applied to the construction costs of the premises. The tenant improvement allowance must be used within one year of the Company commencing its regular business activities otherwise it will be forfeited with no further obligation by the landlord. As of December 31, 2024, no rent payments were made and the landlord had not provided any of the tenant improvement allowance.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Upon lease execution, the Company provided the landlord a letter of credit for $2.6 million to serve as a security deposit. Provided that no defaults occur, and the Company meets certain financial milestones for certain time periods, the security deposit can be subsequently be reduced.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 or Conditions in Humans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a clinical milestone was triggered to Elanco under the Eye and Derm Elanco Agreement upon enrollment of the first patient in the Phase 2a Galatea trial, evaluating the potential treatment of rosacea. The related milestone payment of $1.0 million was included in research and development expense in the accompanying Statements of Operations and Comprehensive Loss for the year ended December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made cash payments to Elanco under the Eye and Derm Agreement comprised of $1.0 million upfront upon contract execution in January 2019 and a total of $4.0 million for three specified clinical milestone achievements in September 2020, April 2021, and March 2023, which were all recorded in research and development expense in the Statements of Operations and Comprehensive Loss. During 2023, a milestone of $4.0 million was achieved and paid to Elanco upon the first commercial sale of XDEMVY in the U.S., which was recorded to intangible assets, net in the accompanying Balance Sheets as of December 31, 2024 and 2023. In September 2024, a $5.0 million sales-based milestone obligation to Elanco was triggered for the achievement of reaching $100 million in net product sales of XDEMVY, which was recorded to intangible assets, net in the accompanying Balance Sheet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153"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further cash payments to Elanco of $2.0 million under the Eye and Derm Elanco Agreement upon achievement of the last clinical milestone in the treatment of human skin diseases using lotilaner and a maximum of $70.0 million for various commercial and sales threshold milestones for the treatment of human skin diseases and the treatment of blepharitis in humans using lotilaner.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until achievement of the first applicable regulatory approval of a product covered under the license, which occurred in July 2023 with the FDA approval of XDEMVY. As a result of the commercialization of XDEMVY, the Company began accruing royalties payable to Elanco during the third quarter of 2023, which are recorded to cost of sales in the accompanying Statements of Operations and Comprehensive Loss for the years ended December 31, 2024 and 2023 and accounts payable and other accrued liabilities in the accompanying Balance Sheets as of December 31, 2024 and 2023. Royalty expense during the years ended December 31, 2024 and 2023 was $9.0 million, and $0.7 million, respectively. There was no royalty expense recorded during the year ended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w:t>
      </w:r>
      <w:r>
        <w:rPr>
          <w:rFonts w:ascii="Times New Roman;sans-serif" w:hAnsi="Times New Roman;sans-serif"/>
          <w:b w:val="false"/>
          <w:color w:val="000000"/>
          <w:sz w:val="20"/>
          <w:shd w:fill="FFFFFF" w:val="clear"/>
        </w:rPr>
        <w:t xml:space="preserve">imum of </w:t>
      </w:r>
      <w:r>
        <w:rPr>
          <w:rFonts w:ascii="Times New Roman;sans-serif" w:hAnsi="Times New Roman;sans-serif"/>
          <w:b w:val="false"/>
          <w:color w:val="000000"/>
          <w:sz w:val="20"/>
        </w:rPr>
        <w:t>$4.0 million</w:t>
      </w:r>
      <w:r>
        <w:rPr>
          <w:color w:val="000000"/>
          <w:shd w:fill="FFFFFF" w:val="clear"/>
        </w:rPr>
        <w:t xml:space="preserve"> </w:t>
      </w:r>
      <w:r>
        <w:rPr>
          <w:rFonts w:ascii="Times New Roman;sans-serif" w:hAnsi="Times New Roman;sans-serif"/>
          <w:b w:val="false"/>
          <w:color w:val="000000"/>
          <w:sz w:val="20"/>
          <w:shd w:fill="FFFFFF" w:val="clear"/>
        </w:rPr>
        <w:t>and variou</w:t>
      </w:r>
      <w:r>
        <w:rPr>
          <w:rFonts w:ascii="Times New Roman;sans-serif" w:hAnsi="Times New Roman;sans-serif"/>
          <w:b w:val="false"/>
          <w:color w:val="000000"/>
          <w:sz w:val="20"/>
        </w:rPr>
        <w:t>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In-License Agreement for All Ophthalmic Uses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the Company executed a new in-license agreement for the exclusive worldwide rights to develop, manufacture, and commercialize a compound for all ophthalmic uses. The Company made an upfront payment of $2.5 million upon contract execution in October 2024, which was recorded to research and development expense in the accompanying Statements of Operations for the year ended December 31, 2024. As of December 31, 2024, the Company is obligated to make potential future cash payments under this in-license agreement of $3.0 million upon the achievement of an event-based development milestone and up to $102.0 million for various commercial and sales threshold milestones. Future annual worldwide net sales of products developed from the compound will also be subject to incremental royalty rates in the range of mid to high single digits.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including severance and change in control agreements, with seven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154"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OUT-LICENSE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LianBio is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assessment of the initial transaction price for the China Out-License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lineRule="auto" w:line="288" w:before="240" w:after="283"/>
        <w:ind w:left="0" w:right="0" w:firstLine="90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90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Services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the Saturn-1 and Saturn-2 clinical trials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155"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based upon the signing of an agreement for which the Company has no ongoing obligations, resulting in $2.5 million recognized as license fees and collaboration revenue in the accompanying Statements of Operations for the year ended December 31, 2023.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In March 2024, the Company executed the Novation Agreement and upon execution of the Novation Agreement, the China Out-License agreement with LianBio was assigned to GrandPharma and a one-time payment of $2.5 million (the "Termination Payment") was made to the Company from LianBio in April 2024. This Termination Payment was recorded as license fees and collaboration revenue in the Statements of Operations and Comprehensive Loss for the year ended December 31, 2024. The Novation Agreement amended the $15.0 million future development milestone payable on China regulatory approval of the China Out-License agreement with a combined condition of patent issuance related to TP-03 in China.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the Company entered into the Warrant Termination Agreement for a total cancellation payment of $0.4 million (the "Warrant Cancellation Payment"). This Warrant Cancellation Payment was recorded as license fees and collaboration revenue in the Statements of Operations and Comprehensive Loss for the year ended December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December 31, 2024, the Company received aggregate payments from LianBio totaling $86.1 million, comprised of (i) initial consideration of $15.0 million, (ii) $67.5 million for the achievement of specified milestones, (iii) $2.5 million upon execution of the Novation Agreement, (iv) $0.4 million upon execution of the Warrant Termination Agreement, and (v) $0.7 million related to a special cash dividend.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is eligible to receive further consideration from GrandPharma upon the achievement of additional TP-03 events, including: (i) additional regulatory approval and/or patent issuance milestones and one-time payments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CREDIT FACILITY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executed the Credit Facility with Hercules and SVB (the "2022 Credit Facility") and concurrently made a $20.0 million draw. The 2022 Credit Facility was amended in January 2023 and August 2023. As amended, the 2022 Credit Facility set a maximum interest rate, updated the terms of prepayment and extended the period for the Company to drawdown the $25.0 million tranche associated with the submission of the New Drug Application ("NDA") for T0-03. During 2023, the Company made two separate draws totaling $10.0 million from this $25.0 million tranche associated with the NDA submission of TP-03. The Company did not incur any lender fees as part of the 2022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the Company executed a loan and security agreement (the "2024 Credit Facility") with Pharmakon with maturity in April 2029. The 2024 Credit Facility is collateralized by substantially all of the Company's presently existing and subsequently acquired assets. Upon execution, the Company made a $75.0 million draw from the initial tranche of the 2024 Credit Facility, a portion of which was utilized to repay all outstanding indebtedness on the 2022 Credit Facility, resulting in total net proceeds of $39.6 million. The 2024 Credit Facility provides for three potential additional term loan tranches in principal amounts up to $25.0 million, $50.0 million, and $50.0 million, respectively, subject to customary conditions to funding and, in the case of the last two tranches, achieving minimum net product sales milestones. The three potential additional tranches may be requested on or prior to December 31, 2024, June 30, 2025, and December 31, 2025, respectively. The Company did not draw on the first additional tranche of $25.0 million prior to December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2024 Credit Facility, the outstanding principal draws accrue interest at a floating rate based upon the secured overnight financing rate (“SOFR”), plus a margin of 6.75% per annum. The SOFR is subject to a 3.75% floor. Under the First Amendment of the 2022 Credit Facility, the outstanding principal draws accrued interest at a floating interest rate per annum equal to the greater of either (i) The Wall Street Journal ("WSJ") prime rate plus 4.45% with an aggregate cap of 11.45%, or (ii) 8.45%. At the execution date of the 2022 Credit Facility, the WSJ prime rate was 3.25% and increased to 8.50% as of the date of its extinguishment.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156"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required to pay a specified fee upon the earlier of (i) February 2, 2027, or (ii) the date the Company prepays, in full or in part, the outstanding principal balance of the 2022 Credit Facility ("End of Term Charge"). As the 2022 Credit Facility was paid in full upon the signing of the 2024 Credit Facility, the End of Term Charge of $1.4 million was paid in April 2024, which was derived by multiplying 4.75% by the $30.0 million outstanding principal balance. Prior to being paid, the End of Term Charge was accreted to interest expense over the expected maturity date. The Company recognized a loss on debt extinguishment of $1.9 million during the year ended December 31, 2024 in the Statement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2023 and 2022, the effective interest rate for the full term of the Credit Facilities was 12.61%, 11.96%, and 13.61%, respectively. The Company recognized interest expense in the accompanying Statements of Operations and Comprehensive Loss in connection with the Credit Facilities as follows:</w:t>
      </w:r>
    </w:p>
    <w:tbl>
      <w:tblPr>
        <w:tblW w:w="5921" w:type="dxa"/>
        <w:jc w:val="left"/>
        <w:tblInd w:w="0" w:type="dxa"/>
        <w:tblLayout w:type="fixed"/>
        <w:tblCellMar>
          <w:top w:w="28" w:type="dxa"/>
          <w:left w:w="28" w:type="dxa"/>
          <w:bottom w:w="28" w:type="dxa"/>
          <w:right w:w="28" w:type="dxa"/>
        </w:tblCellMar>
      </w:tblPr>
      <w:tblGrid>
        <w:gridCol w:w="957"/>
        <w:gridCol w:w="839"/>
        <w:gridCol w:w="843"/>
        <w:gridCol w:w="196"/>
        <w:gridCol w:w="556"/>
        <w:gridCol w:w="109"/>
        <w:gridCol w:w="109"/>
        <w:gridCol w:w="109"/>
        <w:gridCol w:w="109"/>
        <w:gridCol w:w="196"/>
        <w:gridCol w:w="556"/>
        <w:gridCol w:w="109"/>
        <w:gridCol w:w="109"/>
        <w:gridCol w:w="109"/>
        <w:gridCol w:w="109"/>
        <w:gridCol w:w="196"/>
        <w:gridCol w:w="55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Credit Facilities consists of principal outstanding less legal and administrative issuance costs that were recorded as a debt discount to the long-term debt, net and will continue to be accreted to interest expense using the effective interest method during its term. The principal balance of the Credit Facilities and related accretion and amortization are reported on a combined basis as long-term debt, net in the accompanying Balance Sheets as follows:</w:t>
      </w:r>
    </w:p>
    <w:tbl>
      <w:tblPr>
        <w:tblW w:w="5829" w:type="dxa"/>
        <w:jc w:val="left"/>
        <w:tblInd w:w="0" w:type="dxa"/>
        <w:tblLayout w:type="fixed"/>
        <w:tblCellMar>
          <w:top w:w="28" w:type="dxa"/>
          <w:left w:w="28" w:type="dxa"/>
          <w:bottom w:w="28" w:type="dxa"/>
          <w:right w:w="28" w:type="dxa"/>
        </w:tblCellMar>
      </w:tblPr>
      <w:tblGrid>
        <w:gridCol w:w="1286"/>
        <w:gridCol w:w="1130"/>
        <w:gridCol w:w="1139"/>
        <w:gridCol w:w="196"/>
        <w:gridCol w:w="646"/>
        <w:gridCol w:w="109"/>
        <w:gridCol w:w="109"/>
        <w:gridCol w:w="109"/>
        <w:gridCol w:w="109"/>
        <w:gridCol w:w="196"/>
        <w:gridCol w:w="64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gross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from operations before benefit from income taxes were as follows:</w:t>
      </w:r>
    </w:p>
    <w:tbl>
      <w:tblPr>
        <w:tblW w:w="5021" w:type="dxa"/>
        <w:jc w:val="left"/>
        <w:tblInd w:w="0" w:type="dxa"/>
        <w:tblLayout w:type="fixed"/>
        <w:tblCellMar>
          <w:top w:w="28" w:type="dxa"/>
          <w:left w:w="28" w:type="dxa"/>
          <w:bottom w:w="28" w:type="dxa"/>
          <w:right w:w="28" w:type="dxa"/>
        </w:tblCellMar>
      </w:tblPr>
      <w:tblGrid>
        <w:gridCol w:w="384"/>
        <w:gridCol w:w="338"/>
        <w:gridCol w:w="342"/>
        <w:gridCol w:w="196"/>
        <w:gridCol w:w="811"/>
        <w:gridCol w:w="109"/>
        <w:gridCol w:w="109"/>
        <w:gridCol w:w="109"/>
        <w:gridCol w:w="109"/>
        <w:gridCol w:w="196"/>
        <w:gridCol w:w="811"/>
        <w:gridCol w:w="109"/>
        <w:gridCol w:w="109"/>
        <w:gridCol w:w="109"/>
        <w:gridCol w:w="109"/>
        <w:gridCol w:w="196"/>
        <w:gridCol w:w="721"/>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and state income tax provision (benefit)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157"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tbl>
      <w:tblPr>
        <w:tblW w:w="5186" w:type="dxa"/>
        <w:jc w:val="left"/>
        <w:tblInd w:w="0" w:type="dxa"/>
        <w:tblLayout w:type="fixed"/>
        <w:tblCellMar>
          <w:top w:w="28" w:type="dxa"/>
          <w:left w:w="28" w:type="dxa"/>
          <w:bottom w:w="28" w:type="dxa"/>
          <w:right w:w="28" w:type="dxa"/>
        </w:tblCellMar>
      </w:tblPr>
      <w:tblGrid>
        <w:gridCol w:w="884"/>
        <w:gridCol w:w="776"/>
        <w:gridCol w:w="784"/>
        <w:gridCol w:w="196"/>
        <w:gridCol w:w="406"/>
        <w:gridCol w:w="109"/>
        <w:gridCol w:w="109"/>
        <w:gridCol w:w="109"/>
        <w:gridCol w:w="109"/>
        <w:gridCol w:w="196"/>
        <w:gridCol w:w="406"/>
        <w:gridCol w:w="109"/>
        <w:gridCol w:w="109"/>
        <w:gridCol w:w="109"/>
        <w:gridCol w:w="109"/>
        <w:gridCol w:w="196"/>
        <w:gridCol w:w="316"/>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income tax benefit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benefit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tax benefit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taxes was computed by applying the federal statutory income tax rate in each period to the pretax loss for the years ended December 31, 2024, 2023 and 2022, and adjusted for certain classes of transactions, as summarized below:</w:t>
      </w:r>
    </w:p>
    <w:tbl>
      <w:tblPr>
        <w:tblW w:w="8141" w:type="dxa"/>
        <w:jc w:val="center"/>
        <w:tblInd w:w="0" w:type="dxa"/>
        <w:tblLayout w:type="fixed"/>
        <w:tblCellMar>
          <w:top w:w="28" w:type="dxa"/>
          <w:left w:w="28" w:type="dxa"/>
          <w:bottom w:w="28" w:type="dxa"/>
          <w:right w:w="28" w:type="dxa"/>
        </w:tblCellMar>
      </w:tblPr>
      <w:tblGrid>
        <w:gridCol w:w="1578"/>
        <w:gridCol w:w="1390"/>
        <w:gridCol w:w="1396"/>
        <w:gridCol w:w="196"/>
        <w:gridCol w:w="721"/>
        <w:gridCol w:w="109"/>
        <w:gridCol w:w="109"/>
        <w:gridCol w:w="109"/>
        <w:gridCol w:w="109"/>
        <w:gridCol w:w="196"/>
        <w:gridCol w:w="721"/>
        <w:gridCol w:w="109"/>
        <w:gridCol w:w="109"/>
        <w:gridCol w:w="109"/>
        <w:gridCol w:w="109"/>
        <w:gridCol w:w="196"/>
        <w:gridCol w:w="721"/>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tax benefit at statutory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net of federal benefit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Permanent items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rate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and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158"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significant items comprising the Company's deferred tax assets and liabilities were as follows:</w:t>
      </w:r>
    </w:p>
    <w:tbl>
      <w:tblPr>
        <w:tblW w:w="6039" w:type="dxa"/>
        <w:jc w:val="center"/>
        <w:tblInd w:w="0" w:type="dxa"/>
        <w:tblLayout w:type="fixed"/>
        <w:tblCellMar>
          <w:top w:w="28" w:type="dxa"/>
          <w:left w:w="28" w:type="dxa"/>
          <w:bottom w:w="28" w:type="dxa"/>
          <w:right w:w="28" w:type="dxa"/>
        </w:tblCellMar>
      </w:tblPr>
      <w:tblGrid>
        <w:gridCol w:w="1365"/>
        <w:gridCol w:w="1198"/>
        <w:gridCol w:w="1202"/>
        <w:gridCol w:w="196"/>
        <w:gridCol w:w="646"/>
        <w:gridCol w:w="109"/>
        <w:gridCol w:w="109"/>
        <w:gridCol w:w="109"/>
        <w:gridCol w:w="109"/>
        <w:gridCol w:w="196"/>
        <w:gridCol w:w="646"/>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 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 carryforwards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 before valuation allowance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$88.0 million and $60.3 million at December 31, 2024 and 2023, respectively.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At December 31, 2024, the Company has federal and state NOL carryforwards of approximat</w:t>
      </w:r>
      <w:r>
        <w:rPr>
          <w:rFonts w:ascii="Times New Roman;sans-serif" w:hAnsi="Times New Roman;sans-serif"/>
          <w:b w:val="false"/>
          <w:color w:val="000000"/>
          <w:sz w:val="20"/>
          <w:shd w:fill="FFFFFF" w:val="clear"/>
        </w:rPr>
        <w:t>ely $138.5 million a</w:t>
      </w:r>
      <w:r>
        <w:rPr>
          <w:rFonts w:ascii="Times New Roman;sans-serif" w:hAnsi="Times New Roman;sans-serif"/>
          <w:b w:val="false"/>
          <w:color w:val="000000"/>
          <w:sz w:val="20"/>
        </w:rPr>
        <w:t>nd $111.5 million, respectively. As a result of the Tax Cuts and Jobs Act of 2017 (the "Tax Act"), for U.S. income tax purposes, NOLs generated prior to December 31, 2017 can be carried forward for up to 20 years, while NOLs generated after December 31, 2017 can be carried forward indefinitely, but are limited to 80% utilization against taxable income. The Company’s total federal NOL of $138.5 million</w:t>
      </w:r>
      <w:r>
        <w:rPr>
          <w:color w:val="000000"/>
          <w:shd w:fill="FFFFFF" w:val="clear"/>
        </w:rPr>
        <w:t xml:space="preserve"> </w:t>
      </w:r>
      <w:r>
        <w:rPr>
          <w:rFonts w:ascii="Times New Roman;sans-serif" w:hAnsi="Times New Roman;sans-serif"/>
          <w:b w:val="false"/>
          <w:color w:val="000000"/>
          <w:sz w:val="20"/>
        </w:rPr>
        <w:t>will not expire but will only be able to offset 80% of future taxable income within each year. The other state NOLs will begin to expire in 2029. At December 31, 2024, the Company had federal and other state research and development tax credits of $8.4 million and $3.0 million, respectively. The federal research and development tax credits begin to expire in 2040 unless previously utilized, and of the other state credit carryforwards $0.2 million begin to expire in 2037 while the remaining $2.8 million do not expire.</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Internal Revenue Code ("IRC") Sections 382 and 383 limit annual use of NOL and research and development credit carryforwards in the event a cumulative change in ownership of more than 50% occurs within a three-year period. The Company has completed an ownership change analysis, which resulted in some ownership changes. Of the total federal and state NOLs of $138.5 million and $111.5 million respectively, $80.1 million and $53.7 million are available as of December 31, 2024 and $136.9 million and $110.5 million are available as of December 31, 2025 to offset future taxable income. The remaining $1.6 million and $1.0 million will become available in future years. If a requisite ownership change occurs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 tax positions are evaluated based upon the facts and circumstances that exist at each reporting period. Subsequent changes in judgement based upon new information may lead to changes in recognition, derecognition,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159"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2024, the Company had gross unrecognized tax benefits of $4.8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in the accompanying Balance Sheets at December 31, 2024 and has not recognized interest and/or penalties in the accompanying Statements of Operations for the years ended December 31, 2024, or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to the gross unrecognized tax benefits:</w:t>
      </w:r>
    </w:p>
    <w:tbl>
      <w:tblPr>
        <w:tblW w:w="6371" w:type="dxa"/>
        <w:jc w:val="center"/>
        <w:tblInd w:w="0" w:type="dxa"/>
        <w:tblLayout w:type="fixed"/>
        <w:tblCellMar>
          <w:top w:w="28" w:type="dxa"/>
          <w:left w:w="28" w:type="dxa"/>
          <w:bottom w:w="28" w:type="dxa"/>
          <w:right w:w="28" w:type="dxa"/>
        </w:tblCellMar>
      </w:tblPr>
      <w:tblGrid>
        <w:gridCol w:w="1118"/>
        <w:gridCol w:w="983"/>
        <w:gridCol w:w="988"/>
        <w:gridCol w:w="196"/>
        <w:gridCol w:w="556"/>
        <w:gridCol w:w="109"/>
        <w:gridCol w:w="109"/>
        <w:gridCol w:w="109"/>
        <w:gridCol w:w="109"/>
        <w:gridCol w:w="196"/>
        <w:gridCol w:w="556"/>
        <w:gridCol w:w="109"/>
        <w:gridCol w:w="109"/>
        <w:gridCol w:w="109"/>
        <w:gridCol w:w="109"/>
        <w:gridCol w:w="196"/>
        <w:gridCol w:w="55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current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prior year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Decreases related to prior year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jurisdiction and various states. All tax years from inception are subject to examination by federal and state tax authorities. Further, the Company is not currently under examination by any federal, state, or local tax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RELATED PARTY TRANSACTIONS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Investment in Privately-Held Eye Care Company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 xml:space="preserve">In April 2024, the Company </w:t>
      </w:r>
      <w:r>
        <w:rPr>
          <w:rFonts w:ascii="Times New Roman;sans-serif" w:hAnsi="Times New Roman;sans-serif"/>
          <w:b w:val="false"/>
          <w:color w:val="000000"/>
          <w:sz w:val="20"/>
        </w:rPr>
        <w:t>participated in an equity funding round of an early clinical-stage private eye care company. Pursuant to the terms of a Preferred Stock Purchase Agreement the Company purchased</w:t>
      </w:r>
      <w:r>
        <w:rPr>
          <w:color w:val="000000"/>
          <w:shd w:fill="FFFFFF" w:val="clear"/>
        </w:rPr>
        <w:t xml:space="preserve"> </w:t>
      </w:r>
      <w:r>
        <w:rPr>
          <w:rFonts w:ascii="Times New Roman;sans-serif" w:hAnsi="Times New Roman;sans-serif"/>
          <w:b w:val="false"/>
          <w:color w:val="000000"/>
          <w:sz w:val="20"/>
        </w:rPr>
        <w:t>$3.0 million</w:t>
      </w:r>
      <w:r>
        <w:rPr>
          <w:color w:val="000000"/>
          <w:shd w:fill="FFFFFF" w:val="clear"/>
        </w:rPr>
        <w:t xml:space="preserve"> </w:t>
      </w:r>
      <w:r>
        <w:rPr>
          <w:rFonts w:ascii="Times New Roman;sans-serif" w:hAnsi="Times New Roman;sans-serif"/>
          <w:b w:val="false"/>
          <w:color w:val="000000"/>
          <w:sz w:val="20"/>
        </w:rPr>
        <w:t>of preferred stock. Drs. Azamian (the Company's CEO) and Link (a director of the Company) are board members of this private company and the Company's former director, Michael Ackermann, is an executive and board member of this private company. The Company owns a small minority of this private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Consulting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a preexisting consulting agreement with a board member who was appointed in December 2021. This consulting agreement provided for annual cash compensation of approximately $0.2 million and option grants to purchase 45,134 shares of the Company’s common stock, with exercise prices ranging from $2.01 to $34.72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2024, this consulting agreement with the board member was amended to provide for annual cash compensation of approximately $0.4 million and an additional option grant to purchase 10,000 shares of the Company’s common stock, with an exercise price of $27.49 per share. This amended consulting agreement was mutually terminated due to the board member's resignation from their seat on the board and appointment as the Company's Chief Medical Officer in November 2024.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2023, and 2022, the Company recorded $0.5 million, $0.3 million and $0.3 million, respectively, of selling, general and administrative expenses in the accompanying Statements of Operations and Comprehensive Loss related to this consulting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160"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cfdc2d09541e4fa8a41f33573472039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Sponsorship Activities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a board member of the Company was appointed president of the American Society of Cataract and Refractive Surgery ("ASCRS"), a society dedicated to meeting the needs of anterior segment ophthalmic surgeons. In April 2024, this board member's term as president ended with ASCRS.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Statements of Operations and Comprehensive Loss includes selling, general, and administrative expenses for sponsorship and event-related activities associated with ASCRS as follows:</w:t>
      </w:r>
    </w:p>
    <w:tbl>
      <w:tblPr>
        <w:tblW w:w="3476" w:type="dxa"/>
        <w:jc w:val="left"/>
        <w:tblInd w:w="0" w:type="dxa"/>
        <w:tblLayout w:type="fixed"/>
        <w:tblCellMar>
          <w:top w:w="28" w:type="dxa"/>
          <w:left w:w="28" w:type="dxa"/>
          <w:bottom w:w="28" w:type="dxa"/>
          <w:right w:w="28" w:type="dxa"/>
        </w:tblCellMar>
      </w:tblPr>
      <w:tblGrid>
        <w:gridCol w:w="504"/>
        <w:gridCol w:w="444"/>
        <w:gridCol w:w="446"/>
        <w:gridCol w:w="224"/>
        <w:gridCol w:w="481"/>
        <w:gridCol w:w="124"/>
        <w:gridCol w:w="124"/>
        <w:gridCol w:w="124"/>
        <w:gridCol w:w="124"/>
        <w:gridCol w:w="224"/>
        <w:gridCol w:w="481"/>
        <w:gridCol w:w="176"/>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ASCRS expenses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selling, general, and administrative expenses for sponsorship and event-related activities associated with ASCRS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EMPLOYEE BENEFIT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tax-deferred savings plan which permits participants to make contributions by salary deduction pursuant to Section 401(k) of the IRC. The Company has elected to make discretionary matching contributions of 4% of employee contributions up to a maximum annual compensation limit of $345,000. For the years ended December 31, 2024, 2023, and 2022, the Company's matching contributions were $2.2 million, $1.1 million, and $0.5 million, respectively, as reported in the accompanying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161"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Conclusions Regarding the Effectiveness of Disclosure Controls and Procedures</w:t>
      </w:r>
    </w:p>
    <w:p>
      <w:pPr>
        <w:pStyle w:val="TextBody"/>
        <w:bidi w:val="0"/>
        <w:spacing w:before="0" w:after="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shd w:fill="FFFFFF" w:val="clear"/>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under the Exchange Act) as of December 31, 2024. Based upon that evaluation, our Chief Executive Officer and Chief Financial Officer have concluded that as of December 31, 2024, the Company’s disclosure controls and procedures were effective </w:t>
      </w:r>
      <w:r>
        <w:rPr>
          <w:rFonts w:ascii="Times New Roman;sans-serif" w:hAnsi="Times New Roman;sans-serif"/>
          <w:b w:val="false"/>
          <w:color w:val="000000"/>
          <w:sz w:val="20"/>
        </w:rPr>
        <w:t>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our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2024. The effectiveness of the Company’s internal control over financial reporting has been audited by Ernst &amp; Young LLP, an independent registered public accounting firm, as stated in their attestation report appearing below, which expresses an unqualified opinion on the effectiveness of the Company’s internal control over financial reporting as of December 31,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during the three months ended December 31, 2024, covered by this Annual Report on Form 10-K that has materially affected, or is reasonably likely to materially affect, our internal controls over financial reporting.</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last business day of the second quarter in 2024, the aggregate market value of the shares of our common stock held by non-affiliates exceeded $700 million. As such, during the year ended December 31, 2024, we formally implemented certain internal controls over all business and information technology processes in order to comply with Section 404(b) of the Sarbanes-Oxley Act. Additionally, we will no longer (i) qualify as an emerging growth company, (ii) qualify as a smaller reporting company, and (iii) be exempt from providing an auditor's attestation report on internal control over financial reporting.</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Inherent Limitations on Effectiveness of Controls </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162"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t>
      </w:r>
      <w:r>
        <w:rPr>
          <w:rFonts w:ascii="Times New Roman;sans-serif" w:hAnsi="Times New Roman;sans-serif"/>
          <w:b w:val="false"/>
          <w:color w:val="000000"/>
          <w:sz w:val="20"/>
        </w:rPr>
        <w: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990"/>
        <w:jc w:val="left"/>
        <w:rPr/>
      </w:pPr>
      <w:r>
        <w:rPr/>
      </w:r>
    </w:p>
    <w:p>
      <w:pPr>
        <w:pStyle w:val="TextBody"/>
        <w:bidi w:val="0"/>
        <w:spacing w:before="0" w:after="0"/>
        <w:ind w:left="0" w:right="0" w:firstLine="99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163"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Tarsus Pharmaceuticals,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Tarsus Pharmaceuticals, Inc.’s internal control over financial reporting as of December 31, 2024, based on criteria established in Internal Control—Integrated Framework issued by the Committee of Sponsoring Organizations of the Treadway Commission (2013 framework) (the COSO criteria). In our opinion, Tarsus Pharmaceuticals, Inc. (the Company) maintained, in all material respects, effective internal control over financial reporting as of December 31, 2024, based on the COSO criteria.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balance sheets of the Company as of December 31, 2024 and 2023, the related statements of operations and comprehensive loss, stockholders’ equity and cash flows for each of the three years in the period ended December 31, 2024, and the related notes and our report dated February 25, 2025 expressed an unqualified opinion thereon.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164"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2024, Bobak Azamian, our Chief Executive Officer, adopted a Rule 10b5-1 trading plan to satisfy the affirmative defense of Rule 10b5-1(c) under the Exchange Act. The plan provides for the sale of up to 24,000 shares of common stock held by Dr. Azamian between March 24, 2025, and March 23,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2024, none of our other officers or directors, as defined in Rule 16a-1(f), informed us of the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165"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definitive proxy statement to be filed with the SEC in connection with the Annual Meeting of Stockholders within 120 days after December 31, 2024 (the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14. Principal Accountant Fees and Services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our Proxy Statement and is incorporated in this Annual Report on Form 10-K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166"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 (included in Part II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Report of Independent Registered Public Accounting Firm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Balance Sheets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Operations and Comprehensive Loss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Stockholder's Equity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Statements of Cash Flows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Notes to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are omitted because the information is inapplicable or presented in the notes to the 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The following exhibits are included herein or incorporated herein by reference:</w:t>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TextBody"/>
        <w:bidi w:val="0"/>
        <w:spacing w:before="240" w:after="283"/>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167"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316"/>
        <w:gridCol w:w="279"/>
        <w:gridCol w:w="280"/>
        <w:gridCol w:w="109"/>
        <w:gridCol w:w="109"/>
        <w:gridCol w:w="109"/>
        <w:gridCol w:w="1791"/>
        <w:gridCol w:w="1655"/>
        <w:gridCol w:w="1673"/>
        <w:gridCol w:w="170"/>
        <w:gridCol w:w="170"/>
        <w:gridCol w:w="171"/>
        <w:gridCol w:w="304"/>
        <w:gridCol w:w="267"/>
        <w:gridCol w:w="174"/>
        <w:gridCol w:w="210"/>
        <w:gridCol w:w="210"/>
        <w:gridCol w:w="211"/>
        <w:gridCol w:w="462"/>
        <w:gridCol w:w="306"/>
        <w:gridCol w:w="275"/>
        <w:gridCol w:w="277"/>
        <w:gridCol w:w="277"/>
        <w:gridCol w:w="400"/>
      </w:tblGrid>
      <w:tr>
        <w:trPr/>
        <w:tc>
          <w:tcPr>
            <w:tcW w:w="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16"/>
                  <w:u w:val="single"/>
                </w:rPr>
                <w:t>Amended and Restated Certificate of Incorporation of Registrant.</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16"/>
                  <w:u w:val="single"/>
                </w:rPr>
                <w:t>Amended and Restated Bylaws of Registrant.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ans-serif" w:hAnsi="Times New Roman;sans-serif"/>
                  <w:b w:val="false"/>
                  <w:color w:val="0000FF"/>
                  <w:sz w:val="16"/>
                  <w:u w:val="single"/>
                </w:rPr>
                <w:t>Form of Registrant’s common stock certificate.</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16"/>
                  <w:u w:val="single"/>
                </w:rPr>
                <w:t>Description of the Registrant’s securities registered pursuant to Section 12 of the Securities Exchange Act of 1934.</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14,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16"/>
                  <w:u w:val="single"/>
                </w:rPr>
                <w:t>Amended and Restated Investors’ Rights Agreement, dated September 24, 2020, by and among the Registrant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80"/>
                  <w:sz w:val="16"/>
                  <w:u w:val="single"/>
                </w:rPr>
                <w:t>F</w:t>
              </w:r>
            </w:hyperlink>
            <w:hyperlink r:id="rId16">
              <w:r>
                <w:rPr>
                  <w:rStyle w:val="InternetLink"/>
                  <w:rFonts w:ascii="Times New Roman;sans-serif" w:hAnsi="Times New Roman;sans-serif"/>
                  <w:b w:val="false"/>
                  <w:color w:val="000080"/>
                  <w:sz w:val="16"/>
                  <w:u w:val="single"/>
                </w:rPr>
                <w:t>orm of Pre-Funded Warrant.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 2024</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16"/>
                  <w:u w:val="single"/>
                </w:rPr>
                <w:t>Form of Indemnification Agreement between the Registrant and each of its directors and executive officers.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16"/>
                  <w:u w:val="single"/>
                </w:rPr>
                <w:t>Tarsus Pharmaceuticals, Inc. 2016 Stock Plan, as amended and forms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16"/>
                  <w:u w:val="single"/>
                </w:rPr>
                <w:t>Tarsus Pharmaceuticals, Inc. 2020 Equity Incentive Plan and form of agreements thereunder.</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16"/>
                  <w:u w:val="single"/>
                </w:rPr>
                <w:t>Tarsus Pharmaceuticals, Inc. 2020 Employee Stock Purchase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S-8</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333-249571</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20,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16"/>
                  <w:u w:val="single"/>
                </w:rPr>
                <w:t>Amended and Restated Offer Letter, dated October 8, 2020, between the Registrant and Bobak Azamian, M.D.,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80"/>
                  <w:sz w:val="16"/>
                  <w:u w:val="single"/>
                </w:rPr>
                <w:t>Offer Letter, dated March 15, 2020, between the Registrant and Leo</w:t>
              </w:r>
            </w:hyperlink>
            <w:hyperlink r:id="rId23">
              <w:r>
                <w:rPr>
                  <w:rStyle w:val="InternetLink"/>
                  <w:rFonts w:ascii="Times New Roman;sans-serif" w:hAnsi="Times New Roman;sans-serif"/>
                  <w:b w:val="false"/>
                  <w:color w:val="000080"/>
                  <w:sz w:val="16"/>
                  <w:u w:val="single"/>
                </w:rPr>
                <w:t>nard</w:t>
              </w:r>
            </w:hyperlink>
            <w:hyperlink r:id="rId24">
              <w:r>
                <w:rPr>
                  <w:rStyle w:val="InternetLink"/>
                  <w:rFonts w:ascii="Times New Roman;sans-serif" w:hAnsi="Times New Roman;sans-serif"/>
                  <w:b w:val="false"/>
                  <w:color w:val="000080"/>
                  <w:sz w:val="16"/>
                  <w:u w:val="single"/>
                </w:rPr>
                <w:t xml:space="preserve"> M. Greenstein.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16"/>
                  <w:u w:val="single"/>
                </w:rPr>
                <w:t>Offer Letter, dated June 4, 2020, between the Registrant and Seshadri Neervannan, Ph.D.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16"/>
                  <w:u w:val="single"/>
                </w:rPr>
                <w:t>Offer Letter, dated June 22, 2020, between the Registrant and Aziz Mottiwala.</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16"/>
                  <w:u w:val="single"/>
                </w:rPr>
                <w:t>Office Lease, dated May 28, 2020, between the Registrant and Discovery Business Center LLC.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16"/>
                  <w:u w:val="single"/>
                </w:rPr>
                <w:t>Sublease Agreement, dated May 29, 2020, between the Registrant and Avent, Inc., as amended by First Amendment to Sublease Agreement, dated July 30, 2020, between the Registrant and Avent, Inc.</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25,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16"/>
                  <w:u w:val="single"/>
                </w:rPr>
                <w:t>Management Cash Incentive Plan.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333-249076</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9, 2020</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80"/>
                  <w:sz w:val="16"/>
                  <w:u w:val="single"/>
                </w:rPr>
                <w:t>Development and License Agreement, dated March 26, 2021, between the Registrant and LianBio Ophthalmology</w:t>
              </w:r>
            </w:hyperlink>
            <w:hyperlink r:id="rId31">
              <w:r>
                <w:rPr>
                  <w:rStyle w:val="InternetLink"/>
                  <w:rFonts w:ascii="Times New Roman;sans-serif" w:hAnsi="Times New Roman;sans-serif"/>
                  <w:b w:val="false"/>
                  <w:color w:val="000080"/>
                  <w:sz w:val="16"/>
                  <w:u w:val="single"/>
                </w:rPr>
                <w:t xml:space="preserve"> Limited</w:t>
              </w:r>
            </w:hyperlink>
            <w:hyperlink r:id="rId32">
              <w:r>
                <w:rPr>
                  <w:rStyle w:val="InternetLink"/>
                  <w:rFonts w:ascii="Times New Roman;sans-serif" w:hAnsi="Times New Roman;sans-serif"/>
                  <w:b w:val="false"/>
                  <w:color w:val="000080"/>
                  <w:sz w:val="16"/>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2021</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16"/>
                  <w:u w:val="single"/>
                </w:rPr>
                <w:t xml:space="preserve">Loan and Security Agreement, dated February 2, 2022, by and among Registrant, Hercules Capital, Inc. and Silicon Valley Bank. </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16"/>
                  <w:u w:val="single"/>
                </w:rPr>
                <w:t>Consulting Agreement, dated August 1, 2020, between the Registrant and Elizabeth Yeu-Lin, M.D., as amended.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5">
              <w:r>
                <w:rPr>
                  <w:rStyle w:val="InternetLink"/>
                  <w:rFonts w:ascii="Times New Roman;sans-serif" w:hAnsi="Times New Roman;sans-serif"/>
                  <w:b w:val="false"/>
                  <w:color w:val="000080"/>
                  <w:sz w:val="16"/>
                  <w:u w:val="single"/>
                </w:rPr>
                <w:t xml:space="preserve">Amended and Restated License Agreement, dated June 3, 2022, </w:t>
              </w:r>
            </w:hyperlink>
            <w:hyperlink r:id="rId36">
              <w:r>
                <w:rPr>
                  <w:rStyle w:val="InternetLink"/>
                  <w:rFonts w:ascii="Times New Roman;sans-serif" w:hAnsi="Times New Roman;sans-serif"/>
                  <w:b w:val="false"/>
                  <w:color w:val="000080"/>
                  <w:sz w:val="16"/>
                  <w:u w:val="single"/>
                </w:rPr>
                <w:t>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80"/>
                  <w:sz w:val="16"/>
                  <w:u w:val="single"/>
                </w:rPr>
                <w:t>Amended and Restated License Agreement, dated June 3, 2022,</w:t>
              </w:r>
            </w:hyperlink>
            <w:hyperlink r:id="rId38">
              <w:r>
                <w:rPr>
                  <w:rStyle w:val="InternetLink"/>
                  <w:rFonts w:ascii="Times New Roman;sans-serif" w:hAnsi="Times New Roman;sans-serif"/>
                  <w:b w:val="false"/>
                  <w:color w:val="000080"/>
                  <w:sz w:val="16"/>
                  <w:u w:val="single"/>
                </w:rPr>
                <w:t>between the Registrant and Elanco Tiergesundheit AG.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11, 2022</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80"/>
                  <w:sz w:val="16"/>
                  <w:u w:val="single"/>
                </w:rPr>
                <w:t xml:space="preserve">First Amendment to Loan and Security Agreement, dated </w:t>
              </w:r>
            </w:hyperlink>
            <w:hyperlink r:id="rId40">
              <w:r>
                <w:rPr>
                  <w:rStyle w:val="InternetLink"/>
                  <w:rFonts w:ascii="Times New Roman;sans-serif" w:hAnsi="Times New Roman;sans-serif"/>
                  <w:b w:val="false"/>
                  <w:color w:val="000080"/>
                  <w:sz w:val="16"/>
                  <w:u w:val="single"/>
                </w:rPr>
                <w:t xml:space="preserve">January 5, 2023, </w:t>
              </w:r>
            </w:hyperlink>
            <w:hyperlink r:id="rId41">
              <w:r>
                <w:rPr>
                  <w:rStyle w:val="InternetLink"/>
                  <w:rFonts w:ascii="Times New Roman;sans-serif" w:hAnsi="Times New Roman;sans-serif"/>
                  <w:b w:val="false"/>
                  <w:color w:val="000080"/>
                  <w:sz w:val="16"/>
                  <w:u w:val="single"/>
                </w:rPr>
                <w:t>among Registrant Hercules Capital, Inc. and Silicon Valley Bank.</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17,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ans-serif" w:hAnsi="Times New Roman;sans-serif"/>
                  <w:b w:val="false"/>
                  <w:color w:val="000080"/>
                  <w:sz w:val="16"/>
                  <w:u w:val="single"/>
                </w:rPr>
                <w:t xml:space="preserve">Second Amendment to Loan and Security Agreement, dated </w:t>
              </w:r>
            </w:hyperlink>
            <w:hyperlink r:id="rId43">
              <w:r>
                <w:rPr>
                  <w:rStyle w:val="InternetLink"/>
                  <w:rFonts w:ascii="Times New Roman;sans-serif" w:hAnsi="Times New Roman;sans-serif"/>
                  <w:b w:val="false"/>
                  <w:color w:val="000080"/>
                  <w:sz w:val="16"/>
                  <w:u w:val="single"/>
                </w:rPr>
                <w:t xml:space="preserve">August 28, 2023, </w:t>
              </w:r>
            </w:hyperlink>
            <w:hyperlink r:id="rId44">
              <w:r>
                <w:rPr>
                  <w:rStyle w:val="InternetLink"/>
                  <w:rFonts w:ascii="Times New Roman;sans-serif" w:hAnsi="Times New Roman;sans-serif"/>
                  <w:b w:val="false"/>
                  <w:color w:val="000080"/>
                  <w:sz w:val="16"/>
                  <w:u w:val="single"/>
                </w:rPr>
                <w:t>among Registrant, Hercules Capital, Inc. and First-Citizens Bank &amp; Trust Company.</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9,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FF"/>
                  <w:sz w:val="16"/>
                  <w:u w:val="single"/>
                </w:rPr>
                <w:t xml:space="preserve">Offer Letter, dated March 6, 2023 by and between the Registrant and Jeffrey Farrow. </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c>
          <w:tcPr>
            <w:tcW w:w="954"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8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80"/>
                  <w:sz w:val="16"/>
                  <w:u w:val="single"/>
                </w:rPr>
                <w:t xml:space="preserve">Separation Agreement, dated May 4, 2023, </w:t>
              </w:r>
            </w:hyperlink>
            <w:hyperlink r:id="rId47">
              <w:r>
                <w:rPr>
                  <w:rStyle w:val="InternetLink"/>
                  <w:rFonts w:ascii="Times New Roman;sans-serif" w:hAnsi="Times New Roman;sans-serif"/>
                  <w:b w:val="false"/>
                  <w:color w:val="000080"/>
                  <w:sz w:val="16"/>
                  <w:u w:val="single"/>
                </w:rPr>
                <w:t xml:space="preserve">between the Registrant and Leonard </w:t>
              </w:r>
            </w:hyperlink>
            <w:hyperlink r:id="rId48">
              <w:r>
                <w:rPr>
                  <w:rStyle w:val="InternetLink"/>
                  <w:rFonts w:ascii="Times New Roman;sans-serif" w:hAnsi="Times New Roman;sans-serif"/>
                  <w:b w:val="false"/>
                  <w:color w:val="000080"/>
                  <w:sz w:val="16"/>
                  <w:u w:val="single"/>
                </w:rPr>
                <w:t xml:space="preserve">M. </w:t>
              </w:r>
            </w:hyperlink>
            <w:hyperlink r:id="rId49">
              <w:r>
                <w:rPr>
                  <w:rStyle w:val="InternetLink"/>
                  <w:rFonts w:ascii="Times New Roman;sans-serif" w:hAnsi="Times New Roman;sans-serif"/>
                  <w:b w:val="false"/>
                  <w:color w:val="000080"/>
                  <w:sz w:val="16"/>
                  <w:u w:val="single"/>
                </w:rPr>
                <w:t>Greenstein.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6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10,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168"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3"/>
        <w:gridCol w:w="187"/>
        <w:gridCol w:w="189"/>
        <w:gridCol w:w="109"/>
        <w:gridCol w:w="109"/>
        <w:gridCol w:w="109"/>
        <w:gridCol w:w="2336"/>
        <w:gridCol w:w="2092"/>
        <w:gridCol w:w="2099"/>
        <w:gridCol w:w="126"/>
        <w:gridCol w:w="126"/>
        <w:gridCol w:w="127"/>
        <w:gridCol w:w="216"/>
        <w:gridCol w:w="216"/>
        <w:gridCol w:w="218"/>
        <w:gridCol w:w="140"/>
        <w:gridCol w:w="140"/>
        <w:gridCol w:w="141"/>
        <w:gridCol w:w="374"/>
        <w:gridCol w:w="278"/>
        <w:gridCol w:w="280"/>
        <w:gridCol w:w="109"/>
        <w:gridCol w:w="109"/>
        <w:gridCol w:w="162"/>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ans-serif" w:hAnsi="Times New Roman;sans-serif"/>
                  <w:b w:val="false"/>
                  <w:color w:val="0000FF"/>
                  <w:sz w:val="16"/>
                  <w:u w:val="single"/>
                </w:rPr>
                <w:t>Form of Executive Severance and Change in Control Agreement.</w:t>
              </w:r>
            </w:hyperlink>
          </w:p>
        </w:tc>
        <w:tc>
          <w:tcPr>
            <w:tcW w:w="3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9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10, 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ans-serif" w:hAnsi="Times New Roman;sans-serif"/>
                  <w:b w:val="false"/>
                  <w:color w:val="000080"/>
                  <w:sz w:val="16"/>
                  <w:u w:val="single"/>
                </w:rPr>
                <w:t xml:space="preserve">Loan </w:t>
              </w:r>
            </w:hyperlink>
            <w:hyperlink r:id="rId52">
              <w:r>
                <w:rPr>
                  <w:rStyle w:val="InternetLink"/>
                  <w:rFonts w:ascii="Times New Roman;sans-serif" w:hAnsi="Times New Roman;sans-serif"/>
                  <w:b w:val="false"/>
                  <w:color w:val="000080"/>
                  <w:sz w:val="16"/>
                  <w:u w:val="single"/>
                </w:rPr>
                <w:t xml:space="preserve">and Security </w:t>
              </w:r>
            </w:hyperlink>
            <w:hyperlink r:id="rId53">
              <w:r>
                <w:rPr>
                  <w:rStyle w:val="InternetLink"/>
                  <w:rFonts w:ascii="Times New Roman;sans-serif" w:hAnsi="Times New Roman;sans-serif"/>
                  <w:b w:val="false"/>
                  <w:color w:val="000080"/>
                  <w:sz w:val="16"/>
                  <w:u w:val="single"/>
                </w:rPr>
                <w:t>Agreement, dated April 1</w:t>
              </w:r>
            </w:hyperlink>
            <w:hyperlink r:id="rId54">
              <w:r>
                <w:rPr>
                  <w:rStyle w:val="InternetLink"/>
                  <w:rFonts w:ascii="Times New Roman;sans-serif" w:hAnsi="Times New Roman;sans-serif"/>
                  <w:b w:val="false"/>
                  <w:color w:val="000080"/>
                  <w:sz w:val="16"/>
                  <w:u w:val="single"/>
                </w:rPr>
                <w:t>9</w:t>
              </w:r>
            </w:hyperlink>
            <w:hyperlink r:id="rId55">
              <w:r>
                <w:rPr>
                  <w:rStyle w:val="InternetLink"/>
                  <w:rFonts w:ascii="Times New Roman;sans-serif" w:hAnsi="Times New Roman;sans-serif"/>
                  <w:b w:val="false"/>
                  <w:color w:val="000080"/>
                  <w:sz w:val="16"/>
                  <w:u w:val="single"/>
                </w:rPr>
                <w:t xml:space="preserve">, 2024, </w:t>
              </w:r>
            </w:hyperlink>
            <w:hyperlink r:id="rId56">
              <w:r>
                <w:rPr>
                  <w:rStyle w:val="InternetLink"/>
                  <w:rFonts w:ascii="Times New Roman;sans-serif" w:hAnsi="Times New Roman;sans-serif"/>
                  <w:b w:val="false"/>
                  <w:color w:val="000080"/>
                  <w:sz w:val="16"/>
                  <w:u w:val="single"/>
                </w:rPr>
                <w:t>among</w:t>
              </w:r>
            </w:hyperlink>
            <w:hyperlink r:id="rId57">
              <w:r>
                <w:rPr>
                  <w:rStyle w:val="InternetLink"/>
                  <w:rFonts w:ascii="Times New Roman;sans-serif" w:hAnsi="Times New Roman;sans-serif"/>
                  <w:b w:val="false"/>
                  <w:color w:val="000080"/>
                  <w:sz w:val="16"/>
                  <w:u w:val="single"/>
                </w:rPr>
                <w:t xml:space="preserve"> Registrant and </w:t>
              </w:r>
            </w:hyperlink>
            <w:hyperlink r:id="rId58">
              <w:r>
                <w:rPr>
                  <w:rStyle w:val="InternetLink"/>
                  <w:rFonts w:ascii="Times New Roman;sans-serif" w:hAnsi="Times New Roman;sans-serif"/>
                  <w:b w:val="false"/>
                  <w:color w:val="000080"/>
                  <w:sz w:val="16"/>
                  <w:u w:val="single"/>
                </w:rPr>
                <w:t>Biopharma Credit PLC, Biopharma Credit Investments V (Master) LP, and BPCR Limited Partnership</w:t>
              </w:r>
            </w:hyperlink>
            <w:hyperlink r:id="rId59">
              <w:r>
                <w:rPr>
                  <w:rStyle w:val="InternetLink"/>
                  <w:rFonts w:ascii="Times New Roman;sans-serif" w:hAnsi="Times New Roman;sans-serif"/>
                  <w:b w:val="false"/>
                  <w:color w:val="000080"/>
                  <w:sz w:val="16"/>
                  <w:u w:val="single"/>
                </w:rPr>
                <w:t>.</w:t>
              </w:r>
            </w:hyperlink>
          </w:p>
        </w:tc>
        <w:tc>
          <w:tcPr>
            <w:tcW w:w="3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9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8, 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Times New Roman;sans-serif" w:hAnsi="Times New Roman;sans-serif"/>
                  <w:b w:val="false"/>
                  <w:color w:val="0000FF"/>
                  <w:sz w:val="16"/>
                  <w:u w:val="single"/>
                </w:rPr>
                <w:t>Separation Agreement, dated February 21, 2024, between the Registrant and Jose M. Trevejo.</w:t>
              </w:r>
            </w:hyperlink>
          </w:p>
        </w:tc>
        <w:tc>
          <w:tcPr>
            <w:tcW w:w="3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9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8, 2024</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arsuspharmaceuticalsinc.htm">
              <w:r>
                <w:rPr>
                  <w:rStyle w:val="InternetLink"/>
                  <w:rFonts w:ascii="Times New Roman;sans-serif" w:hAnsi="Times New Roman;sans-serif"/>
                  <w:b w:val="false"/>
                  <w:color w:val="000080"/>
                  <w:sz w:val="16"/>
                  <w:u w:val="single"/>
                </w:rPr>
                <w:t>Office Lease</w:t>
              </w:r>
            </w:hyperlink>
            <w:hyperlink w:anchor="tarsuspharmaceuticalsinc.htm">
              <w:r>
                <w:rPr>
                  <w:rStyle w:val="InternetLink"/>
                  <w:rFonts w:ascii="Times New Roman;sans-serif" w:hAnsi="Times New Roman;sans-serif"/>
                  <w:b w:val="false"/>
                  <w:color w:val="000080"/>
                  <w:sz w:val="16"/>
                  <w:u w:val="single"/>
                </w:rPr>
                <w:t xml:space="preserve"> Termination Agreement</w:t>
              </w:r>
            </w:hyperlink>
            <w:hyperlink w:anchor="tarsuspharmaceuticalsinc.htm">
              <w:r>
                <w:rPr>
                  <w:rStyle w:val="InternetLink"/>
                  <w:rFonts w:ascii="Times New Roman;sans-serif" w:hAnsi="Times New Roman;sans-serif"/>
                  <w:b w:val="false"/>
                  <w:color w:val="000080"/>
                  <w:sz w:val="16"/>
                  <w:u w:val="single"/>
                </w:rPr>
                <w:t xml:space="preserve">, dated </w:t>
              </w:r>
            </w:hyperlink>
            <w:hyperlink w:anchor="tarsuspharmaceuticalsinc.htm">
              <w:r>
                <w:rPr>
                  <w:rStyle w:val="InternetLink"/>
                  <w:rFonts w:ascii="Times New Roman;sans-serif" w:hAnsi="Times New Roman;sans-serif"/>
                  <w:b w:val="false"/>
                  <w:color w:val="000080"/>
                  <w:sz w:val="16"/>
                  <w:u w:val="single"/>
                </w:rPr>
                <w:t>December</w:t>
              </w:r>
            </w:hyperlink>
            <w:hyperlink w:anchor="tarsuspharmaceuticalsinc.htm">
              <w:r>
                <w:rPr>
                  <w:rStyle w:val="InternetLink"/>
                  <w:rFonts w:ascii="Times New Roman;sans-serif" w:hAnsi="Times New Roman;sans-serif"/>
                  <w:b w:val="false"/>
                  <w:color w:val="000080"/>
                  <w:sz w:val="16"/>
                  <w:u w:val="single"/>
                </w:rPr>
                <w:t xml:space="preserve"> </w:t>
              </w:r>
            </w:hyperlink>
            <w:hyperlink w:anchor="tarsuspharmaceuticalsinc.htm">
              <w:r>
                <w:rPr>
                  <w:rStyle w:val="InternetLink"/>
                  <w:rFonts w:ascii="Times New Roman;sans-serif" w:hAnsi="Times New Roman;sans-serif"/>
                  <w:b w:val="false"/>
                  <w:color w:val="000080"/>
                  <w:sz w:val="16"/>
                  <w:u w:val="single"/>
                </w:rPr>
                <w:t>16</w:t>
              </w:r>
            </w:hyperlink>
            <w:hyperlink w:anchor="tarsuspharmaceuticalsinc.htm">
              <w:r>
                <w:rPr>
                  <w:rStyle w:val="InternetLink"/>
                  <w:rFonts w:ascii="Times New Roman;sans-serif" w:hAnsi="Times New Roman;sans-serif"/>
                  <w:b w:val="false"/>
                  <w:color w:val="000080"/>
                  <w:sz w:val="16"/>
                  <w:u w:val="single"/>
                </w:rPr>
                <w:t>, 202</w:t>
              </w:r>
            </w:hyperlink>
            <w:hyperlink w:anchor="tarsuspharmaceuticalsinc.htm">
              <w:r>
                <w:rPr>
                  <w:rStyle w:val="InternetLink"/>
                  <w:rFonts w:ascii="Times New Roman;sans-serif" w:hAnsi="Times New Roman;sans-serif"/>
                  <w:b w:val="false"/>
                  <w:color w:val="000080"/>
                  <w:sz w:val="16"/>
                  <w:u w:val="single"/>
                </w:rPr>
                <w:t>4</w:t>
              </w:r>
            </w:hyperlink>
            <w:hyperlink w:anchor="tarsuspharmaceuticalsinc.htm">
              <w:r>
                <w:rPr>
                  <w:rStyle w:val="InternetLink"/>
                  <w:rFonts w:ascii="Times New Roman;sans-serif" w:hAnsi="Times New Roman;sans-serif"/>
                  <w:b w:val="false"/>
                  <w:color w:val="000080"/>
                  <w:sz w:val="16"/>
                  <w:u w:val="single"/>
                </w:rPr>
                <w:t>, between the Registrant and Discovery Business Center LLC.</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arsusnewleaseredacted.htm">
              <w:r>
                <w:rPr>
                  <w:rStyle w:val="InternetLink"/>
                  <w:rFonts w:ascii="Times New Roman;sans-serif" w:hAnsi="Times New Roman;sans-serif"/>
                  <w:b w:val="false"/>
                  <w:color w:val="000080"/>
                  <w:sz w:val="16"/>
                  <w:u w:val="single"/>
                </w:rPr>
                <w:t>Office Lease</w:t>
              </w:r>
            </w:hyperlink>
            <w:hyperlink w:anchor="tarsusnewleaseredacted.htm">
              <w:r>
                <w:rPr>
                  <w:rStyle w:val="InternetLink"/>
                  <w:rFonts w:ascii="Times New Roman;sans-serif" w:hAnsi="Times New Roman;sans-serif"/>
                  <w:b w:val="false"/>
                  <w:color w:val="000080"/>
                  <w:sz w:val="16"/>
                  <w:u w:val="single"/>
                </w:rPr>
                <w:t xml:space="preserve"> Agree</w:t>
              </w:r>
            </w:hyperlink>
            <w:hyperlink w:anchor="tarsusnewleaseredacted.htm">
              <w:r>
                <w:rPr>
                  <w:rStyle w:val="InternetLink"/>
                  <w:rFonts w:ascii="Times New Roman;sans-serif" w:hAnsi="Times New Roman;sans-serif"/>
                  <w:b w:val="false"/>
                  <w:color w:val="000080"/>
                  <w:sz w:val="16"/>
                  <w:u w:val="single"/>
                </w:rPr>
                <w:t>ment</w:t>
              </w:r>
            </w:hyperlink>
            <w:hyperlink w:anchor="tarsusnewleaseredacted.htm">
              <w:r>
                <w:rPr>
                  <w:rStyle w:val="InternetLink"/>
                  <w:rFonts w:ascii="Times New Roman;sans-serif" w:hAnsi="Times New Roman;sans-serif"/>
                  <w:b w:val="false"/>
                  <w:color w:val="000080"/>
                  <w:sz w:val="16"/>
                  <w:u w:val="single"/>
                </w:rPr>
                <w:t xml:space="preserve">, dated December 16, 2024, between the Registrant and </w:t>
              </w:r>
            </w:hyperlink>
            <w:hyperlink w:anchor="tarsusnewleaseredacted.htm">
              <w:r>
                <w:rPr>
                  <w:rStyle w:val="InternetLink"/>
                  <w:rFonts w:ascii="Times New Roman;sans-serif" w:hAnsi="Times New Roman;sans-serif"/>
                  <w:b w:val="false"/>
                  <w:color w:val="000080"/>
                  <w:sz w:val="16"/>
                  <w:u w:val="single"/>
                </w:rPr>
                <w:t>Spectrum Terrace III LLC</w:t>
              </w:r>
            </w:hyperlink>
            <w:hyperlink w:anchor="tarsusnewleaseredacted.htm">
              <w:r>
                <w:rPr>
                  <w:rStyle w:val="InternetLink"/>
                  <w:rFonts w:ascii="Times New Roman;sans-serif" w:hAnsi="Times New Roman;sans-serif"/>
                  <w:b w:val="false"/>
                  <w:color w:val="000080"/>
                  <w:sz w:val="16"/>
                  <w:u w:val="single"/>
                </w:rPr>
                <w:t>.</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yeuelizabeth-offerletter.htm">
              <w:r>
                <w:rPr>
                  <w:rStyle w:val="InternetLink"/>
                  <w:rFonts w:ascii="Times New Roman;sans-serif" w:hAnsi="Times New Roman;sans-serif"/>
                  <w:b w:val="false"/>
                  <w:color w:val="000080"/>
                  <w:sz w:val="16"/>
                  <w:u w:val="single"/>
                </w:rPr>
                <w:t xml:space="preserve">Offer Letter, dated </w:t>
              </w:r>
            </w:hyperlink>
            <w:hyperlink w:anchor="yeuelizabeth-offerletter.htm">
              <w:r>
                <w:rPr>
                  <w:rStyle w:val="InternetLink"/>
                  <w:rFonts w:ascii="Times New Roman;sans-serif" w:hAnsi="Times New Roman;sans-serif"/>
                  <w:b w:val="false"/>
                  <w:color w:val="000080"/>
                  <w:sz w:val="16"/>
                  <w:u w:val="single"/>
                </w:rPr>
                <w:t>October 31, 2024</w:t>
              </w:r>
            </w:hyperlink>
            <w:hyperlink w:anchor="yeuelizabeth-offerletter.htm">
              <w:r>
                <w:rPr>
                  <w:rStyle w:val="InternetLink"/>
                  <w:rFonts w:ascii="Times New Roman;sans-serif" w:hAnsi="Times New Roman;sans-serif"/>
                  <w:b w:val="false"/>
                  <w:color w:val="000080"/>
                  <w:sz w:val="16"/>
                  <w:u w:val="single"/>
                </w:rPr>
                <w:t>,</w:t>
              </w:r>
            </w:hyperlink>
            <w:hyperlink w:anchor="yeuelizabeth-offerletter.htm">
              <w:r>
                <w:rPr>
                  <w:rStyle w:val="InternetLink"/>
                  <w:rFonts w:ascii="Times New Roman;sans-serif" w:hAnsi="Times New Roman;sans-serif"/>
                  <w:b w:val="false"/>
                  <w:color w:val="000080"/>
                  <w:sz w:val="16"/>
                  <w:u w:val="single"/>
                </w:rPr>
                <w:t xml:space="preserve"> </w:t>
              </w:r>
            </w:hyperlink>
            <w:hyperlink w:anchor="yeuelizabeth-offerletter.htm">
              <w:r>
                <w:rPr>
                  <w:rStyle w:val="InternetLink"/>
                  <w:rFonts w:ascii="Times New Roman;sans-serif" w:hAnsi="Times New Roman;sans-serif"/>
                  <w:b w:val="false"/>
                  <w:color w:val="000080"/>
                  <w:sz w:val="16"/>
                  <w:u w:val="single"/>
                </w:rPr>
                <w:t xml:space="preserve">between the Registrant and </w:t>
              </w:r>
            </w:hyperlink>
            <w:hyperlink w:anchor="yeuelizabeth-offerletter.htm">
              <w:r>
                <w:rPr>
                  <w:rStyle w:val="InternetLink"/>
                  <w:rFonts w:ascii="Times New Roman;sans-serif" w:hAnsi="Times New Roman;sans-serif"/>
                  <w:b w:val="false"/>
                  <w:color w:val="000080"/>
                  <w:sz w:val="16"/>
                  <w:u w:val="single"/>
                </w:rPr>
                <w:t>Elizabeth Yeu</w:t>
              </w:r>
            </w:hyperlink>
            <w:hyperlink w:anchor="yeuelizabeth-offerletter.htm">
              <w:r>
                <w:rPr>
                  <w:rStyle w:val="InternetLink"/>
                  <w:rFonts w:ascii="Times New Roman;sans-serif" w:hAnsi="Times New Roman;sans-serif"/>
                  <w:b w:val="false"/>
                  <w:color w:val="000080"/>
                  <w:sz w:val="16"/>
                  <w:u w:val="single"/>
                </w:rPr>
                <w:t xml:space="preserve">. </w:t>
              </w:r>
            </w:hyperlink>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p-03xnovationandtermina.htm">
              <w:r>
                <w:rPr>
                  <w:rStyle w:val="InternetLink"/>
                  <w:rFonts w:ascii="Times New Roman;sans-serif" w:hAnsi="Times New Roman;sans-serif"/>
                  <w:b w:val="false"/>
                  <w:color w:val="000080"/>
                  <w:sz w:val="16"/>
                  <w:u w:val="single"/>
                </w:rPr>
                <w:t>Novation and Termination Agreement</w:t>
              </w:r>
            </w:hyperlink>
            <w:hyperlink w:anchor="tp-03xnovationandtermina.htm">
              <w:r>
                <w:rPr>
                  <w:rStyle w:val="InternetLink"/>
                  <w:rFonts w:ascii="Times New Roman;sans-serif" w:hAnsi="Times New Roman;sans-serif"/>
                  <w:b w:val="false"/>
                  <w:color w:val="000080"/>
                  <w:sz w:val="16"/>
                  <w:u w:val="single"/>
                </w:rPr>
                <w:t>,</w:t>
              </w:r>
            </w:hyperlink>
            <w:hyperlink w:anchor="tp-03xnovationandtermina.htm">
              <w:r>
                <w:rPr>
                  <w:rStyle w:val="InternetLink"/>
                  <w:rFonts w:ascii="Times New Roman;sans-serif" w:hAnsi="Times New Roman;sans-serif"/>
                  <w:b w:val="false"/>
                  <w:color w:val="000080"/>
                  <w:sz w:val="16"/>
                  <w:u w:val="single"/>
                </w:rPr>
                <w:t xml:space="preserve"> dated </w:t>
              </w:r>
            </w:hyperlink>
            <w:hyperlink w:anchor="tp-03xnovationandtermina.htm">
              <w:r>
                <w:rPr>
                  <w:rStyle w:val="InternetLink"/>
                  <w:rFonts w:ascii="Times New Roman;sans-serif" w:hAnsi="Times New Roman;sans-serif"/>
                  <w:b w:val="false"/>
                  <w:color w:val="000080"/>
                  <w:sz w:val="16"/>
                  <w:u w:val="single"/>
                </w:rPr>
                <w:t>March 26, 2024,</w:t>
              </w:r>
            </w:hyperlink>
            <w:hyperlink w:anchor="tp-03xnovationandtermina.htm">
              <w:r>
                <w:rPr>
                  <w:rStyle w:val="InternetLink"/>
                  <w:rFonts w:ascii="Times New Roman;sans-serif" w:hAnsi="Times New Roman;sans-serif"/>
                  <w:b w:val="false"/>
                  <w:color w:val="000080"/>
                  <w:sz w:val="16"/>
                  <w:u w:val="single"/>
                </w:rPr>
                <w:t xml:space="preserve"> </w:t>
              </w:r>
            </w:hyperlink>
            <w:hyperlink w:anchor="tp-03xnovationandtermina.htm">
              <w:r>
                <w:rPr>
                  <w:rStyle w:val="InternetLink"/>
                  <w:rFonts w:ascii="Times New Roman;sans-serif" w:hAnsi="Times New Roman;sans-serif"/>
                  <w:b w:val="false"/>
                  <w:color w:val="000080"/>
                  <w:sz w:val="16"/>
                  <w:u w:val="single"/>
                </w:rPr>
                <w:t xml:space="preserve">by and </w:t>
              </w:r>
            </w:hyperlink>
            <w:hyperlink w:anchor="tp-03xnovationandtermina.htm">
              <w:r>
                <w:rPr>
                  <w:rStyle w:val="InternetLink"/>
                  <w:rFonts w:ascii="Times New Roman;sans-serif" w:hAnsi="Times New Roman;sans-serif"/>
                  <w:b w:val="false"/>
                  <w:color w:val="000080"/>
                  <w:sz w:val="16"/>
                  <w:u w:val="single"/>
                </w:rPr>
                <w:t>among</w:t>
              </w:r>
            </w:hyperlink>
            <w:hyperlink w:anchor="tp-03xnovationandtermina.htm">
              <w:r>
                <w:rPr>
                  <w:rStyle w:val="InternetLink"/>
                  <w:rFonts w:ascii="Times New Roman;sans-serif" w:hAnsi="Times New Roman;sans-serif"/>
                  <w:b w:val="false"/>
                  <w:color w:val="000080"/>
                  <w:sz w:val="16"/>
                  <w:u w:val="single"/>
                </w:rPr>
                <w:t xml:space="preserve"> the Registrant,</w:t>
              </w:r>
            </w:hyperlink>
            <w:hyperlink w:anchor="tp-03xnovationandtermina.htm">
              <w:r>
                <w:rPr>
                  <w:rStyle w:val="InternetLink"/>
                  <w:rFonts w:ascii="Times New Roman;sans-serif" w:hAnsi="Times New Roman;sans-serif"/>
                  <w:b w:val="false"/>
                  <w:color w:val="000080"/>
                  <w:sz w:val="16"/>
                  <w:u w:val="single"/>
                </w:rPr>
                <w:t xml:space="preserve"> </w:t>
              </w:r>
            </w:hyperlink>
            <w:hyperlink w:anchor="tp-03xnovationandtermina.htm">
              <w:r>
                <w:rPr>
                  <w:rStyle w:val="InternetLink"/>
                  <w:rFonts w:ascii="Times New Roman;sans-serif" w:hAnsi="Times New Roman;sans-serif"/>
                  <w:b w:val="false"/>
                  <w:color w:val="000080"/>
                  <w:sz w:val="16"/>
                  <w:u w:val="single"/>
                </w:rPr>
                <w:t>Lian</w:t>
              </w:r>
            </w:hyperlink>
            <w:hyperlink w:anchor="tp-03xnovationandtermina.htm">
              <w:r>
                <w:rPr>
                  <w:rStyle w:val="InternetLink"/>
                  <w:rFonts w:ascii="Times New Roman;sans-serif" w:hAnsi="Times New Roman;sans-serif"/>
                  <w:b w:val="false"/>
                  <w:color w:val="000080"/>
                  <w:sz w:val="16"/>
                  <w:u w:val="single"/>
                </w:rPr>
                <w:t>B</w:t>
              </w:r>
            </w:hyperlink>
            <w:hyperlink w:anchor="tp-03xnovationandtermina.htm">
              <w:r>
                <w:rPr>
                  <w:rStyle w:val="InternetLink"/>
                  <w:rFonts w:ascii="Times New Roman;sans-serif" w:hAnsi="Times New Roman;sans-serif"/>
                  <w:b w:val="false"/>
                  <w:color w:val="000080"/>
                  <w:sz w:val="16"/>
                  <w:u w:val="single"/>
                </w:rPr>
                <w:t xml:space="preserve">io Development (HK) Limited, LianBio, </w:t>
              </w:r>
            </w:hyperlink>
            <w:hyperlink w:anchor="tp-03xnovationandtermina.htm">
              <w:r>
                <w:rPr>
                  <w:rStyle w:val="InternetLink"/>
                  <w:rFonts w:ascii="Times New Roman;sans-serif" w:hAnsi="Times New Roman;sans-serif"/>
                  <w:b w:val="false"/>
                  <w:color w:val="000080"/>
                  <w:sz w:val="16"/>
                  <w:u w:val="single"/>
                </w:rPr>
                <w:t xml:space="preserve">Shanghai </w:t>
              </w:r>
            </w:hyperlink>
            <w:hyperlink w:anchor="tp-03xnovationandtermina.htm">
              <w:r>
                <w:rPr>
                  <w:rStyle w:val="InternetLink"/>
                  <w:rFonts w:ascii="Times New Roman;sans-serif" w:hAnsi="Times New Roman;sans-serif"/>
                  <w:b w:val="false"/>
                  <w:color w:val="000080"/>
                  <w:sz w:val="16"/>
                  <w:u w:val="single"/>
                </w:rPr>
                <w:t>LianBio Development Co., Ltd., Xi An Grand Chang An Pharmaceutical Co., Ltd.</w:t>
              </w:r>
            </w:hyperlink>
            <w:hyperlink w:anchor="tp-03xnovationandtermina.htm">
              <w:r>
                <w:rPr>
                  <w:rStyle w:val="InternetLink"/>
                  <w:rFonts w:ascii="Times New Roman;sans-serif" w:hAnsi="Times New Roman;sans-serif"/>
                  <w:b w:val="false"/>
                  <w:color w:val="000080"/>
                  <w:sz w:val="16"/>
                  <w:u w:val="single"/>
                </w:rPr>
                <w:t>,</w:t>
              </w:r>
            </w:hyperlink>
            <w:hyperlink w:anchor="tp-03xnovationandtermina.htm">
              <w:r>
                <w:rPr>
                  <w:rStyle w:val="InternetLink"/>
                  <w:rFonts w:ascii="Times New Roman;sans-serif" w:hAnsi="Times New Roman;sans-serif"/>
                  <w:b w:val="false"/>
                  <w:color w:val="000080"/>
                  <w:sz w:val="16"/>
                  <w:u w:val="single"/>
                </w:rPr>
                <w:t xml:space="preserve"> </w:t>
              </w:r>
            </w:hyperlink>
            <w:hyperlink w:anchor="tp-03xnovationandtermina.htm">
              <w:r>
                <w:rPr>
                  <w:rStyle w:val="InternetLink"/>
                  <w:rFonts w:ascii="Times New Roman;sans-serif" w:hAnsi="Times New Roman;sans-serif"/>
                  <w:b w:val="false"/>
                  <w:color w:val="000080"/>
                  <w:sz w:val="16"/>
                  <w:u w:val="single"/>
                </w:rPr>
                <w:t>a</w:t>
              </w:r>
            </w:hyperlink>
            <w:hyperlink w:anchor="tp-03xnovationandtermina.htm">
              <w:r>
                <w:rPr>
                  <w:rStyle w:val="InternetLink"/>
                  <w:rFonts w:ascii="Times New Roman;sans-serif" w:hAnsi="Times New Roman;sans-serif"/>
                  <w:b w:val="false"/>
                  <w:color w:val="000080"/>
                  <w:sz w:val="16"/>
                  <w:u w:val="single"/>
                </w:rPr>
                <w:t>nd Grand Pharmaceutical Group Limited</w:t>
              </w:r>
            </w:hyperlink>
            <w:hyperlink w:anchor="tp-03xnovationandtermina.htm">
              <w:r>
                <w:rPr>
                  <w:rStyle w:val="InternetLink"/>
                  <w:rFonts w:ascii="Times New Roman;sans-serif" w:hAnsi="Times New Roman;sans-serif"/>
                  <w:b w:val="false"/>
                  <w:color w:val="000080"/>
                  <w:sz w:val="16"/>
                  <w:u w:val="single"/>
                </w:rPr>
                <w:t>.</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arsus-xxinsiderxtrading.htm">
              <w:r>
                <w:rPr>
                  <w:rStyle w:val="InternetLink"/>
                  <w:rFonts w:ascii="Times New Roman;sans-serif" w:hAnsi="Times New Roman;sans-serif"/>
                  <w:b w:val="false"/>
                  <w:color w:val="0000FF"/>
                  <w:sz w:val="16"/>
                  <w:u w:val="single"/>
                </w:rPr>
                <w:t>Tarsus Pharmaceuticals, Inc. Insider Trading Policy</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231202410k.htm">
              <w:r>
                <w:rPr>
                  <w:rStyle w:val="InternetLink"/>
                  <w:rFonts w:ascii="Times New Roman;sans-serif" w:hAnsi="Times New Roman;sans-serif"/>
                  <w:b w:val="false"/>
                  <w:color w:val="0000FF"/>
                  <w:sz w:val="16"/>
                  <w:u w:val="single"/>
                </w:rPr>
                <w:t>Consent of Independent Registered Public Accounting Firm</w:t>
              </w:r>
            </w:hyperlink>
            <w:r>
              <w:rPr>
                <w:rFonts w:ascii="Times New Roman;sans-serif" w:hAnsi="Times New Roman;sans-serif"/>
                <w:b w:val="false"/>
                <w:color w:val="000000"/>
                <w:sz w:val="16"/>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cfdc2d09541e4fa8a41f33573472039a_187">
              <w:r>
                <w:rPr>
                  <w:rStyle w:val="InternetLink"/>
                  <w:rFonts w:ascii="Times New Roman;sans-serif" w:hAnsi="Times New Roman;sans-serif"/>
                  <w:b w:val="false"/>
                  <w:color w:val="0000FF"/>
                  <w:sz w:val="16"/>
                  <w:u w:val="single"/>
                </w:rPr>
                <w:t>Power of Attorney (included in the signature page to this Annual Report on Form 10-K)</w:t>
              </w:r>
            </w:hyperlink>
            <w:r>
              <w:rPr>
                <w:rFonts w:ascii="Times New Roman;sans-serif" w:hAnsi="Times New Roman;sans-serif"/>
                <w:b w:val="false"/>
                <w:color w:val="000000"/>
                <w:sz w:val="16"/>
              </w:rPr>
              <w: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202410k.htm">
              <w:r>
                <w:rPr>
                  <w:rStyle w:val="InternetLink"/>
                  <w:rFonts w:ascii="Times New Roman;sans-serif" w:hAnsi="Times New Roman;sans-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202410k.htm">
              <w:r>
                <w:rPr>
                  <w:rStyle w:val="InternetLink"/>
                  <w:rFonts w:ascii="Times New Roman;sans-serif" w:hAnsi="Times New Roman;sans-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202410k.htm">
              <w:r>
                <w:rPr>
                  <w:rStyle w:val="InternetLink"/>
                  <w:rFonts w:ascii="Times New Roman;sans-serif" w:hAnsi="Times New Roman;sans-serif"/>
                  <w:b w:val="false"/>
                  <w:color w:val="0000FF"/>
                  <w:sz w:val="16"/>
                  <w:u w:val="single"/>
                </w:rPr>
                <w:t>Certification of Principal Executive Officer Pursuant to 18 U.S.C. Section 1350, as Adopted Pursuant to Section 906 of the Sarbanes-Oxley Act of 2002.</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202410k.htm">
              <w:r>
                <w:rPr>
                  <w:rStyle w:val="InternetLink"/>
                  <w:rFonts w:ascii="Times New Roman;sans-serif" w:hAnsi="Times New Roman;sans-serif"/>
                  <w:b w:val="false"/>
                  <w:color w:val="0000FF"/>
                  <w:sz w:val="16"/>
                  <w:u w:val="single"/>
                </w:rPr>
                <w:t>Certification of Principal Financial Officer Pursuant to 18 U.S.C. Section 1350, as Adopted Pursuant to Section 906 of the Sarbanes-Oxley Act of 2002.</w:t>
              </w:r>
            </w:hyperlink>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1">
              <w:r>
                <w:rPr>
                  <w:rStyle w:val="InternetLink"/>
                  <w:rFonts w:ascii="Times New Roman;sans-serif" w:hAnsi="Times New Roman;sans-serif"/>
                  <w:b w:val="false"/>
                  <w:color w:val="0000FF"/>
                  <w:sz w:val="16"/>
                  <w:u w:val="single"/>
                </w:rPr>
                <w:t>Tarsus Pharmaceuticals, Inc. Policy for the Recovery of Erroneously Awarded Compensation.</w:t>
              </w:r>
            </w:hyperlink>
          </w:p>
        </w:tc>
        <w:tc>
          <w:tcPr>
            <w:tcW w:w="3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5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001-39614</w:t>
            </w:r>
          </w:p>
        </w:tc>
        <w:tc>
          <w:tcPr>
            <w:tcW w:w="4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9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27, 2024</w:t>
            </w:r>
          </w:p>
        </w:tc>
        <w:tc>
          <w:tcPr>
            <w:tcW w:w="38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 - The instance document does not appear in the interactive data file because its XBRL tags are embedded within the inline XBRL document.</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With Embedded Linkbase Documents.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5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Pursuant to Item 601(a)(5) of Regulation S-K, certain exhibits and schedules have been omitted. The Registrant hereby undertakes to furnish supplementally a copy of any omitted exhibit or schedule upon request by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Pursuant to Item 601(b)(10) of Regulation S-K, certain confidential portions of this exhibit have been omitted by means of marking such portions with asterisks as the identified confidential portions (i) are not material and (ii) is the type that the Registrant treats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Indicates a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certifications attached as Exhibits 32.1 and 32.2 that accompany this Annual Report on Form 10-K are not deemed</w:t>
              <w:b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tc>
      </w:tr>
    </w:tbl>
    <w:p>
      <w:pPr>
        <w:pStyle w:val="TextBody"/>
        <w:bidi w:val="0"/>
        <w:spacing w:lineRule="auto" w:line="288" w:before="240" w:after="283"/>
        <w:jc w:val="left"/>
        <w:rPr/>
      </w:pPr>
      <w:r>
        <w:rPr>
          <w:rFonts w:ascii="Times New Roman;sans-serif" w:hAnsi="Times New Roman;sans-serif"/>
          <w:b w:val="false"/>
          <w:i/>
          <w:color w:val="000000"/>
          <w:sz w:val="20"/>
        </w:rPr>
        <w:t>(c)    Financial Statement Schedules.</w:t>
      </w:r>
      <w:r>
        <w:rPr>
          <w:color w:val="000000"/>
        </w:rPr>
        <w:t xml:space="preserve"> </w:t>
      </w:r>
      <w:r>
        <w:rPr>
          <w:rFonts w:ascii="Times New Roman;sans-serif" w:hAnsi="Times New Roman;sans-serif"/>
          <w:b w:val="false"/>
          <w:color w:val="000000"/>
          <w:sz w:val="20"/>
        </w:rPr>
        <w:t>All schedules have been omitted because the information required to be presented in them is not applicable or is shown in the financial statements or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169"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170"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Annual Report on Form 10-K to be signed on its behalf by the undersigned, thereunto duly authorized, in the City of Irvine, State of California, on February 25, 2025.</w:t>
      </w:r>
    </w:p>
    <w:tbl>
      <w:tblPr>
        <w:tblW w:w="4109" w:type="dxa"/>
        <w:jc w:val="right"/>
        <w:tblInd w:w="0" w:type="dxa"/>
        <w:tblLayout w:type="fixed"/>
        <w:tblCellMar>
          <w:top w:w="28" w:type="dxa"/>
          <w:left w:w="28" w:type="dxa"/>
          <w:bottom w:w="28" w:type="dxa"/>
          <w:right w:w="28" w:type="dxa"/>
        </w:tblCellMar>
      </w:tblPr>
      <w:tblGrid>
        <w:gridCol w:w="1316"/>
        <w:gridCol w:w="1155"/>
        <w:gridCol w:w="1638"/>
      </w:tblGrid>
      <w:tr>
        <w:trPr/>
        <w:tc>
          <w:tcPr>
            <w:tcW w:w="131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bl>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Bobak Azamian, M.D., Ph.D., Jeffrey Farrow, and Bryan Wahl, M.D.,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Annual Report on Form 10-K has been signed by the following persons on behalf of the registrant and in the capacities and on the dates indicated.</w:t>
      </w:r>
    </w:p>
    <w:tbl>
      <w:tblPr>
        <w:tblW w:w="9629" w:type="dxa"/>
        <w:jc w:val="center"/>
        <w:tblInd w:w="0" w:type="dxa"/>
        <w:tblLayout w:type="fixed"/>
        <w:tblCellMar>
          <w:top w:w="28" w:type="dxa"/>
          <w:left w:w="28" w:type="dxa"/>
          <w:bottom w:w="28" w:type="dxa"/>
          <w:right w:w="28" w:type="dxa"/>
        </w:tblCellMar>
      </w:tblPr>
      <w:tblGrid>
        <w:gridCol w:w="970"/>
        <w:gridCol w:w="854"/>
        <w:gridCol w:w="860"/>
        <w:gridCol w:w="1763"/>
        <w:gridCol w:w="1763"/>
        <w:gridCol w:w="1784"/>
        <w:gridCol w:w="477"/>
        <w:gridCol w:w="477"/>
        <w:gridCol w:w="681"/>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Principal Accounting Officer)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Scott Morrison</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Morrison</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Bhaskar Chaudhuri,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Bhaskar Chaudhuri,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Andrew Goldberg, M.D.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Andrew Goldberg, M.D.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J. Link, Ph.D.</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J. Link, Ph.D.</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Wendy Yarno</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Wendy Yarno</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Katherine Goodrich</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Katherine Goodrich</w:t>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tarsuspharmaceuticalsinc.htm"/>
      <w:bookmarkStart w:id="1" w:name="kstarsuspharmaceuticalsinc"/>
      <w:bookmarkEnd w:id="0"/>
      <w:bookmarkEnd w:id="1"/>
      <w:r>
        <w:rPr/>
        <w:drawing>
          <wp:inline distT="0" distB="0" distL="0" distR="0">
            <wp:extent cx="7896225" cy="13001625"/>
            <wp:effectExtent l="0" t="0" r="0" b="0"/>
            <wp:docPr id="17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9" descr=""/>
                    <pic:cNvPicPr>
                      <a:picLocks noChangeAspect="1" noChangeArrowheads="1"/>
                    </pic:cNvPicPr>
                  </pic:nvPicPr>
                  <pic:blipFill>
                    <a:blip r:embed="rId62"/>
                    <a:stretch>
                      <a:fillRect/>
                    </a:stretch>
                  </pic:blipFill>
                  <pic:spPr bwMode="auto">
                    <a:xfrm>
                      <a:off x="0" y="0"/>
                      <a:ext cx="78962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172"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w10:wrap type="none"/>
              </v:rect>
            </w:pict>
          </mc:Fallback>
        </mc:AlternateContent>
      </w:r>
    </w:p>
    <w:p>
      <w:pPr>
        <w:pStyle w:val="TextBody"/>
        <w:bidi w:val="0"/>
        <w:jc w:val="center"/>
        <w:rPr>
          <w:color w:val="FFFFFF"/>
          <w:sz w:val="2"/>
        </w:rPr>
      </w:pPr>
      <w:r>
        <w:rPr>
          <w:color w:val="FFFFFF"/>
          <w:sz w:val="2"/>
        </w:rPr>
        <w:t xml:space="preserve">TARSUS PHARMACEUTICALS, INC. 15420 Laguna Canyon Road-STE 250 and 15440 Laguna Canyon Rd-STES 100, 130, 150 and 200-T5 12/9/24-OPP-049812 1 LEASE TERMINATION AGREEMENT I. PARTIES AND DATE. THIS LEASE TERMINATION AGREEMENT ("Agreement") is made and entered into as of \fed\ __________________, by and between DISCOVERY BUSINESS CENTER LLC, a Delaware limited liability company, hereafter called “Landlord,” and TARSUS PHARMACEUTICALS, INC., a Delaware corporation, hereafter called “Tenant.” II. RECITALS. A. Landlord and Tenant entered into a lease dated May 28, 2020, as amended by a letter agreement dated June 18, 2020, a First Amendment to Lease dated December 22, 2020, a Second Amendment to Lease dated July 30, 2021, a Third Amendment to Lease dated February 9, 2022, a Fourth Amendment to Lease dated November 21, 2022, a Fifth Amendment to Lease dated May 2, 2023, and a Sixth Amendment to Lease dated March 20, 2024 (collectively, the “Lease”), in connection with approximately 32,145 rentable square feet of space located at 15440 Laguna Canyon Road, Suite Nos. 100, 130, 150, 160, and 200, Irvine, California and approximately 7,036 rentable square feet of space located at 15420 Laguna Canyon Road, Suite 250, Irvine, California (collectively the “Premises”). B. Landlord and Tenant desire to terminate the Lease upon the terms and conditions contained in this Agreement. III. TERMINATION. For valuable consideration: A. Date. Landlord and Tenant agree that the Lease will terminate on the Termination Date (defined below). The “Termination Date” will occur on the earlier of (1) the date Tenant substantially completes the tenant improvements (but for punchlist items) pursuant to the new lease ("New Lease") between Landlord’s affiliate, Spectrum Terrace III LLC, a Delaware limited liability company (“Landlord’s Affiliate”), and Tenant for the premises located at 17700 Laguna Canyon Road, Suites 300 and 400, Irvine, California (“New Premises”), and (2) the date Tenant commences its regular business activities in the New Premises. Not later than 10 days following the Termination Date, Tenant will cause the Premises to be vacated and surrendered in accordance with the requirements of the Lease, including, but not limited to, Section 15.2 thereof; and during such 10-day period, Tenant will not be obligated to pay Rent for the Premises, including, but not limited to, holdover charges pursuant to Section 15.1. B. Effect of Termination. The termination of the Lease pursuant to this Agreement will not be deemed to relieve either party of any obligation under the Lease that would otherwise survive its expiration or sooner termination. IV. GENERAL. A. Counterparts; Digital Signatures. This Agreement may be executed in one or more counterparts, each of which will constitute an original and all of which will be one and the same agreement. The parties expressly agree that one or each of the parties may execute and deliver this Agreement electronically using a certificate-based electronic signature and delivery software service approved and initiated by Landlord that provides an audit trail and method for authenticating signers (the “Approved Service”). The Approved Service will have the same legal effect as a handwritten signature and will be admissible evidence of the parties' mutual intent to be legally bound by this Agreement. The parties declare that they have received all of the information required to be fully aware of the certificate-based electronic signature software process and each party hereby waives any claim which it may have against the enforceability of this Agreement based on the use of the Approved Service. B. Defined Terms. All words commencing with initial capital letters in this Agreement which are not defined in this Agreement have the same meaning in this Agreement as in the Lease. C. Corporate and Partnership Authority. If Tenant is a corporation, limited liability company or partnership, or is comprised of any of them, each individual executing this Agreement on behalf of the entity represents and warrants that he or she is duly authorized to execute and deliver this Agreement and that this Agreement is binding upon the corporation, limited liability company or partnership in accordance with its terms. D. Disputes. The provisions of Section 14.5 (Expenses and Legal Fees) and Section 14.6 (Waiver of Jury Trial) of the Lease also apply to this Agreement. E. Attorneys' Fees. The provisions of the Lease respecting payment of prevailing attorneys' fees also apply to this Agreement. F. Nondisclosure of Agreement Terms. Tenant acknowledges that the content of this Agreement, and any related documents are confidential information. Except to the extent disclosure is required by law, Tenant will keep such confidential information strictly confidential and will not disclose such Docusign Envelope ID: A9ED51EE-1FB3-40A6-B597-7032AA8C6657 December 16,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896225" cy="13001625"/>
            <wp:effectExtent l="0" t="0" r="0" b="0"/>
            <wp:docPr id="17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0" descr=""/>
                    <pic:cNvPicPr>
                      <a:picLocks noChangeAspect="1" noChangeArrowheads="1"/>
                    </pic:cNvPicPr>
                  </pic:nvPicPr>
                  <pic:blipFill>
                    <a:blip r:embed="rId63"/>
                    <a:stretch>
                      <a:fillRect/>
                    </a:stretch>
                  </pic:blipFill>
                  <pic:spPr bwMode="auto">
                    <a:xfrm>
                      <a:off x="0" y="0"/>
                      <a:ext cx="78962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TARSUS PHARMACEUTICALS, INC. 15420 Laguna Canyon Road-STE 250 and 15440 Laguna Canyon Rd-STES 100, 130, 150 and 200-T5 12/9/24-OPP-049812 2 confidential information to any person or entity other than to its respective financial, legal and space- planning consultants, provided, however, that Tenant may disclose the terms pursuant to legal requirement. V. EXECUTION. Landlord and Tenant have executed this Agreement as of the day and year first written above. LANDLORD: DISCOVERY BUSINESS CENTER LLC, a Delaware limited liability company By: \si6\ Jonathan H. Brinsden Group President Commercial Properties By: \si5\ Roger DeWames Division President Office Properties \in9\ TENANT: TARSUS PHARMACEUTICALS, INC., a Delaware corporation By: \si1\ Bobak Azamian Chief Executive Officer By: \si2\ Jeff Farrow Chief Financial Officer and Chief Strategy Officer Docusign Envelope ID: A9ED51EE-1FB3-40A6-B597-7032AA8C6657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tarsusnewleaseredacted.htm"/>
      <w:bookmarkStart w:id="3" w:name="kstarsusnewleaseredacted"/>
      <w:bookmarkEnd w:id="2"/>
      <w:bookmarkEnd w:id="3"/>
      <w:r>
        <w:rPr/>
        <w:drawing>
          <wp:inline distT="0" distB="0" distL="0" distR="0">
            <wp:extent cx="10048875" cy="13001625"/>
            <wp:effectExtent l="0" t="0" r="0" b="0"/>
            <wp:docPr id="17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2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2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2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2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yeuelizabeth-offerletter.htm"/>
      <w:bookmarkStart w:id="5" w:name="ksyeuelizabethofferletter"/>
      <w:bookmarkEnd w:id="4"/>
      <w:bookmarkEnd w:id="5"/>
      <w:r>
        <w:rPr/>
        <w:drawing>
          <wp:inline distT="0" distB="0" distL="0" distR="0">
            <wp:extent cx="10048875" cy="13001625"/>
            <wp:effectExtent l="0" t="0" r="0" b="0"/>
            <wp:docPr id="19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CERTAIN IDENTIFIED INFORMATION HAS BEEN OMITTED FROM THIS DOCUMENT BECAUSE IT IS BOTH NOT MATERIAL AND IS THE TYPE THAT THE REGISTRANT TREATS AS PRIVATE OR CONFIDENTIAL, AND HAS BEEN MARKED WITH “[***]” TO INDICATE WHERE OMISSIONS HAVE BEEN MADE. Exhibit 10.26 Tarsus Pharmaceuticals, Inc. October 31, 2024 Elizabeth (Liz) Yeu, MD Dear Liz: Tarsus Pharmaceuticals, Inc. (the “Company” or “Tarsus”) is pleased to offer you employment, subject to the approval of the Company’s Board of Directors (the “Board”), on the following terms: 1) Anticipated Start Date. Your anticipated start date will be November 4, 2024. 2) Position. Your title will be Chief Medical Officer. This is a full-time, exempt position, reporting to the Company’s Chief Executive Officer. While you render services to the Company, you will not engage in any other employment, consulting or other business activity (whether full-time or part-time) that would create a conflict of interest with the Company; provided, however, the Company agrees that you may continue to engage in up to [***] hours of private clinical practice per week, pursuant to your role as an ophthalmologist at Virginia Eye Consultants, as well as continue your service as a member of the Board of Directors of STAAR Surgical Company. By signing this letter agreement, you confirm to the Company that you have no contractual commitments or other legal obligations that would prohibit you from lawfully performing your duties for the Company. While the Company’s headquarters are located in Irvine, California, this is a remote position and you will be permitted to work from your home office; provided, however, it is expected that you will travel to the Company’s headquarters, as well as to other business meetings, as needed to fulfill your duties. 3) Cash Compensation. The Company will pay you a starting salary at the rate of $480,000 per year, payable in accordance with the Company’s standard payroll schedule. This salary will be subject to adjustment pursuant to the Company’s employee compensation policies in effect from time to time. In addition, you will be eligible to be considered for an incentive bonus for each fiscal year of the Company beginning in 2025. The bonus (if any) will be awarded based on objective or subjective criteria established and approved by the Board’s Compensation Committee (the “Committee”). Your annual target bonus will be equal to 45% of your annual base salary. Any bonus for a fiscal year will be paid within 2½ months after the close of that fiscal year, but only if you are still employed by the Company at the time of payment. The determinations of the Board or the Committee with respect to your bonus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final and binding. The Company reserves the right to amend, modify or terminate its bonus policy at any time and for any reason, consistent with applicable law. 4) Signing Bonus. The Company will pay you a signing bonus in the amount of $25,000 (the “Signing Bonus”), payable within 30 days after your start date. If (i) you resign from your employment with the Company and such resignation does not constitute a Resignation for Good Reason (as defined in the Executive Severance Agreement (as defined below)) or (ii) you are terminated by the Company for Cause (as defined in the Executive Severance Agreement), in either case prior to completing 12 months of continuous employment following your start date, you agree to repay 100% of the Signing Bonus, with no set offs or deductions, within 30 days of your termination of employment. 5) Employee Benefits. You will be eligible to participate in a broad spectrum of benefits, including medical, dental, and vision plans along with other company-sponsored and supplemental programs. Tarsus offers a 401(k), with employer match eligibility for those who choose to participate, along with an Employee Stock Purchase Plan. Most benefits will be effective on the first of the month following your start date. In addition, you will be entitled to paid time off in accordance with the Company’s flexible time off policies, as in effect from time to time. Our time off policies include ample time off benefits as well as paid holidays and a summer and winter wellness break. The Company reserves the right to amend, modify or terminate these policies at any time and for any reason, consistent with applicable law. 6) Equity Awards. a) Stock Options. Subject to the approval of the Board or a committee thereof, you will be granted an option to purchase that number of shares of the Company’s Common Stock (the “Option”) that have a target value of $970,000 (the “Option Award Value”). The actual number of shares subject to the Option will be determined using the Option Award Value and a conversion rate based on the Company’s per share fair market value, in accordance with Company policy and as determined by the Board in its sole discretion. The exercise price per share of the Option will be equal to the fair market value of a share of the Company’s Common Stock on the date of grant. The Option will be subject to the terms and conditions applicable to options granted under the Company’s 2020 Equity Incentive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b) Restricted Stock Units. Subject to the approval of the Board or a committee thereof, you will be granted an award for that number of Restricted Stock Units (“RSUs”) that have a target value of $970,000 (the “RSU Award Value”). The actual number of RSUs awarded to you will be determined using the RSU Award Value and a conversion rate based on the Company’s per share fair market value, in accordance with Company policy and as determined by the Board in its sole discretion. The RSUs will be subject to the terms and conditions applicable to RSUs granted under the Plan, as described in the Plan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Restricted Stock Unit Agreement. The RSUs will vest over roughly four years based on your continuous service with the Company, with 25% of the RSUs vesting on each of the following dates, provided you remain in continuous service through each such date: December 15, 2025, December 15, 2026, December 15, 2027, and December 15, 2028. 7) Severance and Acceleration Benefits. Attached as Exhibit A is the Executive Severance and Change in Control Agreement (the “Executive Severance Agreement”), pursuant to which you will be eligible for certain severance and acceleration benefits in connection with certain qualifying terminations of your employment with the Company. 8) Proprietary Information and Inventions Agreement. Like all Company employees, you will be required, as a condition of your employment with the Company, to sign the Company’s standard Proprietary Information and Inventions Agreement, a copy of which is attached hereto as Exhibit B. 9) Tax Matters. a) Withholding. All forms of compensation referred to in this letter agreement are subject to reduction to reflect applicable withholding and payroll taxes and other deductions required by law. b) Tax Advice.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 10) Interpretation, Amendment and Enforcement. This letter agreement, Exhibit A, and Exhibit B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11) Employment Relationship. This letter summarizes the principal terms of our conditional employment offer. It is not a contract of employment for any definite time, nor does it otherwise confer any contractual rights. Your employment with the Company will be “at will,” meaning that either you or the Company may terminate your employment at any time and for any reason, with or without cause. Additionally, you also may be demoted or disciplined, and the terms of your employment may be altered at any time, with or without cause, at the discretion of the Company. Any prior oral or written representations that may have been made to you are superseded by this letter. By signing below, you acknowledge that you are not relying on any representations other than those set forth in this letter. Although your job duties, title, compensation, and benefits, as well as the Company’s personnel policies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3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procedures, may change from time to time, the “at will” nature of your employment may only be changed in an express written agreement signed by a duly authorized officer of the Company (other than you). This employment offer is contingent on the following: a. Verification of your right to work in the United States, as demonstrated by your completion of the Form I-9 upon hire and your submission of acceptable documentation (as noted on the Form I-9) verifying your identity and work authorization within three business days of starting employment. b. Verification that you have not been debarred and have not received any notice of any action or threat of debarment under the Generic Drug Enforcement Act of 1992, 21 U.S.C. 335(a), or any similar law. c. Satisfactory completion of a lawful pre-employment screening including, but not limited to a background check, which will be tailored to the requirements of the job as well as any limitations pursuant to applicable law all which will be conducted following acceptance of this offer. d. Concurrent with commencing employment, resigning from your position as a member of the Board. This offer will be withdrawn if any of the above conditions are not satisfied. Liz, we are excited for you to join our team at Tarsus! You may indicate your agreement with these terms and accept this offer by signing and dating this letter and the enclosed exhibits and returning them to me. By accepting this offer, you confirm that Tarsus has not asked for, nor will you use or disclose, any third party’s trade secrets or confidential information. You further confirm that you have not and will not breach any non-disclosure, non-competition, or non-solicitation obligations you may have to any third party or any other contractual commitments or legal obligations that would prohibit you from lawfully performing your duties for the Company. This offer will remain open until the close of business on Friday, November 1, 2024, and if not accepted at that time, it will automatically be deemed withdrawn. If you have any questions, please call me at. Sincerely, Tarsus Pharmaceuticals, Inc. By: /s/ Bobak Azamian Bobak Azamian, Chief Executive Officer I have read and accept this employment offer: Elizabeth Yeu, MD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3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 Elizabeth Yeu, MD Signature of Candidate Dated: 11/1/2024 Attachments Exhibit A: Executive Severance and Change in Control Agreement Exhibit B: Proprietary Information and Inventions Agreement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tp-03xnovationandtermina.htm"/>
      <w:bookmarkStart w:id="7" w:name="kstp03xnovationandtermina"/>
      <w:bookmarkEnd w:id="6"/>
      <w:bookmarkEnd w:id="7"/>
      <w:r>
        <w:rPr/>
        <w:drawing>
          <wp:inline distT="0" distB="0" distL="0" distR="0">
            <wp:extent cx="10048875" cy="13001625"/>
            <wp:effectExtent l="0" t="0" r="0" b="0"/>
            <wp:docPr id="1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rPr>
      </w:pPr>
      <w:r>
        <w:rPr>
          <w:color w:val="FFFFFF"/>
          <w:sz w:val="2"/>
        </w:rPr>
        <w:t>CERTAIN IDENTIFIED INFORMATION HAS BEEN OMITTED FROM THIS DOCUMENT BECAUSE IT IS BOTH NOT MATERIAL AND IS THE TYPE THAT THE REGISTRANT TREATS AS PRIVATE OR CONFIDENTIAL, AND HAS BEEN MARKED WITH “[***]” TO INDICATE WHERE OMISSIONS HAVE BEEN MADE. Execution Version Exhibit 10.27 NOVATION AND TERMINATION AGREEMENT This NOVATION AND TERMINATION AGREEMENT (this “Agreement”) is made as of March 26, 2024, (the “Execution Date”), by and among LianBio Development (HK) Limited (as successor-in-interest to LianBio Ophthalmology Limited) (“Lian”), LianBio (“Lian Cayman”), Shanghai LianBio Development Co., Ltd. (“Lian Shanghai”), Xi An Grand Chang An Pharmaceutical Co., Ltd (“Assignee”), Tarsus Pharmaceuticals, Inc. (“Tarsus”) and, solely for the purposes of Section 3.b of this Agreement and, accordingly, Section 17.1 of the DLA, Grand Pharmaceutical Group Limited (</w:t>
      </w:r>
      <w:r>
        <w:rPr>
          <w:color w:val="FFFFFF"/>
          <w:sz w:val="2"/>
        </w:rPr>
        <w:t>遠大醫藥集團有限公司</w:t>
      </w:r>
      <w:r>
        <w:rPr>
          <w:color w:val="FFFFFF"/>
          <w:sz w:val="2"/>
        </w:rPr>
        <w:t xml:space="preserve">). WITNESSETH WHEREAS, Lian, Lian Cayman, Lian Shanghai and Tarsus, as applicable, are parties to that certain (a) Development and License Agreement, dated as of March 26, 2021, by and among Lian, Lian Cayman and Tarsus, a copy of which is attached hereto as Exhibit A (the “DLA”); (b) Clinical Supply Agreement, dated as of February 28, 2023, by and among Lian, Lian Shanghai and Tarsus (the “CSA”) a copy of which is attached hereto as Exhibit B; (c) Clinical Supply Quality Agreement, dated as of February 28, 2023, by and among Tarsus, Lian and Lian Shanghai (the “CSQA”), a copy of which is attached hereto as Exhibit C; (d) Supply Side Letter, dated as of January 6, 2022, by and among Tarsus (the “Supply Letter”), Lian and Lian Shanghai, a copy of which is attached hereto as Exhibit D; (e) Supply Side Letter for Second Batch, dated as of December 13, 2022, by and among Tarsus, Lian, and Lian Shanghai, attached hereto as Exhibit E; (f) Amendment Letter to Supply Side Letter for Second Batch, dated December 21, 2022, attached hereto as Exhibit F; and (g) Safety Data Exchange Agreement, dated as of December 31, 2021 (the “SDEA”) by and between Tarsus and Lian, a copy of which is attached hereto as Exhibit G; (collectively (a) through (f), the “Tarsus Agreements Novated At Closing”, and together with the SDEA, the “Tarsus Agreements”); WHEREAS, Lian and Assignee are entering into that certain Assignment and Transfer Agreement (the “ATA”), pursuant to which Lian agrees to convey, transfer and assign and cause to be conveyed, transferred and assigned, to Assignee, and Assignee agrees to purchase and acquire from Lian and certain of its affiliates, certain assets and liabilities relating to the Licensed Products (as defined in the DLA); WHEREAS, Lian and Tarsus wish to terminate, effective as of the Novation Effective Date, that certain Binding Term Sheet, dated as of December 26, 2021, by and between Lian and Tarsus (the “Term Sheet”), which is attached hereto as Exhibit H, pursuant to the terms and conditions herein;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as a condition to entering into the ATA and consummation of the transactions contemplated thereby, the parties are entering into this Agreement to novate each of the Tarsus Agreements on the terms and conditions stated herein. NOW, THEREFORE, intending to be legally bound hereby, the parties hereto agree as follows: 1. Definitions. Capitalized terms used but not otherwise defined herein shall have the meanings ascribed to such terms in the DLA. 2. Novation. a. Lian hereby assigns, transfers, and conveys to Assignee all of Lian’s rights, title, interests, obligations, and liabilities in, to, and under each of the Tarsus Agreements, other than any liabilities of Lian or any of its Affiliates to any Person and claims from any Person to the extent relating to or arising out of circumstances existing on or prior to the Closing Date (as defined in the ATA) (the “Excluded Liabilities”). Assignee hereby accepts, assumes and agrees to undertake all of the rights, title, interests, obligations, duties, covenants and liabilities of Lian under each of the Tarsus Agreements other than the Excluded Liabilities. b. Tarsus, Assignee, Lian and Lian Cayman each agree that, as of and after the Closing Date, Lian, and to the extent applicable, Lian Cayman, shall cease to be subject to, or liable under, any of the Tarsus Agreements to the extent such liabilities arise after the Closing Date. c. The assignment and assumption pursuant to this Section 2 shall be effected in the form of novation of each of the Tarsus Agreements, which shall become effective (i) with respect to each Tarsus Agreement Novated At Closing, on the Closing Date, and (ii) with respect to the SDEA, on the first calendar day following the end of the Transition Period (as defined in the ATA) or such other date as may be otherwise agreed in writing by Lian and Assignee, ((i) and (ii), the “Novation Effective Date”). d. Tarsus hereby consents, agrees to, and ratifies the novation, assignment and assumption on the terms and conditions set forth in this Section 2 and agrees that such novation, assignment and assumption shall constitute a novation of each of the Tarsus Agreements from Lian to Assignee. 3. Amendment to DLA. a. The Parties acknowledge that Lian has issued the Warrant to Tarsus in satisfaction of Section 9.3 (Warrant) of the DLA. For clarity, the novation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3 contemplated by this Agreement does not obligate Assignee to issue any warrant to Tarsus. b. As of the Novation Effective Date, Section 17.1 (LianBio Guarantee) of the DLA shall be deleted in its entirety and replaced with the following: “ GrandPharma Guarantee. Grand Pharmaceutical Group Limited (</w:t>
      </w:r>
      <w:r>
        <w:rPr>
          <w:color w:val="FFFFFF"/>
          <w:sz w:val="2"/>
        </w:rPr>
        <w:t>遠大醫藥集 團有限公司</w:t>
      </w:r>
      <w:r>
        <w:rPr>
          <w:color w:val="FFFFFF"/>
          <w:sz w:val="2"/>
        </w:rPr>
        <w:t xml:space="preserve">) (“GrandPharma Parent”) hereby unconditionally and irrevocably guarantees, as a primary obligor and not merely as surety, the due and punctual payment of Xi An Grand Chang An Pharmaceutical Co., Ltd (“GrandPharma China”) under this Agreement (the “GrandPharma China Obligations”). GrandPharma Parent agrees that the GrandPharma China Obligations may be extended, modified, or renewed, in whole or in part, without notice or further assent from it, and that it will remain bound upon its guarantee notwithstanding any extension, modification, or renewal of any GrandPharma China Obligation. The obligations of GrandPharma Parent under this Section 17.1 will not be affected by the failure of Tarsus to assert any claim or demand or to enforce any right or remedy against GrandPharma China under the provisions of this Agreement or otherwise. GrandPharma Parent further agrees that its guarantee constitutes a guarantee of payment when due and not of collection. However, prior to seeking satisfaction of any GrandPharma China Obligation by GrandPharma Parent, Tarsus will first direct any requests with respect to the satisfactions of any outstanding or overdue GrandPharma China Obligations to GrandPharma China.” c. As of the Novation Effective Date, the last sentence of Section 7.3.1 (Manufacturing by Lian; Technology Transfer) of the DLA shall be deleted in its entirety and replaced with the following: “Notwithstanding anything to the contrary, Tarsus will have no obligation to continue supplying Grandpharma with Licensed Product after a reasonable transition period (not to exceed [***] months, the “Transition Period”) after Manufacturing Transfer Commencement.” d. As of the Novation Effective Date, the table for Development Milestone Payments set forth in Section 9.4.1 (v) shall be deleted in its entirety and replaced with the following: Development Milestone Event for a Licensed Product Development Milestone Payment (v) Receipt of Regulatory Approval in the PRC for Demodex Blepharitis and the issuance of a Patent from [***] or [***], or any patent application filed and owned by Tarsus claiming priority to any of the foregoing applications in the PRC, in each USD $15,000,000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case, Covering: (a) a Licensed Product; or (b) the use of a Licensed Product with respect to the treatment of Demodex Blepharitis. e. With respect to each Tarsus Agreement, effective as of the applicable Novation Effective Date, the contact information of Lian thereunder shall be deleted in its entirety and replaced with the following language: “Xi An Grand Chang An Pharmaceutical Co., Ltd No. 2 Checheng North Road, Wuhan Economic and Technological Development District, 430058 City of Wuhan, Hubei Province, People’s Republic of China Attn: Mingfeng Gong Email: [***] with copies (which shall not constitute notice): Legal &amp;Compliance Department of Grand Pharma Floor 10, No.5 Huizhong Road, Grand Palace, Beijing City PRC Email: [***] and Business Development Department of Grand Pharma Group Floor 10, No.5 Huizhong Road, Grand Palace, Beijing City PRC Email: [***] a. 4. Termination of Term Sheet. Each of Lian and Tarsus agree that the Term Sheet is hereby terminated, effective as of the Novation Effective Date, and from and after such date shall have no further force or effect (the “Termination”). b. As total and complete consideration for the Termination, no later than fifteen (15) calendar days after the Novation Effective Date, Lian shall pay or cause to be paid to Tarsus a one-time payment of Two Million Five Hundred Thousand Dollars ($2,500,000) (the “Termination Fee”) to be paid by wire transfer of immediately available funds to the bank account identified on Exhibit I. Each of Lian and Tarsus hereby agree that the Termination Fee shall be the complete and adequate consideration for the Termination, and no additional amounts shall be due and payable by Lian to Tarsus as consideration for the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3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 Upon the Novation Effective Date, except as otherwise specified in this Termination Agreement, all rights and obligations of each of Lian and Tarsus under the Term Sheet shall be deemed fully and completely discharged and terminated, and each of Lian and Tarsus irrevocably and unconditionally releases, settles, waives and forever discharges the other party in full from any and all claims related to or arising from the Term Sheet, regardless of the time at which such claim arose or in the future arises. 5. Tarsus and Assignee agree that, following the Novation Effective Date, Tarsus and Assignee (or Assignee’s applicable Affiliate, successor-in-interest to Assignee, provided such successor is also the successor-in-interest as to the DLA, entity to which Assignee assigns the DLA, or if agreed to in writing by each of Tarsus and Assignee, third party designee) (each of Assignee or its applicable Affiliate, such successor-in-interest, such assignee of Assignee, or such third party designee the “Designated Entity”) shall negotiate in good faith and enter into a commercial supply agreement that shall incorporate (i) terms and conditions consistent with the relevant requirements set forth in the DLA and (ii) such other terms and conditions that are typically contained in an agreement concerning like subject matter agreed by each of Tarsus and the Designated Entity. No later than fifteen (15) calendar days after execution of the commercial supply agreement by the Designated Entity and Tarsus, Assignee shall pay or cause to be paid to Lian or Lian’s designated third-party a one-time payment of Two Million Five Hundred Thousand Dollars ($2,500,000) (the “Commercial Supply Fee”) to be paid by wire transfer of immediately available funds to the bank account identified on Schedule 2.1(b)(i) of the ATA. Assignee shall promptly notify Lian or Lian’s designated third-party upon execution of such commercial supply agreement. 6. Tarsus and Assignee agree that, after the Execution Date, Tarsus and Assignee will commence the discussion of whether Tarsus and Assignee would each be willing to amend certain terms and provisions set forth in the DLA, including Sections 3.1, 7.3 and 9.4. For clarity, the foregoing of this paragraph 6 is merely a statement of an intent to discuss and this paragraph 6 does not legally bind Tarsus or Assignee to renegotiate the DLA, amend the DLA, or otherwise. Each of Tarsus and Assignee may, in their sole discretion, cease discussions regarding any potential amendments at any time without any liability to either Tarsus or Assignee, as applicable. 7. Tarsus has agreed to the terms of this Agreement under the assumption and condition that the transactions contemplated by the ATA will close promptly after the Execution Date. Accordingly, this Agreement shall terminate in its entirety without giving effect to any of the foregoing provisions if the Closing Date does not occur within seven (7) days after the Execution Date. 8. Except as amended and novated hereby, Tarsus hereby consents, agrees, and ratifies that the terms and provisions of each Tarsus Agreement remain in full force and effect without modification or amendment. The Parties stipulate and agree that, except as set forth in this Agreement, no terms set forth in the DLA modifies any of the rights or obligations of any of the parties to any of the Tarsus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9. This Agreement shall be governed by and construed in accordance with the laws of the State of New York, without giving effect to the conflicts of law or choice of law provisions thereof. 10. This Agreement shall be binding upon, be enforceable against, and inure to the benefit of the parties hereto and their respective successors and assigns. 11. This Agreement may be executed in multiple counterparts, each of which shall be deemed to be an original, but all of which taken together shall constitute one and the same instruments. Facsimiles and .PDFs of signatures may be taken as the actual signatures.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3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Novation and Termination Agreement] IN WITNESS WHEREOF, the parties hereto have executed this Agreement as of the date first above written. LIANBIO DEVELOPMENT (HK) LIMITED By: /s/ Brianne Jahn Name: Brianne Jahn Title: Sole Director LIANBIO By: /s/ Brianne Jahn Name: Brianne Jahn Title: Chief Business Officer SHANGHAI LIANBIO DEVELOPMENT CO., LTD. By: /s/ Levvy Lv Name: Levvy Lv Title: Legal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3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sz w:val="2"/>
        </w:rPr>
        <w:t>[Signature Page to Novation and Termination Agreement] IN WITNESS WHEREOF, the parties hereto have executed this Agreement as of the date first above written. Xi An Grand Chang An Pharmaceutical Co., Ltd By: /s/ Xiaopeng Jiang Name: Xiaopeng Jiang Title: CEO Grand Pharmaceutical Group Limited (</w:t>
      </w:r>
      <w:r>
        <w:rPr>
          <w:color w:val="FFFFFF"/>
          <w:sz w:val="2"/>
        </w:rPr>
        <w:t>遠大醫藥集團有限公司</w:t>
      </w:r>
      <w:r>
        <w:rPr>
          <w:color w:val="FFFFFF"/>
          <w:sz w:val="2"/>
        </w:rPr>
        <w:t xml:space="preserve">) (solely for the purposes of Section 3.b of this Agreement and, accordingly, Section 17.1 of the DLA) By:_/s/ Frank Zhou Name: Frank Zhou Title: Executive Director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4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Novation and Termination Agreement] IN WITNESS WHEREOF, the parties hereto have executed this Agreement as of the date first above written. TARSUS PHARMACEUTICALS, INC. By: /s/ Bobak Azamian Name: Bobak Azamian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Development and License Agreement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4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Clinical Supply Agreement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4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Clinical Supply Quality Agreement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4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Supply Side Letter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Supply Side Letter for Second Batch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Amendment Letter to Supply Side Letter for Second Batch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Safety Data Exchange Agreement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H Binding Term Sheet [See attached.]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I Tarsus Wire Information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tarsus-xxinsiderxtrading.htm"/>
      <w:bookmarkStart w:id="9" w:name="kstarsusxxinsiderxtrading"/>
      <w:bookmarkEnd w:id="8"/>
      <w:bookmarkEnd w:id="9"/>
      <w:r>
        <w:rPr/>
        <w:drawing>
          <wp:inline distT="0" distB="0" distL="0" distR="0">
            <wp:extent cx="10048875" cy="13001625"/>
            <wp:effectExtent l="0" t="0" r="0" b="0"/>
            <wp:docPr id="21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5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Tarsus P harmaceuticals, Inc. Insider Trading Policy (as of March 9, 2023 – Schedules updated Nov. 13, 2024) Insider Trading Policy Exhibit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5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Tarsus P harmaceuticals, Inc. Insider Trading Policy (as of March 9, 2023 – Schedules updated Nov. 13, 2024) Table of Contents Page Introduction ......................................................................................................................................................... 1 A. Legal Prohibitions on Insider Trading ........................................................................................... 1 B. Detection and Prosecution of Insider Trading................................................................................ 1 C. Penalties for Violation of Insider Trading Laws and This Policy .................................................. 2 D. Compliance Officer ....................................................................................................................... 2 E. Reporting Violations ...................................................................................................................... 2 F. Personal responsibility ................................................................................................................... 3 Persons and Transactions Covered by This Policy .............................................................................................. 4 A. Persons Covered by This Policy .................................................................................................... 4 B. Types of Transactions Covered by This Policy ............................................................................. 4 C. Responsibilities Regarding the Non-Public Information of Other Companies .............................. 4 D. Applicability of This Policy after Your Departure ......................................................................... 4 E. No Exceptions Based on Personal Circumstances ......................................................................... 4 Material Non-Public Information ........................................................................................................................ 5 A. “Material” Information .................................................................................................................. 5 B. “Non-Public” Information ............................................................................................................. 6 Policies Regarding Material Non-Public Information ......................................................................................... 7 A. Confidentiality of Non-Public Information .................................................................................... 7 B. No Trading on Material Non-Public Information .......................................................................... 7 C. No Disclosing Material Non-Public Information ........................................................................... 7 D. Responding to Outside Inquiries for Information .......................................................................... 8 Trading Blackout Periods .................................................................................................................................... 9 A. Quarterly Blackout Periods ............................................................................................................ 9 B. Special Blackout Periods ............................................................................................................... 9 C. No “Safe Harbors” ....................................................................................................................... 10 Pre-Clearance of Trades .................................................................................................................................... 11 Additional Restrictions and Guidance ............................................................................................................... 12 A. Short Sales ................................................................................................................................... 12 B. Derivative Securities and Hedging Transactions ......................................................................... 12 C. Using Company Securities as Collateral for Loans ..................................................................... 12 D. Holding Company Securities in Margin Accounts ...................................................................... 13 E. Placing Open Orders with Brokers .............................................................................................. 13 Limited Exceptions ............................................................................................................................................ 14 A. Transactions Pursuant to a Trading Plan that Complies with SEC Rules .................................... 14 B. Receipt and Vesting of Stock Options, Restricted Stock Units, Restricted Stock and Stock Appreciation Rights .............................................................................................................................. 14 C. Cash or Cashless Net Exercise of Stock Options ......................................................................... 15 D. Purchases from the Employee Stock Purchase Plan .................................................................... 15 E. Stock Splits, Stock Dividends and Similar Transactions .............................................................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5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F. Bona Fide Gifts and Inheritance ................................................................................................... 15 G. Change in Form of Ownership ...................................................................................................... 16 H. Other Exceptions .......................................................................................................................... 16 Compliance with Section 16 of the Securities Exchange Act ............................................................................. 17 A. Obligations under Section 16 ........................................................................................................ 17 B. Notification Requirements to Facilitate Section 16 Reporting ...................................................... 17 C. Personal Responsibility ................................................................................................................. 17 Additional Information ....................................................................................................................................... 18 A. Availability of Policy .................................................................................................................... 18 B. Amendments ................................................................................................................................. 18 Schedule I (Individuals Subject to Quarterly Blackout Periods) Schedule II (Individuals Subject to Pre-Clearance Requirements) Schedule III (Individuals Subject to Section 16 Reporting and Liability Provisions) Appendix A (Requirements for Rule 10b5-1 Trading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5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Tarsus Pharmaceuticals, Inc. Insider Trading Policy (as of May 8, 2024) Introduction Tarsus Pharmaceuticals, Inc. (the “Company”) opposes the unauthorized disclosure of any non- public information you obtain in the course of your service with the Company and the misuse of material non-public information in securities trading. This Insider Trading Policy (the “Policy”) prohibits the unauthorized disclosure and misuse of any non-public information. A. Legal Prohibitions on Insider Trading The antifraud provisions of U.S. federal securities laws prohibit directors, officers, employees and other individuals who possess material non-public information from trading on the basis of that information. Your transactions will be considered “on the basis of” material non-public information if you are aware of the material non-public information at the time of the transaction. It is not a defense that you did not “use” the information for purposes of the transaction. It is also not a defense that you had a financial hardship that required you to transact in securities. Disclosing material non-public information directly or indirectly to others who then trade based on that information or making recommendations or expressing opinions as to transactions in securities while aware of material non-public information (which is sometime referred to as “tipping”) is also illegal. Both the “tipper” who provides the information, recommendation or opinion and the “tippee” who trades based on it may be liable. These illegal activities are commonly referred to as “insider trading.” State securities laws and securities laws of other jurisdictions also impose restrictions on insider trading. In addition, the Company, as well as individual directors, officers and other supervisory personnel, may be subject to liability as “controlling persons” for failure to take appropriate steps to prevent insider trading by those under their supervision, influence or control. B. Detection and Prosecution of Insider Trading The U.S. Securities and Exchange Commission (the “SEC”), the Financial Industry Regulatory Authority (“FINRA”), Nasdaq and the New York Stock Exchange use sophisticated electronic surveillance techniques to investigate and detect insider trading, and the SEC and the U.S. Department of Justice pursue insider trading violations vigorously. Regulators have successfully prosecuted cases involving trading through foreign accounts, trading by family members and friends, and trading involving only a small number of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5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Tarsus Pharmaceuticals, Inc. Insider Trading Policy (as of May 8, 2024) C. Penalties for Violation of Insider Trading Laws and This Policy 1. Civil and Criminal Penalties As of the effective date of this Policy, potential penalties for insider trading violations under U.S. federal securities laws include: • damages in a private lawsuit; • disgorging any profits made or losses avoided; • imprisonment for up to 20 years; • criminal fines of up to $5 million for individuals and $25 million for entities; • civil fines of up to three times the profit gained or loss avoided; • a bar against serving as an officer or director of a public company; and • an injunction against future violations. Civil and criminal penalties also apply to tipping. The SEC has imposed large penalties in tipping cases even when the tipper did not trade or gain any benefit from the tippee’s trading. 2. Penalties for Controlling Persons As of the date of this Policy, the penalty for insider trading violations of controlling persons is a civil fine of up to the greater of $2.479 million or three times the profit gained or loss avoided as a result of the insider trading violations, as well as potential criminal fines and imprisonment. 3. Disciplinary Actions If the Company has a reasonable basis to conclude that you have failed to comply with this Policy, you may be subject to disciplinary action, up to and including dismissal for cause,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 D. Compliance Officer You should direct any questions, requests or reports to the Company’s Chief Financial Officer, General Counsel1 or their appointed designee (each, a “Compliance Officer”). A Compliance Officer is generally responsible for the administration of this Policy. A Compliance Officer may select others to assist with the execution of his or her duties. E. Reporting Violations It is your responsibility to help enforce this Policy. You should be alert to possible violations and promptly report violations or suspected violations of this Policy to a Compliance Officer. If your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5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Tarsus Pharmaceuticals, Inc. Insider Trading Policy (as of May 8, 2024) situation requires that your identity be kept secret, your anonymity will be preserved to the greatest extent reasonably possible. If you wish to remain anonymous, you may: send a letter addressed to a Compliance Officer at the Company, 15440 Laguna Canyon Road, Suite 160, Irvine, CA 92618; leave an anonymous message on the ethics hotline at the toll free number (877) 459-6434; or online at https://www.whistleblowerservices.com/TARS. If you make an anonymous report, please provide as much detail as possible, including any evidence that you have. F. Personal responsibility You are responsible for complying with this Policy and applicable laws and regulations. You should use your best judgment at all times and consult with your personal legal and financial advisors, as needed. You should seek assistance from a Compliance Officer if you have any questions at all. The rules relating to insider trading can be complex, and a violation of insider trading laws can carry severe consequences.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5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Tarsus Pharmaceuticals, Inc. Insider Trading Policy (as of May 8, 2024) Persons and Transactions Covered by This Policy A. Persons Covered by This Policy This Policy applies to all directors, officers, employees and agents (such as consultants and independent contractors) of the Company. References to the Company include subsidiaries of the Company. References in this Policy to “you”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or strategic investor, if you influence, direct or control transactions by the fund). You are responsible for making sure that these other individuals and entities comply with this Policy. B. Types of Transactions Covered by This Policy Except as discussed in “Limited Exceptions” below, this Policy applies to all transactions involving the securities of the Company. It also applies to all transactions involving the securities of other companies about which you possess material non-public information obtained in the course of your service with the Company. This Policy therefore applies to purchases, sales and other transfers of common stock, options, warrants, preferred stock, debt securities (such as debentures, bonds and notes) and other securities. This Policy also applies to any arrangements that affect economic exposure from changes in the prices of these securities (e.g., transactions in derivative securities (such as exchange-traded put or call options), hedging transactions, short sales and certain decisions with respect to participation in benefit plans). This Policy also applies to any offers by you with respect to the transactions discussed above. There are no exceptions from insider trading laws or this Policy based on the size of the transaction. C. Responsibilities Regarding the Non-Public Information of Other Companies 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 D. Applicability of This Policy after Your Departure You are expected to comply with this Policy until such time as you are no longer affiliated with the Company and you no longer possess any material non-public information subject to this Policy. E. No Exceptions Based on Personal Circumstances There may be instances where you suffer financial harm or other hardship or are otherwise required to forego a planned transaction because of the restrictions imposed by this Policy. Personal financial emergency or other personal circumstances will not limit your liability under securities laws and will not excuse a failure to comply with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5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Tarsus Pharmaceuticals, Inc. Insider Trading Policy (as of May 8, 2024) Material Non-Public Information A. “Material” Information Information is material if there is a substantial likelihood that a reasonable investor would consider it important in deciding whether to buy, hold or sell securities or would view the information as significantly altering the total mix of information in the marketplace. In general, any information that could reasonably be expected to affect the market price of a security is likely to be material. Both positive and negative information may be material. It is not possible to define all categories of “material” information. However, some examples of information that could be regarded as material include information with respect to: • 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 • Restatements of financial results, or material impairments, write-offs or restructurings; • Significant developments in research and development, regulatory approvals for the Company’s product candidates, commercialization efforts or relating to intellectual property; • Changes in independent auditors, or notification that the Company may no longer rely on an audit report; • Business plans or budgets; • Creation of significant financial obligations, or any significant default under or acceleration of the payment of any financial obligation; • Impending bankruptcy or financial liquidity problems; • Significant developments involving business relationships, including entering into, modifying, or terminating significant agreements or orders with customers, suppliers, distributors, manufacturers or other business partners; • Product introductions, modifications, defects or recalls or significant pricing changes or other announcements of a significant nature; • A significant cybersecurity incident, such as a data breach, or any other significant disruption, loss, potential loss, breach or unauthorized access of its property or assets, whether at its facilities or through its information technology infrastructure; • Significant legal or regulatory developments, whether actual or threatened; • 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 of our securities from trading on a securities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5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Tarsus Pharmaceuticals, Inc. Insider Trading Policy (as of May 8, 2024) • The existence of a special blackout period in which you may not trade securities; • Significant corporate events, such as a pending or proposed merger, joint venture or tender offer, a significant investment, the acquisition or disposition of a significant business or asset or a change in control of the Company; and • Major personnel changes, such as changes in senior management or lay-offs. If you have any questions as to whether information should be considered “material,” you should consult with a Compliance Officer. In general, it is advisable to resolve any close questions as to the materiality of any information by assuming that the information is material. B. “Non-Public” Information Information is considered non-public until it has been broadly disseminated to the public for long enough to be reflected in the price of the security. As a general rule, you should consider information to be non-public until at least one full trading day has elapsed after the information has been broadly disseminated to the public in a press release, a public filing with the SEC, a pre- announced public webcast or another broad, non-exclusionary form of public communication. However, depending upon the form of the announcement and the nature of the information, it is possible that information may not be fully absorbed by the marketplace until later. Unless you have seen material information publicly disseminated, you should assume the information is non- public. Any questions as to whether information is non-public should be directed to a Compliance Officer. The term “trading day” means a day on which national stock exchanges are open for trading. A “full” trading day has elapsed when, after the public disclosure, trading in the relevant security has opened and then closed.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5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Tarsus Pharmaceuticals, Inc. Insider Trading Policy (as of May 8, 2024) Policies Regarding Material Non-Public Information A. Confidentiality of Non-Public Information This Policy prohibits the unauthorized use or disclosure of non-public information relating to the Company or other companies. All non-public information you obtain in the course of your service with the Company may only be used for legitimate the Company business purposes. In addition, you should handle others’ non-public information in accordance with the terms of any relevant nondisclosure agreements, and the use of any such non-public information should be limited to the purpose for which it was disclosed. You must use all reasonable efforts to safeguard non-public information in the Company’s possession. All officers, employees and agents of the Company are required to sign and comply with an agreement addressing confidential information and invention assignment. B. No Trading on Material Non-Public Information Except as discussed in “Limited Exceptions” below, you may not, directly or indirectly through others, engage in any transaction involving the Company’s securities while aware of material non- public information relating to the Company. It does not matter that you did not “use” the information in your transaction. Similarly, you may not engage in transactions involving the securities of any other company if you are aware of material non-public information about that company (except if the transactions are similar to those presented in “Limited Exceptions”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the Company securities, if that information is material to the Company). “Materiality” is company-specific—information that is not material to the Company may be material to another company. C. No Disclosing Material Non-Public Information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Company communications and to communications with agents of the Company. In cases where disclosing non-public information to third parties is required, you should coordinate with the Legal Department. In addition, you may not make recommendations or express opinions on the basis of material non- public information as to trading in the securities of companies to which such information relates.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6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Tarsus Pharmaceuticals, Inc. Insider Trading Policy (as of May 8, 2024) You are prohibited from engaging in these actions whether or not you derive any profit or personal benefit from doing so. This prohibition against disclosure of material non-public information includes disclosure (even anonymous disclosure) via the Internet, blogs, investor forums, chat rooms, social media, or the like. D. Responding to Outside Inquiries for Information In the event you receive an inquiry from someone outside of the Company, such as a stock analyst or news reporter, for information, you should refer the inquiry to the Chief Financial Officer or the Investor Relations Department. Your disclosure of information could result in SEC enforcement actions against the Company, including injunctions and severe monetary penalties. Please consult the Company’s investor relations and communications policy for more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6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Tarsus Pharmaceuticals, Inc. Insider Trading Policy (as of May 8, 2024) Trading Blackout Periods To limit the likelihood of trading at times when there is a significant risk of insider trading exposure, the Company has instituted quarterly trading blackout periods and may institute special trading blackout periods from time to time. It is important to note that whether or not you are subject to blackout periods, you remain subject to the prohibitions on trading on the basis of material non-public information and any other applicable restrictions in this Policy. A. Quarterly Blackout Periods Except as discussed in “Limited Exceptions” below, all Company directors, executive officers and other employees and agents identified by the Company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 Quarterly blackout periods start fifteen (15) days prior to the last day of the last month of each fiscal quarter and end at the beginning of the second full trading day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these periods, individuals may often possess or have access to material non-public information relevant to the expected financial results for the quarter. All the Company directors and, officers, and employees and agents identified by the Company (such as consultants and independent contractors) are subject to quarterly blackout periods as listed on Schedule I unless such employees or agents are specifically exempted by a Compliance Officer. From time to time, the Company may identify other persons who should be subject to quarterly blackout periods, and a Compliance Officer may update and revise Schedule I as appropriate. The Company will notify you when each quarterly blackout period starts and ends so that you will know when you may and may not engage in any transaction involving the Company’s securities. You are responsible for complying with the blackout period described in this Policy regardless of whether you receive notification from the Company about the period. B. Special Blackout Periods From time to time, the Company may also prohibit directors, officers, employees and agents from engaging in transactions involving the Company’s securities when, in the judgment of a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6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Tarsus Pharmaceuticals, Inc. Insider Trading Policy (as of May 8, 2024) anticipation of announcing interim earnings guidance or a significant transaction or business development. Special blackout periods may be declared for any reason. The Company will notify you if you are subject to a special blackout period, in which case you may not engage in any transaction involving the Company’s securities until instructed that it is permissible, and you should not disclose the existence of the special blackout period to others. C. No “Safe Harbors” There are no unconditional “safe harbors” for trades made at particular times, and you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6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Tarsus Pharmaceuticals, Inc. Insider Trading Policy (as of May 8, 2024) Pre-Clearance of Trades Except as discussed in “Limited Exceptions” below, directors and executive officers must refrain from engaging in any transaction involving the Company’s securities without first obtaining pre- clearance of the transaction from a Compliance Officer. In addition, as listed on Schedule II, the Company has determined that certain other employees and agents of the Company that may have regular or special access to material non-public information must refrain from engaging in any transaction involving the Company’s securities without first obtaining pre-clearance of the transaction from a Compliance Officer. A Compliance Officer may not engage in a transaction involving the Company’s securities unless the other Compliance Officer has pre-cleared the transaction. Individuals subject to pre-clearance requirements are listed on Schedule II. From time to time, the Company may identify other persons subject to the pre-clearance requirements set forth above, and a Compliance Officer may update and revise Schedule II as appropriate. These pre-clearance procedures are intended to decrease insider trading risks associated with transactions by individuals with regular or special access to material non-public information. In addition, requiring pre-clearance of transactions by directors and officers facilitates compliance with Rule 144 resale restrictions under the Securities Act of 1933, as amended, and the liability and reporting provisions of Section 16 under the Securities Exchange Act of 1934, as amended (the “Exchange Act”). Pre-clearance of a trade, however, is not a defense to a claim of insider trading and does not excuse you from otherwise complying with insider trading laws or this Policy. Further, pre-clearance of a transaction does not constitute an affirmation by the Company or a Compliance Officer that you are not in possession of material non-public information. A Compliance Officer is under no obligation to approve a transaction submitted for pre-clearance, and may determine not to permit the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6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Tarsus Pharmaceuticals, Inc. Insider Trading Policy (as of May 8, 2024) Additional Restrictions and Guidance 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this Policy, including the general prohibition against insider trading as well as pre-clearance procedures and blackout periods, if applicable. A. Short Sales This Policy prohibits short sales (i.e., the sale of a security that must be borrowed to make delivery) and “selling short against the box” (i.e.,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 B. Derivative Securities and Hedging Transactions This Policy prohibits transactions in publicly-traded options, such as puts and calls, and other derivative securities with respect to the Company’s securities. This prohibition extends to any hedging or similar transaction designed to decrease the risks associated with holding the Company securities. Stock options, restricted stock units, restricted stock, stock appreciation rights and other securities issued pursuant to the Company benefit plans or other compensatory arrangements with the Company are not subject to this prohibition. Transactions in derivative securities may reflect a short-term and speculative interest in the Company’s securities and may create the appearance of impropriety, even where a transaction does not involve trading on material non-public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 C. Using Company Securities as Collateral for Loans You may not pledge the Company securities as collateral for loans without the approval of a Compliance Officer. If you default on the loan, the lender may sell the pledged securities as collateral in a foreclosure sale. The sale, even though not initiated at your request, is still considered a sale for your benefit. If made at a time when you are aware of material non-public information or otherwise are not permitted to trade in the Company securities, the sale may result in inadvertent insider trading violations, Section 16 violations (for officers and directors), violations of this Policy and unfavorable publicity for you and the Company. For these reasons, even if you are permitted to pledge the Company securities as collateral for loans, you should exercise caution when doing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6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Tarsus Pharmaceuticals, Inc. Insider Trading Policy (as of May 8, 2024) D. Holding Company Securities in Margin Accounts You may not hold the Company securities in margin accounts without the approval of a Compliance Officer. Under typical margin arrangements, if you fail to meet a margin call, the broker may be entitled to sell securities held in the margin account without your consent. The sale, even though not initiated at your request, is still considered a sale for your benefit. If made at a time when you are aware of material non-public information or are otherwise not permitted to trade in the Company securities, the sale may result in inadvertent insider trading violations, Section 16 violations (for officers and directors), violations of this Policy and unfavorable publicity for you and the Company. For these reasons, even if you are permitted to hold the Company securities in margin accounts, you should exercise caution when doing so. E. Placing Open Orders with Brokers 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the Company securities, which may result in inadvertent insider trading violations, Section 16 violations (for officers and directors), violations of this Policy and unfavorable publicity for you and the Company. If you are subject to blackout periods or pre- clearance requirements, you should inform your broker when you place any open order at the time the order is placed.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6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Tarsus Pharmaceuticals, Inc. Insider Trading Policy (as of May 8, 2024) Limited Exceptions 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 A. Transactions Pursuant to a Trading Plan that Complies with SEC Rules 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 Transactions made pursuant to a written trading plan that (i) complies with the affirmative defense set forth in Rule 10b5-1, (ii) complies with the requirements set forth in Appendix A hereto and (iii) is approved by a Compliance Officer, are not subject to the restrictions in this Policy against trades made while aware of material non-public information or to the pre-clearance procedures or blackout periods established under this Policy. In approving a trading plan, a Compliance Officer may, in furtherance of the objectives expressed in this Policy, impose criteria in addition to those set forth in Rule 10b5-1. You should therefore confer with a Compliance Officer prior to entering into any trading plan. 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the Company review and approval, you are ultimately responsible for compliance with Rule 10b5-1 and this Policy. A Compliance Officer must keep a copy of each adopted trading plan. The Company may publicly disclose information regarding trading plans that you may enter (including but not limited to information required by Regulation S-K Item 408) and you, or the Company on your behalf, will identify an Rule 10b5-1 transactions as such on Form 4 and 5, if applicable. B. Receipt and Vesting of Stock Options, Restricted Stock Units, Restricted Stock and Stock Appreciation Rights The trading restrictions under this Policy do not apply to the grant or award of stock options, restricted stock units, restricted stock or stock appreciation rights issued or offered by the Company, or the mandatory “sell to cover taxes” for restricted stock units. The trading restrictions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6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Tarsus Pharmaceuticals, Inc. Insider Trading Policy (as of May 8, 2024)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including discretionary “sell to cover taxes” for restricted stock units or “net exercises” of stock options and any other market sale for the purpose of generating cash needed to pay withholding taxes related to the settlement of restricted units or stock option exercises. C. Cash or Cashless Net Exercise of Stock Options 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 D. Purchases from the Employee Stock Purchase Plan The trading restrictions in this Policy do not apply to elections with respect to participation in the Company’s employee stock purchase plan or to purchases of securities under the plan. However, the trading restrictions do apply to any subsequent sales of any such securities acquired therefrom. E. Stock Splits, Stock Dividends and Similar Transactions The trading restrictions under this Policy do not apply to a change in the number of securities held as a result of a stock split or stock dividend applying equally to all securities of a class, or similar transactions. F. Bona Fide Gifts and Inheritance The trading restrictions under this Policy do not apply to bona fide gifts involving the Company securities or transfers by will or the laws of descent and distribution. However, (i) if you have reason to believe that the recipient intends to sell Company securities while you are aware of material nonpublic information or, (ii) if (A) you are subject to the trading restrictions specified above under the heading “Trading Blackout Periods,” and (B) you have reason to believe that the recipient intends to sell Company securities during a blackout period, then the trading restrictions apply. In addition, the trading restrictions under this Policy do apply to the sale of any gifted or inherited securities if the recipient, for example, an immediate family member, is subject to this Policy. See “Persons and Transactions Covered by this Policy” above. In other words, you cannot use a gift to conduct a transaction that otherwise would be prohibited under this Policy. Please also note that under the Company’s stock option plans, a stock option or other equity award may not be gifted or transferred except under very limited circumstances.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6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Tarsus Pharmaceuticals, Inc. Insider Trading Policy (as of May 8, 2024) G. Change in Form of Ownership Transactions that involve merely a change in the form in which you own securities are not subject to the trading restrictions under this Policy. For example, you may transfer shares to an inter vivos trust of which you are the sole beneficiary during your lifetime. H. Other Exceptions Any other exception from this Policy must be approved by a Compliance Officer, in consultation with the Board of Directors or an independent committee of the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6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Tarsus Pharmaceuticals, Inc. Insider Trading Policy (as of May 8, 2024) Compliance with Section 16 of the Securities Exchange Act A. Obligations under Section 16 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 The Company’s Board of Directors has determined that those persons listed on Schedule III are required to comply with Section 16 of the Exchange Act, and the related rules and regulations, because of their positions with the Company. A Compliance Officer may amend Schedule III from time to time as appropriate to reflect the election of new officers or directors, any change in the responsibilities of officers or other employees and any promotions, demotions, resignations or departures. Schedule III is not necessarily an exhaustive list of persons subject to Section 16 requirements at any given time. Even if you are not listed on Schedule III, you may be subject to Section 16 reporting obligations because of your shareholdings, for example. B. Notification Requirements to Facilitate Section 16 Reporting To facilitate timely reporting of transactions pursuant to Section 16 requirements, if you are subject to Section 16 reporting requirements you must provide, or must ensure that your broker provides, the Company with detailed information (e.g., trade date, number of shares, exact price, etc.) regarding your transactions involving the Company’s securities, including gifts, transfers, pledges and transactions pursuant to a trading plan, both prior to the transaction (to confirm compliance with pre-clearance procedures, if applicable) and on the date of the transaction. C. Personal Responsibility The obligation to file Section 16 reports, and to otherwise comply with Section 16, is personal. The Company is not responsible for the failure to comply with Section 16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7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Tarsus Pharmaceuticals, Inc. Insider Trading Policy (as of May 8, 2024) Additional Information A. Availability of Policy This Policy will be made available to all the Company directors, officers, employees and agents when they commence service with the Company. You are required to acknowledge that you understand, and agree to comply with, this Policy. B. Amendments The Company is committed to continuously reviewing and updating this Policy and any other the Company policies and procedures. The Company therefore reserves the right to amend, alter or terminate this Policy at any time and for any reason, subject to applicable law. A current copy of the Company’s policies regarding insider trading may be obtained by contacting a Compliance Officer. * * * Nothing in this Policy creates or implies an employment contract or term of employment. The policies in this Policy do not constitute a complete list of the Company policies or a complete list of the types of conduct that can result in discipline, up to and including discharge.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7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Individuals Subject to Quarterly Blackout Periods All directors, and executive officers, and other employees and agents (such as consultants and independent contractors) of the Company, unless such employees or agents are specifically exempted by a Compliance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 Individuals Subject to Pre-Clearance Requirements 1. Directors Name Title(s) Lead Independent Director 2. Officers (including officers who are also directors) Name Title(s) 3. Others Name Title(s) and/or relationship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III Individuals Subject to Section 16 Reporting and Liability Provisions 1. Directors Name Title(s) 2. Officers (including officers who are also directors) Name Title(s)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Requirements for Rule 10b5-1 Trading Plans A Rule 10b5-1 “trading plan” involving purchases or sales of the Company securities must comply with the requirements of Rule 10b5-1 and must meet the following requirements: 1. The trading plan must be in writing and signed by the person adopting the trading plan. 2. The trading plan must be adopted at a time when: • the person adopting the trading plan is not aware of any material non-public information (“MNPI”); and • there is no quarterly, special or other trading blackout in effect with respect to the person adopting the trading plan. 3. The trading plan must be entered in good faith and not as part of a plan or scheme to evade the prohibitions of Rule 10b5-1 and the individual adopting the trading plan must act in good faith with respect to the plan during its duration. 4. In addition, directors and Section 16 Officers of the Company (i.e. all person listed on Schedule III of this Policy) must represent in a trading plan at the time of its adoption (or modification) that (i) they are not aware of any MNPI about the Company or its securities, and (ii) they are adopting (or modifying) the trading plan in good faith and not as part of a plan or scheme to evade the prohibitions of Rule 10b5-1. 5. The individual adopting the trading plan may not have entered into or altered a corresponding or hedging transaction or position with respect to the securities subject to the trading plan and must agree not to enter into any such transaction while the trading plan is in effect. 6. The first trade under the trading plan may not occur until: • for directors and Section 16 officers of the Company (i.e. all persons listed on Schedule III of this Policy), the later of (i) 90 calendar days after adoption of the trading plan, or (ii) two business days following the filing of the Form 10-Q or Form 10-K for the fiscal quarter in which the plan was adopted (but in any event, no more than 120 calendar days after the adoption of the trading plan); • for all other persons, 30 days after adoption of the trading plan. 7. The trading plan must have a minimum term of one year and a maximum term of two years (each starting from the time when trades may first occur in accordance with these requirements). There is a limitation of one single-trade plan during any consecutive 12-month period. 8. All transactions during the term of the trading plan (except for the other “Limited Exceptions” identified in the Company’s insider trading policy) must be conducted through the trading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trading plan cannot overlap with another Rule 10b5-1 trading plan, unless one of the following exceptions applies: • 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 • A series of separate contracts with different broker-dealers that effectively function as a single trading plan are not considered overlapping plans. • 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provided, however, if the existing trading plan is terminated early (i.e., before its scheduled completion date), then the applicable cooling-off period for the new trading plan must run from the date of the termination of the existing trading plan. 10. Regarding material modifications (where such modifications change the amount, price or timing of the purchase or sale of securities pursuant to the plan, but does not include immaterial modifications): • The trading plan may only be modified when the person modifying the trading plan is not aware of MNPI. • The trading plan may only be modified when there is no quarterly, special or other blackout in effect with respect to the person modifying the plan. • The first trade under the modified trading plan may only occur in accordance with the cooling off periods noted in item 6 above. The existing plan would remain in effect until the modified plan comes into effect. • The modified trading plan must have a minimum duration of one year and a maximum term of two years (each starting from the time when trades may first occur under the modified plan in accordance with these requirements). 11. A person may only modify a trading plan once in a one-year period. 12. If the person that adopted the trading plan terminates the plan prior to its stated duration, he or she may not trade in the Company’s securities until the completion of the next upcoming quarterly blackout period after termination (or, if the plan is terminated during a quarterly blackout period, the end of that blackout period). 13. The Company must be promptly notified of any modification or termination of the trading plan, including any suspension of trading under the plan. 14. If the trading plan grants discretion to a stockbroker or other person with respect to the execution of trades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76"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person adopting the trading plan may not confer with the person administering the trading plan regarding the Company or its securities; and • the person administering the trading plan must provide prompt notice to the Company of the execution of a transaction pursuant to the plan. 15. All transactions under the trading plan must be in accordance with applicable law. 16. The trading plan (including any modified trading plan) must meet such other requirements as a Compliance Officer may determine. 17. A Compliance Officer must approve and keep a copy of each adopted trading plan.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Registration Statement (Form S-8 No. 333-249571) pertaining to the Tarsus Pharmaceuticals, Inc. 2020 Equity Incentive Plan, the Tarsus Pharmaceuticals, Inc. 2020 Employee Stock Purchase Plan, and the Tarsus Pharmaceuticals, Inc. 2016 Stock Plan of Tarsus Pharmaceuticals, Inc., </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Registration Statement (Form S-8 No. 333-254932) pertaining to the Tarsus Pharmaceuticals, Inc. 2020 Equity Incentive Plan, and the Tarsus Pharmaceuticals, Inc. 2020 Employee Stock Purchase Plan of Tarsus Pharmaceuticals, Inc., </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Registration Statement (Form S-8 No. 333-263537) pertaining to the Tarsus Pharmaceuticals, Inc. 2020 Equity Incentive Plan and the Tarsus Pharmaceuticals, Inc. 2020 Employee Stock Purchase Plan of Tarsus Pharmaceuticals, Inc.,</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Registration Statement (Form S-8 No. 333-270644) pertaining to the Tarsus Pharmaceuticals, Inc. 2020 Equity Incentive of Tarsus Pharmaceuticals, Inc.,</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(5) Registration Statement (Form S-8 No. 333-277400) pertaining to the Tarsus Pharmaceuticals, Inc. 2020 Equity Incentive Plan of Tarsus Pharmaceuticals, Inc.,</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(6) Registration Statement (Form S-3 No. 333-275439) of Tarsus Pharmaceuticals, Inc., and;</w:t>
      </w:r>
    </w:p>
    <w:p>
      <w:pPr>
        <w:pStyle w:val="TextBody"/>
        <w:bidi w:val="0"/>
        <w:spacing w:lineRule="auto" w:line="288" w:before="24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(7) Registration Statement (Form S-3ASR No. 333-277523) of Tarsus Pharmaceuticals, Inc.;</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25, 2025 with respect to the financial statements of Tarsus Pharmaceuticals, Inc. and the effectiveness of internal control over financial reporting of Tarsus Pharmaceuticals, Inc. included in this Annual Report (Form 10-K) of Tarsus Pharmaceuticals, Inc. for the year ended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Irvine, California</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277" w:type="dxa"/>
        <w:jc w:val="left"/>
        <w:tblInd w:w="0" w:type="dxa"/>
        <w:tblLayout w:type="fixed"/>
        <w:tblCellMar>
          <w:top w:w="28" w:type="dxa"/>
          <w:left w:w="28" w:type="dxa"/>
          <w:bottom w:w="28" w:type="dxa"/>
          <w:right w:w="28" w:type="dxa"/>
        </w:tblCellMar>
      </w:tblPr>
      <w:tblGrid>
        <w:gridCol w:w="223"/>
        <w:gridCol w:w="196"/>
        <w:gridCol w:w="198"/>
        <w:gridCol w:w="535"/>
        <w:gridCol w:w="535"/>
        <w:gridCol w:w="537"/>
        <w:gridCol w:w="140"/>
        <w:gridCol w:w="140"/>
        <w:gridCol w:w="142"/>
        <w:gridCol w:w="718"/>
        <w:gridCol w:w="718"/>
        <w:gridCol w:w="718"/>
        <w:gridCol w:w="718"/>
        <w:gridCol w:w="718"/>
        <w:gridCol w:w="104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422"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S.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949" w:type="dxa"/>
        <w:jc w:val="left"/>
        <w:tblInd w:w="0" w:type="dxa"/>
        <w:tblLayout w:type="fixed"/>
        <w:tblCellMar>
          <w:top w:w="28" w:type="dxa"/>
          <w:left w:w="28" w:type="dxa"/>
          <w:bottom w:w="28" w:type="dxa"/>
          <w:right w:w="28" w:type="dxa"/>
        </w:tblCellMar>
      </w:tblPr>
      <w:tblGrid>
        <w:gridCol w:w="223"/>
        <w:gridCol w:w="196"/>
        <w:gridCol w:w="198"/>
        <w:gridCol w:w="529"/>
        <w:gridCol w:w="529"/>
        <w:gridCol w:w="531"/>
        <w:gridCol w:w="140"/>
        <w:gridCol w:w="140"/>
        <w:gridCol w:w="142"/>
        <w:gridCol w:w="565"/>
        <w:gridCol w:w="565"/>
        <w:gridCol w:w="565"/>
        <w:gridCol w:w="565"/>
        <w:gridCol w:w="565"/>
        <w:gridCol w:w="565"/>
        <w:gridCol w:w="565"/>
        <w:gridCol w:w="565"/>
        <w:gridCol w:w="801"/>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r>
      <w:tr>
        <w:trPr/>
        <w:tc>
          <w:tcPr>
            <w:tcW w:w="617"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r>
      <w:tr>
        <w:trPr/>
        <w:tc>
          <w:tcPr>
            <w:tcW w:w="2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p>
            <w:pPr>
              <w:pStyle w:val="TableContents"/>
              <w:bidi w:val="0"/>
              <w:spacing w:lineRule="auto" w:line="276" w:before="0" w:after="0"/>
              <w:ind w:left="0" w:right="0" w:firstLine="18"/>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Tarsus Pharmaceuticals, Inc. (the “Company”) on Form 10-K for the period ended December 31, 2024 as filed with the Securities and Exchange Commission on the date hereof (the “Report”), I, Bobak Azamian, as Principal Executive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7288" w:type="dxa"/>
        <w:jc w:val="left"/>
        <w:tblInd w:w="0" w:type="dxa"/>
        <w:tblLayout w:type="fixed"/>
        <w:tblCellMar>
          <w:top w:w="28" w:type="dxa"/>
          <w:left w:w="28" w:type="dxa"/>
          <w:bottom w:w="28" w:type="dxa"/>
          <w:right w:w="28" w:type="dxa"/>
        </w:tblCellMar>
      </w:tblPr>
      <w:tblGrid>
        <w:gridCol w:w="225"/>
        <w:gridCol w:w="197"/>
        <w:gridCol w:w="198"/>
        <w:gridCol w:w="537"/>
        <w:gridCol w:w="537"/>
        <w:gridCol w:w="537"/>
        <w:gridCol w:w="142"/>
        <w:gridCol w:w="142"/>
        <w:gridCol w:w="142"/>
        <w:gridCol w:w="718"/>
        <w:gridCol w:w="718"/>
        <w:gridCol w:w="718"/>
        <w:gridCol w:w="718"/>
        <w:gridCol w:w="718"/>
        <w:gridCol w:w="1041"/>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2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Tarsus Pharmaceuticals, Inc. (the “Company”) on Form 10-K for the period ended December 31, 2024 as filed with the Securities and Exchange Commission on the date hereof (the “Report”), I, Jeffrey S. Farrow, as Principal Financial Officer of the Company, hereby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69"/>
        <w:gridCol w:w="869"/>
        <w:gridCol w:w="869"/>
        <w:gridCol w:w="869"/>
        <w:gridCol w:w="869"/>
        <w:gridCol w:w="869"/>
        <w:gridCol w:w="869"/>
        <w:gridCol w:w="869"/>
        <w:gridCol w:w="12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873"/>
        <w:gridCol w:w="873"/>
        <w:gridCol w:w="873"/>
        <w:gridCol w:w="873"/>
        <w:gridCol w:w="873"/>
        <w:gridCol w:w="873"/>
        <w:gridCol w:w="873"/>
        <w:gridCol w:w="873"/>
        <w:gridCol w:w="12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228"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tbl>
      <w:tblPr>
        <w:tblW w:w="7918" w:type="dxa"/>
        <w:jc w:val="left"/>
        <w:tblInd w:w="0" w:type="dxa"/>
        <w:tblLayout w:type="fixed"/>
        <w:tblCellMar>
          <w:top w:w="28" w:type="dxa"/>
          <w:left w:w="28" w:type="dxa"/>
          <w:bottom w:w="28" w:type="dxa"/>
          <w:right w:w="28" w:type="dxa"/>
        </w:tblCellMar>
      </w:tblPr>
      <w:tblGrid>
        <w:gridCol w:w="208"/>
        <w:gridCol w:w="183"/>
        <w:gridCol w:w="184"/>
        <w:gridCol w:w="537"/>
        <w:gridCol w:w="537"/>
        <w:gridCol w:w="537"/>
        <w:gridCol w:w="142"/>
        <w:gridCol w:w="142"/>
        <w:gridCol w:w="142"/>
        <w:gridCol w:w="826"/>
        <w:gridCol w:w="826"/>
        <w:gridCol w:w="826"/>
        <w:gridCol w:w="826"/>
        <w:gridCol w:w="826"/>
        <w:gridCol w:w="1176"/>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11"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February 25, 2025</w:t>
            </w:r>
          </w:p>
        </w:tc>
        <w:tc>
          <w:tcPr>
            <w:tcW w:w="426"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 Farrow</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819790/000119312520272900/d11649dex31.htm" TargetMode="External"/><Relationship Id="rId11" Type="http://schemas.openxmlformats.org/officeDocument/2006/relationships/hyperlink" Target="https://www.sec.gov/Archives/edgar/data/1819790/000119312520272900/d11649dex32.htm" TargetMode="External"/><Relationship Id="rId12" Type="http://schemas.openxmlformats.org/officeDocument/2006/relationships/hyperlink" Target="https://www.sec.gov/Archives/edgar/data/1819790/000119312520267327/d30607dex41.htm" TargetMode="External"/><Relationship Id="rId13" Type="http://schemas.openxmlformats.org/officeDocument/2006/relationships/hyperlink" Target="https://www.sec.gov/Archives/edgar/data/1819790/000181979022000010/tarsus-form10xkxex42descri.htm" TargetMode="External"/><Relationship Id="rId14" Type="http://schemas.openxmlformats.org/officeDocument/2006/relationships/hyperlink" Target="https://www.sec.gov/Archives/edgar/data/1819790/000119312520267327/d30607dex42.htm" TargetMode="External"/><Relationship Id="rId15" Type="http://schemas.openxmlformats.org/officeDocument/2006/relationships/hyperlink" Target="https://www.sec.gov/Archives/edgar/data/1819790/000119312524056209/d759306dex41.htm" TargetMode="External"/><Relationship Id="rId16" Type="http://schemas.openxmlformats.org/officeDocument/2006/relationships/hyperlink" Target="https://www.sec.gov/Archives/edgar/data/1819790/000119312524056209/d759306dex41.htm" TargetMode="External"/><Relationship Id="rId17" Type="http://schemas.openxmlformats.org/officeDocument/2006/relationships/hyperlink" Target="https://www.sec.gov/Archives/edgar/data/1819790/000119312520267327/d30607dex101.htm" TargetMode="External"/><Relationship Id="rId18" Type="http://schemas.openxmlformats.org/officeDocument/2006/relationships/hyperlink" Target="https://www.sec.gov/Archives/edgar/data/1819790/000119312520254758/d30607dex102.htm" TargetMode="External"/><Relationship Id="rId19" Type="http://schemas.openxmlformats.org/officeDocument/2006/relationships/hyperlink" Target="https://www.sec.gov/Archives/edgar/data/1819790/000119312520272944/d55477dex992.htm" TargetMode="External"/><Relationship Id="rId20" Type="http://schemas.openxmlformats.org/officeDocument/2006/relationships/hyperlink" Target="https://www.sec.gov/Archives/edgar/data/1819790/000119312520272944/d55477dex993.htm" TargetMode="External"/><Relationship Id="rId21" Type="http://schemas.openxmlformats.org/officeDocument/2006/relationships/hyperlink" Target="https://www.sec.gov/Archives/edgar/data/1819790/000119312520267327/d30607dex105.htm" TargetMode="External"/><Relationship Id="rId22" Type="http://schemas.openxmlformats.org/officeDocument/2006/relationships/hyperlink" Target="https://www.sec.gov/Archives/edgar/data/1819790/000119312520254758/d30607dex106.htm" TargetMode="External"/><Relationship Id="rId23" Type="http://schemas.openxmlformats.org/officeDocument/2006/relationships/hyperlink" Target="https://www.sec.gov/Archives/edgar/data/1819790/000119312520254758/d30607dex106.htm" TargetMode="External"/><Relationship Id="rId24" Type="http://schemas.openxmlformats.org/officeDocument/2006/relationships/hyperlink" Target="https://www.sec.gov/Archives/edgar/data/1819790/000119312520254758/d30607dex106.htm" TargetMode="External"/><Relationship Id="rId25" Type="http://schemas.openxmlformats.org/officeDocument/2006/relationships/hyperlink" Target="https://www.sec.gov/Archives/edgar/data/1819790/000119312520254758/d30607dex107.htm" TargetMode="External"/><Relationship Id="rId26" Type="http://schemas.openxmlformats.org/officeDocument/2006/relationships/hyperlink" Target="https://www.sec.gov/Archives/edgar/data/1819790/000119312520254758/d30607dex109.htm" TargetMode="External"/><Relationship Id="rId27" Type="http://schemas.openxmlformats.org/officeDocument/2006/relationships/hyperlink" Target="https://www.sec.gov/Archives/edgar/data/1819790/000119312520254758/d30607dex1013.htm" TargetMode="External"/><Relationship Id="rId28" Type="http://schemas.openxmlformats.org/officeDocument/2006/relationships/hyperlink" Target="https://www.sec.gov/Archives/edgar/data/1819790/000119312520254758/d30607dex1014.htm" TargetMode="External"/><Relationship Id="rId29" Type="http://schemas.openxmlformats.org/officeDocument/2006/relationships/hyperlink" Target="https://www.sec.gov/Archives/edgar/data/1819790/000119312520267327/d30607dex1015.htm" TargetMode="External"/><Relationship Id="rId30" Type="http://schemas.openxmlformats.org/officeDocument/2006/relationships/hyperlink" Target="https://www.sec.gov/Archives/edgar/data/1819790/000181979021000020/exhibit101lian-tarsusxdeve.htm" TargetMode="External"/><Relationship Id="rId31" Type="http://schemas.openxmlformats.org/officeDocument/2006/relationships/hyperlink" Target="https://www.sec.gov/Archives/edgar/data/1819790/000181979021000020/exhibit101lian-tarsusxdeve.htm" TargetMode="External"/><Relationship Id="rId32" Type="http://schemas.openxmlformats.org/officeDocument/2006/relationships/hyperlink" Target="https://www.sec.gov/Archives/edgar/data/1819790/000181979021000020/exhibit101lian-tarsusxdeve.htm" TargetMode="External"/><Relationship Id="rId33" Type="http://schemas.openxmlformats.org/officeDocument/2006/relationships/hyperlink" Target="https://www.sec.gov/Archives/edgar/data/1819790/000181979022000023/exhibit101-loanandsecurity.htm" TargetMode="External"/><Relationship Id="rId34" Type="http://schemas.openxmlformats.org/officeDocument/2006/relationships/hyperlink" Target="https://www.sec.gov/Archives/edgar/data/1819790/000181979022000023/exhibit102-consultingagree.htm" TargetMode="External"/><Relationship Id="rId35" Type="http://schemas.openxmlformats.org/officeDocument/2006/relationships/hyperlink" Target="https://www.sec.gov/Archives/edgar/data/1819790/000181979022000030/elanco-tarsustopicalagre.htm" TargetMode="External"/><Relationship Id="rId36" Type="http://schemas.openxmlformats.org/officeDocument/2006/relationships/hyperlink" Target="https://www.sec.gov/Archives/edgar/data/1819790/000181979022000030/elanco-tarsustopicalagre.htm" TargetMode="External"/><Relationship Id="rId37" Type="http://schemas.openxmlformats.org/officeDocument/2006/relationships/hyperlink" Target="https://www.sec.gov/Archives/edgar/data/1819790/000181979022000030/elanco-tarsussystemicagr.htm" TargetMode="External"/><Relationship Id="rId38" Type="http://schemas.openxmlformats.org/officeDocument/2006/relationships/hyperlink" Target="https://www.sec.gov/Archives/edgar/data/1819790/000181979022000030/elanco-tarsussystemicagr.htm" TargetMode="External"/><Relationship Id="rId39" Type="http://schemas.openxmlformats.org/officeDocument/2006/relationships/hyperlink" Target="https://www.sec.gov/Archives/edgar/data/1819790/000181979023000007/tarsuslsafirstamendment1.htm" TargetMode="External"/><Relationship Id="rId40" Type="http://schemas.openxmlformats.org/officeDocument/2006/relationships/hyperlink" Target="https://www.sec.gov/Archives/edgar/data/1819790/000181979023000007/tarsuslsafirstamendment1.htm" TargetMode="External"/><Relationship Id="rId41" Type="http://schemas.openxmlformats.org/officeDocument/2006/relationships/hyperlink" Target="https://www.sec.gov/Archives/edgar/data/1819790/000181979023000007/tarsuslsafirstamendment1.htm" TargetMode="External"/><Relationship Id="rId42" Type="http://schemas.openxmlformats.org/officeDocument/2006/relationships/hyperlink" Target="https://www.sec.gov/Archives/edgar/data/1819790/000181979023000080/hercules_tarsus-secondamen.htm" TargetMode="External"/><Relationship Id="rId43" Type="http://schemas.openxmlformats.org/officeDocument/2006/relationships/hyperlink" Target="https://www.sec.gov/Archives/edgar/data/1819790/000181979023000080/hercules_tarsus-secondamen.htm" TargetMode="External"/><Relationship Id="rId44" Type="http://schemas.openxmlformats.org/officeDocument/2006/relationships/hyperlink" Target="https://www.sec.gov/Archives/edgar/data/1819790/000181979023000080/hercules_tarsus-secondamen.htm" TargetMode="External"/><Relationship Id="rId45" Type="http://schemas.openxmlformats.org/officeDocument/2006/relationships/hyperlink" Target="https://www.sec.gov/Archives/edgar/data/1819790/000181979024000018/exhibit1019-offerletterj.htm" TargetMode="External"/><Relationship Id="rId46" Type="http://schemas.openxmlformats.org/officeDocument/2006/relationships/hyperlink" Target="https://www.sec.gov/Archives/edgar/data/1819790/000181979023000071/greensteinleo2023-05x03sep.htm" TargetMode="External"/><Relationship Id="rId47" Type="http://schemas.openxmlformats.org/officeDocument/2006/relationships/hyperlink" Target="https://www.sec.gov/Archives/edgar/data/1819790/000181979023000071/greensteinleo2023-05x03sep.htm" TargetMode="External"/><Relationship Id="rId48" Type="http://schemas.openxmlformats.org/officeDocument/2006/relationships/hyperlink" Target="https://www.sec.gov/Archives/edgar/data/1819790/000181979023000071/greensteinleo2023-05x03sep.htm" TargetMode="External"/><Relationship Id="rId49" Type="http://schemas.openxmlformats.org/officeDocument/2006/relationships/hyperlink" Target="https://www.sec.gov/Archives/edgar/data/1819790/000181979023000071/greensteinleo2023-05x03sep.htm" TargetMode="External"/><Relationship Id="rId50" Type="http://schemas.openxmlformats.org/officeDocument/2006/relationships/hyperlink" Target="https://www.sec.gov/Archives/edgar/data/1819790/000181979023000071/exhibit102-tarsusformofs.htm" TargetMode="External"/><Relationship Id="rId51" Type="http://schemas.openxmlformats.org/officeDocument/2006/relationships/hyperlink" Target="https://www.sec.gov/Archives/edgar/data/1819790/000181979024000111/pharmakon-tarsusxxloanag.htm" TargetMode="External"/><Relationship Id="rId52" Type="http://schemas.openxmlformats.org/officeDocument/2006/relationships/hyperlink" Target="https://www.sec.gov/Archives/edgar/data/1819790/000181979024000111/pharmakon-tarsusxxloanag.htm" TargetMode="External"/><Relationship Id="rId53" Type="http://schemas.openxmlformats.org/officeDocument/2006/relationships/hyperlink" Target="https://www.sec.gov/Archives/edgar/data/1819790/000181979024000111/pharmakon-tarsusxxloanag.htm" TargetMode="External"/><Relationship Id="rId54" Type="http://schemas.openxmlformats.org/officeDocument/2006/relationships/hyperlink" Target="https://www.sec.gov/Archives/edgar/data/1819790/000181979024000111/pharmakon-tarsusxxloanag.htm" TargetMode="External"/><Relationship Id="rId55" Type="http://schemas.openxmlformats.org/officeDocument/2006/relationships/hyperlink" Target="https://www.sec.gov/Archives/edgar/data/1819790/000181979024000111/pharmakon-tarsusxxloanag.htm" TargetMode="External"/><Relationship Id="rId56" Type="http://schemas.openxmlformats.org/officeDocument/2006/relationships/hyperlink" Target="https://www.sec.gov/Archives/edgar/data/1819790/000181979024000111/pharmakon-tarsusxxloanag.htm" TargetMode="External"/><Relationship Id="rId57" Type="http://schemas.openxmlformats.org/officeDocument/2006/relationships/hyperlink" Target="https://www.sec.gov/Archives/edgar/data/1819790/000181979024000111/pharmakon-tarsusxxloanag.htm" TargetMode="External"/><Relationship Id="rId58" Type="http://schemas.openxmlformats.org/officeDocument/2006/relationships/hyperlink" Target="https://www.sec.gov/Archives/edgar/data/1819790/000181979024000111/pharmakon-tarsusxxloanag.htm" TargetMode="External"/><Relationship Id="rId59" Type="http://schemas.openxmlformats.org/officeDocument/2006/relationships/hyperlink" Target="https://www.sec.gov/Archives/edgar/data/1819790/000181979024000111/pharmakon-tarsusxxloanag.htm" TargetMode="External"/><Relationship Id="rId60" Type="http://schemas.openxmlformats.org/officeDocument/2006/relationships/hyperlink" Target="https://www.sec.gov/Archives/edgar/data/1819790/000181979024000063/josetrevejo-tarsussepara.htm" TargetMode="External"/><Relationship Id="rId61" Type="http://schemas.openxmlformats.org/officeDocument/2006/relationships/hyperlink" Target="https://www.sec.gov/Archives/edgar/data/1819790/000181979024000018/exhibit971-tarsusxformdx.htm" TargetMode="External"/><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image" Target="media/image11.jpeg"/><Relationship Id="rId65" Type="http://schemas.openxmlformats.org/officeDocument/2006/relationships/image" Target="media/image12.jpeg"/><Relationship Id="rId66" Type="http://schemas.openxmlformats.org/officeDocument/2006/relationships/image" Target="media/image13.jpeg"/><Relationship Id="rId67" Type="http://schemas.openxmlformats.org/officeDocument/2006/relationships/image" Target="media/image14.jpeg"/><Relationship Id="rId68" Type="http://schemas.openxmlformats.org/officeDocument/2006/relationships/image" Target="media/image15.jpeg"/><Relationship Id="rId69" Type="http://schemas.openxmlformats.org/officeDocument/2006/relationships/image" Target="media/image16.jpeg"/><Relationship Id="rId70" Type="http://schemas.openxmlformats.org/officeDocument/2006/relationships/image" Target="media/image17.jpeg"/><Relationship Id="rId71" Type="http://schemas.openxmlformats.org/officeDocument/2006/relationships/image" Target="media/image18.jpeg"/><Relationship Id="rId72" Type="http://schemas.openxmlformats.org/officeDocument/2006/relationships/image" Target="media/image19.jpeg"/><Relationship Id="rId73" Type="http://schemas.openxmlformats.org/officeDocument/2006/relationships/image" Target="media/image20.jpeg"/><Relationship Id="rId74" Type="http://schemas.openxmlformats.org/officeDocument/2006/relationships/image" Target="media/image21.jpeg"/><Relationship Id="rId75" Type="http://schemas.openxmlformats.org/officeDocument/2006/relationships/image" Target="media/image22.jpeg"/><Relationship Id="rId76" Type="http://schemas.openxmlformats.org/officeDocument/2006/relationships/image" Target="media/image23.jpeg"/><Relationship Id="rId77" Type="http://schemas.openxmlformats.org/officeDocument/2006/relationships/image" Target="media/image24.jpeg"/><Relationship Id="rId78" Type="http://schemas.openxmlformats.org/officeDocument/2006/relationships/image" Target="media/image25.jpeg"/><Relationship Id="rId79" Type="http://schemas.openxmlformats.org/officeDocument/2006/relationships/image" Target="media/image26.jpeg"/><Relationship Id="rId80" Type="http://schemas.openxmlformats.org/officeDocument/2006/relationships/image" Target="media/image27.jpeg"/><Relationship Id="rId81" Type="http://schemas.openxmlformats.org/officeDocument/2006/relationships/image" Target="media/image28.jpeg"/><Relationship Id="rId82" Type="http://schemas.openxmlformats.org/officeDocument/2006/relationships/image" Target="media/image29.jpeg"/><Relationship Id="rId83" Type="http://schemas.openxmlformats.org/officeDocument/2006/relationships/image" Target="media/image30.jpeg"/><Relationship Id="rId84" Type="http://schemas.openxmlformats.org/officeDocument/2006/relationships/image" Target="media/image31.jpeg"/><Relationship Id="rId85" Type="http://schemas.openxmlformats.org/officeDocument/2006/relationships/image" Target="media/image32.jpeg"/><Relationship Id="rId86" Type="http://schemas.openxmlformats.org/officeDocument/2006/relationships/image" Target="media/image33.jpeg"/><Relationship Id="rId87" Type="http://schemas.openxmlformats.org/officeDocument/2006/relationships/image" Target="media/image34.jpeg"/><Relationship Id="rId88" Type="http://schemas.openxmlformats.org/officeDocument/2006/relationships/image" Target="media/image35.jpeg"/><Relationship Id="rId89" Type="http://schemas.openxmlformats.org/officeDocument/2006/relationships/image" Target="media/image36.jpeg"/><Relationship Id="rId90" Type="http://schemas.openxmlformats.org/officeDocument/2006/relationships/image" Target="media/image37.jpeg"/><Relationship Id="rId91" Type="http://schemas.openxmlformats.org/officeDocument/2006/relationships/image" Target="media/image38.jpeg"/><Relationship Id="rId92" Type="http://schemas.openxmlformats.org/officeDocument/2006/relationships/image" Target="media/image39.jpeg"/><Relationship Id="rId93" Type="http://schemas.openxmlformats.org/officeDocument/2006/relationships/image" Target="media/image40.jpeg"/><Relationship Id="rId94" Type="http://schemas.openxmlformats.org/officeDocument/2006/relationships/image" Target="media/image41.jpeg"/><Relationship Id="rId95" Type="http://schemas.openxmlformats.org/officeDocument/2006/relationships/image" Target="media/image42.jpeg"/><Relationship Id="rId96" Type="http://schemas.openxmlformats.org/officeDocument/2006/relationships/image" Target="media/image43.jpeg"/><Relationship Id="rId97" Type="http://schemas.openxmlformats.org/officeDocument/2006/relationships/image" Target="media/image44.jpeg"/><Relationship Id="rId98" Type="http://schemas.openxmlformats.org/officeDocument/2006/relationships/image" Target="media/image45.jpeg"/><Relationship Id="rId99" Type="http://schemas.openxmlformats.org/officeDocument/2006/relationships/image" Target="media/image46.jpeg"/><Relationship Id="rId100" Type="http://schemas.openxmlformats.org/officeDocument/2006/relationships/image" Target="media/image47.jpeg"/><Relationship Id="rId101" Type="http://schemas.openxmlformats.org/officeDocument/2006/relationships/image" Target="media/image48.jpeg"/><Relationship Id="rId102" Type="http://schemas.openxmlformats.org/officeDocument/2006/relationships/image" Target="media/image49.jpeg"/><Relationship Id="rId103" Type="http://schemas.openxmlformats.org/officeDocument/2006/relationships/image" Target="media/image50.jpeg"/><Relationship Id="rId104" Type="http://schemas.openxmlformats.org/officeDocument/2006/relationships/image" Target="media/image51.jpeg"/><Relationship Id="rId105" Type="http://schemas.openxmlformats.org/officeDocument/2006/relationships/image" Target="media/image52.jpeg"/><Relationship Id="rId106" Type="http://schemas.openxmlformats.org/officeDocument/2006/relationships/image" Target="media/image53.jpeg"/><Relationship Id="rId107" Type="http://schemas.openxmlformats.org/officeDocument/2006/relationships/image" Target="media/image54.jpeg"/><Relationship Id="rId108" Type="http://schemas.openxmlformats.org/officeDocument/2006/relationships/image" Target="media/image55.jpeg"/><Relationship Id="rId109" Type="http://schemas.openxmlformats.org/officeDocument/2006/relationships/image" Target="media/image56.jpeg"/><Relationship Id="rId110" Type="http://schemas.openxmlformats.org/officeDocument/2006/relationships/image" Target="media/image57.jpeg"/><Relationship Id="rId111" Type="http://schemas.openxmlformats.org/officeDocument/2006/relationships/image" Target="media/image58.jpeg"/><Relationship Id="rId112" Type="http://schemas.openxmlformats.org/officeDocument/2006/relationships/image" Target="media/image59.jpeg"/><Relationship Id="rId113" Type="http://schemas.openxmlformats.org/officeDocument/2006/relationships/image" Target="media/image60.jpeg"/><Relationship Id="rId114" Type="http://schemas.openxmlformats.org/officeDocument/2006/relationships/image" Target="media/image61.jpeg"/><Relationship Id="rId115" Type="http://schemas.openxmlformats.org/officeDocument/2006/relationships/image" Target="media/image62.jpeg"/><Relationship Id="rId116" Type="http://schemas.openxmlformats.org/officeDocument/2006/relationships/image" Target="media/image63.jpeg"/><Relationship Id="rId117" Type="http://schemas.openxmlformats.org/officeDocument/2006/relationships/image" Target="media/image64.jpeg"/><Relationship Id="rId118" Type="http://schemas.openxmlformats.org/officeDocument/2006/relationships/image" Target="media/image65.jpeg"/><Relationship Id="rId119" Type="http://schemas.openxmlformats.org/officeDocument/2006/relationships/image" Target="media/image66.jpeg"/><Relationship Id="rId120" Type="http://schemas.openxmlformats.org/officeDocument/2006/relationships/image" Target="media/image67.jpeg"/><Relationship Id="rId121" Type="http://schemas.openxmlformats.org/officeDocument/2006/relationships/image" Target="media/image68.jpeg"/><Relationship Id="rId122" Type="http://schemas.openxmlformats.org/officeDocument/2006/relationships/image" Target="media/image69.jpeg"/><Relationship Id="rId123" Type="http://schemas.openxmlformats.org/officeDocument/2006/relationships/image" Target="media/image70.jpeg"/><Relationship Id="rId124" Type="http://schemas.openxmlformats.org/officeDocument/2006/relationships/image" Target="media/image71.jpeg"/><Relationship Id="rId125" Type="http://schemas.openxmlformats.org/officeDocument/2006/relationships/image" Target="media/image72.jpeg"/><Relationship Id="rId126" Type="http://schemas.openxmlformats.org/officeDocument/2006/relationships/image" Target="media/image73.jpeg"/><Relationship Id="rId127" Type="http://schemas.openxmlformats.org/officeDocument/2006/relationships/image" Target="media/image74.jpeg"/><Relationship Id="rId128" Type="http://schemas.openxmlformats.org/officeDocument/2006/relationships/image" Target="media/image75.jpeg"/><Relationship Id="rId129" Type="http://schemas.openxmlformats.org/officeDocument/2006/relationships/image" Target="media/image76.jpeg"/><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120136</Words>
  <Characters>677045</Characters>
  <CharactersWithSpaces>794332</CharactersWithSpaces>
  <Paragraphs>4437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tarsus-xxinsiderxtrading</dc:title>
</cp:coreProperties>
</file>