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-13970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17145</wp:posOffset>
            </wp:positionV>
            <wp:extent cx="7019290" cy="3242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42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Trevejo Jose M.</w:t>
        </w:r>
      </w:hyperlink>
    </w:p>
    <w:p>
      <w:pPr>
        <w:spacing w:after="0" w:line="23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15540 LAGUNA CANYON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SUITE 160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6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IRVINE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92618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0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10/05/2023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80" w:right="580" w:hanging="189"/>
        <w:spacing w:after="0"/>
        <w:tabs>
          <w:tab w:leader="none" w:pos="28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7"/>
          <w:szCs w:val="7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10/05/2023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1,604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4,503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5"/>
              </w:rPr>
              <w:t>1. The sales reported in this Form 4 were effected by an automatic sale pursuant to a Rule 10b5-1 trading plan adopted by the Reporting Person on May 12, 2023.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/s/ Jeffrey Farrow,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10/06/2023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X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1539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2023-10-06T16:31:53Z</dcterms:created>
  <dcterms:modified xsi:type="dcterms:W3CDTF">2023-10-06T16:31:53Z</dcterms:modified>
</cp:coreProperties>
</file>