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63"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Tester Jason 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Tarsus 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TARS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81" w:lineRule="exact"/>
        <w:rPr>
          <w:sz w:val="24"/>
          <w:szCs w:val="24"/>
          <w:color w:val="auto"/>
        </w:rPr>
      </w:pPr>
    </w:p>
    <w:p>
      <w:pPr>
        <w:sectPr>
          <w:pgSz w:w="11900" w:h="16863" w:orient="portrait"/>
          <w:cols w:equalWidth="0" w:num="2">
            <w:col w:w="472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C/OTARSUS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PHARMACEUTICALS, INC.</w:t>
      </w:r>
    </w:p>
    <w:p>
      <w:pPr>
        <w:spacing w:after="0" w:line="62" w:lineRule="exact"/>
        <w:rPr>
          <w:sz w:val="24"/>
          <w:szCs w:val="24"/>
          <w:color w:val="auto"/>
        </w:rPr>
      </w:pPr>
    </w:p>
    <w:p>
      <w:pPr>
        <w:ind w:left="140" w:right="1257"/>
        <w:spacing w:after="0" w:line="269" w:lineRule="auto"/>
        <w:rPr>
          <w:sz w:val="20"/>
          <w:szCs w:val="20"/>
          <w:color w:val="auto"/>
        </w:rPr>
      </w:pPr>
      <w:r>
        <w:rPr>
          <w:rFonts w:ascii="Arial" w:cs="Arial" w:eastAsia="Arial" w:hAnsi="Arial"/>
          <w:sz w:val="20"/>
          <w:szCs w:val="20"/>
          <w:color w:val="0000FF"/>
        </w:rPr>
        <w:t>15440 LAGUNA CANYON ROAD, SUITE 160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63"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413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41357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9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92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vMerge w:val="restart"/>
          </w:tcPr>
          <w:p>
            <w:pPr>
              <w:jc w:val="center"/>
              <w:ind w:left="11"/>
              <w:spacing w:after="0"/>
              <w:rPr>
                <w:sz w:val="20"/>
                <w:szCs w:val="20"/>
                <w:color w:val="auto"/>
              </w:rPr>
            </w:pPr>
            <w:r>
              <w:rPr>
                <w:rFonts w:ascii="Arial" w:cs="Arial" w:eastAsia="Arial" w:hAnsi="Arial"/>
                <w:sz w:val="20"/>
                <w:szCs w:val="20"/>
                <w:color w:val="0000FF"/>
                <w:w w:val="88"/>
              </w:rPr>
              <w:t>21,575</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Pr>
          <w:p>
            <w:pPr>
              <w:ind w:left="60"/>
              <w:spacing w:after="0"/>
              <w:rPr>
                <w:sz w:val="20"/>
                <w:szCs w:val="20"/>
                <w:color w:val="auto"/>
              </w:rPr>
            </w:pPr>
            <w:r>
              <w:rPr>
                <w:rFonts w:ascii="Arial" w:cs="Arial" w:eastAsia="Arial" w:hAnsi="Arial"/>
                <w:sz w:val="20"/>
                <w:szCs w:val="20"/>
                <w:color w:val="0000FF"/>
                <w:w w:val="96"/>
              </w:rPr>
              <w:t>By Tester Living</w:t>
            </w:r>
          </w:p>
        </w:tc>
        <w:tc>
          <w:tcPr>
            <w:tcW w:w="0" w:type="dxa"/>
            <w:vAlign w:val="bottom"/>
          </w:tcPr>
          <w:p>
            <w:pPr>
              <w:spacing w:after="0"/>
              <w:rPr>
                <w:sz w:val="1"/>
                <w:szCs w:val="1"/>
                <w:color w:val="auto"/>
              </w:rPr>
            </w:pPr>
          </w:p>
        </w:tc>
      </w:tr>
      <w:tr>
        <w:trPr>
          <w:trHeight w:val="128"/>
        </w:trPr>
        <w:tc>
          <w:tcPr>
            <w:tcW w:w="29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Arial" w:cs="Arial" w:eastAsia="Arial" w:hAnsi="Arial"/>
                <w:sz w:val="20"/>
                <w:szCs w:val="20"/>
                <w:color w:val="0000FF"/>
              </w:rPr>
              <w:t>Trust</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920" w:type="dxa"/>
            <w:vAlign w:val="bottom"/>
            <w:vMerge w:val="restart"/>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(3)</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(3)</w:t>
            </w: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vMerge w:val="restart"/>
          </w:tcPr>
          <w:p>
            <w:pPr>
              <w:jc w:val="center"/>
              <w:spacing w:after="0"/>
              <w:rPr>
                <w:sz w:val="20"/>
                <w:szCs w:val="20"/>
                <w:color w:val="auto"/>
              </w:rPr>
            </w:pPr>
            <w:r>
              <w:rPr>
                <w:rFonts w:ascii="Arial" w:cs="Arial" w:eastAsia="Arial" w:hAnsi="Arial"/>
                <w:sz w:val="20"/>
                <w:szCs w:val="20"/>
                <w:color w:val="0000FF"/>
                <w:w w:val="87"/>
              </w:rPr>
              <w:t>3,698</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Pr>
          <w:p>
            <w:pPr>
              <w:ind w:left="60"/>
              <w:spacing w:after="0"/>
              <w:rPr>
                <w:sz w:val="20"/>
                <w:szCs w:val="20"/>
                <w:color w:val="auto"/>
              </w:rPr>
            </w:pPr>
            <w:r>
              <w:rPr>
                <w:rFonts w:ascii="Arial" w:cs="Arial" w:eastAsia="Arial" w:hAnsi="Arial"/>
                <w:sz w:val="20"/>
                <w:szCs w:val="20"/>
                <w:color w:val="0000FF"/>
                <w:w w:val="96"/>
              </w:rPr>
              <w:t>By Tester Living</w:t>
            </w:r>
          </w:p>
        </w:tc>
        <w:tc>
          <w:tcPr>
            <w:tcW w:w="0" w:type="dxa"/>
            <w:vAlign w:val="bottom"/>
          </w:tcPr>
          <w:p>
            <w:pPr>
              <w:spacing w:after="0"/>
              <w:rPr>
                <w:sz w:val="1"/>
                <w:szCs w:val="1"/>
                <w:color w:val="auto"/>
              </w:rPr>
            </w:pPr>
          </w:p>
        </w:tc>
      </w:tr>
      <w:tr>
        <w:trPr>
          <w:trHeight w:val="128"/>
        </w:trPr>
        <w:tc>
          <w:tcPr>
            <w:tcW w:w="29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Arial" w:cs="Arial" w:eastAsia="Arial" w:hAnsi="Arial"/>
                <w:sz w:val="20"/>
                <w:szCs w:val="20"/>
                <w:color w:val="0000FF"/>
              </w:rPr>
              <w:t>Trust</w:t>
            </w:r>
            <w:r>
              <w:rPr>
                <w:rFonts w:ascii="Arial" w:cs="Arial" w:eastAsia="Arial" w:hAnsi="Arial"/>
                <w:sz w:val="25"/>
                <w:szCs w:val="25"/>
                <w:color w:val="008000"/>
                <w:vertAlign w:val="superscript"/>
              </w:rPr>
              <w:t>(2)</w:t>
            </w:r>
          </w:p>
        </w:tc>
        <w:tc>
          <w:tcPr>
            <w:tcW w:w="0" w:type="dxa"/>
            <w:vAlign w:val="bottom"/>
          </w:tcPr>
          <w:p>
            <w:pPr>
              <w:spacing w:after="0"/>
              <w:rPr>
                <w:sz w:val="1"/>
                <w:szCs w:val="1"/>
                <w:color w:val="auto"/>
              </w:rPr>
            </w:pPr>
          </w:p>
        </w:tc>
      </w:tr>
      <w:tr>
        <w:trPr>
          <w:trHeight w:val="192"/>
        </w:trPr>
        <w:tc>
          <w:tcPr>
            <w:tcW w:w="29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20"/>
                <w:szCs w:val="20"/>
                <w:color w:val="0000FF"/>
              </w:rPr>
              <w:t>By Horowitz</w:t>
            </w:r>
          </w:p>
        </w:tc>
        <w:tc>
          <w:tcPr>
            <w:tcW w:w="0" w:type="dxa"/>
            <w:vAlign w:val="bottom"/>
          </w:tcPr>
          <w:p>
            <w:pPr>
              <w:spacing w:after="0"/>
              <w:rPr>
                <w:sz w:val="1"/>
                <w:szCs w:val="1"/>
                <w:color w:val="auto"/>
              </w:rPr>
            </w:pPr>
          </w:p>
        </w:tc>
      </w:tr>
      <w:tr>
        <w:trPr>
          <w:trHeight w:val="240"/>
        </w:trPr>
        <w:tc>
          <w:tcPr>
            <w:tcW w:w="2920" w:type="dxa"/>
            <w:vAlign w:val="bottom"/>
            <w:vMerge w:val="restart"/>
          </w:tcPr>
          <w:p>
            <w:pPr>
              <w:ind w:left="80"/>
              <w:spacing w:after="0"/>
              <w:rPr>
                <w:sz w:val="20"/>
                <w:szCs w:val="20"/>
                <w:color w:val="auto"/>
              </w:rPr>
            </w:pPr>
            <w:r>
              <w:rPr>
                <w:rFonts w:ascii="Arial" w:cs="Arial" w:eastAsia="Arial" w:hAnsi="Arial"/>
                <w:sz w:val="20"/>
                <w:szCs w:val="20"/>
                <w:color w:val="0000FF"/>
              </w:rPr>
              <w:t>Series A Preferred Stock</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(1)</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(1)</w:t>
            </w: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vMerge w:val="restart"/>
          </w:tcPr>
          <w:p>
            <w:pPr>
              <w:jc w:val="center"/>
              <w:ind w:left="11"/>
              <w:spacing w:after="0"/>
              <w:rPr>
                <w:sz w:val="20"/>
                <w:szCs w:val="20"/>
                <w:color w:val="auto"/>
              </w:rPr>
            </w:pPr>
            <w:r>
              <w:rPr>
                <w:rFonts w:ascii="Arial" w:cs="Arial" w:eastAsia="Arial" w:hAnsi="Arial"/>
                <w:sz w:val="20"/>
                <w:szCs w:val="20"/>
                <w:color w:val="0000FF"/>
                <w:w w:val="87"/>
              </w:rPr>
              <w:t>1,434,790</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Pr>
          <w:p>
            <w:pPr>
              <w:ind w:left="60"/>
              <w:spacing w:after="0"/>
              <w:rPr>
                <w:sz w:val="20"/>
                <w:szCs w:val="20"/>
                <w:color w:val="auto"/>
              </w:rPr>
            </w:pPr>
            <w:r>
              <w:rPr>
                <w:rFonts w:ascii="Arial" w:cs="Arial" w:eastAsia="Arial" w:hAnsi="Arial"/>
                <w:sz w:val="20"/>
                <w:szCs w:val="20"/>
                <w:color w:val="0000FF"/>
              </w:rPr>
              <w:t>Limited</w:t>
            </w:r>
          </w:p>
        </w:tc>
        <w:tc>
          <w:tcPr>
            <w:tcW w:w="0" w:type="dxa"/>
            <w:vAlign w:val="bottom"/>
          </w:tcPr>
          <w:p>
            <w:pPr>
              <w:spacing w:after="0"/>
              <w:rPr>
                <w:sz w:val="1"/>
                <w:szCs w:val="1"/>
                <w:color w:val="auto"/>
              </w:rPr>
            </w:pPr>
          </w:p>
        </w:tc>
      </w:tr>
      <w:tr>
        <w:trPr>
          <w:trHeight w:val="128"/>
        </w:trPr>
        <w:tc>
          <w:tcPr>
            <w:tcW w:w="29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Arial" w:cs="Arial" w:eastAsia="Arial" w:hAnsi="Arial"/>
                <w:sz w:val="20"/>
                <w:szCs w:val="20"/>
                <w:color w:val="0000FF"/>
              </w:rPr>
              <w:t>Partnership</w:t>
            </w:r>
          </w:p>
        </w:tc>
        <w:tc>
          <w:tcPr>
            <w:tcW w:w="0" w:type="dxa"/>
            <w:vAlign w:val="bottom"/>
          </w:tcPr>
          <w:p>
            <w:pPr>
              <w:spacing w:after="0"/>
              <w:rPr>
                <w:sz w:val="1"/>
                <w:szCs w:val="1"/>
                <w:color w:val="auto"/>
              </w:rPr>
            </w:pPr>
          </w:p>
        </w:tc>
      </w:tr>
      <w:tr>
        <w:trPr>
          <w:trHeight w:val="112"/>
        </w:trPr>
        <w:tc>
          <w:tcPr>
            <w:tcW w:w="2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29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rPr>
              <w:t>VIII</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290"/>
        </w:trPr>
        <w:tc>
          <w:tcPr>
            <w:tcW w:w="2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20"/>
                <w:szCs w:val="20"/>
                <w:color w:val="0000FF"/>
              </w:rPr>
              <w:t>By Horowitz</w:t>
            </w:r>
          </w:p>
        </w:tc>
        <w:tc>
          <w:tcPr>
            <w:tcW w:w="0" w:type="dxa"/>
            <w:vAlign w:val="bottom"/>
          </w:tcPr>
          <w:p>
            <w:pPr>
              <w:spacing w:after="0"/>
              <w:rPr>
                <w:sz w:val="1"/>
                <w:szCs w:val="1"/>
                <w:color w:val="auto"/>
              </w:rPr>
            </w:pPr>
          </w:p>
        </w:tc>
      </w:tr>
      <w:tr>
        <w:trPr>
          <w:trHeight w:val="240"/>
        </w:trPr>
        <w:tc>
          <w:tcPr>
            <w:tcW w:w="2920" w:type="dxa"/>
            <w:vAlign w:val="bottom"/>
            <w:vMerge w:val="restart"/>
          </w:tcPr>
          <w:p>
            <w:pPr>
              <w:ind w:left="80"/>
              <w:spacing w:after="0"/>
              <w:rPr>
                <w:sz w:val="20"/>
                <w:szCs w:val="20"/>
                <w:color w:val="auto"/>
              </w:rPr>
            </w:pPr>
            <w:r>
              <w:rPr>
                <w:rFonts w:ascii="Arial" w:cs="Arial" w:eastAsia="Arial" w:hAnsi="Arial"/>
                <w:sz w:val="20"/>
                <w:szCs w:val="20"/>
                <w:color w:val="0000FF"/>
              </w:rPr>
              <w:t>Series B Preferred Stock</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(3)</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(3)</w:t>
            </w: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vMerge w:val="restart"/>
          </w:tcPr>
          <w:p>
            <w:pPr>
              <w:jc w:val="center"/>
              <w:ind w:left="11"/>
              <w:spacing w:after="0"/>
              <w:rPr>
                <w:sz w:val="20"/>
                <w:szCs w:val="20"/>
                <w:color w:val="auto"/>
              </w:rPr>
            </w:pPr>
            <w:r>
              <w:rPr>
                <w:rFonts w:ascii="Arial" w:cs="Arial" w:eastAsia="Arial" w:hAnsi="Arial"/>
                <w:sz w:val="20"/>
                <w:szCs w:val="20"/>
                <w:color w:val="0000FF"/>
                <w:w w:val="85"/>
              </w:rPr>
              <w:t>245,966</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Pr>
          <w:p>
            <w:pPr>
              <w:ind w:left="60"/>
              <w:spacing w:after="0"/>
              <w:rPr>
                <w:sz w:val="20"/>
                <w:szCs w:val="20"/>
                <w:color w:val="auto"/>
              </w:rPr>
            </w:pPr>
            <w:r>
              <w:rPr>
                <w:rFonts w:ascii="Arial" w:cs="Arial" w:eastAsia="Arial" w:hAnsi="Arial"/>
                <w:sz w:val="20"/>
                <w:szCs w:val="20"/>
                <w:color w:val="0000FF"/>
              </w:rPr>
              <w:t>Limited</w:t>
            </w:r>
          </w:p>
        </w:tc>
        <w:tc>
          <w:tcPr>
            <w:tcW w:w="0" w:type="dxa"/>
            <w:vAlign w:val="bottom"/>
          </w:tcPr>
          <w:p>
            <w:pPr>
              <w:spacing w:after="0"/>
              <w:rPr>
                <w:sz w:val="1"/>
                <w:szCs w:val="1"/>
                <w:color w:val="auto"/>
              </w:rPr>
            </w:pPr>
          </w:p>
        </w:tc>
      </w:tr>
      <w:tr>
        <w:trPr>
          <w:trHeight w:val="128"/>
        </w:trPr>
        <w:tc>
          <w:tcPr>
            <w:tcW w:w="29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Arial" w:cs="Arial" w:eastAsia="Arial" w:hAnsi="Arial"/>
                <w:sz w:val="20"/>
                <w:szCs w:val="20"/>
                <w:color w:val="0000FF"/>
              </w:rPr>
              <w:t>Partnership</w:t>
            </w:r>
          </w:p>
        </w:tc>
        <w:tc>
          <w:tcPr>
            <w:tcW w:w="0" w:type="dxa"/>
            <w:vAlign w:val="bottom"/>
          </w:tcPr>
          <w:p>
            <w:pPr>
              <w:spacing w:after="0"/>
              <w:rPr>
                <w:sz w:val="1"/>
                <w:szCs w:val="1"/>
                <w:color w:val="auto"/>
              </w:rPr>
            </w:pPr>
          </w:p>
        </w:tc>
      </w:tr>
      <w:tr>
        <w:trPr>
          <w:trHeight w:val="112"/>
        </w:trPr>
        <w:tc>
          <w:tcPr>
            <w:tcW w:w="2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29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rPr>
              <w:t>VIII</w:t>
            </w:r>
            <w:r>
              <w:rPr>
                <w:rFonts w:ascii="Arial" w:cs="Arial" w:eastAsia="Arial" w:hAnsi="Arial"/>
                <w:sz w:val="25"/>
                <w:szCs w:val="25"/>
                <w:color w:val="008000"/>
                <w:vertAlign w:val="superscript"/>
              </w:rPr>
              <w:t>(4)</w:t>
            </w:r>
          </w:p>
        </w:tc>
        <w:tc>
          <w:tcPr>
            <w:tcW w:w="0" w:type="dxa"/>
            <w:vAlign w:val="bottom"/>
          </w:tcPr>
          <w:p>
            <w:pPr>
              <w:spacing w:after="0"/>
              <w:rPr>
                <w:sz w:val="1"/>
                <w:szCs w:val="1"/>
                <w:color w:val="auto"/>
              </w:rPr>
            </w:pPr>
          </w:p>
        </w:tc>
      </w:tr>
      <w:tr>
        <w:trPr>
          <w:trHeight w:val="290"/>
        </w:trPr>
        <w:tc>
          <w:tcPr>
            <w:tcW w:w="2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ind w:left="60"/>
              <w:spacing w:after="0"/>
              <w:rPr>
                <w:sz w:val="20"/>
                <w:szCs w:val="20"/>
                <w:color w:val="auto"/>
              </w:rPr>
            </w:pPr>
            <w:r>
              <w:rPr>
                <w:rFonts w:ascii="Arial" w:cs="Arial" w:eastAsia="Arial" w:hAnsi="Arial"/>
                <w:sz w:val="20"/>
                <w:szCs w:val="20"/>
                <w:color w:val="0000FF"/>
              </w:rPr>
              <w:t>By Horowitz</w:t>
            </w:r>
          </w:p>
        </w:tc>
        <w:tc>
          <w:tcPr>
            <w:tcW w:w="0" w:type="dxa"/>
            <w:vAlign w:val="bottom"/>
          </w:tcPr>
          <w:p>
            <w:pPr>
              <w:spacing w:after="0"/>
              <w:rPr>
                <w:sz w:val="1"/>
                <w:szCs w:val="1"/>
                <w:color w:val="auto"/>
              </w:rPr>
            </w:pPr>
          </w:p>
        </w:tc>
      </w:tr>
      <w:tr>
        <w:trPr>
          <w:trHeight w:val="240"/>
        </w:trPr>
        <w:tc>
          <w:tcPr>
            <w:tcW w:w="2920" w:type="dxa"/>
            <w:vAlign w:val="bottom"/>
            <w:vMerge w:val="restart"/>
          </w:tcPr>
          <w:p>
            <w:pPr>
              <w:ind w:left="80"/>
              <w:spacing w:after="0"/>
              <w:rPr>
                <w:sz w:val="20"/>
                <w:szCs w:val="20"/>
                <w:color w:val="auto"/>
              </w:rPr>
            </w:pPr>
            <w:r>
              <w:rPr>
                <w:rFonts w:ascii="Arial" w:cs="Arial" w:eastAsia="Arial" w:hAnsi="Arial"/>
                <w:sz w:val="20"/>
                <w:szCs w:val="20"/>
                <w:color w:val="0000FF"/>
              </w:rPr>
              <w:t>Series C Preferred Stock</w:t>
            </w:r>
          </w:p>
        </w:tc>
        <w:tc>
          <w:tcPr>
            <w:tcW w:w="980" w:type="dxa"/>
            <w:vAlign w:val="bottom"/>
            <w:vMerge w:val="restart"/>
          </w:tcPr>
          <w:p>
            <w:pPr>
              <w:jc w:val="right"/>
              <w:ind w:right="351"/>
              <w:spacing w:after="0"/>
              <w:rPr>
                <w:sz w:val="20"/>
                <w:szCs w:val="20"/>
                <w:color w:val="auto"/>
              </w:rPr>
            </w:pPr>
            <w:r>
              <w:rPr>
                <w:rFonts w:ascii="Arial" w:cs="Arial" w:eastAsia="Arial" w:hAnsi="Arial"/>
                <w:sz w:val="13"/>
                <w:szCs w:val="13"/>
                <w:color w:val="008000"/>
              </w:rPr>
              <w:t>(5)</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8000"/>
                <w:w w:val="87"/>
              </w:rPr>
              <w:t>(5)</w:t>
            </w: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vMerge w:val="restart"/>
          </w:tcPr>
          <w:p>
            <w:pPr>
              <w:jc w:val="center"/>
              <w:ind w:left="11"/>
              <w:spacing w:after="0"/>
              <w:rPr>
                <w:sz w:val="20"/>
                <w:szCs w:val="20"/>
                <w:color w:val="auto"/>
              </w:rPr>
            </w:pPr>
            <w:r>
              <w:rPr>
                <w:rFonts w:ascii="Arial" w:cs="Arial" w:eastAsia="Arial" w:hAnsi="Arial"/>
                <w:sz w:val="20"/>
                <w:szCs w:val="20"/>
                <w:color w:val="0000FF"/>
                <w:w w:val="88"/>
              </w:rPr>
              <w:t>71,427</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(5)</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Pr>
          <w:p>
            <w:pPr>
              <w:ind w:left="60"/>
              <w:spacing w:after="0"/>
              <w:rPr>
                <w:sz w:val="20"/>
                <w:szCs w:val="20"/>
                <w:color w:val="auto"/>
              </w:rPr>
            </w:pPr>
            <w:r>
              <w:rPr>
                <w:rFonts w:ascii="Arial" w:cs="Arial" w:eastAsia="Arial" w:hAnsi="Arial"/>
                <w:sz w:val="20"/>
                <w:szCs w:val="20"/>
                <w:color w:val="0000FF"/>
              </w:rPr>
              <w:t>Limited</w:t>
            </w:r>
          </w:p>
        </w:tc>
        <w:tc>
          <w:tcPr>
            <w:tcW w:w="0" w:type="dxa"/>
            <w:vAlign w:val="bottom"/>
          </w:tcPr>
          <w:p>
            <w:pPr>
              <w:spacing w:after="0"/>
              <w:rPr>
                <w:sz w:val="1"/>
                <w:szCs w:val="1"/>
                <w:color w:val="auto"/>
              </w:rPr>
            </w:pPr>
          </w:p>
        </w:tc>
      </w:tr>
      <w:tr>
        <w:trPr>
          <w:trHeight w:val="128"/>
        </w:trPr>
        <w:tc>
          <w:tcPr>
            <w:tcW w:w="29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vMerge w:val="restart"/>
          </w:tcPr>
          <w:p>
            <w:pPr>
              <w:ind w:left="60"/>
              <w:spacing w:after="0"/>
              <w:rPr>
                <w:sz w:val="20"/>
                <w:szCs w:val="20"/>
                <w:color w:val="auto"/>
              </w:rPr>
            </w:pPr>
            <w:r>
              <w:rPr>
                <w:rFonts w:ascii="Arial" w:cs="Arial" w:eastAsia="Arial" w:hAnsi="Arial"/>
                <w:sz w:val="20"/>
                <w:szCs w:val="20"/>
                <w:color w:val="0000FF"/>
              </w:rPr>
              <w:t>Partnership</w:t>
            </w:r>
          </w:p>
        </w:tc>
        <w:tc>
          <w:tcPr>
            <w:tcW w:w="0" w:type="dxa"/>
            <w:vAlign w:val="bottom"/>
          </w:tcPr>
          <w:p>
            <w:pPr>
              <w:spacing w:after="0"/>
              <w:rPr>
                <w:sz w:val="1"/>
                <w:szCs w:val="1"/>
                <w:color w:val="auto"/>
              </w:rPr>
            </w:pPr>
          </w:p>
        </w:tc>
      </w:tr>
      <w:tr>
        <w:trPr>
          <w:trHeight w:val="120"/>
        </w:trPr>
        <w:tc>
          <w:tcPr>
            <w:tcW w:w="2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9520"/>
        <w:spacing w:after="0"/>
        <w:rPr>
          <w:sz w:val="20"/>
          <w:szCs w:val="20"/>
          <w:color w:val="auto"/>
        </w:rPr>
      </w:pPr>
      <w:r>
        <w:rPr>
          <w:rFonts w:ascii="Arial" w:cs="Arial" w:eastAsia="Arial" w:hAnsi="Arial"/>
          <w:sz w:val="20"/>
          <w:szCs w:val="20"/>
          <w:color w:val="0000FF"/>
        </w:rPr>
        <w:t>VIII</w:t>
      </w:r>
      <w:r>
        <w:rPr>
          <w:rFonts w:ascii="Arial" w:cs="Arial" w:eastAsia="Arial" w:hAnsi="Arial"/>
          <w:sz w:val="25"/>
          <w:szCs w:val="25"/>
          <w:color w:val="008000"/>
          <w:vertAlign w:val="superscript"/>
        </w:rPr>
        <w:t>(4)</w:t>
      </w:r>
    </w:p>
    <w:p>
      <w:pPr>
        <w:spacing w:after="0" w:line="71"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Series A Preferred Stock shall automatically convert into shares of the Issuer's common stock, par value $0.0001 per share (the "Common Stock"), on a one-for-one basis, immediately prior to the closing of the Issuer's initial public offering. The Series A Preferred Stock has no expiration date.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is the trustee of the Tester Living Trust, and has voting and dispositive power with respect to these shares.</w:t>
      </w:r>
    </w:p>
    <w:p>
      <w:pPr>
        <w:spacing w:after="0" w:line="52" w:lineRule="exact"/>
        <w:rPr>
          <w:rFonts w:ascii="Arial" w:cs="Arial" w:eastAsia="Arial" w:hAnsi="Arial"/>
          <w:sz w:val="15"/>
          <w:szCs w:val="15"/>
          <w:color w:val="008000"/>
        </w:rPr>
      </w:pPr>
    </w:p>
    <w:p>
      <w:pPr>
        <w:ind w:left="40" w:right="4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Series B Preferred Stock shall automatically convert into shares of Common Stock, on a one-for-one basis, immediately prior to the closing of the Issuer's initial public offering. The Series B Preferred Stock has no expiration date.</w:t>
      </w:r>
    </w:p>
    <w:p>
      <w:pPr>
        <w:spacing w:after="0" w:line="26" w:lineRule="exact"/>
        <w:rPr>
          <w:rFonts w:ascii="Arial" w:cs="Arial" w:eastAsia="Arial" w:hAnsi="Arial"/>
          <w:sz w:val="15"/>
          <w:szCs w:val="15"/>
          <w:color w:val="008000"/>
        </w:rPr>
      </w:pPr>
    </w:p>
    <w:p>
      <w:pPr>
        <w:ind w:left="40" w:right="180" w:firstLine="5"/>
        <w:spacing w:after="0" w:line="288"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are held directly by Horowitz Limited Partnership VIII. The Reporting Person is the Chief Financial Officer of Horowitz Management, Inc., the managing partner of Horowitz Limited Partnership VIII. The Reporting Person disclaims beneficial ownership of the shares except to the extent of his pecuniary interest therein.</w:t>
      </w:r>
    </w:p>
    <w:p>
      <w:pPr>
        <w:spacing w:after="0" w:line="3" w:lineRule="exact"/>
        <w:rPr>
          <w:rFonts w:ascii="Arial" w:cs="Arial" w:eastAsia="Arial" w:hAnsi="Arial"/>
          <w:sz w:val="14"/>
          <w:szCs w:val="14"/>
          <w:color w:val="008000"/>
        </w:rPr>
      </w:pPr>
    </w:p>
    <w:p>
      <w:pPr>
        <w:ind w:left="40" w:right="2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Series C Preferred Stock shall automatically convert into shares of Common Stock, on a one-for-one basis, immediately prior to the completion of the Issuer's initial public offering. The Series C Preferred Stock has no expiration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ectPr>
          <w:pgSz w:w="11900" w:h="16863" w:orient="portrait"/>
          <w:cols w:equalWidth="0" w:num="1">
            <w:col w:w="10940"/>
          </w:cols>
          <w:pgMar w:left="480" w:top="236" w:right="479" w:bottom="0" w:gutter="0" w:footer="0" w:header="0"/>
          <w:type w:val="continuous"/>
        </w:sectPr>
      </w:pPr>
    </w:p>
    <w:p>
      <w:pPr>
        <w:spacing w:after="0" w:line="65"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ectPr>
          <w:pgSz w:w="11900" w:h="16863" w:orient="portrait"/>
          <w:cols w:equalWidth="0" w:num="1">
            <w:col w:w="10940"/>
          </w:cols>
          <w:pgMar w:left="480" w:top="236"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2"/>
              </w:rPr>
              <w:t>/s/ Jason E. Tester</w:t>
            </w:r>
          </w:p>
        </w:tc>
        <w:tc>
          <w:tcPr>
            <w:tcW w:w="7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10/15/2020</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65"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KNOW ALL BY THESE PRESENTS, the undersigned hereby constitutes and appoints each of Bobak Azamian, Leo Greenstein and Kim Norman, signing singly, and with full power of substitution, the undersigned's true and lawful attorney-in-fact to:</w:t>
      </w:r>
    </w:p>
    <w:p>
      <w:pPr>
        <w:spacing w:after="0" w:line="202" w:lineRule="exact"/>
        <w:rPr>
          <w:sz w:val="20"/>
          <w:szCs w:val="20"/>
          <w:color w:val="auto"/>
        </w:rPr>
      </w:pPr>
    </w:p>
    <w:p>
      <w:pPr>
        <w:ind w:right="1079"/>
        <w:spacing w:after="0" w:line="23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"Update Passphrase Confirmation" form, if required, and submit the same to the United States Securities and Exchange Commission;</w:t>
      </w:r>
    </w:p>
    <w:p>
      <w:pPr>
        <w:spacing w:after="0" w:line="232"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234"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233" w:lineRule="exact"/>
        <w:rPr>
          <w:rFonts w:ascii="Courier New" w:cs="Courier New" w:eastAsia="Courier New" w:hAnsi="Courier New"/>
          <w:sz w:val="20"/>
          <w:szCs w:val="20"/>
          <w:color w:val="auto"/>
        </w:rPr>
      </w:pPr>
    </w:p>
    <w:p>
      <w:pPr>
        <w:ind w:right="73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468"/>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200" w:lineRule="exact"/>
        <w:rPr>
          <w:sz w:val="20"/>
          <w:szCs w:val="20"/>
          <w:color w:val="auto"/>
        </w:rPr>
      </w:pPr>
    </w:p>
    <w:p>
      <w:pPr>
        <w:spacing w:after="0" w:line="239" w:lineRule="exact"/>
        <w:rPr>
          <w:sz w:val="20"/>
          <w:szCs w:val="20"/>
          <w:color w:val="auto"/>
        </w:rPr>
      </w:pPr>
    </w:p>
    <w:p>
      <w:pPr>
        <w:ind w:right="739" w:firstLine="468"/>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September 30,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Jason E. Tester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Jason E. Tester</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7272"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2020-10-15T19:23:59Z</dcterms:created>
  <dcterms:modified xsi:type="dcterms:W3CDTF">2020-10-15T19:23:59Z</dcterms:modified>
</cp:coreProperties>
</file>