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2392ds3asr.htm"/>
        <w:bookmarkStart w:id="1" w:name="ksd152392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October 13, 2026 </w:t>
      </w:r>
    </w:p>
    <w:p>
      <w:pPr>
        <w:pStyle w:val="TextBody"/>
        <w:bidi w:val="0"/>
        <w:spacing w:before="0" w:after="0"/>
        <w:jc w:val="right"/>
        <w:rPr>
          <w:rFonts w:ascii="Times New Roman" w:hAnsi="Times New Roman"/>
          <w:b/>
          <w:sz w:val="18"/>
        </w:rPr>
      </w:pPr>
      <w:r>
        <w:rPr>
          <w:rFonts w:ascii="Times New Roman" w:hAnsi="Times New Roman"/>
          <w:b/>
          <w:sz w:val="18"/>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Tarsus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81-4717861</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17700 Laguna Canyon Road, Floor 4 </w:t>
      </w:r>
    </w:p>
    <w:p>
      <w:pPr>
        <w:pStyle w:val="TextBody"/>
        <w:bidi w:val="0"/>
        <w:spacing w:before="0" w:after="0"/>
        <w:jc w:val="center"/>
        <w:rPr>
          <w:rFonts w:ascii="Times New Roman" w:hAnsi="Times New Roman"/>
          <w:b/>
          <w:sz w:val="18"/>
        </w:rPr>
      </w:pPr>
      <w:r>
        <w:rPr>
          <w:rFonts w:ascii="Times New Roman" w:hAnsi="Times New Roman"/>
          <w:b/>
          <w:sz w:val="18"/>
        </w:rPr>
        <w:t xml:space="preserve">Irvine, California 92618 </w:t>
      </w:r>
    </w:p>
    <w:p>
      <w:pPr>
        <w:pStyle w:val="TextBody"/>
        <w:bidi w:val="0"/>
        <w:spacing w:before="0" w:after="0"/>
        <w:jc w:val="center"/>
        <w:rPr>
          <w:rFonts w:ascii="Times New Roman" w:hAnsi="Times New Roman"/>
          <w:b/>
          <w:sz w:val="18"/>
        </w:rPr>
      </w:pPr>
      <w:r>
        <w:rPr>
          <w:rFonts w:ascii="Times New Roman" w:hAnsi="Times New Roman"/>
          <w:b/>
          <w:sz w:val="18"/>
        </w:rPr>
        <w:t xml:space="preserve">(949) 418-1801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Bobak Azamian, M.D., Ph.D. </w:t>
      </w:r>
    </w:p>
    <w:p>
      <w:pPr>
        <w:pStyle w:val="TextBody"/>
        <w:bidi w:val="0"/>
        <w:spacing w:before="0" w:after="0"/>
        <w:jc w:val="center"/>
        <w:rPr>
          <w:rFonts w:ascii="Times New Roman" w:hAnsi="Times New Roman"/>
          <w:b/>
          <w:sz w:val="18"/>
        </w:rPr>
      </w:pPr>
      <w:r>
        <w:rPr>
          <w:rFonts w:ascii="Times New Roman" w:hAnsi="Times New Roman"/>
          <w:b/>
          <w:sz w:val="18"/>
        </w:rPr>
        <w:t xml:space="preserve">President, Chief Executive Officer and Chairman </w:t>
      </w:r>
    </w:p>
    <w:p>
      <w:pPr>
        <w:pStyle w:val="TextBody"/>
        <w:bidi w:val="0"/>
        <w:spacing w:before="0" w:after="0"/>
        <w:jc w:val="center"/>
        <w:rPr>
          <w:rFonts w:ascii="Times New Roman" w:hAnsi="Times New Roman"/>
          <w:b/>
          <w:sz w:val="18"/>
        </w:rPr>
      </w:pPr>
      <w:r>
        <w:rPr>
          <w:rFonts w:ascii="Times New Roman" w:hAnsi="Times New Roman"/>
          <w:b/>
          <w:sz w:val="18"/>
        </w:rPr>
        <w:t xml:space="preserve">17700 Laguna Canyon Road, Floor 4 </w:t>
      </w:r>
    </w:p>
    <w:p>
      <w:pPr>
        <w:pStyle w:val="TextBody"/>
        <w:bidi w:val="0"/>
        <w:spacing w:before="0" w:after="0"/>
        <w:jc w:val="center"/>
        <w:rPr>
          <w:rFonts w:ascii="Times New Roman" w:hAnsi="Times New Roman"/>
          <w:b/>
          <w:sz w:val="18"/>
        </w:rPr>
      </w:pPr>
      <w:r>
        <w:rPr>
          <w:rFonts w:ascii="Times New Roman" w:hAnsi="Times New Roman"/>
          <w:b/>
          <w:sz w:val="18"/>
        </w:rPr>
        <w:t xml:space="preserve">Irvine, California 92618 </w:t>
      </w:r>
    </w:p>
    <w:p>
      <w:pPr>
        <w:pStyle w:val="TextBody"/>
        <w:bidi w:val="0"/>
        <w:spacing w:before="0" w:after="0"/>
        <w:jc w:val="center"/>
        <w:rPr>
          <w:rFonts w:ascii="Times New Roman" w:hAnsi="Times New Roman"/>
          <w:b/>
          <w:sz w:val="18"/>
        </w:rPr>
      </w:pPr>
      <w:r>
        <w:rPr>
          <w:rFonts w:ascii="Times New Roman" w:hAnsi="Times New Roman"/>
          <w:b/>
          <w:sz w:val="18"/>
        </w:rPr>
        <w:t xml:space="preserve">(949) 418-1801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Ryan J. Gunderson</w:t>
            </w:r>
          </w:p>
          <w:p>
            <w:pPr>
              <w:pStyle w:val="TableContents"/>
              <w:bidi w:val="0"/>
              <w:spacing w:before="0" w:after="0"/>
              <w:jc w:val="center"/>
              <w:rPr>
                <w:rFonts w:ascii="Times New Roman" w:hAnsi="Times New Roman"/>
                <w:b/>
                <w:sz w:val="18"/>
              </w:rPr>
            </w:pPr>
            <w:r>
              <w:rPr>
                <w:rFonts w:ascii="Times New Roman" w:hAnsi="Times New Roman"/>
                <w:b/>
                <w:sz w:val="18"/>
              </w:rPr>
              <w:t>Traci A. Biedermann</w:t>
            </w:r>
          </w:p>
          <w:p>
            <w:pPr>
              <w:pStyle w:val="TableContents"/>
              <w:bidi w:val="0"/>
              <w:spacing w:before="0" w:after="0"/>
              <w:jc w:val="center"/>
              <w:rPr>
                <w:rFonts w:ascii="Times New Roman" w:hAnsi="Times New Roman"/>
                <w:b/>
                <w:sz w:val="18"/>
              </w:rPr>
            </w:pPr>
            <w:r>
              <w:rPr>
                <w:rFonts w:ascii="Times New Roman" w:hAnsi="Times New Roman"/>
                <w:b/>
                <w:sz w:val="18"/>
              </w:rPr>
              <w:t>Gunderson Dettmer Stough Villeneuve</w:t>
            </w:r>
          </w:p>
          <w:p>
            <w:pPr>
              <w:pStyle w:val="TableContents"/>
              <w:bidi w:val="0"/>
              <w:spacing w:before="0" w:after="0"/>
              <w:jc w:val="center"/>
              <w:rPr>
                <w:rFonts w:ascii="Times New Roman" w:hAnsi="Times New Roman"/>
                <w:b/>
                <w:sz w:val="18"/>
              </w:rPr>
            </w:pPr>
            <w:r>
              <w:rPr>
                <w:rFonts w:ascii="Times New Roman" w:hAnsi="Times New Roman"/>
                <w:b/>
                <w:sz w:val="18"/>
              </w:rPr>
              <w:t>Franklin &amp; Hachigian, LLP</w:t>
            </w:r>
          </w:p>
          <w:p>
            <w:pPr>
              <w:pStyle w:val="TableContents"/>
              <w:bidi w:val="0"/>
              <w:spacing w:before="0" w:after="0"/>
              <w:jc w:val="center"/>
              <w:rPr>
                <w:rFonts w:ascii="Times New Roman" w:hAnsi="Times New Roman"/>
                <w:b/>
                <w:sz w:val="18"/>
              </w:rPr>
            </w:pPr>
            <w:r>
              <w:rPr>
                <w:rFonts w:ascii="Times New Roman" w:hAnsi="Times New Roman"/>
                <w:b/>
                <w:sz w:val="18"/>
              </w:rPr>
              <w:t>3570 Carmel Mountain Rd., Suite 200</w:t>
            </w:r>
          </w:p>
          <w:p>
            <w:pPr>
              <w:pStyle w:val="TableContents"/>
              <w:bidi w:val="0"/>
              <w:spacing w:before="0" w:after="0"/>
              <w:jc w:val="center"/>
              <w:rPr>
                <w:rFonts w:ascii="Times New Roman" w:hAnsi="Times New Roman"/>
                <w:b/>
                <w:sz w:val="18"/>
              </w:rPr>
            </w:pPr>
            <w:r>
              <w:rPr>
                <w:rFonts w:ascii="Times New Roman" w:hAnsi="Times New Roman"/>
                <w:b/>
                <w:sz w:val="18"/>
              </w:rPr>
              <w:t>San Diego, CA 92130</w:t>
            </w:r>
          </w:p>
          <w:p>
            <w:pPr>
              <w:pStyle w:val="TableContents"/>
              <w:bidi w:val="0"/>
              <w:spacing w:before="0" w:after="20"/>
              <w:jc w:val="center"/>
              <w:rPr>
                <w:rFonts w:ascii="Times New Roman" w:hAnsi="Times New Roman"/>
                <w:b/>
                <w:sz w:val="18"/>
              </w:rPr>
            </w:pPr>
            <w:r>
              <w:rPr>
                <w:rFonts w:ascii="Times New Roman" w:hAnsi="Times New Roman"/>
                <w:b/>
                <w:sz w:val="18"/>
              </w:rPr>
              <w:t>(858) 436-8000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Jeffrey Farrow</w:t>
            </w:r>
          </w:p>
          <w:p>
            <w:pPr>
              <w:pStyle w:val="TableContents"/>
              <w:bidi w:val="0"/>
              <w:spacing w:before="0" w:after="0"/>
              <w:jc w:val="center"/>
              <w:rPr>
                <w:rFonts w:ascii="Times New Roman" w:hAnsi="Times New Roman"/>
                <w:b/>
                <w:sz w:val="18"/>
              </w:rPr>
            </w:pPr>
            <w:r>
              <w:rPr>
                <w:rFonts w:ascii="Times New Roman" w:hAnsi="Times New Roman"/>
                <w:b/>
                <w:sz w:val="18"/>
              </w:rPr>
              <w:t>Chief Financial Officer and Chief Strategy Officer</w:t>
            </w:r>
          </w:p>
          <w:p>
            <w:pPr>
              <w:pStyle w:val="TableContents"/>
              <w:bidi w:val="0"/>
              <w:spacing w:before="0" w:after="0"/>
              <w:jc w:val="center"/>
              <w:rPr>
                <w:rFonts w:ascii="Times New Roman" w:hAnsi="Times New Roman"/>
                <w:b/>
                <w:sz w:val="18"/>
              </w:rPr>
            </w:pPr>
            <w:r>
              <w:rPr>
                <w:rFonts w:ascii="Times New Roman" w:hAnsi="Times New Roman"/>
                <w:b/>
                <w:sz w:val="18"/>
              </w:rPr>
              <w:t>Bryan Wahl</w:t>
            </w:r>
          </w:p>
          <w:p>
            <w:pPr>
              <w:pStyle w:val="TableContents"/>
              <w:bidi w:val="0"/>
              <w:spacing w:before="0" w:after="0"/>
              <w:jc w:val="center"/>
              <w:rPr>
                <w:rFonts w:ascii="Times New Roman" w:hAnsi="Times New Roman"/>
                <w:b/>
                <w:sz w:val="18"/>
              </w:rPr>
            </w:pPr>
            <w:r>
              <w:rPr>
                <w:rFonts w:ascii="Times New Roman" w:hAnsi="Times New Roman"/>
                <w:b/>
                <w:sz w:val="18"/>
              </w:rPr>
              <w:t>General Counsel</w:t>
            </w:r>
          </w:p>
          <w:p>
            <w:pPr>
              <w:pStyle w:val="TableContents"/>
              <w:bidi w:val="0"/>
              <w:spacing w:before="0" w:after="0"/>
              <w:jc w:val="center"/>
              <w:rPr>
                <w:rFonts w:ascii="Times New Roman" w:hAnsi="Times New Roman"/>
                <w:b/>
                <w:sz w:val="18"/>
              </w:rPr>
            </w:pPr>
            <w:r>
              <w:rPr>
                <w:rFonts w:ascii="Times New Roman" w:hAnsi="Times New Roman"/>
                <w:b/>
                <w:sz w:val="18"/>
              </w:rPr>
              <w:t>Tarsus Pharmaceuticals, Inc.</w:t>
            </w:r>
          </w:p>
          <w:p>
            <w:pPr>
              <w:pStyle w:val="TableContents"/>
              <w:bidi w:val="0"/>
              <w:spacing w:before="0" w:after="0"/>
              <w:jc w:val="center"/>
              <w:rPr>
                <w:rFonts w:ascii="Times New Roman" w:hAnsi="Times New Roman"/>
                <w:b/>
                <w:sz w:val="18"/>
              </w:rPr>
            </w:pPr>
            <w:r>
              <w:rPr>
                <w:rFonts w:ascii="Times New Roman" w:hAnsi="Times New Roman"/>
                <w:b/>
                <w:sz w:val="18"/>
              </w:rPr>
              <w:t>17700 Laguna Canyon Road, Floor 4</w:t>
            </w:r>
          </w:p>
          <w:p>
            <w:pPr>
              <w:pStyle w:val="TableContents"/>
              <w:bidi w:val="0"/>
              <w:spacing w:before="0" w:after="0"/>
              <w:jc w:val="center"/>
              <w:rPr>
                <w:rFonts w:ascii="Times New Roman" w:hAnsi="Times New Roman"/>
                <w:b/>
                <w:sz w:val="18"/>
              </w:rPr>
            </w:pPr>
            <w:r>
              <w:rPr>
                <w:rFonts w:ascii="Times New Roman" w:hAnsi="Times New Roman"/>
                <w:b/>
                <w:sz w:val="18"/>
              </w:rPr>
              <w:t>Irvine, California 92618</w:t>
            </w:r>
          </w:p>
          <w:p>
            <w:pPr>
              <w:pStyle w:val="TableContents"/>
              <w:bidi w:val="0"/>
              <w:spacing w:before="0" w:after="20"/>
              <w:jc w:val="center"/>
              <w:rPr>
                <w:rFonts w:ascii="Times New Roman" w:hAnsi="Times New Roman"/>
                <w:b/>
                <w:sz w:val="18"/>
              </w:rPr>
            </w:pPr>
            <w:r>
              <w:rPr>
                <w:rFonts w:ascii="Times New Roman" w:hAnsi="Times New Roman"/>
                <w:b/>
                <w:sz w:val="18"/>
              </w:rPr>
              <w:t>(949) 418-1801</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the effective date of this Registration Statement.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87270" cy="1562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7270" cy="15627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2,232,144 </w:t>
      </w:r>
    </w:p>
    <w:p>
      <w:pPr>
        <w:pStyle w:val="TextBody"/>
        <w:bidi w:val="0"/>
        <w:spacing w:before="240" w:after="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Offered by the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This prospectus relates to the proposed offer and resale or other disposition from time to time by the selling stockholders identified in this prospectus or their donees, pledgees, transferees or other successors-in-interest (collectively, the “selling stockholders”) of up to an aggregate of 2,232,144 shares of our common stock, par value $0.0001 per share (“common stock”), consisting of (i) 2,098,519 shares of common stock and (ii) 133,625 shares of common stock issuable upon exercise of pre-funded warrants. The common stock and the pre-funded warrants were issued in a private placement (the “PIPE”), pursuant to a securities purchase agreement, dated August 5, 2026 (the “Purchase Agreement”), by and among us and the selling stockholders. </w:t>
      </w:r>
    </w:p>
    <w:p>
      <w:pPr>
        <w:pStyle w:val="TextBody"/>
        <w:bidi w:val="0"/>
        <w:spacing w:before="240" w:after="0"/>
        <w:jc w:val="left"/>
        <w:rPr>
          <w:rFonts w:ascii="Times New Roman" w:hAnsi="Times New Roman"/>
          <w:sz w:val="18"/>
        </w:rPr>
      </w:pPr>
      <w:r>
        <w:rPr>
          <w:rFonts w:ascii="Times New Roman" w:hAnsi="Times New Roman"/>
          <w:sz w:val="18"/>
        </w:rPr>
        <w:t xml:space="preserve">We are registering the resale of the shares of common stock pursuant to the selling stockholders’ registration rights under a registration rights agreement between us and the selling stockholders (the “Registration Rights Agreement”).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entitled “Plan of Distribution” for more information. </w:t>
      </w:r>
    </w:p>
    <w:p>
      <w:pPr>
        <w:pStyle w:val="TextBody"/>
        <w:bidi w:val="0"/>
        <w:spacing w:before="240" w:after="0"/>
        <w:jc w:val="left"/>
        <w:rPr>
          <w:rFonts w:ascii="Times New Roman" w:hAnsi="Times New Roman"/>
          <w:sz w:val="18"/>
        </w:rPr>
      </w:pPr>
      <w:r>
        <w:rPr>
          <w:rFonts w:ascii="Times New Roman" w:hAnsi="Times New Roman"/>
          <w:sz w:val="18"/>
        </w:rPr>
        <w:t xml:space="preserve">We will not receive any proceeds from any sale of common stock by the selling stockholders pursuant to this prospectus. However, we may receive nominal proceeds from the exercise of the pre-funded warrants if the holders exercise the pre-funded warrants for cash. We have agreed to bear the expenses in connection with the registration of the resale of the shares of common stock to be offered by this prospectus by the selling stockholders other than any underwriting discounts and commissions and all similar fees and commissions relating to the sale of common stock, which will be borne by the selling stockholders. </w:t>
      </w:r>
    </w:p>
    <w:p>
      <w:pPr>
        <w:pStyle w:val="TextBody"/>
        <w:bidi w:val="0"/>
        <w:spacing w:before="240" w:after="0"/>
        <w:jc w:val="left"/>
        <w:rPr>
          <w:rFonts w:ascii="Times New Roman" w:hAnsi="Times New Roman"/>
          <w:sz w:val="18"/>
        </w:rPr>
      </w:pPr>
      <w:r>
        <w:rPr>
          <w:rFonts w:ascii="Times New Roman" w:hAnsi="Times New Roman"/>
          <w:sz w:val="18"/>
        </w:rPr>
        <w:t xml:space="preserve">Our common stock is listed on the Nasdaq Global Select Market under the symbol “TARS.” On October 12, 2026, the last reported sale price for our common stock was $74.40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2"/>
        </w:rPr>
        <w:t>INVESTING IN OUR COMMON STOCK INVOLVES SIGNIFICANT RISKS. SEE “</w:t>
      </w:r>
      <w:hyperlink w:anchor="toc152392_3">
        <w:r>
          <w:rPr>
            <w:rStyle w:val="InternetLink"/>
            <w:rFonts w:ascii="Times New Roman" w:hAnsi="Times New Roman"/>
            <w:b/>
            <w:sz w:val="22"/>
          </w:rPr>
          <w:t>RISK FACTORS</w:t>
        </w:r>
      </w:hyperlink>
      <w:r>
        <w:rPr>
          <w:rFonts w:ascii="Times New Roman" w:hAnsi="Times New Roman"/>
          <w:b/>
          <w:sz w:val="22"/>
        </w:rPr>
        <w:t xml:space="preserve">” BEGINNING ON PAGE 5 OF THIS PROSPECTUS AND ANY SIMILAR SECTION CONTAINED IN ANY APPLICABLE PROSPECTUS SUPPLEMENT AS WELL AS THE RISK FACTORS THAT ARE INCORPORATED BY REFERENCE INTO THIS PROSPECTUS AND ANY PROSPECTUS SUPPLEMENT FROM OUR FILINGS WITH THE SECURITIES AND EXCHANGE COMMISSION, BEFORE INVESTING IN OUR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The date of this prospectus is October 13,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7">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8">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9">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10">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11">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2392_12">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52392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registration statement on Form S-3 that we filed with the United States Securities and Exchange Commission (the “SEC”) as a “well-known seasoned issuer” as defined in Rule 405 under the Securities Act of 1933, as amended (the “Securities Act”) using a “shelf” registration process. Under this shelf registration process, the selling stockholders may, from time to time, offer and sell up to 2,232,144 shares of our common stock described in this prospectus, consisting of (i) 2,098,519 shares of common stock and (ii) 133,625 shares of common stock issuable upon exercise of pre-funded warrants. We are not selling any shares of common stock under this prospectus, and we will not receive any proceeds from the sale of shares of common stock offered hereby by the selling stockholders. However, we may receive nominal proceeds from the exercise of the pre-funded warrants if the holders exercise the pre-funded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shares of common stock the selling stockholders may offer. Each time a selling stockholder makes an offer to sell or sells shares of common stock, solely to the extent required, we will provide a prospectus supplement that will contain more specific information about the specific terms of such offering. We may also authorize one or more free writing prospectuses to be provided to you that may contain material information relating to these offerings. Any applicable prospectus supplement (and any related free writing prospectus that we may authorize to be provided to you) may also add, update or change information contained in this prospectus or in documents incorporated by reference into this prospectus. We urge you to carefully read this prospectus, any applicable prospectus supplement and any related free writing prospectus, together with the information incorporated herein by reference as described under the headings “Where You Can Find More Information” and “Information Incorporated by Reference” before buying any of the shares of common stock being offered. We or the selling stockholders will deliver a prospectus supplement with this prospectus, to the extent appropriate, to update the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any applicable prospectus supplement and any related free writing prospectus. Neither we nor the selling stockholders have authorized anyone to provide you with different information in addition to or different from that contained or incorporated by reference in this prospectus, any applicable prospectus supplement and any related free writing prospectus. No dealer, salesperson or other person is authorized to give any information or to represent anything not contained or incorporated by reference in this prospectus, any applicable prospectus supplement or any related free writing prospectus that we may authorize to be provided to you. This prospectus is an offer to sell only the shares of common stock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under the heading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152392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description about us and our business highlights selected information contained elsewhere in this prospectus or incorporated in this prospectus by reference. This summary does not contain all of the information you should consider before buying any shares of our common stock.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 and its consolidated subsidiaries, unless the context otherwise indicates.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commercial stage biopharmaceutical company focused on the development and commercialization of therapeutics, starting with eye care. We launched XDEMVY® (lotilaner ophthalmic solution) 0.25%, formerly known as TP-03, for the treatment of Demodex blepharitis, in August 2023 after receiving U.S. Food and Drug Administration (“FDA”) approval in July 2023. Demodex blepharitis is caused by the infestation of Demodex mites. Demodex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Demodex blepharitis can lead to corneal damage over time and, in extreme cases, blindness. There may be as many as approximately 25 million people in the U.S. who suffer from Demodex blepharitis. XDEMVY is the first and only therapeutic approved by the FDA and we believe is the definitive standard of care for the treatment of Demodex blepharitis.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e.g., lotilaner active pharmaceutical ingredient to address several diseases in human medicine, including eye care, and infectious disease prevention. We are investigating the development of our lotilaner-based product candidates to address targeted diseases with high unmet medical needs, which currently include TP-04, an investigational sterile aqueous gel formulation of lotilaner for the potential treatment of ocular rosacea, and TP-05, an investigational oral tablet formulation of lotilaner, for potential Lyme disease prophylaxis and community malaria reduction.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July 2026, as part of our strategic entry into the retina market, we acquired IRX-101 in connection with the acquisition of iRenix Medical, Inc. IRX-101 is an investigational ocular antiseptic based on a stable aqueous chlorine dioxide solution that is being developed for the potential to reduce post-procedural pain and corneal toxicity in patients receiving intravitreal 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September 2026, we acquired ALK-001 in connection with the acquisition of Alkeus Pharmaceuticals, Inc. ALK-001 is a new, investigational, late-stage molecular entity designed to target the underlying biology of Stargardt’s disease by reducing the accumulation of toxic dimers while preserving the normal visual cycle.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17700 Laguna Canyon Road, Floor 4, Irvine, California 92618. Our main telephone number is (949) 418-1801. Our website is www.tarsusrx.com. The information on, or that can be accessed through, our website address is an inactive textual reference and is not part of this prospectus and is not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Tarsus Pharmaceuticals,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8" w:type="dxa"/>
            <w:tcBorders/>
          </w:tcPr>
          <w:p>
            <w:pPr>
              <w:pStyle w:val="TableContents"/>
              <w:bidi w:val="0"/>
              <w:spacing w:before="0" w:after="283"/>
              <w:jc w:val="left"/>
              <w:rPr/>
            </w:pPr>
            <w:r>
              <w:rPr/>
              <w:t xml:space="preserve">Up to 2,232,144 shares of common stock, consisting of (i) 2,098,519 shares of common stock and (ii) 133,625 shares of common stock issuable upon exercise of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the shares of common stock covered by this prospectus. However, we may receive nominal proceeds from the exercise of the pre-funded warrants if the holders exercise the pre-funded warrants for cash. See the section titled “Use of Proceeds” appearing elsewhere in this prospectus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28" w:type="dxa"/>
            <w:tcBorders/>
          </w:tcPr>
          <w:p>
            <w:pPr>
              <w:pStyle w:val="TableContents"/>
              <w:bidi w:val="0"/>
              <w:spacing w:before="0" w:after="283"/>
              <w:jc w:val="left"/>
              <w:rPr/>
            </w:pPr>
            <w:r>
              <w:rPr/>
              <w:t xml:space="preserve">The selling stockholders will offer the shares of common stock offered by this prospectus at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26" w:type="dxa"/>
            <w:tcBorders/>
          </w:tcPr>
          <w:p>
            <w:pPr>
              <w:pStyle w:val="TableContents"/>
              <w:bidi w:val="0"/>
              <w:spacing w:before="0" w:after="283"/>
              <w:jc w:val="left"/>
              <w:rPr/>
            </w:pPr>
            <w:r>
              <w:rPr/>
              <w:t xml:space="preserve">TARS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You should read the “Risk Factors” section of this prospectus on page 5 and other information included and incorporated by reference in this prospectus or any applicable prospectus supplement for a discussion of factors to consider carefully before deciding to invest in shares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“Plan of Distribution” beginning on page 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52392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common stock involves significant risks. Prior to making a decision about investing in our common stock, you should carefully consider all of the information appearing or incorporated by reference in this prospectus, including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You should also consider any specific factors discussed under the heading “Risk Factors” in any applicable prospectus supplement and all of the other information contained or incorporated by reference in such prospectus supplement.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52392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under the section entitled “Risk Factors” and in any applicable prospectus supplement, together with all of the other information contained in or incorporated by reference into any prospectus supplement or appearing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52392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potential resale from time to time of some or all of 2,232,144 shares of our common stock, consisting of (i) 2,098,519 shares of common stock and (ii) 133,625 shares of common stock issuable upon exercise of pre-funded warrants. The selling stockholders will receive all of the proceeds from any sale of such shares. We will not receive any proceeds from any sales of shares of our common stock by the selling stockholders. However, we may receive nominal proceeds from the exercise of the pre-funded warrants if the holders exercise the pre-funded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bear the expenses in connection with the registration of the shares of common stock to be offered by this prospectus by the selling stockholders other than any underwriting discounts and commissions and all similar fees and commissions relating to the sale of common stock, which will be borne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52392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the holders of our common stock are subject to, and may be adversely affected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The transfer agent and registrar for our common stock is Fidelity Stock Transfer. Its address is 245 Summer Street, Boston, MA 02210.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prospectus supplement for a series of preferred stock will specify: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dividend rate, if any, whether the dividend rate is fixed or variable, the date or dates on which dividends will accrue, the dividend payment dates, and whether dividends will be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and the terms and conditions for redemption, if any, including redemption at our option or at the option of the holders, including the time period for redemption, and any accumulated dividends or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if any, and any accumulated dividends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similar provision, and, if so, the terms and provisions relating to the purpose and operation of the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 all other preferences and relative, participating, optional or other special rights, privileges or qualifications, limitations or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restricting dividends on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voting power of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the liquidation rights of the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or preventing changes in control or management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present plans to issue any shares of preferred stock nor are any shares of our preferred stock presently outstanding. Preferred stock will be fully paid and nonassessable upon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52392_7"/>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acquired shares of common stock and pre-funded warrants to acquire shares of common stock from us in a private placement pursuant to an exemption from registration under Section 4(a)(2) of the Securities Act. Under the Registration Rights Agreement by and among us and the selling stockholders, we agreed to file a registration statement with the SEC for the purposes of registering for resale from time to time the shares of common stock (including the shares of common stock underlying the pre-funded warrants). We have prepared this prospectus and the registration statement of which it is a part to comply with our registration obligations under such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lists the selling stockholders and other information regarding their ownership of the shares of common stock offered hereby. The pre-funded warrants include provisions that prohibit their exercise if such exercise would result in the selling stockholder beneficially owning in excess of the stated percentage therein (4.99%) elected by such selling stockholder. For purposes of the table below, we have disregarded these provisions and treat all shares of common stock underlying the pre-funded warrants as owned, and are registering for resale hereunder all such shares underlying the pre-funded warrants purchased in the PIPE. A selling stockholder may never acquire beneficial ownership of such underlying shares, and inclusion of such underlying shares in the table below should not imply that such selling stockholder beneficially owns such shares for purposes of applicable rules and regulations of the SEC. The second column lists the number of shares of common stock beneficially owned by the selling stockholders as of September 25, 2026 unless otherwise indicated in the footnotes to the table and disregarding the beneficial ownership blocker provisions in the pre-funded warrants.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including the shares of common stock underlying the pre-funded warrants purchased by the selling stockholders in the PIPE. The fourth column assumes the sale of all of the shares of common stock offered by the selling stockholders pursuant to this prospectus. The selling stockholders may sell all, some or none of their shares of common stock in this offering.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49,303,413 shares of common stock outstanding as of September 25,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84"/>
        <w:gridCol w:w="199"/>
        <w:gridCol w:w="85"/>
        <w:gridCol w:w="1449"/>
        <w:gridCol w:w="60"/>
        <w:gridCol w:w="199"/>
        <w:gridCol w:w="81"/>
        <w:gridCol w:w="1118"/>
        <w:gridCol w:w="60"/>
        <w:gridCol w:w="199"/>
        <w:gridCol w:w="60"/>
        <w:gridCol w:w="1079"/>
        <w:gridCol w:w="60"/>
        <w:gridCol w:w="198"/>
        <w:gridCol w:w="156"/>
        <w:gridCol w:w="1021"/>
        <w:gridCol w:w="280"/>
      </w:tblGrid>
      <w:tr>
        <w:trPr/>
        <w:tc>
          <w:tcPr>
            <w:tcW w:w="308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84" w:type="dxa"/>
            <w:vMerge w:val="restart"/>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Selling Stockholder</w:t>
            </w:r>
          </w:p>
        </w:tc>
        <w:tc>
          <w:tcPr>
            <w:tcW w:w="199" w:type="dxa"/>
            <w:vMerge w:val="restart"/>
            <w:tcBorders/>
            <w:vAlign w:val="bottom"/>
          </w:tcPr>
          <w:p>
            <w:pPr>
              <w:pStyle w:val="TableContents"/>
              <w:bidi w:val="0"/>
              <w:spacing w:before="0" w:after="283"/>
              <w:jc w:val="left"/>
              <w:rPr/>
            </w:pPr>
            <w:r>
              <w:rPr/>
              <w:t>  </w:t>
            </w:r>
          </w:p>
        </w:tc>
        <w:tc>
          <w:tcPr>
            <w:tcW w:w="153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Before</w:t>
              <w:br/>
              <w:t>the Offering</w:t>
            </w:r>
          </w:p>
        </w:tc>
        <w:tc>
          <w:tcPr>
            <w:tcW w:w="60" w:type="dxa"/>
            <w:vMerge w:val="restart"/>
            <w:tcBorders/>
            <w:vAlign w:val="bottom"/>
          </w:tcPr>
          <w:p>
            <w:pPr>
              <w:pStyle w:val="TableContents"/>
              <w:bidi w:val="0"/>
              <w:spacing w:before="0" w:after="283"/>
              <w:jc w:val="left"/>
              <w:rPr/>
            </w:pPr>
            <w:r>
              <w:rPr/>
              <w:t> </w:t>
            </w:r>
          </w:p>
        </w:tc>
        <w:tc>
          <w:tcPr>
            <w:tcW w:w="199" w:type="dxa"/>
            <w:vMerge w:val="restart"/>
            <w:tcBorders/>
            <w:vAlign w:val="bottom"/>
          </w:tcPr>
          <w:p>
            <w:pPr>
              <w:pStyle w:val="TableContents"/>
              <w:bidi w:val="0"/>
              <w:spacing w:before="0" w:after="283"/>
              <w:jc w:val="left"/>
              <w:rPr/>
            </w:pPr>
            <w:r>
              <w:rPr/>
              <w:t>  </w:t>
            </w:r>
          </w:p>
        </w:tc>
        <w:tc>
          <w:tcPr>
            <w:tcW w:w="119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that</w:t>
              <w:br/>
              <w:t>May be</w:t>
              <w:br/>
              <w:t>Offered</w:t>
              <w:br/>
              <w:t>Hereby</w:t>
            </w:r>
          </w:p>
        </w:tc>
        <w:tc>
          <w:tcPr>
            <w:tcW w:w="60" w:type="dxa"/>
            <w:vMerge w:val="restart"/>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5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w:t>
            </w:r>
          </w:p>
        </w:tc>
        <w:tc>
          <w:tcPr>
            <w:tcW w:w="280" w:type="dxa"/>
            <w:tcBorders/>
            <w:vAlign w:val="bottom"/>
          </w:tcPr>
          <w:p>
            <w:pPr>
              <w:pStyle w:val="TableContents"/>
              <w:bidi w:val="0"/>
              <w:spacing w:before="0" w:after="283"/>
              <w:jc w:val="left"/>
              <w:rPr/>
            </w:pPr>
            <w:r>
              <w:rPr/>
              <w:t> </w:t>
            </w:r>
          </w:p>
        </w:tc>
      </w:tr>
      <w:tr>
        <w:trPr/>
        <w:tc>
          <w:tcPr>
            <w:tcW w:w="3084" w:type="dxa"/>
            <w:vMerge w:val="continue"/>
            <w:tcBorders/>
            <w:vAlign w:val="bottom"/>
          </w:tcPr>
          <w:p>
            <w:pPr>
              <w:pStyle w:val="Normal"/>
              <w:bidi w:val="0"/>
              <w:jc w:val="left"/>
              <w:rPr/>
            </w:pPr>
            <w:r>
              <w:rPr/>
            </w:r>
          </w:p>
        </w:tc>
        <w:tc>
          <w:tcPr>
            <w:tcW w:w="199" w:type="dxa"/>
            <w:vMerge w:val="continue"/>
            <w:tcBorders/>
            <w:vAlign w:val="bottom"/>
          </w:tcPr>
          <w:p>
            <w:pPr>
              <w:pStyle w:val="Normal"/>
              <w:bidi w:val="0"/>
              <w:jc w:val="left"/>
              <w:rPr/>
            </w:pPr>
            <w:r>
              <w:rPr/>
            </w:r>
          </w:p>
        </w:tc>
        <w:tc>
          <w:tcPr>
            <w:tcW w:w="153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9" w:type="dxa"/>
            <w:vMerge w:val="continue"/>
            <w:tcBorders>
              <w:bottom w:val="single" w:sz="8" w:space="0" w:color="000000"/>
            </w:tcBorders>
            <w:tcMar>
              <w:bottom w:w="28" w:type="dxa"/>
            </w:tcMar>
            <w:vAlign w:val="bottom"/>
          </w:tcPr>
          <w:p>
            <w:pPr>
              <w:pStyle w:val="Normal"/>
              <w:bidi w:val="0"/>
              <w:jc w:val="left"/>
              <w:rPr/>
            </w:pPr>
            <w:r>
              <w:rPr/>
            </w:r>
          </w:p>
        </w:tc>
        <w:tc>
          <w:tcPr>
            <w:tcW w:w="1199"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9"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0"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Alyeska Master Fund, LP(1)</w:t>
            </w:r>
          </w:p>
        </w:tc>
        <w:tc>
          <w:tcPr>
            <w:tcW w:w="19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85,000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85,000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Bain Capital Life Sciences Opportunities III, LP(2)</w:t>
            </w:r>
          </w:p>
        </w:tc>
        <w:tc>
          <w:tcPr>
            <w:tcW w:w="19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178,571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178,571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Bros. Advisors LP(3)</w:t>
            </w:r>
          </w:p>
        </w:tc>
        <w:tc>
          <w:tcPr>
            <w:tcW w:w="19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133,625</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133,625</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Citadel CEMF Investments Ltd.(4)</w:t>
            </w:r>
          </w:p>
        </w:tc>
        <w:tc>
          <w:tcPr>
            <w:tcW w:w="19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85,000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85,000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associated with ADAR1 Capital Management, LLC(5)</w:t>
            </w:r>
          </w:p>
        </w:tc>
        <w:tc>
          <w:tcPr>
            <w:tcW w:w="19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62,500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62,500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RTW Investments, LP(6)</w:t>
            </w:r>
          </w:p>
        </w:tc>
        <w:tc>
          <w:tcPr>
            <w:tcW w:w="19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3,796,566</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133,625</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3,662,941</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7.4</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084"/>
        <w:gridCol w:w="199"/>
        <w:gridCol w:w="85"/>
        <w:gridCol w:w="1449"/>
        <w:gridCol w:w="60"/>
        <w:gridCol w:w="199"/>
        <w:gridCol w:w="81"/>
        <w:gridCol w:w="1118"/>
        <w:gridCol w:w="60"/>
        <w:gridCol w:w="199"/>
        <w:gridCol w:w="60"/>
        <w:gridCol w:w="1079"/>
        <w:gridCol w:w="60"/>
        <w:gridCol w:w="198"/>
        <w:gridCol w:w="156"/>
        <w:gridCol w:w="1021"/>
        <w:gridCol w:w="280"/>
      </w:tblGrid>
      <w:tr>
        <w:trPr/>
        <w:tc>
          <w:tcPr>
            <w:tcW w:w="308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84" w:type="dxa"/>
            <w:vMerge w:val="restart"/>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Selling Stockholder</w:t>
            </w:r>
          </w:p>
        </w:tc>
        <w:tc>
          <w:tcPr>
            <w:tcW w:w="199" w:type="dxa"/>
            <w:vMerge w:val="restart"/>
            <w:tcBorders/>
            <w:vAlign w:val="bottom"/>
          </w:tcPr>
          <w:p>
            <w:pPr>
              <w:pStyle w:val="TableContents"/>
              <w:bidi w:val="0"/>
              <w:spacing w:before="0" w:after="283"/>
              <w:jc w:val="left"/>
              <w:rPr/>
            </w:pPr>
            <w:r>
              <w:rPr/>
              <w:t>  </w:t>
            </w:r>
          </w:p>
        </w:tc>
        <w:tc>
          <w:tcPr>
            <w:tcW w:w="153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Before</w:t>
              <w:br/>
              <w:t>the Offering</w:t>
            </w:r>
          </w:p>
        </w:tc>
        <w:tc>
          <w:tcPr>
            <w:tcW w:w="60" w:type="dxa"/>
            <w:vMerge w:val="restart"/>
            <w:tcBorders/>
            <w:vAlign w:val="bottom"/>
          </w:tcPr>
          <w:p>
            <w:pPr>
              <w:pStyle w:val="TableContents"/>
              <w:bidi w:val="0"/>
              <w:spacing w:before="0" w:after="283"/>
              <w:jc w:val="left"/>
              <w:rPr/>
            </w:pPr>
            <w:r>
              <w:rPr/>
              <w:t> </w:t>
            </w:r>
          </w:p>
        </w:tc>
        <w:tc>
          <w:tcPr>
            <w:tcW w:w="199" w:type="dxa"/>
            <w:vMerge w:val="restart"/>
            <w:tcBorders/>
            <w:vAlign w:val="bottom"/>
          </w:tcPr>
          <w:p>
            <w:pPr>
              <w:pStyle w:val="TableContents"/>
              <w:bidi w:val="0"/>
              <w:spacing w:before="0" w:after="283"/>
              <w:jc w:val="left"/>
              <w:rPr/>
            </w:pPr>
            <w:r>
              <w:rPr/>
              <w:t>  </w:t>
            </w:r>
          </w:p>
        </w:tc>
        <w:tc>
          <w:tcPr>
            <w:tcW w:w="119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that</w:t>
              <w:br/>
              <w:t>May be</w:t>
              <w:br/>
              <w:t>Offered</w:t>
              <w:br/>
              <w:t>Hereby</w:t>
            </w:r>
          </w:p>
        </w:tc>
        <w:tc>
          <w:tcPr>
            <w:tcW w:w="60" w:type="dxa"/>
            <w:vMerge w:val="restart"/>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5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w:t>
            </w:r>
          </w:p>
        </w:tc>
        <w:tc>
          <w:tcPr>
            <w:tcW w:w="280" w:type="dxa"/>
            <w:tcBorders/>
            <w:vAlign w:val="bottom"/>
          </w:tcPr>
          <w:p>
            <w:pPr>
              <w:pStyle w:val="TableContents"/>
              <w:bidi w:val="0"/>
              <w:spacing w:before="0" w:after="283"/>
              <w:jc w:val="left"/>
              <w:rPr/>
            </w:pPr>
            <w:r>
              <w:rPr/>
              <w:t> </w:t>
            </w:r>
          </w:p>
        </w:tc>
      </w:tr>
      <w:tr>
        <w:trPr/>
        <w:tc>
          <w:tcPr>
            <w:tcW w:w="3084" w:type="dxa"/>
            <w:vMerge w:val="continue"/>
            <w:tcBorders/>
            <w:vAlign w:val="bottom"/>
          </w:tcPr>
          <w:p>
            <w:pPr>
              <w:pStyle w:val="Normal"/>
              <w:bidi w:val="0"/>
              <w:jc w:val="left"/>
              <w:rPr/>
            </w:pPr>
            <w:r>
              <w:rPr/>
            </w:r>
          </w:p>
        </w:tc>
        <w:tc>
          <w:tcPr>
            <w:tcW w:w="199" w:type="dxa"/>
            <w:vMerge w:val="continue"/>
            <w:tcBorders/>
            <w:vAlign w:val="bottom"/>
          </w:tcPr>
          <w:p>
            <w:pPr>
              <w:pStyle w:val="Normal"/>
              <w:bidi w:val="0"/>
              <w:jc w:val="left"/>
              <w:rPr/>
            </w:pPr>
            <w:r>
              <w:rPr/>
            </w:r>
          </w:p>
        </w:tc>
        <w:tc>
          <w:tcPr>
            <w:tcW w:w="153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9" w:type="dxa"/>
            <w:vMerge w:val="continue"/>
            <w:tcBorders>
              <w:bottom w:val="single" w:sz="8" w:space="0" w:color="000000"/>
            </w:tcBorders>
            <w:tcMar>
              <w:bottom w:w="28" w:type="dxa"/>
            </w:tcMar>
            <w:vAlign w:val="bottom"/>
          </w:tcPr>
          <w:p>
            <w:pPr>
              <w:pStyle w:val="Normal"/>
              <w:bidi w:val="0"/>
              <w:jc w:val="left"/>
              <w:rPr/>
            </w:pPr>
            <w:r>
              <w:rPr/>
            </w:r>
          </w:p>
        </w:tc>
        <w:tc>
          <w:tcPr>
            <w:tcW w:w="1199"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9"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0"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associated with Vestal Point Capital, LP(7)</w:t>
            </w:r>
          </w:p>
        </w:tc>
        <w:tc>
          <w:tcPr>
            <w:tcW w:w="19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2,151,427</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133,625</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2,017,802</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4.1</w:t>
            </w:r>
          </w:p>
        </w:tc>
        <w:tc>
          <w:tcPr>
            <w:tcW w:w="280"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Fidelity Securities Fund: Fidelity Small Cap Growth Fund(8)</w:t>
            </w:r>
          </w:p>
        </w:tc>
        <w:tc>
          <w:tcPr>
            <w:tcW w:w="19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245,080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245,080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Securities Fund: Fidelity Small Cap Growth K6 Fund(8)</w:t>
            </w:r>
          </w:p>
        </w:tc>
        <w:tc>
          <w:tcPr>
            <w:tcW w:w="19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196,200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196,200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Fidelity Select Portfolios: Biotechnology Portfolio(8)</w:t>
            </w:r>
          </w:p>
        </w:tc>
        <w:tc>
          <w:tcPr>
            <w:tcW w:w="19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246,571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178,571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68,000</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Rutland Square Trust II : Strategic Advisers Fidelity U.S. Total Stock Fund(8)</w:t>
            </w:r>
          </w:p>
        </w:tc>
        <w:tc>
          <w:tcPr>
            <w:tcW w:w="19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95,298</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95,298</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Fidelity Rutland Square Trust II : Strategic Advisers U.S. Total Stock Fund(8)</w:t>
            </w:r>
          </w:p>
        </w:tc>
        <w:tc>
          <w:tcPr>
            <w:tcW w:w="19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34,851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34,851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managed by Sirenia Capital Management LP(9)</w:t>
            </w:r>
          </w:p>
        </w:tc>
        <w:tc>
          <w:tcPr>
            <w:tcW w:w="19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133,625</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133,625</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Integrated Core Strategies (US) LLC(10)</w:t>
            </w:r>
          </w:p>
        </w:tc>
        <w:tc>
          <w:tcPr>
            <w:tcW w:w="19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977,278</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175,000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802,278</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1.6</w:t>
            </w:r>
          </w:p>
        </w:tc>
        <w:tc>
          <w:tcPr>
            <w:tcW w:w="280"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Point72 Associates, LLC(11)</w:t>
            </w:r>
          </w:p>
        </w:tc>
        <w:tc>
          <w:tcPr>
            <w:tcW w:w="19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85,000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85,000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r>
      <w:tr>
        <w:trPr/>
        <w:tc>
          <w:tcPr>
            <w:tcW w:w="3084" w:type="dxa"/>
            <w:tcBorders/>
          </w:tcPr>
          <w:p>
            <w:pPr>
              <w:pStyle w:val="TableContents"/>
              <w:bidi w:val="0"/>
              <w:spacing w:before="0" w:after="0"/>
              <w:jc w:val="left"/>
              <w:rPr>
                <w:rFonts w:ascii="Times New Roman" w:hAnsi="Times New Roman"/>
                <w:sz w:val="20"/>
              </w:rPr>
            </w:pPr>
            <w:r>
              <w:rPr>
                <w:rFonts w:ascii="Times New Roman" w:hAnsi="Times New Roman"/>
                <w:sz w:val="20"/>
              </w:rPr>
              <w:t>TCG Crossover Fund I, L.P.(12)</w:t>
            </w:r>
          </w:p>
        </w:tc>
        <w:tc>
          <w:tcPr>
            <w:tcW w:w="19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388,164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right"/>
              <w:rPr/>
            </w:pPr>
            <w:r>
              <w:rPr/>
              <w:t>223,002</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165,162</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0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Wellington Biomedical Innovation Master Investors (Cayman) II</w:t>
              <w:br/>
              <w:t>L.P.(13)</w:t>
            </w:r>
          </w:p>
        </w:tc>
        <w:tc>
          <w:tcPr>
            <w:tcW w:w="19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200,382</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right"/>
              <w:rPr/>
            </w:pPr>
            <w:r>
              <w:rPr/>
              <w:t>53,571</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146,811</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Alyeska Investment Group, L.P., the investment manager of Alyeska Master Fund, L.P. (“AMF”), has voting and investment control of the shares held by AMF. Anand Parekh is the Chief Executive Officer of Alyeska Investment Group, L.P. and may be deemed to be the beneficial owner of such shares. Mr. Parekh, however, disclaims any beneficial ownership of the shares held by AMF. The registered address of AMF is at c/o Maples Corporate Services Limited, P.O. Box 309, Ugland House, South Church Street George Town, Grand Cayman, KY1-1104, Cayman Islands. Alyeska Investment Group, L.P. is located at 77 W. Wacker, Suite 700, Chicago IL 60601.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Bain Capital Life Sciences Investors, LLC (“BCLSI”) is the manager of Bain Capital Life Sciences III General Partner, LLC, which is the general partner of Bain Capital Life Sciences Fund III, L.P., which is the sole member of Bain Capital Life Sciences Opportunities III GP, LLC, which is the general partner of Bain Capital Life Sciences Opportunities III, LP (“BCLSO”). As a result, BCLSI may be deemed to share voting and dispositive power with respect to the securities held by BCLSO. The governance, investment strategy and decision-making process with respect to investments held by BCLSO are directed by the partners of BCLSI, of whom there are three or more and none of whom individually has the power to direct such decisions. The address for BCLSO is 200 Clarendon St., Boston, MA 02116.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“Number of Shares Beneficially Owned Before the Offering” consist of (i) 127,031 shares of common stock issuable upon exercise of pre-funded warrants held by Baker Brothers Life Sciences, L.P. (“BBLS”) and (ii) 6,594 shares of common stock issuable upon exercise of pre-funded warrants held by 667, L.P. (“667, L.P.” and together with BBLS, the “Baker Funds”). The Baker Funds are prohibited from exercising their pre-funded warrants, if as a result of such exercise, the Baker Funds would beneficially own more than 4.99% of the number of shares of our common stock outstanding immediately after giving effect to the exercise (the “Beneficial Ownership Limitation”). The shares reported in the table above do not give effect to the Beneficial Ownership Limitation. Baker Bros. Advisors LP is the management company and investment advisor to the Baker Funds and has sole voting and investment power with respect to the shares held by the Baker Funds. Baker Bros. Advisors (GP) LLC is the sole general partner of Baker Bros. Advisors LP. Julian C. Baker and Felix J. Baker are managing members of Baker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Bros. Advisors (GP) LLC. Baker Bros. Advisors (GP) LLC, Felix J. Baker, Julian C. Baker and Baker Bros. Advisors LP may be deemed to be beneficial owners of the securities directly held by the Baker Funds. Julian C. Baker, Felix J. Baker, Baker Bros. Advisors LP and Baker Bros. Advisors (GP) LLC disclaim beneficial ownership of all shares held by the Baker Funds, except to the extent of their indirect pecuniary interest therein. The business address of Baker Bros. Advisors LP, Baker Bros. Advisors (GP) LLC, Julian C. Baker and Felix J. Baker is 860 Washington Street, 3rd Floor, New York, NY 10014.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Citadel Advisors LLC is the portfolio manager of Citadel CEMF Investments Ltd. (“CMSV”). Citadel Advisors Holdings LP (“CAH”) is the sole member of Citadel Advisors LLC. Citadel GP LLC (“CGP”) is the general partner of CAH. Kenneth Griffin owns a controlling interest in CGP. Mr. Griffin, as the owner of a controlling interest in CGP, may be deemed to have shared power to vote or direct the vote of, and/or shared power to dispose or to direct the disposition over, the shares reported herein. Reporting such shares herein is not and shall not be construed as an admission that Mr. Griffin or any of the Citadel related entities listed above is the beneficial owner of any securities of the Company other than the securities actually owned by such person (if any). The address for CMSV is c/o Citadel Enterprise Americas LLC, 830 Brickell Plaza, Floor 15, Miami, FL 33131.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54,375 shares of common stock held by ADAR1 Partners, LP (“ADAR1”) and (ii) 8,125 shares of common stock held by Spearhead Insurance Solutions IDF, LLC – Series ADAR1 (“Spearhead”). ADAR1 Capital Management, LLC (“ADAR1 LLC”), the investment advisor of ADAR1 and the sub-advisor of Spearhead, has voting and investment control of the common stock held by ADAR1 and Spearhead. ADAR1 Capital Management GP, LLC (“ADAR1 GP”) is the general partner of ADAR1. Daniel Schneeberger is the manager of ADAR1 LLC and ADAR1 GP. The address of ADAR1, ADAR1 LLC and Mr. Schneeberger is 3503 Wild Cherry Drive, Building 9, Austin, TX 78738. The address of Spearhead is 3828 Kennett Pike, Suite 202, Greenville, DE 19807.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 (i)(A) 1,905,228 shares of common stock held by RTW Master Fund, Ltd., (B) 1,456,670 shares of common stock held by RTW Innovation Master Fund, Ltd. and (C) 122,168 shares of common stock held by RTW Biotech Opportunities Operating Ltd. (together, the “RTW Funds”) and (ii)(A) 83,450 shares of common stock issuable upon exercise of pre-funded warrants held by RTW Master Fund, Ltd., (B) 79,050 shares of common stock issuable upon exercise of pre-funded warrants held by RTW Innovation Master Fund, Ltd. and (C) 150,000 shares of common stock issuable upon exercise of pre-funded warrants held by RTW Biotech Opportunities Operating Ltd. The exercise of the pre-funded warrants is subject to a beneficial ownership limitation of 9.99% of our outstanding shares of common stock. RTW Investments, LP (“RTW”), in its capacity as the investment manager of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“Number of Shares Beneficially Owned Before the Offering” consists of (i) 1,101,868 shares of common stock held by Vestal Point Master Fund LP (“Vestal Point Master Fund”) and (ii) 1,049,559 shares of common stock held by accounts separately managed by Vestal Point Capital, LP (“Vestal Point Capital”). The sole general partner of Vestal Point Master Fund, LP is Vestal Point Partners GP, LLC. The managing member of Vestal Point Partners GP, LLC is Ryan Wilder. The sole general partner of Vestal Point Capital, LP is Vestal Point Capital, LLC. The managing member of Vestal Point Capital, LLC is Mr. Wilder. As a result, Mr. Wilder may be deemed to have voting and investment power over the securities held by Vestal Point Master Fund, LP and the accounts separately managed by Vestal Point Capital, LP. Mr. Wilder disclaims beneficial ownership of such securities, except to the extent of his pecuniary interest therein. The address of the foregoing entities and Mr. Wilder is c/o Vestal Point Capital, LP, 632 Broadway, Suite 602, New York, NY 10012.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funds and accounts are managed by direct or indirect subsidiaries of FMR LLC. Abigail P. Johnson is a Director, the Chairman and the Chief Executive Officer of FMR LLC. Members of the Johnson family,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common stock beneficially owned prior to this offering, includes: (i) 2,656 shares of common stock held by Manatee Access Fund LP (“Manatee”) and (ii) 130,969 shares of common stock held by SILV Fund, Ltd. (“SILV Fund”). Sirenia Capital Management LP (“Sirenia”) serves as the investment manager to Manatee and SILV Fund and, as a result, maintains voting and investment power with respect to the securities held by Manatee and SILV Fund. Sirenia Capital Management GP LLC (“Sirenia GP”) is the general partner of Sirenia. Alex Silverstein is the managing member of Sirenia GP. Each of SILV Fund, Ltd., Sirenia GP and Mr. Silverstein disclaims beneficial ownership over such securities. The address of Manatee and SILV Fund Ltd. is c/o Sirenia Capital Management LP, 1674 Meridian Avenue, Suite 320, Miami Beach, FL 33139.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Integrated Core Strategies (US) LLC beneficially owned an aggregate of 977,278 shares of common stock (consisting of: (i) 175,000 shares of common stock which were acquired in the PIPE, and (ii) 802,278 shares of common stock which were acquired separately from the PIPE). This table does not include 43,694 shares of common stock beneficially owned by ICS Opportunities II LLC, all of which were acquired separately from the PIPE. ICS Opportunities II LLC is an affiliate of Integrated Core Strategies (US) LLC. The securities may be deemed to be beneficially owned by Millennium Management LLC, Millennium Group Management LLC and Israel A. Englander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such entities. The address for Integrated Core Strategies (US) LLC is c/o Millennium Management LLC, 399 Park Avenue, New York, New York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Point72 Asset Management, L.P. maintains investment and voting power with respect to the securities held by certain investment funds it manages, including Point72 Associates, LLC. Point72 Capital Advisors, Inc. is the general partner of Point72 Asset Management, L.P. Mr. Steven A Cohen controls each of Point72 Asset Management, L.P. and Point72 Capital Advisors, Inc. and Mr. Cohen may be deemed to beneficially own the securities held by Point72 Associates, LLC that are disclosed herein. Each of Point72 Asset Management, L.P., Point72 Capital Advisors, Inc., and Mr. Cohen disclaims beneficial ownership of any such securities. The address for Point72 Associates, LLC is c/o Point72 Asset Management, L.P., 72 Cummings Point Road, Stamford CT, 06902.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are held by TCG Crossover Fund I, L.P. TCG Crossover GP I, LLC is the general partner of TCG Crossover I, L.P., and Dr. Chen Yu is the sole managing member of TCG Crossover GP I, LLC. Each of Dr. Yu and TCG Crossover GP I, LLC may be deemed to have voting, investment, and dispositive power with respect to the securities held by TCG Crossover Fund I, L.P. The address for TCG Crossover Fund I, L.P. is 245 Lytton Ave, Suite 350, Palo Alto, CA, 94301.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Wellington Biomedical Innovation Master Investors (Cayman) II L.P. (“WBIMI”) is advised by Wellington Management Company LLP (“WMC”), a registered investment adviser. WMC has the power to vote and dispose of the securities pursuant to WMC’s investment management agreement with WBIMI. WBIMI is not affiliated with a broker-dealer participating in retail brokerage, lending, or securities underwriting. WMC is under common control with Wellington Funds Distributors Inc., a limited-scope broker-dealer registered with FINRA and organized under the laws of Delaware. Wellington Funds Distributors Inc. does not engage in retail brokerage, lending, or securities underwriting. The address for WBIMI is c/o Wellington Management Company LLP, 280 Congress Street, Boston MA 02210.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52392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therein received after the date of this prospectus from a selling stockholder as a gift, pledge, partnership distribution or other transfer, may, from time to time, sell, transfer or otherwise dispose of any or all of their shares of common stock or interests therein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selling stockholder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and our executive officers, directors, and certain other stockholders have agreed, among other things and subject to certain exceptions, not to dispose of or hedge any of our or their common stock or securities convertible into or exchangeable for shares of our common stock during the period from the date of the Purchase Agreement and continuing through the date 90 days after the date of the Purchase Agreement, except with the prior written consent of the investors holding a majority of the outstanding shares from the private placement (assuming full exercise of all pre-funded warrants), in the case of the Company, and Barclays Capital Inc., in the case of our executive officers, directors and certain other stockholders. This agreement does not apply to any existing employee benefit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remain continuously effective until the earlier of: (i) the date on which the selling stockholders shall have resold or otherwise disposed of all the shares covered by this prospectus pursuant to Rule 144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52392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any underwriters, dealers or agents, by counsel that we will name in any applicable prospectus supplement. </w:t>
      </w:r>
    </w:p>
    <w:p>
      <w:pPr>
        <w:pStyle w:val="TextBody"/>
        <w:bidi w:val="0"/>
        <w:spacing w:before="480" w:after="0"/>
        <w:jc w:val="center"/>
        <w:rPr>
          <w:rFonts w:ascii="Times New Roman" w:hAnsi="Times New Roman"/>
          <w:b/>
          <w:sz w:val="20"/>
        </w:rPr>
      </w:pPr>
      <w:bookmarkStart w:id="12" w:name="toc152392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2025, and the effectiveness of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audited historical financial statements of Alkeus Pharmaceuticals, Inc. incorporated in this prospectus by reference to Tarsus Pharmaceuticals, Inc.’s Current Report on Form 8-K/A dated October 13, 2026 have been so incorporated in reliance on the report (which contains an explanatory paragraph relating to the company’s ability to continue as a going concern as described in Note 1 to the financial statements) of PricewaterhouseCoopers LLP, independent auditors, given on the authority of said firm as experts in auditing and accounting. </w:t>
      </w:r>
    </w:p>
    <w:p>
      <w:pPr>
        <w:pStyle w:val="TextBody"/>
        <w:bidi w:val="0"/>
        <w:spacing w:before="480" w:after="0"/>
        <w:jc w:val="center"/>
        <w:rPr>
          <w:rFonts w:ascii="Times New Roman" w:hAnsi="Times New Roman"/>
          <w:b/>
          <w:sz w:val="20"/>
        </w:rPr>
      </w:pPr>
      <w:bookmarkStart w:id="13" w:name="toc152392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of 1933 relating to the offering of these shares of common stock. The registration statement, including the attached exhibits, contains additional relevant information about us and the shares of common stock. This prospectus does not contain all of the information set forth in the registration statement. The registration statement and the documents referred to below under “Information Incorporated by Reference” are also available on our website, www.tarsusrx.com. We have not incorporated by reference into this prospectus the information on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52392_12"/>
      <w:bookmarkEnd w:id="14"/>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4">
              <w:r>
                <w:rPr>
                  <w:rStyle w:val="InternetLink"/>
                  <w:rFonts w:ascii="Times New Roman" w:hAnsi="Times New Roman"/>
                  <w:sz w:val="20"/>
                </w:rPr>
                <w:t>May  6, 2026</w:t>
              </w:r>
            </w:hyperlink>
            <w:r>
              <w:rPr>
                <w:rFonts w:ascii="Times New Roman" w:hAnsi="Times New Roman"/>
                <w:sz w:val="20"/>
              </w:rPr>
              <w:t xml:space="preserve"> and </w:t>
            </w:r>
            <w:hyperlink r:id="rId5">
              <w:r>
                <w:rPr>
                  <w:rStyle w:val="InternetLink"/>
                  <w:rFonts w:ascii="Times New Roman" w:hAnsi="Times New Roman"/>
                  <w:sz w:val="20"/>
                </w:rPr>
                <w:t>August 6,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February 18, 2026</w:t>
              </w:r>
            </w:hyperlink>
            <w:r>
              <w:rPr>
                <w:rFonts w:ascii="Times New Roman" w:hAnsi="Times New Roman"/>
                <w:sz w:val="20"/>
              </w:rPr>
              <w:t xml:space="preserve">, </w:t>
            </w:r>
            <w:hyperlink r:id="rId7">
              <w:r>
                <w:rPr>
                  <w:rStyle w:val="InternetLink"/>
                  <w:rFonts w:ascii="Times New Roman" w:hAnsi="Times New Roman"/>
                  <w:sz w:val="20"/>
                </w:rPr>
                <w:t>June  29, 2026</w:t>
              </w:r>
            </w:hyperlink>
            <w:r>
              <w:rPr>
                <w:rFonts w:ascii="Times New Roman" w:hAnsi="Times New Roman"/>
                <w:sz w:val="20"/>
              </w:rPr>
              <w:t xml:space="preserve">, </w:t>
            </w:r>
            <w:hyperlink r:id="rId8">
              <w:r>
                <w:rPr>
                  <w:rStyle w:val="InternetLink"/>
                  <w:rFonts w:ascii="Times New Roman" w:hAnsi="Times New Roman"/>
                  <w:sz w:val="20"/>
                </w:rPr>
                <w:t>July  8, 2026</w:t>
              </w:r>
            </w:hyperlink>
            <w:r>
              <w:rPr>
                <w:rFonts w:ascii="Times New Roman" w:hAnsi="Times New Roman"/>
                <w:sz w:val="20"/>
              </w:rPr>
              <w:t xml:space="preserve">, </w:t>
            </w:r>
            <w:hyperlink r:id="rId9">
              <w:r>
                <w:rPr>
                  <w:rStyle w:val="InternetLink"/>
                  <w:rFonts w:ascii="Times New Roman" w:hAnsi="Times New Roman"/>
                  <w:sz w:val="20"/>
                </w:rPr>
                <w:t>July  13, 2026</w:t>
              </w:r>
            </w:hyperlink>
            <w:r>
              <w:rPr>
                <w:rFonts w:ascii="Times New Roman" w:hAnsi="Times New Roman"/>
                <w:sz w:val="20"/>
              </w:rPr>
              <w:t xml:space="preserve">, </w:t>
            </w:r>
            <w:hyperlink r:id="rId10">
              <w:r>
                <w:rPr>
                  <w:rStyle w:val="InternetLink"/>
                  <w:rFonts w:ascii="Times New Roman" w:hAnsi="Times New Roman"/>
                  <w:sz w:val="20"/>
                </w:rPr>
                <w:t>August  6, 2026</w:t>
              </w:r>
            </w:hyperlink>
            <w:r>
              <w:rPr>
                <w:rFonts w:ascii="Times New Roman" w:hAnsi="Times New Roman"/>
                <w:sz w:val="20"/>
              </w:rPr>
              <w:t xml:space="preserve"> (the first Form 8-K filed on such date), </w:t>
            </w:r>
            <w:hyperlink r:id="rId11">
              <w:r>
                <w:rPr>
                  <w:rStyle w:val="InternetLink"/>
                  <w:rFonts w:ascii="Times New Roman" w:hAnsi="Times New Roman"/>
                  <w:sz w:val="20"/>
                </w:rPr>
                <w:t>August 6, 2026</w:t>
              </w:r>
            </w:hyperlink>
            <w:r>
              <w:rPr>
                <w:rFonts w:ascii="Times New Roman" w:hAnsi="Times New Roman"/>
                <w:sz w:val="20"/>
              </w:rPr>
              <w:t xml:space="preserve"> (the second Form 8-K filed on such date), </w:t>
            </w:r>
            <w:hyperlink r:id="rId12">
              <w:r>
                <w:rPr>
                  <w:rStyle w:val="InternetLink"/>
                  <w:rFonts w:ascii="Times New Roman" w:hAnsi="Times New Roman"/>
                  <w:sz w:val="20"/>
                </w:rPr>
                <w:t>and September 10, 2026</w:t>
              </w:r>
            </w:hyperlink>
            <w:r>
              <w:rPr>
                <w:rFonts w:ascii="Times New Roman" w:hAnsi="Times New Roman"/>
                <w:sz w:val="20"/>
              </w:rPr>
              <w:t xml:space="preserve"> (as amended by our Current Report on Form 8-K/A filed on </w:t>
            </w:r>
            <w:hyperlink r:id="rId13">
              <w:r>
                <w:rPr>
                  <w:rStyle w:val="InternetLink"/>
                  <w:rFonts w:ascii="Times New Roman" w:hAnsi="Times New Roman"/>
                  <w:sz w:val="20"/>
                </w:rPr>
                <w:t>October  13, 2026</w:t>
              </w:r>
            </w:hyperlink>
            <w:r>
              <w:rPr>
                <w:rFonts w:ascii="Times New Roman" w:hAnsi="Times New Roman"/>
                <w:sz w:val="20"/>
              </w:rPr>
              <w:t xml:space="preserve">) (in each case, to the extent filed and not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4">
              <w:r>
                <w:rPr>
                  <w:rStyle w:val="InternetLink"/>
                  <w:rFonts w:ascii="Times New Roman" w:hAnsi="Times New Roman"/>
                  <w:sz w:val="20"/>
                </w:rPr>
                <w:t>Form 10-K</w:t>
              </w:r>
            </w:hyperlink>
            <w:r>
              <w:rPr>
                <w:rFonts w:ascii="Times New Roman" w:hAnsi="Times New Roman"/>
                <w:sz w:val="20"/>
              </w:rPr>
              <w:t xml:space="preserve"> for the year ended December  31, 2025 from our </w:t>
            </w:r>
            <w:hyperlink r:id="rId15">
              <w:r>
                <w:rPr>
                  <w:rStyle w:val="InternetLink"/>
                  <w:rFonts w:ascii="Times New Roman" w:hAnsi="Times New Roman"/>
                  <w:sz w:val="20"/>
                </w:rPr>
                <w:t>definitive proxy statement</w:t>
              </w:r>
            </w:hyperlink>
            <w:r>
              <w:rPr>
                <w:rFonts w:ascii="Times New Roman" w:hAnsi="Times New Roman"/>
                <w:sz w:val="20"/>
              </w:rPr>
              <w:t xml:space="preserve"> relating to our 2026 annual meeting of stockholders, which was filed with the SEC on April 28,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6">
              <w:r>
                <w:rPr>
                  <w:rStyle w:val="InternetLink"/>
                  <w:rFonts w:ascii="Times New Roman" w:hAnsi="Times New Roman"/>
                  <w:sz w:val="20"/>
                </w:rPr>
                <w:t>Form 8-A</w:t>
              </w:r>
            </w:hyperlink>
            <w:r>
              <w:rPr>
                <w:rFonts w:ascii="Times New Roman" w:hAnsi="Times New Roman"/>
                <w:sz w:val="20"/>
              </w:rPr>
              <w:t xml:space="preserve"> as filed with the SEC on October 13, 2020 pursuant to Section  12(b) of the Exchange Act, as updated by </w:t>
            </w:r>
            <w:hyperlink r:id="rId17">
              <w:r>
                <w:rPr>
                  <w:rStyle w:val="InternetLink"/>
                  <w:rFonts w:ascii="Times New Roman" w:hAnsi="Times New Roman"/>
                  <w:sz w:val="20"/>
                </w:rPr>
                <w:t>Exhibit 4.2</w:t>
              </w:r>
            </w:hyperlink>
            <w:r>
              <w:rPr>
                <w:rFonts w:ascii="Times New Roman" w:hAnsi="Times New Roman"/>
                <w:sz w:val="20"/>
              </w:rPr>
              <w:t xml:space="preserve"> to our Annual Report on Form 10-K for the fiscal year ended December 31, 2021,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prior to the completion or termination of the offering,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is delivered, upon written or oral request, at no cost to the requester, a copy of any and all of the information that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17700 Laguna Canyon Road, Floor 4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418-1801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Our website and the information contained in it or connected to it shall not be deemed to be incorporated into this prospectus, including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87270" cy="1562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2287270" cy="15627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2,232,144 </w:t>
      </w:r>
    </w:p>
    <w:p>
      <w:pPr>
        <w:pStyle w:val="TextBody"/>
        <w:bidi w:val="0"/>
        <w:spacing w:before="240" w:after="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Offered by the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000" w:after="0"/>
        <w:jc w:val="center"/>
        <w:rPr>
          <w:rFonts w:ascii="Times New Roman" w:hAnsi="Times New Roman"/>
          <w:b/>
          <w:sz w:val="20"/>
        </w:rPr>
      </w:pPr>
      <w:r>
        <w:rPr>
          <w:rFonts w:ascii="Times New Roman" w:hAnsi="Times New Roman"/>
          <w:b/>
          <w:sz w:val="20"/>
        </w:rPr>
        <w:t xml:space="preserve">October 13,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other than underwriting discounts and commissions, payable by the registrant in connection with the sale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62"/>
        <w:gridCol w:w="408"/>
        <w:gridCol w:w="142"/>
        <w:gridCol w:w="1163"/>
        <w:gridCol w:w="64"/>
      </w:tblGrid>
      <w:tr>
        <w:trPr/>
        <w:tc>
          <w:tcPr>
            <w:tcW w:w="5162"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4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14,110.32</w:t>
            </w:r>
          </w:p>
        </w:tc>
        <w:tc>
          <w:tcPr>
            <w:tcW w:w="64" w:type="dxa"/>
            <w:tcBorders/>
            <w:shd w:fill="CCEEFF" w:val="clear"/>
            <w:vAlign w:val="bottom"/>
          </w:tcPr>
          <w:p>
            <w:pPr>
              <w:pStyle w:val="TableContents"/>
              <w:bidi w:val="0"/>
              <w:spacing w:before="0" w:after="283"/>
              <w:jc w:val="left"/>
              <w:rPr/>
            </w:pPr>
            <w:r>
              <w:rPr/>
              <w:t> </w:t>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15,000</w:t>
            </w:r>
          </w:p>
        </w:tc>
        <w:tc>
          <w:tcPr>
            <w:tcW w:w="64" w:type="dxa"/>
            <w:tcBorders/>
            <w:vAlign w:val="bottom"/>
          </w:tcPr>
          <w:p>
            <w:pPr>
              <w:pStyle w:val="TableContents"/>
              <w:bidi w:val="0"/>
              <w:spacing w:before="0" w:after="283"/>
              <w:jc w:val="left"/>
              <w:rPr/>
            </w:pPr>
            <w:r>
              <w:rPr/>
              <w:t> </w:t>
            </w:r>
          </w:p>
        </w:tc>
      </w:tr>
      <w:tr>
        <w:trPr/>
        <w:tc>
          <w:tcPr>
            <w:tcW w:w="5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30,000</w:t>
            </w:r>
          </w:p>
        </w:tc>
        <w:tc>
          <w:tcPr>
            <w:tcW w:w="64" w:type="dxa"/>
            <w:tcBorders/>
            <w:shd w:fill="CCEEFF" w:val="clear"/>
            <w:vAlign w:val="bottom"/>
          </w:tcPr>
          <w:p>
            <w:pPr>
              <w:pStyle w:val="TableContents"/>
              <w:bidi w:val="0"/>
              <w:spacing w:before="0" w:after="283"/>
              <w:jc w:val="left"/>
              <w:rPr/>
            </w:pPr>
            <w:r>
              <w:rPr/>
              <w:t> </w:t>
            </w:r>
          </w:p>
        </w:tc>
      </w:tr>
      <w:tr>
        <w:trPr/>
        <w:tc>
          <w:tcPr>
            <w:tcW w:w="5162"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w:t>
            </w:r>
          </w:p>
        </w:tc>
        <w:tc>
          <w:tcPr>
            <w:tcW w:w="4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10,000</w:t>
            </w:r>
          </w:p>
        </w:tc>
        <w:tc>
          <w:tcPr>
            <w:tcW w:w="64" w:type="dxa"/>
            <w:tcBorders/>
            <w:vAlign w:val="bottom"/>
          </w:tcPr>
          <w:p>
            <w:pPr>
              <w:pStyle w:val="TableContents"/>
              <w:bidi w:val="0"/>
              <w:spacing w:before="0" w:after="283"/>
              <w:jc w:val="left"/>
              <w:rPr/>
            </w:pPr>
            <w:r>
              <w:rPr/>
              <w:t> </w:t>
            </w:r>
          </w:p>
        </w:tc>
      </w:tr>
      <w:tr>
        <w:trPr/>
        <w:tc>
          <w:tcPr>
            <w:tcW w:w="5162"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69,110.32</w:t>
            </w:r>
          </w:p>
        </w:tc>
        <w:tc>
          <w:tcPr>
            <w:tcW w:w="64" w:type="dxa"/>
            <w:tcBorders/>
            <w:shd w:fill="CCEEFF" w:val="clear"/>
            <w:vAlign w:val="bottom"/>
          </w:tcPr>
          <w:p>
            <w:pPr>
              <w:pStyle w:val="TableContents"/>
              <w:bidi w:val="0"/>
              <w:spacing w:before="0" w:after="283"/>
              <w:jc w:val="left"/>
              <w:rPr/>
            </w:pPr>
            <w:r>
              <w:rPr/>
              <w:t> </w:t>
            </w:r>
          </w:p>
        </w:tc>
      </w:tr>
      <w:tr>
        <w:trPr/>
        <w:tc>
          <w:tcPr>
            <w:tcW w:w="5162"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he or she acted in good faith and in a manner he or she reasonably believed to be in or not opposed to the best interests of the corporation, and, with respect to any criminal action or proceeding, had no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he or she acted under similar standards, except that no indemnification may be made in respect of any claim, issue or matter as to which such person shall have been adjudged to be liable to the corporation unless and only to the extent that the court in which such action or suit was brought shall determine that, despite the adjudication of liability but in view of all the circumstances of the case, such person is fairly and reasonably entitled to be indemnified for such expenses which the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further provides that: (i) to the extent that a former or present director or officer of a corporation has been successful in the defense of any action, suit or proceeding referred to in subsections (a) and (b) or in the defense of any claim, issue or matter therein, such person shall be indemnified against expenses (including attorneys’ fees) actually and reasonably incurred by him or her in connection therewith; (ii) indemnification provided for by Section 145 shall not be deemed exclusive of any other rights to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indemnified party may be entitled; and (iii) the corporation may purchase and maintain insurance on behalf of any present or former director, officer, employee or agent of the corporation or any person who at the request of the corporation was serving in such capacity for another entity against any liability asserted against such person and incurred by him or her in any such capacity or arising out of his or her status as such, whether or not the corporation would have the power to indemnify him or her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The Company’s Amended and Restated Certificate of Incorporation specifies that a director of the Company shall not be personally liable to the Company or to any stockholders for monetary damages for breach of fiduciary duties as a director, except to the extent such exemption from liability or limitation thereof is not permitted under the DGCL. Further, the Company’s Amended and Restated Certificate of Incorporation also provides that if Delaware law is amended to authorize corporation action further eliminating or limiting the personal liability of directors, then the liability of the Company’s directors will be eliminated or limited to the fullest extent permitted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Company’s Amended and Restated Bylaws provide that the Company shall indemnify its directors and officers to the fullest extent permitted by Delaware law, as it now exists or may in the future be amended, against all expenses and liabilities reasonably incurred in connection with their service for or on the Company’s behalf. The Company’s Amended and Restated Bylaws provide that the Company shall advance the expenses incurred by a director or officer in advance of the final disposition of an action or proceeding, and permit the Company to secure insurance on behalf of any director, officer, employee, or other enterprise agent for any liability arising out of his or her action in that capacity, whether or not Delaware law would otherwise permit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indemnification agreements with each of its directors and officers and certain other key employees. Subject to certain limited exceptions, under these agreements, the Company will be obligated to indemnify each of its directors, executive officers and other key employees against any and all expenses incurred by that director, executive officer, or other key employee because of his or her status as one of the Company’s directors, executive officers, or other key employees, to the fullest extent permitted by Delaware law, the Company’s Amended and Restated Certificate of Incorporation and Amended and Restated Bylaws. In addition, the form agreement provides that, to the fullest extent permitted by Delaware law, we will advance all expenses incurred by our directors, executive officers and other key employees in connection with a legal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maintains liability insurance for its directors and officers in order to limit its exposure to liability for indemnification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See also the undertakings set out in response to Item 17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6"/>
        <w:gridCol w:w="140"/>
        <w:gridCol w:w="3299"/>
        <w:gridCol w:w="192"/>
        <w:gridCol w:w="600"/>
        <w:gridCol w:w="192"/>
        <w:gridCol w:w="60"/>
        <w:gridCol w:w="913"/>
        <w:gridCol w:w="60"/>
        <w:gridCol w:w="192"/>
        <w:gridCol w:w="216"/>
        <w:gridCol w:w="1208"/>
        <w:gridCol w:w="60"/>
        <w:gridCol w:w="191"/>
        <w:gridCol w:w="60"/>
        <w:gridCol w:w="610"/>
        <w:gridCol w:w="60"/>
        <w:gridCol w:w="192"/>
        <w:gridCol w:w="222"/>
        <w:gridCol w:w="762"/>
        <w:gridCol w:w="70"/>
      </w:tblGrid>
      <w:tr>
        <w:trPr/>
        <w:tc>
          <w:tcPr>
            <w:tcW w:w="906"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906"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140" w:type="dxa"/>
            <w:tcBorders/>
            <w:vAlign w:val="bottom"/>
          </w:tcPr>
          <w:p>
            <w:pPr>
              <w:pStyle w:val="TableContents"/>
              <w:bidi w:val="0"/>
              <w:spacing w:before="0" w:after="283"/>
              <w:jc w:val="left"/>
              <w:rPr/>
            </w:pPr>
            <w:r>
              <w:rPr/>
              <w:t> </w:t>
            </w:r>
          </w:p>
        </w:tc>
        <w:tc>
          <w:tcPr>
            <w:tcW w:w="32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92" w:type="dxa"/>
            <w:tcBorders/>
            <w:vAlign w:val="bottom"/>
          </w:tcPr>
          <w:p>
            <w:pPr>
              <w:pStyle w:val="TableContents"/>
              <w:bidi w:val="0"/>
              <w:spacing w:before="0" w:after="283"/>
              <w:jc w:val="left"/>
              <w:rPr/>
            </w:pPr>
            <w:r>
              <w:rPr/>
              <w:t>  </w:t>
            </w:r>
          </w:p>
        </w:tc>
        <w:tc>
          <w:tcPr>
            <w:tcW w:w="600"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2"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Number</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Incorporated</w:t>
              <w:br/>
              <w:t>by Reference</w:t>
              <w:br/>
              <w:t>Exhibit</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c>
          <w:tcPr>
            <w:tcW w:w="70"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2.1*+</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r:id="rId19">
              <w:r>
                <w:rPr>
                  <w:rStyle w:val="InternetLink"/>
                </w:rPr>
                <w:t xml:space="preserve">Agreement and Plan of Merger, dated as of July  31, 2026, by and among the Company, Alkeus Pharmaceuticals, Inc., Apex 2026 Merger Sub, Inc. and Shareholder Representative Services LLC. </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8-K</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001-39614</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9/10/2026</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2.2*+</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w:anchor="d152392dex22.htm">
              <w:r>
                <w:rPr>
                  <w:rStyle w:val="InternetLink"/>
                </w:rPr>
                <w:t xml:space="preserve">Agreement and Plan of Merger, dated as of July 6, 2026, by and among the Company, iRenix Medical, Inc., Dolores Merger Sub, Inc. and Fortis Advisors LLC. </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3.1</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r:id="rId20">
              <w:r>
                <w:rPr>
                  <w:rStyle w:val="InternetLink"/>
                </w:rPr>
                <w:t>Amended and Restated Certificate of Incorporation of Registrant.</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8-K</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001-39614</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10/20/2020</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3.2</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r:id="rId21">
              <w:r>
                <w:rPr>
                  <w:rStyle w:val="InternetLink"/>
                </w:rPr>
                <w:t>Amended and Restated Bylaws of Registrant.</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8-K</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001-39614</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10/20/2020</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4.1</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r:id="rId22">
              <w:r>
                <w:rPr>
                  <w:rStyle w:val="InternetLink"/>
                </w:rPr>
                <w:t>Form of Registrant’s common stock certificate.</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S-1/A</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333-249076</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10/09/2020</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4.2</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r:id="rId23">
              <w:r>
                <w:rPr>
                  <w:rStyle w:val="InternetLink"/>
                </w:rPr>
                <w:t xml:space="preserve">Form of Pre-Funded Warrant. </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8-K</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001-39614</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08/06/2026</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 </w:t>
            </w:r>
            <w:r>
              <w:rPr/>
              <w:t>5.1</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w:anchor="d152392dex51.htm">
              <w:r>
                <w:rPr>
                  <w:rStyle w:val="InternetLink"/>
                </w:rPr>
                <w:t xml:space="preserve">Opinion of Gunderson Dettmer Stough Villeneuve Franklin &amp; Hachigian, LLP. </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23.1</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w:anchor="d152392dex231.htm">
              <w:r>
                <w:rPr>
                  <w:rStyle w:val="InternetLink"/>
                </w:rPr>
                <w:t xml:space="preserve">Consent of Ernst &amp; Young LLP. </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23.2</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w:anchor="d152392dex232.htm">
              <w:r>
                <w:rPr>
                  <w:rStyle w:val="InternetLink"/>
                </w:rPr>
                <w:t xml:space="preserve">Consent of PricewaterhouseCoopers LLP. </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23.3</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w:anchor="d152392dex51.htm">
              <w:r>
                <w:rPr>
                  <w:rStyle w:val="InternetLink"/>
                </w:rPr>
                <w:t xml:space="preserve">Consent of Gunderson Dettmer Stough Villeneuve Franklin &amp; Hachigian, LLP (included in Exhibit 5.1). </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24.1</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w:anchor="sig">
              <w:r>
                <w:rPr>
                  <w:rStyle w:val="InternetLink"/>
                </w:rPr>
                <w:t xml:space="preserve">Power of Attorney (included on signature page). </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r>
        <w:trPr>
          <w:trHeight w:val="120" w:hRule="atLeast"/>
        </w:trPr>
        <w:tc>
          <w:tcPr>
            <w:tcW w:w="906"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c>
          <w:tcPr>
            <w:tcW w:w="792" w:type="dxa"/>
            <w:gridSpan w:val="2"/>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676" w:type="dxa"/>
            <w:gridSpan w:val="4"/>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906" w:type="dxa"/>
            <w:tcBorders/>
          </w:tcPr>
          <w:p>
            <w:pPr>
              <w:pStyle w:val="TableContents"/>
              <w:bidi w:val="0"/>
              <w:spacing w:before="0" w:after="283"/>
              <w:jc w:val="left"/>
              <w:rPr/>
            </w:pPr>
            <w:r>
              <w:rPr/>
              <w:t>107</w:t>
            </w:r>
          </w:p>
        </w:tc>
        <w:tc>
          <w:tcPr>
            <w:tcW w:w="140" w:type="dxa"/>
            <w:tcBorders/>
            <w:vAlign w:val="bottom"/>
          </w:tcPr>
          <w:p>
            <w:pPr>
              <w:pStyle w:val="TableContents"/>
              <w:bidi w:val="0"/>
              <w:spacing w:before="0" w:after="283"/>
              <w:jc w:val="left"/>
              <w:rPr/>
            </w:pPr>
            <w:r>
              <w:rPr/>
              <w:t> </w:t>
            </w:r>
          </w:p>
        </w:tc>
        <w:tc>
          <w:tcPr>
            <w:tcW w:w="3299" w:type="dxa"/>
            <w:tcBorders/>
          </w:tcPr>
          <w:p>
            <w:pPr>
              <w:pStyle w:val="TableContents"/>
              <w:bidi w:val="0"/>
              <w:spacing w:before="0" w:after="283"/>
              <w:jc w:val="left"/>
              <w:rPr/>
            </w:pPr>
            <w:hyperlink w:anchor="d152392dexfilingfees.htm">
              <w:r>
                <w:rPr>
                  <w:rStyle w:val="InternetLink"/>
                </w:rPr>
                <w:t xml:space="preserve">Filing Fee Table. </w:t>
              </w:r>
            </w:hyperlink>
          </w:p>
        </w:tc>
        <w:tc>
          <w:tcPr>
            <w:tcW w:w="192"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X</w:t>
            </w:r>
          </w:p>
        </w:tc>
        <w:tc>
          <w:tcPr>
            <w:tcW w:w="7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601(b)(2) of Regulation S-K, certain confidential portions of this exhibit have been omitted by means of marking such portions with asterisks as the identified confidential portions (i) are not material and (ii) is information of the type that the Company treats as private or confidential.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Item 601(a)(5) of Regulation S-K, certain exhibits and schedules have been omitted. The Company hereby undertakes to furnish supplementally a copy of any omitted exhibit or schedule upon request by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SEC, pursuant to Rule 424(b) if, in the aggregate, the changes in volume and price represent no more than a 20 percent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above do not apply if the registration statement is on Form S-3 and 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the registration statement, or are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Irvine, State of California, on October 13,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0"/>
        <w:gridCol w:w="61"/>
        <w:gridCol w:w="3651"/>
      </w:tblGrid>
      <w:tr>
        <w:trPr/>
        <w:tc>
          <w:tcPr>
            <w:tcW w:w="37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Tarsus Pharmaceuticals, Inc.</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2"/>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Bobak Azamian, M.D., Ph.D.</w:t>
            </w:r>
          </w:p>
        </w:tc>
      </w:tr>
      <w:tr>
        <w:trPr/>
        <w:tc>
          <w:tcPr>
            <w:tcW w:w="37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Bobak Azamian, M.D., Ph.D.</w:t>
            </w:r>
          </w:p>
        </w:tc>
      </w:tr>
      <w:tr>
        <w:trPr/>
        <w:tc>
          <w:tcPr>
            <w:tcW w:w="37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President, Chief Executive Officer and Chairman</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Bobak Azamian, M.D., Ph.D., Jeffrey Farrow, and Bryan Wahl, M.D., and each of them acting individually, as his or her true and lawful attorneys-in-fact and agents, with full power of each to act alone, with full powers of substitution and resubstitution, for him and in his or her name, place and stead, in any and all capacities, to sign any and all amendments to this registration statement on Form S-3 (including post-effective amendments and any related registration statements filed pursuant to Rule 462 and otherwise)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below by the following persons on behalf of the registrant and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09"/>
        <w:gridCol w:w="120"/>
        <w:gridCol w:w="4797"/>
        <w:gridCol w:w="199"/>
        <w:gridCol w:w="1980"/>
      </w:tblGrid>
      <w:tr>
        <w:trPr/>
        <w:tc>
          <w:tcPr>
            <w:tcW w:w="31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r>
      <w:tr>
        <w:trPr/>
        <w:tc>
          <w:tcPr>
            <w:tcW w:w="310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198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Bobak Azamian, M.D., Ph.D.</w:t>
            </w:r>
          </w:p>
          <w:p>
            <w:pPr>
              <w:pStyle w:val="TableContents"/>
              <w:bidi w:val="0"/>
              <w:spacing w:before="0" w:after="20"/>
              <w:jc w:val="left"/>
              <w:rPr>
                <w:rFonts w:ascii="Times New Roman" w:hAnsi="Times New Roman"/>
                <w:sz w:val="20"/>
              </w:rPr>
            </w:pPr>
            <w:r>
              <w:rPr>
                <w:rFonts w:ascii="Times New Roman" w:hAnsi="Times New Roman"/>
                <w:sz w:val="20"/>
              </w:rPr>
              <w:t>Bobak Azamian, M.D., Ph.D.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Chairman</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Jeffrey Farrow</w:t>
            </w:r>
          </w:p>
          <w:p>
            <w:pPr>
              <w:pStyle w:val="TableContents"/>
              <w:bidi w:val="0"/>
              <w:spacing w:before="0" w:after="20"/>
              <w:jc w:val="left"/>
              <w:rPr>
                <w:rFonts w:ascii="Times New Roman" w:hAnsi="Times New Roman"/>
                <w:sz w:val="20"/>
              </w:rPr>
            </w:pPr>
            <w:r>
              <w:rPr>
                <w:rFonts w:ascii="Times New Roman" w:hAnsi="Times New Roman"/>
                <w:sz w:val="20"/>
              </w:rPr>
              <w:t>Jeffrey Farrow</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Chief Strategy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Officer and Principal Accounting Officer)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Bhaskar Chaudhuri, Ph.D.</w:t>
            </w:r>
          </w:p>
          <w:p>
            <w:pPr>
              <w:pStyle w:val="TableContents"/>
              <w:bidi w:val="0"/>
              <w:spacing w:before="0" w:after="20"/>
              <w:jc w:val="left"/>
              <w:rPr>
                <w:rFonts w:ascii="Times New Roman" w:hAnsi="Times New Roman"/>
                <w:sz w:val="20"/>
              </w:rPr>
            </w:pPr>
            <w:r>
              <w:rPr>
                <w:rFonts w:ascii="Times New Roman" w:hAnsi="Times New Roman"/>
                <w:sz w:val="20"/>
              </w:rPr>
              <w:t>Bhaskar Chaudhuri, Ph.D.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Andrew Goldberg, M.D.</w:t>
            </w:r>
          </w:p>
          <w:p>
            <w:pPr>
              <w:pStyle w:val="TableContents"/>
              <w:bidi w:val="0"/>
              <w:spacing w:before="0" w:after="20"/>
              <w:jc w:val="left"/>
              <w:rPr>
                <w:rFonts w:ascii="Times New Roman" w:hAnsi="Times New Roman"/>
                <w:sz w:val="20"/>
              </w:rPr>
            </w:pPr>
            <w:r>
              <w:rPr>
                <w:rFonts w:ascii="Times New Roman" w:hAnsi="Times New Roman"/>
                <w:sz w:val="20"/>
              </w:rPr>
              <w:t>Andrew Goldberg, M.D.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Katherine Goodrich, M.D.</w:t>
            </w:r>
          </w:p>
          <w:p>
            <w:pPr>
              <w:pStyle w:val="TableContents"/>
              <w:bidi w:val="0"/>
              <w:spacing w:before="0" w:after="20"/>
              <w:jc w:val="left"/>
              <w:rPr>
                <w:rFonts w:ascii="Times New Roman" w:hAnsi="Times New Roman"/>
                <w:sz w:val="20"/>
              </w:rPr>
            </w:pPr>
            <w:r>
              <w:rPr>
                <w:rFonts w:ascii="Times New Roman" w:hAnsi="Times New Roman"/>
                <w:sz w:val="20"/>
              </w:rPr>
              <w:t>Katherine Goodrich, M.D.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r>
        <w:trPr>
          <w:trHeight w:val="240" w:hRule="atLeast"/>
        </w:trPr>
        <w:tc>
          <w:tcPr>
            <w:tcW w:w="3109" w:type="dxa"/>
            <w:tcBorders/>
            <w:vAlign w:val="center"/>
          </w:tcPr>
          <w:p>
            <w:pPr>
              <w:pStyle w:val="TableContents"/>
              <w:bidi w:val="0"/>
              <w:spacing w:before="0" w:after="283"/>
              <w:jc w:val="left"/>
              <w:rPr>
                <w:sz w:val="4"/>
                <w:szCs w:val="4"/>
              </w:rPr>
            </w:pPr>
            <w:r>
              <w:rPr>
                <w:sz w:val="4"/>
                <w:szCs w:val="4"/>
              </w:rPr>
            </w:r>
          </w:p>
        </w:tc>
        <w:tc>
          <w:tcPr>
            <w:tcW w:w="4917" w:type="dxa"/>
            <w:gridSpan w:val="2"/>
            <w:tcBorders/>
            <w:vAlign w:val="center"/>
          </w:tcPr>
          <w:p>
            <w:pPr>
              <w:pStyle w:val="TableContents"/>
              <w:bidi w:val="0"/>
              <w:spacing w:before="0" w:after="283"/>
              <w:jc w:val="left"/>
              <w:rPr>
                <w:sz w:val="4"/>
                <w:szCs w:val="4"/>
              </w:rPr>
            </w:pPr>
            <w:r>
              <w:rPr>
                <w:sz w:val="4"/>
                <w:szCs w:val="4"/>
              </w:rPr>
            </w:r>
          </w:p>
        </w:tc>
        <w:tc>
          <w:tcPr>
            <w:tcW w:w="2179" w:type="dxa"/>
            <w:gridSpan w:val="2"/>
            <w:tcBorders/>
            <w:vAlign w:val="center"/>
          </w:tcPr>
          <w:p>
            <w:pPr>
              <w:pStyle w:val="TableContents"/>
              <w:bidi w:val="0"/>
              <w:spacing w:before="0" w:after="283"/>
              <w:jc w:val="left"/>
              <w:rPr>
                <w:sz w:val="4"/>
                <w:szCs w:val="4"/>
              </w:rPr>
            </w:pPr>
            <w:r>
              <w:rPr>
                <w:sz w:val="4"/>
                <w:szCs w:val="4"/>
              </w:rPr>
            </w:r>
          </w:p>
        </w:tc>
      </w:tr>
      <w:tr>
        <w:trPr/>
        <w:tc>
          <w:tcPr>
            <w:tcW w:w="310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J. Link, Ph.D.</w:t>
            </w:r>
          </w:p>
          <w:p>
            <w:pPr>
              <w:pStyle w:val="TableContents"/>
              <w:bidi w:val="0"/>
              <w:spacing w:before="0" w:after="20"/>
              <w:jc w:val="left"/>
              <w:rPr>
                <w:rFonts w:ascii="Times New Roman" w:hAnsi="Times New Roman"/>
                <w:sz w:val="20"/>
              </w:rPr>
            </w:pPr>
            <w:r>
              <w:rPr>
                <w:rFonts w:ascii="Times New Roman" w:hAnsi="Times New Roman"/>
                <w:sz w:val="20"/>
              </w:rPr>
              <w:t>William J. Link, Ph.D.</w:t>
            </w:r>
          </w:p>
        </w:tc>
        <w:tc>
          <w:tcPr>
            <w:tcW w:w="120"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80" w:type="dxa"/>
            <w:tcBorders/>
          </w:tcPr>
          <w:p>
            <w:pPr>
              <w:pStyle w:val="TableContents"/>
              <w:bidi w:val="0"/>
              <w:spacing w:before="0" w:after="283"/>
              <w:jc w:val="center"/>
              <w:rPr/>
            </w:pPr>
            <w:r>
              <w:rPr/>
              <w:t>October 13, 2026</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103"/>
        <w:gridCol w:w="121"/>
        <w:gridCol w:w="4782"/>
        <w:gridCol w:w="202"/>
        <w:gridCol w:w="1997"/>
      </w:tblGrid>
      <w:tr>
        <w:trPr/>
        <w:tc>
          <w:tcPr>
            <w:tcW w:w="31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8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310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78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99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3103"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199" w:type="dxa"/>
            <w:gridSpan w:val="2"/>
            <w:tcBorders/>
            <w:vAlign w:val="center"/>
          </w:tcPr>
          <w:p>
            <w:pPr>
              <w:pStyle w:val="TableContents"/>
              <w:bidi w:val="0"/>
              <w:spacing w:before="0" w:after="283"/>
              <w:jc w:val="left"/>
              <w:rPr>
                <w:sz w:val="4"/>
                <w:szCs w:val="4"/>
              </w:rPr>
            </w:pPr>
            <w:r>
              <w:rPr>
                <w:sz w:val="4"/>
                <w:szCs w:val="4"/>
              </w:rPr>
            </w:r>
          </w:p>
        </w:tc>
      </w:tr>
      <w:tr>
        <w:trPr/>
        <w:tc>
          <w:tcPr>
            <w:tcW w:w="310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Scott Morrison</w:t>
            </w:r>
          </w:p>
          <w:p>
            <w:pPr>
              <w:pStyle w:val="TableContents"/>
              <w:bidi w:val="0"/>
              <w:spacing w:before="0" w:after="20"/>
              <w:jc w:val="left"/>
              <w:rPr>
                <w:rFonts w:ascii="Times New Roman" w:hAnsi="Times New Roman"/>
                <w:sz w:val="20"/>
              </w:rPr>
            </w:pPr>
            <w:r>
              <w:rPr>
                <w:rFonts w:ascii="Times New Roman" w:hAnsi="Times New Roman"/>
                <w:sz w:val="20"/>
              </w:rPr>
              <w:t>Scott Morrison</w:t>
            </w:r>
          </w:p>
        </w:tc>
        <w:tc>
          <w:tcPr>
            <w:tcW w:w="121"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283"/>
              <w:jc w:val="center"/>
              <w:rPr/>
            </w:pPr>
            <w:r>
              <w:rPr/>
              <w:t>October 13, 2026</w:t>
            </w:r>
          </w:p>
        </w:tc>
      </w:tr>
      <w:tr>
        <w:trPr>
          <w:trHeight w:val="240" w:hRule="atLeast"/>
        </w:trPr>
        <w:tc>
          <w:tcPr>
            <w:tcW w:w="3103"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199" w:type="dxa"/>
            <w:gridSpan w:val="2"/>
            <w:tcBorders/>
            <w:vAlign w:val="center"/>
          </w:tcPr>
          <w:p>
            <w:pPr>
              <w:pStyle w:val="TableContents"/>
              <w:bidi w:val="0"/>
              <w:spacing w:before="0" w:after="283"/>
              <w:jc w:val="left"/>
              <w:rPr>
                <w:sz w:val="4"/>
                <w:szCs w:val="4"/>
              </w:rPr>
            </w:pPr>
            <w:r>
              <w:rPr>
                <w:sz w:val="4"/>
                <w:szCs w:val="4"/>
              </w:rPr>
            </w:r>
          </w:p>
        </w:tc>
      </w:tr>
      <w:tr>
        <w:trPr/>
        <w:tc>
          <w:tcPr>
            <w:tcW w:w="310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E.I. Pyott</w:t>
            </w:r>
          </w:p>
          <w:p>
            <w:pPr>
              <w:pStyle w:val="TableContents"/>
              <w:bidi w:val="0"/>
              <w:spacing w:before="0" w:after="20"/>
              <w:jc w:val="left"/>
              <w:rPr>
                <w:rFonts w:ascii="Times New Roman" w:hAnsi="Times New Roman"/>
                <w:sz w:val="20"/>
              </w:rPr>
            </w:pPr>
            <w:r>
              <w:rPr>
                <w:rFonts w:ascii="Times New Roman" w:hAnsi="Times New Roman"/>
                <w:sz w:val="20"/>
              </w:rPr>
              <w:t>David E.I. Pyott</w:t>
            </w:r>
          </w:p>
        </w:tc>
        <w:tc>
          <w:tcPr>
            <w:tcW w:w="121"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283"/>
              <w:jc w:val="center"/>
              <w:rPr/>
            </w:pPr>
            <w:r>
              <w:rPr/>
              <w:t>October 13, 2026</w:t>
            </w:r>
          </w:p>
        </w:tc>
      </w:tr>
      <w:tr>
        <w:trPr>
          <w:trHeight w:val="240" w:hRule="atLeast"/>
        </w:trPr>
        <w:tc>
          <w:tcPr>
            <w:tcW w:w="3103"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199" w:type="dxa"/>
            <w:gridSpan w:val="2"/>
            <w:tcBorders/>
            <w:vAlign w:val="center"/>
          </w:tcPr>
          <w:p>
            <w:pPr>
              <w:pStyle w:val="TableContents"/>
              <w:bidi w:val="0"/>
              <w:spacing w:before="0" w:after="283"/>
              <w:jc w:val="left"/>
              <w:rPr>
                <w:sz w:val="4"/>
                <w:szCs w:val="4"/>
              </w:rPr>
            </w:pPr>
            <w:r>
              <w:rPr>
                <w:sz w:val="4"/>
                <w:szCs w:val="4"/>
              </w:rPr>
            </w:r>
          </w:p>
        </w:tc>
      </w:tr>
      <w:tr>
        <w:trPr/>
        <w:tc>
          <w:tcPr>
            <w:tcW w:w="310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Wendy Yarno</w:t>
            </w:r>
          </w:p>
          <w:p>
            <w:pPr>
              <w:pStyle w:val="TableContents"/>
              <w:bidi w:val="0"/>
              <w:spacing w:before="0" w:after="20"/>
              <w:jc w:val="left"/>
              <w:rPr>
                <w:rFonts w:ascii="Times New Roman" w:hAnsi="Times New Roman"/>
                <w:sz w:val="20"/>
              </w:rPr>
            </w:pPr>
            <w:r>
              <w:rPr>
                <w:rFonts w:ascii="Times New Roman" w:hAnsi="Times New Roman"/>
                <w:sz w:val="20"/>
              </w:rPr>
              <w:t>Wendy Yarno</w:t>
            </w:r>
          </w:p>
        </w:tc>
        <w:tc>
          <w:tcPr>
            <w:tcW w:w="121" w:type="dxa"/>
            <w:tcBorders/>
            <w:vAlign w:val="bottom"/>
          </w:tcPr>
          <w:p>
            <w:pPr>
              <w:pStyle w:val="TableContents"/>
              <w:bidi w:val="0"/>
              <w:spacing w:before="0" w:after="283"/>
              <w:jc w:val="left"/>
              <w:rPr/>
            </w:pPr>
            <w:r>
              <w:rPr/>
              <w:t>  </w:t>
            </w:r>
          </w:p>
        </w:tc>
        <w:tc>
          <w:tcPr>
            <w:tcW w:w="4782"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97" w:type="dxa"/>
            <w:tcBorders/>
          </w:tcPr>
          <w:p>
            <w:pPr>
              <w:pStyle w:val="TableContents"/>
              <w:bidi w:val="0"/>
              <w:spacing w:before="0" w:after="283"/>
              <w:jc w:val="center"/>
              <w:rPr/>
            </w:pPr>
            <w:r>
              <w:rPr/>
              <w:t>October 13, 2026</w:t>
            </w:r>
          </w:p>
        </w:tc>
      </w:tr>
    </w:tbl>
    <w:p>
      <w:pPr>
        <w:pStyle w:val="TextBody"/>
        <w:bidi w:val="0"/>
        <w:spacing w:before="0" w:after="0"/>
        <w:jc w:val="right"/>
        <w:rPr>
          <w:rFonts w:ascii="Times New Roman" w:hAnsi="Times New Roman"/>
          <w:b/>
          <w:sz w:val="20"/>
        </w:rPr>
      </w:pPr>
      <w:bookmarkStart w:id="16" w:name="d152392dex22.htm"/>
      <w:bookmarkStart w:id="17" w:name="ksd152392dex22"/>
      <w:bookmarkEnd w:id="16"/>
      <w:bookmarkEnd w:id="17"/>
      <w:r>
        <w:rPr>
          <w:rFonts w:ascii="Times New Roman" w:hAnsi="Times New Roman"/>
          <w:b/>
          <w:sz w:val="20"/>
        </w:rPr>
        <w:t xml:space="preserve">Exhibit 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CERTAIN IDENTIFIED INFORMATION HAS BEEN OMITTED FROM THIS DOCUMENT </w:t>
      </w:r>
    </w:p>
    <w:p>
      <w:pPr>
        <w:pStyle w:val="TextBody"/>
        <w:bidi w:val="0"/>
        <w:spacing w:before="0" w:after="0"/>
        <w:jc w:val="center"/>
        <w:rPr>
          <w:rFonts w:ascii="Times New Roman" w:hAnsi="Times New Roman"/>
          <w:b/>
          <w:sz w:val="20"/>
        </w:rPr>
      </w:pPr>
      <w:r>
        <w:rPr>
          <w:rFonts w:ascii="Times New Roman" w:hAnsi="Times New Roman"/>
          <w:b/>
          <w:sz w:val="20"/>
        </w:rPr>
        <w:t xml:space="preserve">BECAUSE IT IS BOTH NOT MATERIAL AND IS THE TYPE THAT THE REGISTRANT </w:t>
      </w:r>
    </w:p>
    <w:p>
      <w:pPr>
        <w:pStyle w:val="TextBody"/>
        <w:bidi w:val="0"/>
        <w:spacing w:before="0" w:after="0"/>
        <w:jc w:val="center"/>
        <w:rPr>
          <w:rFonts w:ascii="Times New Roman" w:hAnsi="Times New Roman"/>
          <w:b/>
          <w:sz w:val="20"/>
        </w:rPr>
      </w:pPr>
      <w:r>
        <w:rPr>
          <w:rFonts w:ascii="Times New Roman" w:hAnsi="Times New Roman"/>
          <w:b/>
          <w:sz w:val="20"/>
        </w:rPr>
        <w:t xml:space="preserve">TREATS AS PRIVATE OR CONFIDENTIAL, AND HAS BEEN MARKED WITH “[***]” TO </w:t>
      </w:r>
    </w:p>
    <w:p>
      <w:pPr>
        <w:pStyle w:val="TextBody"/>
        <w:bidi w:val="0"/>
        <w:spacing w:before="0" w:after="0"/>
        <w:jc w:val="center"/>
        <w:rPr>
          <w:rFonts w:ascii="Times New Roman" w:hAnsi="Times New Roman"/>
          <w:b/>
          <w:sz w:val="20"/>
        </w:rPr>
      </w:pPr>
      <w:r>
        <w:rPr>
          <w:rFonts w:ascii="Times New Roman" w:hAnsi="Times New Roman"/>
          <w:b/>
          <w:sz w:val="20"/>
        </w:rPr>
        <w:t xml:space="preserve">INDICATE WHERE OMISSIONS HAVE BEEN MADE.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TARSUS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DOLORES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IRENIX MEDICAL,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FORTIS ADVISORS LLC, </w:t>
      </w:r>
    </w:p>
    <w:p>
      <w:pPr>
        <w:pStyle w:val="TextBody"/>
        <w:bidi w:val="0"/>
        <w:spacing w:before="240" w:after="0"/>
        <w:jc w:val="center"/>
        <w:rPr>
          <w:rFonts w:ascii="Times New Roman" w:hAnsi="Times New Roman"/>
          <w:b/>
          <w:sz w:val="20"/>
        </w:rPr>
      </w:pPr>
      <w:r>
        <w:rPr>
          <w:rFonts w:ascii="Times New Roman" w:hAnsi="Times New Roman"/>
          <w:b/>
          <w:sz w:val="20"/>
        </w:rPr>
        <w:t xml:space="preserve">AS THE SECURITYHOLDERS’ REPRESENTATIVE </w:t>
      </w:r>
    </w:p>
    <w:p>
      <w:pPr>
        <w:pStyle w:val="TextBody"/>
        <w:bidi w:val="0"/>
        <w:spacing w:before="240" w:after="0"/>
        <w:jc w:val="center"/>
        <w:rPr>
          <w:rFonts w:ascii="Times New Roman" w:hAnsi="Times New Roman"/>
          <w:b/>
          <w:sz w:val="20"/>
        </w:rPr>
      </w:pPr>
      <w:r>
        <w:rPr>
          <w:rFonts w:ascii="Times New Roman" w:hAnsi="Times New Roman"/>
          <w:b/>
          <w:sz w:val="20"/>
        </w:rPr>
        <w:t xml:space="preserve">July 6,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1"/>
        <w:gridCol w:w="71"/>
        <w:gridCol w:w="8909"/>
        <w:gridCol w:w="125"/>
        <w:gridCol w:w="60"/>
        <w:gridCol w:w="515"/>
        <w:gridCol w:w="64"/>
      </w:tblGrid>
      <w:tr>
        <w:trPr/>
        <w:tc>
          <w:tcPr>
            <w:tcW w:w="461"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890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283"/>
              <w:jc w:val="left"/>
              <w:rPr/>
            </w:pPr>
            <w:r>
              <w:rPr/>
              <w:t>ARTICLE I THE MERGER</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461" w:type="dxa"/>
            <w:tcBorders/>
            <w:vAlign w:val="center"/>
          </w:tcPr>
          <w:p>
            <w:pPr>
              <w:pStyle w:val="TableContents"/>
              <w:bidi w:val="0"/>
              <w:spacing w:before="0" w:after="283"/>
              <w:jc w:val="left"/>
              <w:rPr>
                <w:sz w:val="4"/>
                <w:szCs w:val="4"/>
              </w:rPr>
            </w:pPr>
            <w:r>
              <w:rPr>
                <w:sz w:val="4"/>
                <w:szCs w:val="4"/>
              </w:rPr>
            </w:r>
          </w:p>
        </w:tc>
        <w:tc>
          <w:tcPr>
            <w:tcW w:w="8980"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The Merger</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Closing; Effective Time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Effect of the Merger</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1.4</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Closing Deliveries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1.5</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Certificate of Incorporation and Bylaws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1.6</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Directors and Officers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1.7</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Taking of Necessary Action; Further Action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283"/>
              <w:jc w:val="left"/>
              <w:rPr/>
            </w:pPr>
            <w:r>
              <w:rPr/>
              <w:t>ARTICLE II EXCHANGE OF COMPANY SECURITIES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461" w:type="dxa"/>
            <w:tcBorders/>
            <w:vAlign w:val="center"/>
          </w:tcPr>
          <w:p>
            <w:pPr>
              <w:pStyle w:val="TableContents"/>
              <w:bidi w:val="0"/>
              <w:spacing w:before="0" w:after="283"/>
              <w:jc w:val="left"/>
              <w:rPr>
                <w:sz w:val="4"/>
                <w:szCs w:val="4"/>
              </w:rPr>
            </w:pPr>
            <w:r>
              <w:rPr>
                <w:sz w:val="4"/>
                <w:szCs w:val="4"/>
              </w:rPr>
            </w:r>
          </w:p>
        </w:tc>
        <w:tc>
          <w:tcPr>
            <w:tcW w:w="8980"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Effect of the Merger on Company Securities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Surrender of Certificates in Exchange for Payments and Payment of Company Options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Withholding Rights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Initial Working Capital Adjustments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Determination of Actual Amounts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Post-Closing Adjustment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Spreadsheet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Appraisal Rights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Additional Consideration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Overdue Payments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283"/>
              <w:jc w:val="left"/>
              <w:rPr/>
            </w:pPr>
            <w:r>
              <w:rPr/>
              <w:t>ARTICLE III REPRESENTATIONS AND WARRANTIES OF THE COMPANY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461" w:type="dxa"/>
            <w:tcBorders/>
            <w:vAlign w:val="center"/>
          </w:tcPr>
          <w:p>
            <w:pPr>
              <w:pStyle w:val="TableContents"/>
              <w:bidi w:val="0"/>
              <w:spacing w:before="0" w:after="283"/>
              <w:jc w:val="left"/>
              <w:rPr>
                <w:sz w:val="4"/>
                <w:szCs w:val="4"/>
              </w:rPr>
            </w:pPr>
            <w:r>
              <w:rPr>
                <w:sz w:val="4"/>
                <w:szCs w:val="4"/>
              </w:rPr>
            </w:r>
          </w:p>
        </w:tc>
        <w:tc>
          <w:tcPr>
            <w:tcW w:w="8980"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Organization, Standing and Power</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Subsidiaries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Capital Structure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Authority; Noncontravention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Financial Statements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Undisclosed Liabilities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Absence of Certain Changes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Litigation</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Compliance with Laws; Governmental Permits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Title to Property and Assets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Real Estate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Intellectual Property; Privacy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Environmental Matters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Taxes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Employee Benefit Plans and Employee Matters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Insurance</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Material Contracts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Regulatory Matters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Brokers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Affiliate Transactions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Material Customers and Material Vendors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Government Contracts, Awards and Incentives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Bank Accounts; Powers of Attorney</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461" w:type="dxa"/>
            <w:tcBorders/>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71" w:type="dxa"/>
            <w:tcBorders/>
            <w:vAlign w:val="bottom"/>
          </w:tcPr>
          <w:p>
            <w:pPr>
              <w:pStyle w:val="TableContents"/>
              <w:bidi w:val="0"/>
              <w:spacing w:before="0" w:after="283"/>
              <w:jc w:val="left"/>
              <w:rPr/>
            </w:pPr>
            <w:r>
              <w:rPr/>
              <w:t> </w:t>
            </w:r>
          </w:p>
        </w:tc>
        <w:tc>
          <w:tcPr>
            <w:tcW w:w="8909" w:type="dxa"/>
            <w:tcBorders/>
            <w:vAlign w:val="bottom"/>
          </w:tcPr>
          <w:p>
            <w:pPr>
              <w:pStyle w:val="TableContents"/>
              <w:bidi w:val="0"/>
              <w:spacing w:before="0" w:after="283"/>
              <w:jc w:val="left"/>
              <w:rPr/>
            </w:pPr>
            <w:r>
              <w:rPr/>
              <w:t>No Other Company Representations or Warranties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0"/>
        <w:gridCol w:w="95"/>
        <w:gridCol w:w="8693"/>
        <w:gridCol w:w="136"/>
        <w:gridCol w:w="60"/>
        <w:gridCol w:w="517"/>
        <w:gridCol w:w="64"/>
      </w:tblGrid>
      <w:tr>
        <w:trPr/>
        <w:tc>
          <w:tcPr>
            <w:tcW w:w="64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8693"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640" w:type="dxa"/>
            <w:tcBorders/>
            <w:vAlign w:val="center"/>
          </w:tcPr>
          <w:p>
            <w:pPr>
              <w:pStyle w:val="TableContents"/>
              <w:bidi w:val="0"/>
              <w:spacing w:before="0" w:after="283"/>
              <w:jc w:val="left"/>
              <w:rPr>
                <w:sz w:val="4"/>
                <w:szCs w:val="4"/>
              </w:rPr>
            </w:pPr>
            <w:r>
              <w:rPr>
                <w:sz w:val="4"/>
                <w:szCs w:val="4"/>
              </w:rPr>
            </w:r>
          </w:p>
        </w:tc>
        <w:tc>
          <w:tcPr>
            <w:tcW w:w="8788"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No Other Representations or Warranties; No Reliance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283"/>
              <w:jc w:val="left"/>
              <w:rPr/>
            </w:pPr>
            <w:r>
              <w:rPr/>
              <w:t>ARTICLE IV REPRESENTATIONS AND WARRANTIES OF ACQUIROR AND MERGER SUB</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640" w:type="dxa"/>
            <w:tcBorders/>
            <w:vAlign w:val="center"/>
          </w:tcPr>
          <w:p>
            <w:pPr>
              <w:pStyle w:val="TableContents"/>
              <w:bidi w:val="0"/>
              <w:spacing w:before="0" w:after="283"/>
              <w:jc w:val="left"/>
              <w:rPr>
                <w:sz w:val="4"/>
                <w:szCs w:val="4"/>
              </w:rPr>
            </w:pPr>
            <w:r>
              <w:rPr>
                <w:sz w:val="4"/>
                <w:szCs w:val="4"/>
              </w:rPr>
            </w:r>
          </w:p>
        </w:tc>
        <w:tc>
          <w:tcPr>
            <w:tcW w:w="8788"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Organization and Standing</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Authority; Noncontravention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No Prior Merger Sub Operations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Litigation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Sufficient Funds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Transaction Fees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Solvency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Valid Issuance of Stock Consideration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No Additional Representations; No Reliance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283"/>
              <w:jc w:val="left"/>
              <w:rPr/>
            </w:pPr>
            <w:r>
              <w:rPr/>
              <w:t>ARTICLE V CONDUCT PRIOR TO THE EFFECTIVE TIME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640" w:type="dxa"/>
            <w:tcBorders/>
            <w:vAlign w:val="center"/>
          </w:tcPr>
          <w:p>
            <w:pPr>
              <w:pStyle w:val="TableContents"/>
              <w:bidi w:val="0"/>
              <w:spacing w:before="0" w:after="283"/>
              <w:jc w:val="left"/>
              <w:rPr>
                <w:sz w:val="4"/>
                <w:szCs w:val="4"/>
              </w:rPr>
            </w:pPr>
            <w:r>
              <w:rPr>
                <w:sz w:val="4"/>
                <w:szCs w:val="4"/>
              </w:rPr>
            </w:r>
          </w:p>
        </w:tc>
        <w:tc>
          <w:tcPr>
            <w:tcW w:w="8788"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Conduct of Business of the Company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Restrictions on Conduct of Business of the Company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283"/>
              <w:jc w:val="left"/>
              <w:rPr/>
            </w:pPr>
            <w:r>
              <w:rPr/>
              <w:t>ARTICLE VI ADDITIONAL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640" w:type="dxa"/>
            <w:tcBorders/>
            <w:vAlign w:val="center"/>
          </w:tcPr>
          <w:p>
            <w:pPr>
              <w:pStyle w:val="TableContents"/>
              <w:bidi w:val="0"/>
              <w:spacing w:before="0" w:after="283"/>
              <w:jc w:val="left"/>
              <w:rPr>
                <w:sz w:val="4"/>
                <w:szCs w:val="4"/>
              </w:rPr>
            </w:pPr>
            <w:r>
              <w:rPr>
                <w:sz w:val="4"/>
                <w:szCs w:val="4"/>
              </w:rPr>
            </w:r>
          </w:p>
        </w:tc>
        <w:tc>
          <w:tcPr>
            <w:tcW w:w="8788"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Solicitation Statement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Confidentiality; Public Disclosure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Governmental Approvals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Reasonable Best Efforts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Access to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Expenses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Employment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Tax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Indemnification; Directors’ and Officers’ Insurance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[Reserved</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Representation and Warranty Insurance Policy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Option Cancellation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Piper Sandler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rHeight w:val="12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283"/>
              <w:jc w:val="left"/>
              <w:rPr/>
            </w:pPr>
            <w:r>
              <w:rPr/>
              <w:t>ARTICLE VII CONDITIONS TO THE MERGER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640" w:type="dxa"/>
            <w:tcBorders/>
            <w:vAlign w:val="center"/>
          </w:tcPr>
          <w:p>
            <w:pPr>
              <w:pStyle w:val="TableContents"/>
              <w:bidi w:val="0"/>
              <w:spacing w:before="0" w:after="283"/>
              <w:jc w:val="left"/>
              <w:rPr>
                <w:sz w:val="4"/>
                <w:szCs w:val="4"/>
              </w:rPr>
            </w:pPr>
            <w:r>
              <w:rPr>
                <w:sz w:val="4"/>
                <w:szCs w:val="4"/>
              </w:rPr>
            </w:r>
          </w:p>
        </w:tc>
        <w:tc>
          <w:tcPr>
            <w:tcW w:w="8788"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Conditions to Obligations of Each Party to Effect the Merger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Additional Conditions to Obligations of the Company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Additional Conditions to the Obligations of Acquiror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283"/>
              <w:jc w:val="left"/>
              <w:rPr/>
            </w:pPr>
            <w:r>
              <w:rPr/>
              <w:t>ARTICLE VIII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640" w:type="dxa"/>
            <w:tcBorders/>
            <w:vAlign w:val="center"/>
          </w:tcPr>
          <w:p>
            <w:pPr>
              <w:pStyle w:val="TableContents"/>
              <w:bidi w:val="0"/>
              <w:spacing w:before="0" w:after="283"/>
              <w:jc w:val="left"/>
              <w:rPr>
                <w:sz w:val="4"/>
                <w:szCs w:val="4"/>
              </w:rPr>
            </w:pPr>
            <w:r>
              <w:rPr>
                <w:sz w:val="4"/>
                <w:szCs w:val="4"/>
              </w:rPr>
            </w:r>
          </w:p>
        </w:tc>
        <w:tc>
          <w:tcPr>
            <w:tcW w:w="8788"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Effect of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9428" w:type="dxa"/>
            <w:gridSpan w:val="3"/>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9428" w:type="dxa"/>
            <w:gridSpan w:val="3"/>
            <w:tcBorders/>
          </w:tcPr>
          <w:p>
            <w:pPr>
              <w:pStyle w:val="TableContents"/>
              <w:bidi w:val="0"/>
              <w:spacing w:before="0" w:after="283"/>
              <w:jc w:val="left"/>
              <w:rPr/>
            </w:pPr>
            <w:r>
              <w:rPr/>
              <w:t>ARTICLE IX SURVIVAL; RELEASE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rHeight w:val="120" w:hRule="atLeast"/>
        </w:trPr>
        <w:tc>
          <w:tcPr>
            <w:tcW w:w="640" w:type="dxa"/>
            <w:tcBorders/>
            <w:vAlign w:val="center"/>
          </w:tcPr>
          <w:p>
            <w:pPr>
              <w:pStyle w:val="TableContents"/>
              <w:bidi w:val="0"/>
              <w:spacing w:before="0" w:after="283"/>
              <w:jc w:val="left"/>
              <w:rPr>
                <w:sz w:val="4"/>
                <w:szCs w:val="4"/>
              </w:rPr>
            </w:pPr>
            <w:r>
              <w:rPr>
                <w:sz w:val="4"/>
                <w:szCs w:val="4"/>
              </w:rPr>
            </w:r>
          </w:p>
        </w:tc>
        <w:tc>
          <w:tcPr>
            <w:tcW w:w="8788" w:type="dxa"/>
            <w:gridSpan w:val="2"/>
            <w:tcBorders/>
            <w:vAlign w:val="center"/>
          </w:tcPr>
          <w:p>
            <w:pPr>
              <w:pStyle w:val="TableContents"/>
              <w:bidi w:val="0"/>
              <w:spacing w:before="0" w:after="283"/>
              <w:jc w:val="left"/>
              <w:rPr>
                <w:sz w:val="4"/>
                <w:szCs w:val="4"/>
              </w:rPr>
            </w:pPr>
            <w:r>
              <w:rPr>
                <w:sz w:val="4"/>
                <w:szCs w:val="4"/>
              </w:rPr>
            </w:r>
          </w:p>
        </w:tc>
        <w:tc>
          <w:tcPr>
            <w:tcW w:w="777" w:type="dxa"/>
            <w:gridSpan w:val="4"/>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Survival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Indemnification by the Indemnifying Parties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Limitations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640"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95" w:type="dxa"/>
            <w:tcBorders/>
            <w:vAlign w:val="bottom"/>
          </w:tcPr>
          <w:p>
            <w:pPr>
              <w:pStyle w:val="TableContents"/>
              <w:bidi w:val="0"/>
              <w:spacing w:before="0" w:after="283"/>
              <w:jc w:val="left"/>
              <w:rPr/>
            </w:pPr>
            <w:r>
              <w:rPr/>
              <w:t> </w:t>
            </w:r>
          </w:p>
        </w:tc>
        <w:tc>
          <w:tcPr>
            <w:tcW w:w="8693" w:type="dxa"/>
            <w:tcBorders/>
            <w:vAlign w:val="bottom"/>
          </w:tcPr>
          <w:p>
            <w:pPr>
              <w:pStyle w:val="TableContents"/>
              <w:bidi w:val="0"/>
              <w:spacing w:before="0" w:after="283"/>
              <w:jc w:val="left"/>
              <w:rPr/>
            </w:pPr>
            <w:r>
              <w:rPr/>
              <w:t>Indemnification Claim Procedures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
        <w:gridCol w:w="88"/>
        <w:gridCol w:w="8675"/>
        <w:gridCol w:w="133"/>
        <w:gridCol w:w="60"/>
        <w:gridCol w:w="515"/>
        <w:gridCol w:w="64"/>
      </w:tblGrid>
      <w:tr>
        <w:trPr/>
        <w:tc>
          <w:tcPr>
            <w:tcW w:w="670"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67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670" w:type="dxa"/>
            <w:tcBorders/>
            <w:vAlign w:val="center"/>
          </w:tcPr>
          <w:p>
            <w:pPr>
              <w:pStyle w:val="TableContents"/>
              <w:bidi w:val="0"/>
              <w:spacing w:before="0" w:after="283"/>
              <w:jc w:val="left"/>
              <w:rPr>
                <w:sz w:val="4"/>
                <w:szCs w:val="4"/>
              </w:rPr>
            </w:pPr>
            <w:r>
              <w:rPr>
                <w:sz w:val="4"/>
                <w:szCs w:val="4"/>
              </w:rPr>
            </w:r>
          </w:p>
        </w:tc>
        <w:tc>
          <w:tcPr>
            <w:tcW w:w="876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Third Party Claims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rHeight w:val="120" w:hRule="atLeast"/>
        </w:trPr>
        <w:tc>
          <w:tcPr>
            <w:tcW w:w="9433" w:type="dxa"/>
            <w:gridSpan w:val="3"/>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r>
      <w:tr>
        <w:trPr/>
        <w:tc>
          <w:tcPr>
            <w:tcW w:w="9433" w:type="dxa"/>
            <w:gridSpan w:val="3"/>
            <w:tcBorders/>
          </w:tcPr>
          <w:p>
            <w:pPr>
              <w:pStyle w:val="TableContents"/>
              <w:bidi w:val="0"/>
              <w:spacing w:before="0" w:after="283"/>
              <w:jc w:val="left"/>
              <w:rPr/>
            </w:pPr>
            <w:r>
              <w:rPr/>
              <w:t>ARTICLE X GENERAL PROVISIONS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rHeight w:val="120" w:hRule="atLeast"/>
        </w:trPr>
        <w:tc>
          <w:tcPr>
            <w:tcW w:w="670" w:type="dxa"/>
            <w:tcBorders/>
            <w:vAlign w:val="center"/>
          </w:tcPr>
          <w:p>
            <w:pPr>
              <w:pStyle w:val="TableContents"/>
              <w:bidi w:val="0"/>
              <w:spacing w:before="0" w:after="283"/>
              <w:jc w:val="left"/>
              <w:rPr>
                <w:sz w:val="4"/>
                <w:szCs w:val="4"/>
              </w:rPr>
            </w:pPr>
            <w:r>
              <w:rPr>
                <w:sz w:val="4"/>
                <w:szCs w:val="4"/>
              </w:rPr>
            </w:r>
          </w:p>
        </w:tc>
        <w:tc>
          <w:tcPr>
            <w:tcW w:w="8763"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Notices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Counterparts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Entire Agreement; Parties in Interest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Amendment; Waiver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Assignment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Severability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Governing Law; Venue; Waiver of Jury Trial; Specific Performance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Interpretation; Rules of Construction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Securityholders’ Representative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Waiver of Conflicts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670"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88" w:type="dxa"/>
            <w:tcBorders/>
            <w:vAlign w:val="bottom"/>
          </w:tcPr>
          <w:p>
            <w:pPr>
              <w:pStyle w:val="TableContents"/>
              <w:bidi w:val="0"/>
              <w:spacing w:before="0" w:after="283"/>
              <w:jc w:val="left"/>
              <w:rPr/>
            </w:pPr>
            <w:r>
              <w:rPr/>
              <w:t> </w:t>
            </w:r>
          </w:p>
        </w:tc>
        <w:tc>
          <w:tcPr>
            <w:tcW w:w="8675" w:type="dxa"/>
            <w:tcBorders/>
            <w:vAlign w:val="bottom"/>
          </w:tcPr>
          <w:p>
            <w:pPr>
              <w:pStyle w:val="TableContents"/>
              <w:bidi w:val="0"/>
              <w:spacing w:before="0" w:after="283"/>
              <w:jc w:val="left"/>
              <w:rPr/>
            </w:pPr>
            <w:r>
              <w:rPr/>
              <w:t>Attorney-Client Privilege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INDEX OF EXHIBITS AND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0"/>
        <w:gridCol w:w="405"/>
        <w:gridCol w:w="8550"/>
      </w:tblGrid>
      <w:tr>
        <w:trPr/>
        <w:tc>
          <w:tcPr>
            <w:tcW w:w="125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855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405" w:type="dxa"/>
            <w:tcBorders/>
            <w:vAlign w:val="bottom"/>
          </w:tcPr>
          <w:p>
            <w:pPr>
              <w:pStyle w:val="TableContents"/>
              <w:bidi w:val="0"/>
              <w:spacing w:before="0" w:after="283"/>
              <w:jc w:val="left"/>
              <w:rPr/>
            </w:pPr>
            <w:r>
              <w:rPr/>
              <w:t>  </w:t>
            </w:r>
          </w:p>
        </w:tc>
        <w:tc>
          <w:tcPr>
            <w:tcW w:w="85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A</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Definitions</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B</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Stockholder Written Consent</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C</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Joinder Agreement</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D</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Investor Suitability Documentation</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E</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Escrow Agreement</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F</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Paying Agent Agreement</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G</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Certificate of Merger</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H</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Option Cancellation Agreement</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I</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Letter of Transmittal</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J</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FIRPTA Certificate</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K</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Lock-up Agreement</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Exhibit L</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Form of [***] Amendment</w:t>
            </w:r>
          </w:p>
        </w:tc>
      </w:tr>
      <w:tr>
        <w:trPr>
          <w:trHeight w:val="24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Schedule</w:t>
            </w:r>
          </w:p>
        </w:tc>
        <w:tc>
          <w:tcPr>
            <w:tcW w:w="405" w:type="dxa"/>
            <w:tcBorders/>
            <w:vAlign w:val="bottom"/>
          </w:tcPr>
          <w:p>
            <w:pPr>
              <w:pStyle w:val="TableContents"/>
              <w:bidi w:val="0"/>
              <w:spacing w:before="0" w:after="283"/>
              <w:jc w:val="left"/>
              <w:rPr/>
            </w:pPr>
            <w:r>
              <w:rPr/>
              <w:t>  </w:t>
            </w:r>
          </w:p>
        </w:tc>
        <w:tc>
          <w:tcPr>
            <w:tcW w:w="85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Description</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Schedule 1.1</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Illustration of Company Net Working Capital</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Schedule 1.2</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Assumed Expenses</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Schedule 1.3</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Company Products</w:t>
            </w:r>
          </w:p>
        </w:tc>
      </w:tr>
      <w:tr>
        <w:trPr>
          <w:trHeight w:val="120" w:hRule="atLeast"/>
        </w:trPr>
        <w:tc>
          <w:tcPr>
            <w:tcW w:w="1250"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283"/>
              <w:jc w:val="left"/>
              <w:rPr/>
            </w:pPr>
            <w:r>
              <w:rPr/>
              <w:t>Schedule 2.9</w:t>
            </w:r>
          </w:p>
        </w:tc>
        <w:tc>
          <w:tcPr>
            <w:tcW w:w="405" w:type="dxa"/>
            <w:tcBorders/>
            <w:vAlign w:val="bottom"/>
          </w:tcPr>
          <w:p>
            <w:pPr>
              <w:pStyle w:val="TableContents"/>
              <w:bidi w:val="0"/>
              <w:spacing w:before="0" w:after="283"/>
              <w:jc w:val="left"/>
              <w:rPr/>
            </w:pPr>
            <w:r>
              <w:rPr/>
              <w:t>  </w:t>
            </w:r>
          </w:p>
        </w:tc>
        <w:tc>
          <w:tcPr>
            <w:tcW w:w="8550" w:type="dxa"/>
            <w:tcBorders/>
          </w:tcPr>
          <w:p>
            <w:pPr>
              <w:pStyle w:val="TableContents"/>
              <w:bidi w:val="0"/>
              <w:spacing w:before="0" w:after="283"/>
              <w:jc w:val="left"/>
              <w:rPr/>
            </w:pPr>
            <w:r>
              <w:rPr/>
              <w:t>Additional Consideration Payments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is made and entered into as of July 6, 2026 (the “</w:t>
      </w:r>
      <w:r>
        <w:rPr>
          <w:rFonts w:ascii="Times New Roman" w:hAnsi="Times New Roman"/>
          <w:b/>
          <w:i/>
          <w:sz w:val="20"/>
        </w:rPr>
        <w:t>Agreement Date</w:t>
      </w:r>
      <w:r>
        <w:rPr>
          <w:rFonts w:ascii="Times New Roman" w:hAnsi="Times New Roman"/>
          <w:sz w:val="20"/>
        </w:rPr>
        <w:t>”), by and among Tarsus Pharmaceuticals, Inc., a Delaware corporation (“</w:t>
      </w:r>
      <w:r>
        <w:rPr>
          <w:rFonts w:ascii="Times New Roman" w:hAnsi="Times New Roman"/>
          <w:b/>
          <w:i/>
          <w:sz w:val="20"/>
        </w:rPr>
        <w:t>Acquiror</w:t>
      </w:r>
      <w:r>
        <w:rPr>
          <w:rFonts w:ascii="Times New Roman" w:hAnsi="Times New Roman"/>
          <w:sz w:val="20"/>
        </w:rPr>
        <w:t>”), Dolores Merger Sub, Inc., a Delaware corporation and wholly owned subsidiary of Acquiror (“</w:t>
      </w:r>
      <w:r>
        <w:rPr>
          <w:rFonts w:ascii="Times New Roman" w:hAnsi="Times New Roman"/>
          <w:b/>
          <w:i/>
          <w:sz w:val="20"/>
        </w:rPr>
        <w:t>Merger Sub</w:t>
      </w:r>
      <w:r>
        <w:rPr>
          <w:rFonts w:ascii="Times New Roman" w:hAnsi="Times New Roman"/>
          <w:sz w:val="20"/>
        </w:rPr>
        <w:t>”), iRenix Medical, Inc., a Delaware corporation (the “</w:t>
      </w:r>
      <w:r>
        <w:rPr>
          <w:rFonts w:ascii="Times New Roman" w:hAnsi="Times New Roman"/>
          <w:b/>
          <w:i/>
          <w:sz w:val="20"/>
        </w:rPr>
        <w:t>Company</w:t>
      </w:r>
      <w:r>
        <w:rPr>
          <w:rFonts w:ascii="Times New Roman" w:hAnsi="Times New Roman"/>
          <w:sz w:val="20"/>
        </w:rPr>
        <w:t xml:space="preserve">”), and the Securityholders’ Representative (as defined in this Agreement). Certain capitalized terms used herein have the respective meanings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A. The Board of Directors of the Company (the “</w:t>
      </w:r>
      <w:r>
        <w:rPr>
          <w:rFonts w:ascii="Times New Roman" w:hAnsi="Times New Roman"/>
          <w:b/>
          <w:i/>
          <w:sz w:val="20"/>
        </w:rPr>
        <w:t>Company Board</w:t>
      </w:r>
      <w:r>
        <w:rPr>
          <w:rFonts w:ascii="Times New Roman" w:hAnsi="Times New Roman"/>
          <w:sz w:val="20"/>
        </w:rPr>
        <w:t>”) has determined that it would be advisable and in the best interests of the Company Stockholders (as defined in this Agreement) that Merger Sub merge with and into the Company (the “</w:t>
      </w:r>
      <w:r>
        <w:rPr>
          <w:rFonts w:ascii="Times New Roman" w:hAnsi="Times New Roman"/>
          <w:b/>
          <w:i/>
          <w:sz w:val="20"/>
        </w:rPr>
        <w:t>Merger</w:t>
      </w:r>
      <w:r>
        <w:rPr>
          <w:rFonts w:ascii="Times New Roman" w:hAnsi="Times New Roman"/>
          <w:sz w:val="20"/>
        </w:rPr>
        <w:t xml:space="preserve">”), with the Company to survive the Merger and to become a wholly owned subsidiary of Acquiror, on the terms and subject to the conditions set forth in this Agreement, and, in furtherance thereof, has (i) adopted and approved the Merger, this Agreement and the other transactions contemplated by this Agreement, (ii) declared the Merger to be advisable, and (iii) resolved to recommend adoption of this Agreement by the Company Stockholders. </w:t>
      </w:r>
    </w:p>
    <w:p>
      <w:pPr>
        <w:pStyle w:val="TextBody"/>
        <w:bidi w:val="0"/>
        <w:spacing w:before="240" w:after="0"/>
        <w:jc w:val="left"/>
        <w:rPr>
          <w:rFonts w:ascii="Times New Roman" w:hAnsi="Times New Roman"/>
          <w:sz w:val="20"/>
        </w:rPr>
      </w:pPr>
      <w:r>
        <w:rPr>
          <w:rFonts w:ascii="Times New Roman" w:hAnsi="Times New Roman"/>
          <w:sz w:val="20"/>
        </w:rPr>
        <w:t xml:space="preserve">B. The board of directors of each of Acquiror and Merger Sub has approved the Merger, this Agreement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C. Immediately following the execution of this Agreement, the Company shall solicit from Company Stockholders constituting the Requisite Stockholder Approval (as defined herein) (i) a written consent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i/>
          <w:sz w:val="20"/>
        </w:rPr>
        <w:t>Stockholder Written Consent</w:t>
      </w:r>
      <w:r>
        <w:rPr>
          <w:rFonts w:ascii="Times New Roman" w:hAnsi="Times New Roman"/>
          <w:sz w:val="20"/>
        </w:rPr>
        <w:t xml:space="preserve">”), (ii) a Joinder Agreement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b/>
          <w:i/>
          <w:sz w:val="20"/>
        </w:rPr>
        <w:t>Joinder Agreement</w:t>
      </w:r>
      <w:r>
        <w:rPr>
          <w:rFonts w:ascii="Times New Roman" w:hAnsi="Times New Roman"/>
          <w:sz w:val="20"/>
        </w:rPr>
        <w:t xml:space="preserve">”), (iii) Investor Suitability Documentation (as defined herein) in the form attached hereto as </w:t>
      </w:r>
      <w:r>
        <w:rPr>
          <w:rFonts w:ascii="Times New Roman" w:hAnsi="Times New Roman"/>
          <w:sz w:val="20"/>
          <w:u w:val="single"/>
        </w:rPr>
        <w:t>Exhibit D</w:t>
      </w:r>
      <w:r>
        <w:rPr>
          <w:rFonts w:ascii="Times New Roman" w:hAnsi="Times New Roman"/>
          <w:sz w:val="20"/>
        </w:rPr>
        <w:t xml:space="preserve"> and (iv) Lock-up Agreements (as defined herein) in the form attached hereto as </w:t>
      </w:r>
      <w:r>
        <w:rPr>
          <w:rFonts w:ascii="Times New Roman" w:hAnsi="Times New Roman"/>
          <w:sz w:val="20"/>
          <w:u w:val="single"/>
        </w:rPr>
        <w:t>Exhibit K,</w:t>
      </w:r>
      <w:r>
        <w:rPr>
          <w:rFonts w:ascii="Times New Roman" w:hAnsi="Times New Roman"/>
          <w:sz w:val="20"/>
        </w:rPr>
        <w:t xml:space="preserve"> and shall deliver such documents to Acquiror within twenty-four (24) hours of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D. Pursuant to the Merger, among other things, the issued and outstanding shares of capital stock of the Company shall be converted into the right to receive cash in the manner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Merger Sub and Acquiror desire to make certain representations, warranties, covenants and other agreements, as more fully set forth in this Agreement, in connection with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representations, warranties, covenants and other agreements contained in this Agreement, and for other good and valuable consideration, the receipt and sufficiency of which are hereby acknowledged, the parties hereto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MERGER </w:t>
      </w:r>
    </w:p>
    <w:p>
      <w:pPr>
        <w:pStyle w:val="TextBody"/>
        <w:bidi w:val="0"/>
        <w:spacing w:before="240" w:after="0"/>
        <w:jc w:val="left"/>
        <w:rPr>
          <w:rFonts w:ascii="Times New Roman" w:hAnsi="Times New Roman"/>
          <w:sz w:val="20"/>
        </w:rPr>
      </w:pPr>
      <w:bookmarkStart w:id="18" w:name="ex2_2rom152392_2"/>
      <w:bookmarkEnd w:id="18"/>
      <w:r>
        <w:rPr>
          <w:rFonts w:ascii="Times New Roman" w:hAnsi="Times New Roman"/>
          <w:sz w:val="20"/>
        </w:rPr>
        <w:t>1.1 </w:t>
      </w:r>
      <w:r>
        <w:rPr>
          <w:rFonts w:ascii="Times New Roman" w:hAnsi="Times New Roman"/>
          <w:sz w:val="20"/>
          <w:u w:val="single"/>
        </w:rPr>
        <w:t>The Merger</w:t>
      </w:r>
      <w:r>
        <w:rPr>
          <w:rFonts w:ascii="Times New Roman" w:hAnsi="Times New Roman"/>
          <w:sz w:val="20"/>
        </w:rPr>
        <w:t>. At the Effective Time, on the terms and subject to the conditions set forth in this Agreement, Merger Sub shall merge with and into the Company, the separate corporate existence of Merger Sub shall cease and the Company shall continue as the surviving corporation and become a wholly owned subsidiary of Acquiror. The Company, as the surviving corporation after the Merger, shall also be referred to as the “</w:t>
      </w:r>
      <w:r>
        <w:rPr>
          <w:rFonts w:ascii="Times New Roman" w:hAnsi="Times New Roman"/>
          <w:b/>
          <w:i/>
          <w:sz w:val="20"/>
        </w:rPr>
        <w:t>Surviving Corporation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19" w:name="ex2_2rom152392_3"/>
      <w:bookmarkEnd w:id="19"/>
      <w:r>
        <w:rPr>
          <w:rFonts w:ascii="Times New Roman" w:hAnsi="Times New Roman"/>
          <w:sz w:val="20"/>
        </w:rPr>
        <w:t>1.2 </w:t>
      </w:r>
      <w:r>
        <w:rPr>
          <w:rFonts w:ascii="Times New Roman" w:hAnsi="Times New Roman"/>
          <w:sz w:val="20"/>
          <w:u w:val="single"/>
        </w:rPr>
        <w:t>Closing; Effective Time</w:t>
      </w:r>
      <w:r>
        <w:rPr>
          <w:rFonts w:ascii="Times New Roman" w:hAnsi="Times New Roman"/>
          <w:sz w:val="20"/>
        </w:rPr>
        <w:t>. The consummation of the transactions contemplated by this Agreement (the “</w:t>
      </w:r>
      <w:r>
        <w:rPr>
          <w:rFonts w:ascii="Times New Roman" w:hAnsi="Times New Roman"/>
          <w:b/>
          <w:i/>
          <w:sz w:val="20"/>
        </w:rPr>
        <w:t>Closing</w:t>
      </w:r>
      <w:r>
        <w:rPr>
          <w:rFonts w:ascii="Times New Roman" w:hAnsi="Times New Roman"/>
          <w:sz w:val="20"/>
        </w:rPr>
        <w:t>”) shall take place remotely via electronic exchange of closing deliveries on a date to be designated by the mutual agreement of the Company and Acquiror (the “</w:t>
      </w:r>
      <w:r>
        <w:rPr>
          <w:rFonts w:ascii="Times New Roman" w:hAnsi="Times New Roman"/>
          <w:b/>
          <w:i/>
          <w:sz w:val="20"/>
        </w:rPr>
        <w:t>Closing Date</w:t>
      </w:r>
      <w:r>
        <w:rPr>
          <w:rFonts w:ascii="Times New Roman" w:hAnsi="Times New Roman"/>
          <w:sz w:val="20"/>
        </w:rPr>
        <w:t xml:space="preserve">”), which shall be no later than the second Business Day after the satisfaction or waiver of the last to be satisfied or waived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nature are to be satisfied at the Closing, but subject to the satisfaction or waiver of such conditions). Subject to the provisions of this Agreement, as soon as practicable following the Closing and on the Closing Date, the Company shall file with the Secretary of State of the State of Delaware a certificate of merger satisfying the requirements of the Delaware Code (the “</w:t>
      </w:r>
      <w:r>
        <w:rPr>
          <w:rFonts w:ascii="Times New Roman" w:hAnsi="Times New Roman"/>
          <w:b/>
          <w:i/>
          <w:sz w:val="20"/>
        </w:rPr>
        <w:t>Certificate of Merger</w:t>
      </w:r>
      <w:r>
        <w:rPr>
          <w:rFonts w:ascii="Times New Roman" w:hAnsi="Times New Roman"/>
          <w:sz w:val="20"/>
        </w:rPr>
        <w:t>”). The Merger shall become effective upon the date and time of the filing of such Certificate of Merger with the Secretary of State of the State of Delaware, or at such later time as may be mutually agreed in writing by the Company and Acquiror and specified in the Certificate of Merger (the “</w:t>
      </w:r>
      <w:r>
        <w:rPr>
          <w:rFonts w:ascii="Times New Roman" w:hAnsi="Times New Roman"/>
          <w:b/>
          <w:i/>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 w:name="ex2_2rom152392_4"/>
      <w:bookmarkEnd w:id="20"/>
      <w:r>
        <w:rPr>
          <w:rFonts w:ascii="Times New Roman" w:hAnsi="Times New Roman"/>
          <w:sz w:val="20"/>
        </w:rPr>
        <w:t>1.3 </w:t>
      </w:r>
      <w:r>
        <w:rPr>
          <w:rFonts w:ascii="Times New Roman" w:hAnsi="Times New Roman"/>
          <w:sz w:val="20"/>
          <w:u w:val="single"/>
        </w:rPr>
        <w:t>Effect of the Merger</w:t>
      </w:r>
      <w:r>
        <w:rPr>
          <w:rFonts w:ascii="Times New Roman" w:hAnsi="Times New Roman"/>
          <w:sz w:val="20"/>
        </w:rPr>
        <w:t xml:space="preserve">. At the Effective Time, the effect of the Merger shall be as provided in this Agreement and the applicable provisions of the Delaware Code.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 </w:t>
      </w:r>
    </w:p>
    <w:p>
      <w:pPr>
        <w:pStyle w:val="TextBody"/>
        <w:bidi w:val="0"/>
        <w:spacing w:before="240" w:after="0"/>
        <w:jc w:val="left"/>
        <w:rPr>
          <w:rFonts w:ascii="Times New Roman" w:hAnsi="Times New Roman"/>
          <w:sz w:val="20"/>
        </w:rPr>
      </w:pPr>
      <w:bookmarkStart w:id="21" w:name="ex2_2rom152392_5"/>
      <w:bookmarkEnd w:id="21"/>
      <w:r>
        <w:rPr>
          <w:rFonts w:ascii="Times New Roman" w:hAnsi="Times New Roman"/>
          <w:sz w:val="20"/>
        </w:rPr>
        <w:t>1.4 </w:t>
      </w:r>
      <w:r>
        <w:rPr>
          <w:rFonts w:ascii="Times New Roman" w:hAnsi="Times New Roman"/>
          <w:sz w:val="20"/>
          <w:u w:val="single"/>
        </w:rPr>
        <w:t>Closing Deliveries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Acquiror Deliveries</w:t>
      </w:r>
      <w:r>
        <w:rPr>
          <w:rFonts w:ascii="Times New Roman" w:hAnsi="Times New Roman"/>
          <w:sz w:val="20"/>
        </w:rPr>
        <w:t xml:space="preserve">. At or prior to the Closing, Acquiror shall deliver or cause to be delivered to the Company (or to the applicable recipient as specified below)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as of the Closing Date, executed on behalf of Acquiror and Merger Sub, in each case by a duly authorized officer of Acquiror and Merger Sub, as applicable, to the effect that each of the conditions set forth in </w:t>
      </w:r>
      <w:r>
        <w:rPr>
          <w:rFonts w:ascii="Times New Roman" w:hAnsi="Times New Roman"/>
          <w:sz w:val="20"/>
          <w:u w:val="single"/>
        </w:rPr>
        <w:t>Section 7.2(a)</w:t>
      </w:r>
      <w:r>
        <w:rPr>
          <w:rFonts w:ascii="Times New Roman" w:hAnsi="Times New Roman"/>
          <w:sz w:val="20"/>
        </w:rPr>
        <w:t xml:space="preserve"> and </w:t>
      </w:r>
      <w:r>
        <w:rPr>
          <w:rFonts w:ascii="Times New Roman" w:hAnsi="Times New Roman"/>
          <w:sz w:val="20"/>
          <w:u w:val="single"/>
        </w:rPr>
        <w:t>Section 7.2(b)</w:t>
      </w:r>
      <w:r>
        <w:rPr>
          <w:rFonts w:ascii="Times New Roman" w:hAnsi="Times New Roman"/>
          <w:sz w:val="20"/>
        </w:rPr>
        <w:t xml:space="preserve">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(ii) an Escrow Agreement, in substantially the form attached hereto as </w:t>
      </w:r>
      <w:r>
        <w:rPr>
          <w:rFonts w:ascii="Times New Roman" w:hAnsi="Times New Roman"/>
          <w:sz w:val="20"/>
          <w:u w:val="single"/>
        </w:rPr>
        <w:t>Exhibit E</w:t>
      </w:r>
      <w:r>
        <w:rPr>
          <w:rFonts w:ascii="Times New Roman" w:hAnsi="Times New Roman"/>
          <w:sz w:val="20"/>
        </w:rPr>
        <w:t xml:space="preserve"> (the “</w:t>
      </w:r>
      <w:r>
        <w:rPr>
          <w:rFonts w:ascii="Times New Roman" w:hAnsi="Times New Roman"/>
          <w:b/>
          <w:i/>
          <w:sz w:val="20"/>
        </w:rPr>
        <w:t>Escrow Agreement</w:t>
      </w:r>
      <w:r>
        <w:rPr>
          <w:rFonts w:ascii="Times New Roman" w:hAnsi="Times New Roman"/>
          <w:sz w:val="20"/>
        </w:rPr>
        <w:t xml:space="preserve">”), dated as of the Closing Date and executed by Acquiror; </w:t>
      </w:r>
    </w:p>
    <w:p>
      <w:pPr>
        <w:pStyle w:val="TextBody"/>
        <w:bidi w:val="0"/>
        <w:spacing w:before="120" w:after="0"/>
        <w:jc w:val="left"/>
        <w:rPr>
          <w:rFonts w:ascii="Times New Roman" w:hAnsi="Times New Roman"/>
          <w:sz w:val="20"/>
        </w:rPr>
      </w:pPr>
      <w:r>
        <w:rPr>
          <w:rFonts w:ascii="Times New Roman" w:hAnsi="Times New Roman"/>
          <w:sz w:val="20"/>
        </w:rPr>
        <w:t xml:space="preserve">(iii) a Paying Agent Agreement, in substantially the form attached as </w:t>
      </w:r>
      <w:r>
        <w:rPr>
          <w:rFonts w:ascii="Times New Roman" w:hAnsi="Times New Roman"/>
          <w:sz w:val="20"/>
          <w:u w:val="single"/>
        </w:rPr>
        <w:t>Exhibit F</w:t>
      </w:r>
      <w:r>
        <w:rPr>
          <w:rFonts w:ascii="Times New Roman" w:hAnsi="Times New Roman"/>
          <w:sz w:val="20"/>
        </w:rPr>
        <w:t xml:space="preserve"> (the “</w:t>
      </w:r>
      <w:r>
        <w:rPr>
          <w:rFonts w:ascii="Times New Roman" w:hAnsi="Times New Roman"/>
          <w:b/>
          <w:i/>
          <w:sz w:val="20"/>
        </w:rPr>
        <w:t>Paying Agent Agreement</w:t>
      </w:r>
      <w:r>
        <w:rPr>
          <w:rFonts w:ascii="Times New Roman" w:hAnsi="Times New Roman"/>
          <w:sz w:val="20"/>
        </w:rPr>
        <w:t xml:space="preserve">”), dated as of the Closing Date and executed by Acquiror and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(iv) payment to the Paying Agent by wire transfer of immediately available funds an amount equal to (x) the aggregate Closing Cash Consideration payable pursuant to the terms of this Agreement in exchange for all shares of Company Capital Stock, </w:t>
      </w:r>
      <w:r>
        <w:rPr>
          <w:rFonts w:ascii="Times New Roman" w:hAnsi="Times New Roman"/>
          <w:i/>
          <w:sz w:val="20"/>
        </w:rPr>
        <w:t>plus</w:t>
      </w:r>
      <w:r>
        <w:rPr>
          <w:rFonts w:ascii="Times New Roman" w:hAnsi="Times New Roman"/>
          <w:sz w:val="20"/>
        </w:rPr>
        <w:t xml:space="preserve"> (y) the portion of the Closing Option Consideration that is payable to the former holders of the Company Non-Employee Options in cash, subject to and pursuant to the terms of </w:t>
      </w:r>
      <w:r>
        <w:rPr>
          <w:rFonts w:ascii="Times New Roman" w:hAnsi="Times New Roman"/>
          <w:sz w:val="20"/>
          <w:u w:val="single"/>
        </w:rPr>
        <w:t>Section 2.1(b)(ii)</w:t>
      </w:r>
      <w:r>
        <w:rPr>
          <w:rFonts w:ascii="Times New Roman" w:hAnsi="Times New Roman"/>
          <w:sz w:val="20"/>
        </w:rPr>
        <w:t xml:space="preserve"> hereof, </w:t>
      </w:r>
      <w:r>
        <w:rPr>
          <w:rFonts w:ascii="Times New Roman" w:hAnsi="Times New Roman"/>
          <w:i/>
          <w:sz w:val="20"/>
        </w:rPr>
        <w:t>less</w:t>
      </w:r>
      <w:r>
        <w:rPr>
          <w:rFonts w:ascii="Times New Roman" w:hAnsi="Times New Roman"/>
          <w:sz w:val="20"/>
        </w:rPr>
        <w:t xml:space="preserve"> (z) (A) the Adjustment Escrow Amount and the Retention Escrow Amount, and (B) the Reserve Amount; </w:t>
      </w:r>
    </w:p>
    <w:p>
      <w:pPr>
        <w:pStyle w:val="TextBody"/>
        <w:bidi w:val="0"/>
        <w:spacing w:before="120" w:after="0"/>
        <w:jc w:val="left"/>
        <w:rPr>
          <w:rFonts w:ascii="Times New Roman" w:hAnsi="Times New Roman"/>
          <w:sz w:val="20"/>
        </w:rPr>
      </w:pPr>
      <w:r>
        <w:rPr>
          <w:rFonts w:ascii="Times New Roman" w:hAnsi="Times New Roman"/>
          <w:sz w:val="20"/>
        </w:rPr>
        <w:t xml:space="preserve">(v) payment to the Company or its current payroll provider by wire transfer of immediately available funds an amount equal to the portion of the Closing Option Consideration that is payable to the former holders of Company Employee Options in cash, subject to and pursuant to the terms of </w:t>
      </w:r>
      <w:r>
        <w:rPr>
          <w:rFonts w:ascii="Times New Roman" w:hAnsi="Times New Roman"/>
          <w:sz w:val="20"/>
          <w:u w:val="single"/>
        </w:rPr>
        <w:t>Section 2.1(b)(ii)</w:t>
      </w:r>
      <w:r>
        <w:rPr>
          <w:rFonts w:ascii="Times New Roman" w:hAnsi="Times New Roman"/>
          <w:sz w:val="20"/>
        </w:rPr>
        <w:t xml:space="preserve"> hereof for further distribution to former holders of Company Employee Options at the first reasonably practicable payroll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(vi) payment of the Adjustment Escrow Amount and the Retention Escrow Amount to the Escrow Agent by wire transfer of immediately available funds; </w:t>
      </w:r>
    </w:p>
    <w:p>
      <w:pPr>
        <w:pStyle w:val="TextBody"/>
        <w:bidi w:val="0"/>
        <w:spacing w:before="120" w:after="0"/>
        <w:jc w:val="left"/>
        <w:rPr>
          <w:rFonts w:ascii="Times New Roman" w:hAnsi="Times New Roman"/>
          <w:sz w:val="20"/>
        </w:rPr>
      </w:pPr>
      <w:r>
        <w:rPr>
          <w:rFonts w:ascii="Times New Roman" w:hAnsi="Times New Roman"/>
          <w:sz w:val="20"/>
        </w:rPr>
        <w:t xml:space="preserve">(vii) payment of the Reserve Amount to the Securityholders’ Representative by wire transfer of immediately available funds; </w:t>
      </w:r>
    </w:p>
    <w:p>
      <w:pPr>
        <w:pStyle w:val="TextBody"/>
        <w:bidi w:val="0"/>
        <w:spacing w:before="120" w:after="0"/>
        <w:jc w:val="left"/>
        <w:rPr>
          <w:rFonts w:ascii="Times New Roman" w:hAnsi="Times New Roman"/>
          <w:sz w:val="20"/>
        </w:rPr>
      </w:pPr>
      <w:r>
        <w:rPr>
          <w:rFonts w:ascii="Times New Roman" w:hAnsi="Times New Roman"/>
          <w:sz w:val="20"/>
        </w:rPr>
        <w:t xml:space="preserve">(viii) payments of any amounts of money due and owing from the Company to third parties as Transaction Expenses set forth on the Closing Expenses Certificate; </w:t>
      </w:r>
    </w:p>
    <w:p>
      <w:pPr>
        <w:pStyle w:val="TextBody"/>
        <w:bidi w:val="0"/>
        <w:spacing w:before="120" w:after="0"/>
        <w:jc w:val="left"/>
        <w:rPr>
          <w:rFonts w:ascii="Times New Roman" w:hAnsi="Times New Roman"/>
          <w:sz w:val="20"/>
        </w:rPr>
      </w:pPr>
      <w:r>
        <w:rPr>
          <w:rFonts w:ascii="Times New Roman" w:hAnsi="Times New Roman"/>
          <w:sz w:val="20"/>
        </w:rPr>
        <w:t xml:space="preserve">(ix) payment to holders of outstanding Indebtedness for borrowed money (including any non-converting SAFE holders pursuant to </w:t>
      </w:r>
      <w:r>
        <w:rPr>
          <w:rFonts w:ascii="Times New Roman" w:hAnsi="Times New Roman"/>
          <w:sz w:val="20"/>
          <w:u w:val="single"/>
        </w:rPr>
        <w:t>Section 2.1(c)</w:t>
      </w:r>
      <w:r>
        <w:rPr>
          <w:rFonts w:ascii="Times New Roman" w:hAnsi="Times New Roman"/>
          <w:sz w:val="20"/>
        </w:rPr>
        <w:t xml:space="preserve">), if any, by wire transfer of immediately available funds that amount of money due and owing from the Company to such holder of outstanding Indebtedness as of the Closing Date as set forth on the Company Indebtedness Certificate; and </w:t>
      </w:r>
    </w:p>
    <w:p>
      <w:pPr>
        <w:pStyle w:val="TextBody"/>
        <w:bidi w:val="0"/>
        <w:spacing w:before="120" w:after="0"/>
        <w:jc w:val="left"/>
        <w:rPr>
          <w:rFonts w:ascii="Times New Roman" w:hAnsi="Times New Roman"/>
          <w:sz w:val="20"/>
        </w:rPr>
      </w:pPr>
      <w:r>
        <w:rPr>
          <w:rFonts w:ascii="Times New Roman" w:hAnsi="Times New Roman"/>
          <w:sz w:val="20"/>
        </w:rPr>
        <w:t xml:space="preserve">(x) The R&amp;W Policy, issued by the provider in accordance with such binder agreement.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Deliveries</w:t>
      </w:r>
      <w:r>
        <w:rPr>
          <w:rFonts w:ascii="Times New Roman" w:hAnsi="Times New Roman"/>
          <w:sz w:val="20"/>
        </w:rPr>
        <w:t xml:space="preserve">. The Company shall deliver to Acquiror, at or prior to the Closing,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dated as of the Closing Date and executed on behalf of the Company by a duly authorized officer of the Company, to the effect that the conditions set forth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(ii) a certificate, dated as of the Closing Date and executed on behalf of the Company by its Secretary, certifying (A) resolutions of the Company Board approving and authorizing the execution, delivery and performance by the Company of this Agreement and the consummation by the Company of the transactions contemplated hereby and (B) Stockholder Written Consents of the Company Stockholders approving the Merger and adopting this Agreement and which constitute the Requisite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Indebtedness Certificate, dated as of the Closing Date and executed by the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(iv) the Closing Expenses Certificate, dated as of the Closing Date and executed by the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(v) the Escrow Agreement, dated as of the Closing Date and executed by the Securityholders’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(vi) the Certificate of Merger, in substantially the form attached hereto as </w:t>
      </w:r>
      <w:r>
        <w:rPr>
          <w:rFonts w:ascii="Times New Roman" w:hAnsi="Times New Roman"/>
          <w:sz w:val="20"/>
          <w:u w:val="single"/>
        </w:rPr>
        <w:t>Exhibit G</w:t>
      </w:r>
      <w:r>
        <w:rPr>
          <w:rFonts w:ascii="Times New Roman" w:hAnsi="Times New Roman"/>
          <w:sz w:val="20"/>
        </w:rPr>
        <w:t xml:space="preserve">, dated as of the Closing Date and executed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(vii) a statement of resignation executed by each of the directors and officers of the Company in office immediately prior to the Closing as directors and/or officers, as applicable, of the Company, effective as of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 certificate dated within ten (10) Business Days prior to the Closing Date from the Secretary of State of the State of Delaware certifying that the Company is in good standing under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(ix) a certificate and notice to the U.S. Internal Revenue Service, in accordance with the requirements of Treasury Regulations Section 1.897-2(h)(2) and 1.1445-2(c)(3), dated as of the Closing Date and executed by an officer of the Company, in form and substance substantially identical to </w:t>
      </w:r>
      <w:r>
        <w:rPr>
          <w:rFonts w:ascii="Times New Roman" w:hAnsi="Times New Roman"/>
          <w:sz w:val="20"/>
          <w:u w:val="single"/>
        </w:rPr>
        <w:t>Exhibit J</w:t>
      </w:r>
      <w:r>
        <w:rPr>
          <w:rFonts w:ascii="Times New Roman" w:hAnsi="Times New Roman"/>
          <w:sz w:val="20"/>
        </w:rPr>
        <w:t xml:space="preserve">, certifying that interests in the Company, including shares of the Company Capital Stock, do not constitute “United States real property interests” under Section 897(c) of the Code; </w:t>
      </w:r>
    </w:p>
    <w:p>
      <w:pPr>
        <w:pStyle w:val="TextBody"/>
        <w:bidi w:val="0"/>
        <w:spacing w:before="120" w:after="0"/>
        <w:jc w:val="left"/>
        <w:rPr>
          <w:rFonts w:ascii="Times New Roman" w:hAnsi="Times New Roman"/>
          <w:sz w:val="20"/>
        </w:rPr>
      </w:pPr>
      <w:r>
        <w:rPr>
          <w:rFonts w:ascii="Times New Roman" w:hAnsi="Times New Roman"/>
          <w:sz w:val="20"/>
        </w:rPr>
        <w:t xml:space="preserve">(x) holders of an aggregate of at least ninety percent (90%) of outstanding Company Capital Stock immediately prior to the Effective Time (including for the avoidance of doubt any Company Optionholders who exercise their Company Options prior to the Closing) shall have executed and delivered to Acquiror Stockholder Written Consents, Joinder Agreements, Investor Suitability Documentation and Lock-up Agreements, in the forms attached hereto as </w:t>
      </w:r>
      <w:r>
        <w:rPr>
          <w:rFonts w:ascii="Times New Roman" w:hAnsi="Times New Roman"/>
          <w:sz w:val="20"/>
          <w:u w:val="single"/>
        </w:rPr>
        <w:t>Exhibit B</w:t>
      </w:r>
      <w:r>
        <w:rPr>
          <w:rFonts w:ascii="Times New Roman" w:hAnsi="Times New Roman"/>
          <w:sz w:val="20"/>
        </w:rPr>
        <w:t xml:space="preserve">, </w:t>
      </w:r>
      <w:r>
        <w:rPr>
          <w:rFonts w:ascii="Times New Roman" w:hAnsi="Times New Roman"/>
          <w:sz w:val="20"/>
          <w:u w:val="single"/>
        </w:rPr>
        <w:t>Exhibit C</w:t>
      </w:r>
      <w:r>
        <w:rPr>
          <w:rFonts w:ascii="Times New Roman" w:hAnsi="Times New Roman"/>
          <w:sz w:val="20"/>
        </w:rPr>
        <w:t xml:space="preserve">, </w:t>
      </w:r>
      <w:r>
        <w:rPr>
          <w:rFonts w:ascii="Times New Roman" w:hAnsi="Times New Roman"/>
          <w:sz w:val="20"/>
          <w:u w:val="single"/>
        </w:rPr>
        <w:t>Exhibit D</w:t>
      </w:r>
      <w:r>
        <w:rPr>
          <w:rFonts w:ascii="Times New Roman" w:hAnsi="Times New Roman"/>
          <w:sz w:val="20"/>
        </w:rPr>
        <w:t xml:space="preserve"> and </w:t>
      </w:r>
      <w:r>
        <w:rPr>
          <w:rFonts w:ascii="Times New Roman" w:hAnsi="Times New Roman"/>
          <w:sz w:val="20"/>
          <w:u w:val="single"/>
        </w:rPr>
        <w:t>Exhibit K,</w:t>
      </w:r>
      <w:r>
        <w:rPr>
          <w:rFonts w:ascii="Times New Roman" w:hAnsi="Times New Roman"/>
          <w:sz w:val="20"/>
        </w:rPr>
        <w:t xml:space="preserve"> respectively, and no Stockholder Written Consent shall have been repudiated and all such Joinder Agreements, Investor Suitability Documentation and Lock-up Agreements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(xi)  holders of an aggregate of at least [***] of all In-the-Money Options shall have executed and delivered to Acquiror Option Cancellation Agreements, and the Company shall have delivered evidence satisfactory to Acquiror that the Company has taken all necessary actions to effect the treatment of Company Options described in </w:t>
      </w:r>
      <w:r>
        <w:rPr>
          <w:rFonts w:ascii="Times New Roman" w:hAnsi="Times New Roman"/>
          <w:sz w:val="20"/>
          <w:u w:val="single"/>
        </w:rPr>
        <w:t>Section 2.1(b)(ii)</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(xii) an amendment to the [***] License Agreement, duly executed by each of [***] and [***] (defined collectively as “</w:t>
      </w:r>
      <w:r>
        <w:rPr>
          <w:rFonts w:ascii="Times New Roman" w:hAnsi="Times New Roman"/>
          <w:b/>
          <w:i/>
          <w:sz w:val="20"/>
        </w:rPr>
        <w:t>[***]</w:t>
      </w:r>
      <w:r>
        <w:rPr>
          <w:rFonts w:ascii="Times New Roman" w:hAnsi="Times New Roman"/>
          <w:sz w:val="20"/>
        </w:rPr>
        <w:t>” under the [***] License Agreement, each, an “</w:t>
      </w:r>
      <w:r>
        <w:rPr>
          <w:rFonts w:ascii="Times New Roman" w:hAnsi="Times New Roman"/>
          <w:b/>
          <w:i/>
          <w:sz w:val="20"/>
        </w:rPr>
        <w:t>[***] Party</w:t>
      </w:r>
      <w:r>
        <w:rPr>
          <w:rFonts w:ascii="Times New Roman" w:hAnsi="Times New Roman"/>
          <w:sz w:val="20"/>
        </w:rPr>
        <w:t>” and together the “</w:t>
      </w:r>
      <w:r>
        <w:rPr>
          <w:rFonts w:ascii="Times New Roman" w:hAnsi="Times New Roman"/>
          <w:b/>
          <w:i/>
          <w:sz w:val="20"/>
        </w:rPr>
        <w:t>[***] Parties</w:t>
      </w:r>
      <w:r>
        <w:rPr>
          <w:rFonts w:ascii="Times New Roman" w:hAnsi="Times New Roman"/>
          <w:sz w:val="20"/>
        </w:rPr>
        <w:t xml:space="preserve">”)) and the Company, in the form attached hereto as </w:t>
      </w:r>
      <w:r>
        <w:rPr>
          <w:rFonts w:ascii="Times New Roman" w:hAnsi="Times New Roman"/>
          <w:sz w:val="20"/>
          <w:u w:val="single"/>
        </w:rPr>
        <w:t>Exhibit L</w:t>
      </w:r>
      <w:r>
        <w:rPr>
          <w:rFonts w:ascii="Times New Roman" w:hAnsi="Times New Roman"/>
          <w:sz w:val="20"/>
        </w:rPr>
        <w:t xml:space="preserve"> (the “</w:t>
      </w:r>
      <w:r>
        <w:rPr>
          <w:rFonts w:ascii="Times New Roman" w:hAnsi="Times New Roman"/>
          <w:b/>
          <w:i/>
          <w:sz w:val="20"/>
        </w:rPr>
        <w:t>[***] Amendment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(xiii) evidence, in form and substance reasonably satisfactory to Acquiror, of the termination and extinguishment of (a) the outstanding Company SAFE and (b) each outstanding convertible note of the Company, in each case effective as of the Closing, including (as applicable) executed termination agreements, cancellation agreements or payoff letters; and </w:t>
      </w:r>
    </w:p>
    <w:p>
      <w:pPr>
        <w:pStyle w:val="TextBody"/>
        <w:bidi w:val="0"/>
        <w:spacing w:before="120" w:after="0"/>
        <w:jc w:val="left"/>
        <w:rPr>
          <w:rFonts w:ascii="Times New Roman" w:hAnsi="Times New Roman"/>
          <w:sz w:val="20"/>
        </w:rPr>
      </w:pPr>
      <w:r>
        <w:rPr>
          <w:rFonts w:ascii="Times New Roman" w:hAnsi="Times New Roman"/>
          <w:sz w:val="20"/>
        </w:rPr>
        <w:t xml:space="preserve">(xiv) the Company shall have delivered to Acquiror evidence that the Company has complied with its obligations set forth in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2" w:name="ex2_2rom152392_6"/>
      <w:bookmarkEnd w:id="22"/>
      <w:r>
        <w:rPr>
          <w:rFonts w:ascii="Times New Roman" w:hAnsi="Times New Roman"/>
          <w:sz w:val="20"/>
        </w:rPr>
        <w:t>1.5 </w:t>
      </w:r>
      <w:r>
        <w:rPr>
          <w:rFonts w:ascii="Times New Roman" w:hAnsi="Times New Roman"/>
          <w:sz w:val="20"/>
          <w:u w:val="single"/>
        </w:rPr>
        <w:t>Certificate of Incorporation and Bylaws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the certificate of incorporation of the Surviving Corporation, as in effect immediately prior to the Effective Time, shall be amended and restated as of the Effective Time to conform to the certificate of incorporation of the Merger Sub as in effect immediately prior to the Effective Time, except that references to the name of Merger Sub therein shall be deemed to be references to the name of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the bylaws of the Surviving Corporation shall be amended and restated immediately as of the Effective Time to conform to the bylaws of Merger Sub, as in effect immediately prior to the Effective Time, except that references to the name of Merger Sub therein shall be deemed to be references to the name of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23" w:name="ex2_2rom152392_7"/>
      <w:bookmarkEnd w:id="23"/>
      <w:r>
        <w:rPr>
          <w:rFonts w:ascii="Times New Roman" w:hAnsi="Times New Roman"/>
          <w:sz w:val="20"/>
        </w:rPr>
        <w:t>1.6 </w:t>
      </w:r>
      <w:r>
        <w:rPr>
          <w:rFonts w:ascii="Times New Roman" w:hAnsi="Times New Roman"/>
          <w:sz w:val="20"/>
          <w:u w:val="single"/>
        </w:rPr>
        <w:t>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Acquiror prior to the Effective Time, at the Effective Time, the directors of Merger Sub shall be the members of the Board of Directors of the Surviving Corporation immediately after the Effective Time until their respective successors are duly elected, designated and qualified, or until their earlier death, resignation or removal in accordance with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determined by Acquiror prior to the Effective Time, at the Effective Time, the officers of Merger Sub shall be the officers of the Surviving Corporation immediately after the Effective Time until their respective successors are duly appointed or until their earlier death, resignation or removal in accordance with the certificate of incorporation of the Surviving Corporation. </w:t>
      </w:r>
    </w:p>
    <w:p>
      <w:pPr>
        <w:pStyle w:val="TextBody"/>
        <w:bidi w:val="0"/>
        <w:spacing w:before="240" w:after="0"/>
        <w:jc w:val="left"/>
        <w:rPr>
          <w:rFonts w:ascii="Times New Roman" w:hAnsi="Times New Roman"/>
          <w:sz w:val="20"/>
        </w:rPr>
      </w:pPr>
      <w:bookmarkStart w:id="24" w:name="ex2_2rom152392_8"/>
      <w:bookmarkEnd w:id="24"/>
      <w:r>
        <w:rPr>
          <w:rFonts w:ascii="Times New Roman" w:hAnsi="Times New Roman"/>
          <w:sz w:val="20"/>
        </w:rPr>
        <w:t>1.7 </w:t>
      </w:r>
      <w:r>
        <w:rPr>
          <w:rFonts w:ascii="Times New Roman" w:hAnsi="Times New Roman"/>
          <w:sz w:val="20"/>
          <w:u w:val="single"/>
        </w:rPr>
        <w:t>Taking of Necessary Action; Further Action</w:t>
      </w:r>
      <w:r>
        <w:rPr>
          <w:rFonts w:ascii="Times New Roman" w:hAnsi="Times New Roman"/>
          <w:sz w:val="20"/>
        </w:rPr>
        <w:t xml:space="preserve">. If, at any time after the Effective Time, any further action is necessary or desirable to carry out the purposes of this Agreement and to vest the Surviving Corporation with full right, title and interest in, to and under, and/or possession of, all assets, property, rights, privileges, powers and franchises of the Company, the officers and directors of the Surviving Corporation are fully authorized in the name and on behalf of the Company or otherwise, to take all lawful action necessary or desirable to accomplish such purpose or acts, so long as such action is not inconsistent with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EXCHANGE OF COMPANY SECURITIES </w:t>
      </w:r>
    </w:p>
    <w:p>
      <w:pPr>
        <w:pStyle w:val="TextBody"/>
        <w:bidi w:val="0"/>
        <w:spacing w:before="240" w:after="0"/>
        <w:jc w:val="left"/>
        <w:rPr>
          <w:rFonts w:ascii="Times New Roman" w:hAnsi="Times New Roman"/>
          <w:sz w:val="20"/>
        </w:rPr>
      </w:pPr>
      <w:bookmarkStart w:id="25" w:name="ex2_2rom152392_10"/>
      <w:bookmarkEnd w:id="25"/>
      <w:r>
        <w:rPr>
          <w:rFonts w:ascii="Times New Roman" w:hAnsi="Times New Roman"/>
          <w:sz w:val="20"/>
        </w:rPr>
        <w:t>2.1 </w:t>
      </w:r>
      <w:r>
        <w:rPr>
          <w:rFonts w:ascii="Times New Roman" w:hAnsi="Times New Roman"/>
          <w:sz w:val="20"/>
          <w:u w:val="single"/>
        </w:rPr>
        <w:t>Effect of the Merger on Company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Treatment of Company Capital Stock Owned by the Company, Acquiror, Merger Sub or any other Subsidiary of Acquiror</w:t>
      </w:r>
      <w:r>
        <w:rPr>
          <w:rFonts w:ascii="Times New Roman" w:hAnsi="Times New Roman"/>
          <w:sz w:val="20"/>
        </w:rPr>
        <w:t xml:space="preserve">. At the Effective Time, by virtue of the Merger and without any further action on the part of Acquiror, Merger Sub or the Company, all shares of Company Capital Stock that are owned by the Company as treasury stock or reserved for issuance by the Company immediately prior to the Effective Time and all shares of Company Capital Stock that are owned by Acquiror or Merger Sub shall be cancelled and extinguished without any conversion thereof and no amount of Merger Consideration shall be allocated or paid thereto.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Treatment of Company Capital Stock Owned by Company Stockholders, Company Options</w:t>
      </w:r>
      <w:r>
        <w:rPr>
          <w:rFonts w:ascii="Times New Roman" w:hAnsi="Times New Roman"/>
          <w:sz w:val="20"/>
        </w:rPr>
        <w:t xml:space="preserve">. Subject to </w:t>
      </w:r>
      <w:r>
        <w:rPr>
          <w:rFonts w:ascii="Times New Roman" w:hAnsi="Times New Roman"/>
          <w:sz w:val="20"/>
          <w:u w:val="single"/>
        </w:rPr>
        <w:t>Section 2.1(a)</w:t>
      </w:r>
      <w:r>
        <w:rPr>
          <w:rFonts w:ascii="Times New Roman" w:hAnsi="Times New Roman"/>
          <w:sz w:val="20"/>
        </w:rPr>
        <w:t xml:space="preserve"> above and the other terms and conditions set forth in this Agreement, by virtue of the Merger and without any action on the part of Acquiror, Merger Sub, the Company, or any holder of the Company Capital Stock, and/or the Company Options: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Preferred Stock and Common Stock</w:t>
      </w:r>
      <w:r>
        <w:rPr>
          <w:rFonts w:ascii="Times New Roman" w:hAnsi="Times New Roman"/>
          <w:sz w:val="20"/>
        </w:rPr>
        <w:t xml:space="preserve">. At the Effective Time, each share of Company Capital Stock issued and outstanding immediately prior to the Effective Time (other than Dissenting Shares) shall be automatically converted into the right to receive on a per share basis an amount of cash (without interest) equal to the sum of: (x) (A) the applicable Per Share Closing Cash Amount (subject to adjustment pursuant to </w:t>
      </w:r>
      <w:r>
        <w:rPr>
          <w:rFonts w:ascii="Times New Roman" w:hAnsi="Times New Roman"/>
          <w:sz w:val="20"/>
          <w:u w:val="single"/>
        </w:rPr>
        <w:t>Section 2.6</w:t>
      </w:r>
      <w:r>
        <w:rPr>
          <w:rFonts w:ascii="Times New Roman" w:hAnsi="Times New Roman"/>
          <w:sz w:val="20"/>
        </w:rPr>
        <w:t xml:space="preserve"> and </w:t>
      </w:r>
      <w:r>
        <w:rPr>
          <w:rFonts w:ascii="Times New Roman" w:hAnsi="Times New Roman"/>
          <w:sz w:val="20"/>
          <w:u w:val="single"/>
        </w:rPr>
        <w:t>Section 2.2(f)</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(B) the applicable Pro Rata Portion of the Adjustment Escrow Amount and the Retention Escrow Amount, if any, </w:t>
      </w:r>
      <w:r>
        <w:rPr>
          <w:rFonts w:ascii="Times New Roman" w:hAnsi="Times New Roman"/>
          <w:i/>
          <w:sz w:val="20"/>
        </w:rPr>
        <w:t>plus</w:t>
      </w:r>
      <w:r>
        <w:rPr>
          <w:rFonts w:ascii="Times New Roman" w:hAnsi="Times New Roman"/>
          <w:sz w:val="20"/>
        </w:rPr>
        <w:t xml:space="preserve"> (C) the applicable Pro Rata Portion of the Reserve Amount, if any, </w:t>
      </w:r>
      <w:r>
        <w:rPr>
          <w:rFonts w:ascii="Times New Roman" w:hAnsi="Times New Roman"/>
          <w:i/>
          <w:sz w:val="20"/>
        </w:rPr>
        <w:t xml:space="preserve">plus </w:t>
      </w:r>
      <w:r>
        <w:rPr>
          <w:rFonts w:ascii="Times New Roman" w:hAnsi="Times New Roman"/>
          <w:sz w:val="20"/>
        </w:rPr>
        <w:t xml:space="preserve">(D) the applicable Pro Rata Portion of the Surplus Amount, if any, </w:t>
      </w:r>
      <w:r>
        <w:rPr>
          <w:rFonts w:ascii="Times New Roman" w:hAnsi="Times New Roman"/>
          <w:i/>
          <w:sz w:val="20"/>
        </w:rPr>
        <w:t>plus</w:t>
      </w:r>
      <w:r>
        <w:rPr>
          <w:rFonts w:ascii="Times New Roman" w:hAnsi="Times New Roman"/>
          <w:sz w:val="20"/>
        </w:rPr>
        <w:t xml:space="preserve"> (E) the applicable Pro Rata Portion of any Additional Consideration Payment, if any, and (y) a number of shares of Acquiror Common Stock equal to the Per Share Stock Closing Amount (subject to adjustment pursuant to </w:t>
      </w:r>
      <w:r>
        <w:rPr>
          <w:rFonts w:ascii="Times New Roman" w:hAnsi="Times New Roman"/>
          <w:sz w:val="20"/>
          <w:u w:val="single"/>
        </w:rPr>
        <w:t>Section 2.6</w:t>
      </w:r>
      <w:r>
        <w:rPr>
          <w:rFonts w:ascii="Times New Roman" w:hAnsi="Times New Roman"/>
          <w:sz w:val="20"/>
        </w:rPr>
        <w:t xml:space="preserve"> and </w:t>
      </w:r>
      <w:r>
        <w:rPr>
          <w:rFonts w:ascii="Times New Roman" w:hAnsi="Times New Roman"/>
          <w:sz w:val="20"/>
          <w:u w:val="single"/>
        </w:rPr>
        <w:t>Section 2.2(f)</w:t>
      </w:r>
      <w:r>
        <w:rPr>
          <w:rFonts w:ascii="Times New Roman" w:hAnsi="Times New Roman"/>
          <w:sz w:val="20"/>
        </w:rPr>
        <w:t xml:space="preserve">). The amount of cash each Company Stockholder is entitled to receive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Company Capital Stock held by such Company Stockholder shall be rounded to the nearest cent and computed after aggregating cash amounts for all shares of Company Capital Stock held by such Company Stockholder.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Company Options</w:t>
      </w:r>
      <w:r>
        <w:rPr>
          <w:rFonts w:ascii="Times New Roman" w:hAnsi="Times New Roman"/>
          <w:sz w:val="20"/>
        </w:rPr>
        <w:t xml:space="preserve">. Prior to the Closing, the Company Board shall have adopted appropriate resolutions and taken all other actions necessary and appropriate to provide that, to the extent any Company Option that is not otherwise accelerated by the terms of the applicable Company Equity Plan or grant documentation, such Company Option shall be accelerated and fully vested, and each holder of a Company Option shall have been provided with the Optionee Communication contemplated by Section 6.7(b) and an opportunity to elect to exercise their Company Options, including via a net exercise (with respect to the payment of the applicable exercise price of the Company Option and any applicable withholding taxes), for a period of not less than five (5) Business Days prior to the Closing. Each In-the-Money Option that remains unexercised and outstanding as of the Effective Time shall be cancelled and (contingent upon each former holder of such In-the-Money Option executing and delivering an Option Cancellation Agreement, in substantially the form attached hereto as </w:t>
      </w:r>
      <w:r>
        <w:rPr>
          <w:rFonts w:ascii="Times New Roman" w:hAnsi="Times New Roman"/>
          <w:sz w:val="20"/>
          <w:u w:val="single"/>
        </w:rPr>
        <w:t>Exhibit H</w:t>
      </w:r>
      <w:r>
        <w:rPr>
          <w:rFonts w:ascii="Times New Roman" w:hAnsi="Times New Roman"/>
          <w:sz w:val="20"/>
        </w:rPr>
        <w:t xml:space="preserve"> hereto), in exchange therefor, each former holder of any such cancelled In-the-Money Option shall be entitled to receive, in consideration of the cancellation of such In-the-Money Option and in settlement therefor the following (without interest and subject to any applicable withholding or other Taxes required by applicable Legal Requirements to be withheld or otherwise paid by the Company): (i) the product of (A) the total number of shares of vested Company Common Stock subject to such In-the-Money Option (the “</w:t>
      </w:r>
      <w:r>
        <w:rPr>
          <w:rFonts w:ascii="Times New Roman" w:hAnsi="Times New Roman"/>
          <w:b/>
          <w:i/>
          <w:sz w:val="20"/>
        </w:rPr>
        <w:t>Option Shares</w:t>
      </w:r>
      <w:r>
        <w:rPr>
          <w:rFonts w:ascii="Times New Roman" w:hAnsi="Times New Roman"/>
          <w:sz w:val="20"/>
        </w:rPr>
        <w:t xml:space="preserve">”), multiplied by (B) the excess, if any, of the Closing Option Consideration over the exercise price per share of Company Common Stock previously subject to such In-the-Money Option, </w:t>
      </w:r>
      <w:r>
        <w:rPr>
          <w:rFonts w:ascii="Times New Roman" w:hAnsi="Times New Roman"/>
          <w:i/>
          <w:sz w:val="20"/>
        </w:rPr>
        <w:t>plus</w:t>
      </w:r>
      <w:r>
        <w:rPr>
          <w:rFonts w:ascii="Times New Roman" w:hAnsi="Times New Roman"/>
          <w:sz w:val="20"/>
        </w:rPr>
        <w:t xml:space="preserve"> (ii) the applicable Pro Rata Portion of the Adjustment Escrow Amount and the Retention Escrow Amount, if any, </w:t>
      </w:r>
      <w:r>
        <w:rPr>
          <w:rFonts w:ascii="Times New Roman" w:hAnsi="Times New Roman"/>
          <w:i/>
          <w:sz w:val="20"/>
        </w:rPr>
        <w:t>plus</w:t>
      </w:r>
      <w:r>
        <w:rPr>
          <w:rFonts w:ascii="Times New Roman" w:hAnsi="Times New Roman"/>
          <w:sz w:val="20"/>
        </w:rPr>
        <w:t xml:space="preserve"> (iii) the applicable Pro Rata Portion of the Reserve Amount, if any, </w:t>
      </w:r>
      <w:r>
        <w:rPr>
          <w:rFonts w:ascii="Times New Roman" w:hAnsi="Times New Roman"/>
          <w:i/>
          <w:sz w:val="20"/>
        </w:rPr>
        <w:t>plus</w:t>
      </w:r>
      <w:r>
        <w:rPr>
          <w:rFonts w:ascii="Times New Roman" w:hAnsi="Times New Roman"/>
          <w:sz w:val="20"/>
        </w:rPr>
        <w:t xml:space="preserve"> (iv) the applicable portion of the Surplus Amount, if any, </w:t>
      </w:r>
      <w:r>
        <w:rPr>
          <w:rFonts w:ascii="Times New Roman" w:hAnsi="Times New Roman"/>
          <w:i/>
          <w:sz w:val="20"/>
        </w:rPr>
        <w:t>plus</w:t>
      </w:r>
      <w:r>
        <w:rPr>
          <w:rFonts w:ascii="Times New Roman" w:hAnsi="Times New Roman"/>
          <w:sz w:val="20"/>
        </w:rPr>
        <w:t xml:space="preserve"> (v) the applicable Pro Rata Portion of any Additional Consideration Payment, if any; provided, that for purposes of clarification, that if the product in (i) is a negative number, the exercise price per share of Company Common Stock previously subject to such In-the-Money Option not accounted for with respect to the Closing Option Consideration will be deducted from the next amount payable to such former holder pursuant to (ii), (iii), (iv) or (v), until the exercise price per share is fully accounted for. The Closing Option Consideration shall be payable equally in cash and shares of Acquiror Common Stock, subject to </w:t>
      </w:r>
      <w:r>
        <w:rPr>
          <w:rFonts w:ascii="Times New Roman" w:hAnsi="Times New Roman"/>
          <w:sz w:val="20"/>
          <w:u w:val="single"/>
        </w:rPr>
        <w:t>Section 2.2(f)</w:t>
      </w:r>
      <w:r>
        <w:rPr>
          <w:rFonts w:ascii="Times New Roman" w:hAnsi="Times New Roman"/>
          <w:sz w:val="20"/>
        </w:rPr>
        <w:t xml:space="preserve">. The aggregate amount of cash and Acquiror Common Stock payable with respect to all such Company Options under this </w:t>
      </w:r>
      <w:r>
        <w:rPr>
          <w:rFonts w:ascii="Times New Roman" w:hAnsi="Times New Roman"/>
          <w:sz w:val="20"/>
          <w:u w:val="single"/>
        </w:rPr>
        <w:t>Section 2.1(b)(ii)</w:t>
      </w:r>
      <w:r>
        <w:rPr>
          <w:rFonts w:ascii="Times New Roman" w:hAnsi="Times New Roman"/>
          <w:sz w:val="20"/>
        </w:rPr>
        <w:t xml:space="preserve"> is referred to as the “</w:t>
      </w:r>
      <w:r>
        <w:rPr>
          <w:rFonts w:ascii="Times New Roman" w:hAnsi="Times New Roman"/>
          <w:b/>
          <w:i/>
          <w:sz w:val="20"/>
        </w:rPr>
        <w:t>Company Option-Based Merger Consideration</w:t>
      </w:r>
      <w:r>
        <w:rPr>
          <w:rFonts w:ascii="Times New Roman" w:hAnsi="Times New Roman"/>
          <w:sz w:val="20"/>
        </w:rPr>
        <w:t xml:space="preserve">.” Notwithstanding anything in this Agreement to the contrary, no payments shall be made to a former holder of a cancelled In-the-Money Option after [***] of the Closing Date unless such payment is either exempt from, or subject to but compliant with, Section 409A of the Code and the applicable Treasury regulations and other guidance promulgated thereunder. For the avoidance of doubt, if any Additional Consideration Payments cannot be made to former holders of In-the-Money Options due to compliance issues with Section 409A of the Code or applicable Treasury regulations, any such amounts shall be reallocated pro rata to the Company Stockholders. Prior to the Closing, the Company Board shall have taken all actions necessary and appropriate to provide that all Company Options that are not In-the-Money Options and which are outstanding as of the Effective Time shall be cancelled at the Effective Time for no consideration and shall thereafter be of no further force and effect.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Treatment of SAFEs</w:t>
      </w:r>
      <w:r>
        <w:rPr>
          <w:rFonts w:ascii="Times New Roman" w:hAnsi="Times New Roman"/>
          <w:sz w:val="20"/>
        </w:rPr>
        <w:t>. Holders of Simple Agreements for Future Equity (“</w:t>
      </w:r>
      <w:r>
        <w:rPr>
          <w:rFonts w:ascii="Times New Roman" w:hAnsi="Times New Roman"/>
          <w:b/>
          <w:i/>
          <w:sz w:val="20"/>
        </w:rPr>
        <w:t>SAFEs</w:t>
      </w:r>
      <w:r>
        <w:rPr>
          <w:rFonts w:ascii="Times New Roman" w:hAnsi="Times New Roman"/>
          <w:sz w:val="20"/>
        </w:rPr>
        <w:t xml:space="preserve">”) shall receive the consideration set forth in their respective SAFE agreements. If any SAFE holder elects to convert such holder’s SAFE into Company Capital Stock prior to the Effective Time in accordance with the terms of the applicable SAFE agreement, such holder shall be treated for all purposes under this Agreement as a holder of Company Capital Stock and shall be entitled to receive the applicable consideration payable to holders of Company Capital Stock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Treatment of Capital Stock of Merger Sub</w:t>
      </w:r>
      <w:r>
        <w:rPr>
          <w:rFonts w:ascii="Times New Roman" w:hAnsi="Times New Roman"/>
          <w:sz w:val="20"/>
        </w:rPr>
        <w:t xml:space="preserve">. Each share of capital stock of Merger Sub that is issued and outstanding immediately prior to the Effective Time shall, by virtue of the Merger and without further action on the part of Acquiror, Merger Sub, the Company or the sole shareholder of Merger Sub, be converted into and become one share of common stock of the Surviving Corporation (and the shares of Surviving Corporation into which the shares of Merger Sub capital stock are so converted shall be the only shares of the Surviving Corporation’s capital stock that are issued and outstanding immediately after the Effective Time). Each certificate evidencing ownership of shares of Merger Sub common stock shall evidence ownership of such shares of common stock of the Surviving Corporation. </w:t>
      </w:r>
    </w:p>
    <w:p>
      <w:pPr>
        <w:pStyle w:val="TextBody"/>
        <w:bidi w:val="0"/>
        <w:spacing w:before="240" w:after="0"/>
        <w:jc w:val="left"/>
        <w:rPr>
          <w:rFonts w:ascii="Times New Roman" w:hAnsi="Times New Roman"/>
          <w:sz w:val="20"/>
        </w:rPr>
      </w:pPr>
      <w:bookmarkStart w:id="26" w:name="ex2_2rom152392_11"/>
      <w:bookmarkEnd w:id="26"/>
      <w:r>
        <w:rPr>
          <w:rFonts w:ascii="Times New Roman" w:hAnsi="Times New Roman"/>
          <w:sz w:val="20"/>
        </w:rPr>
        <w:t>2.2 </w:t>
      </w:r>
      <w:r>
        <w:rPr>
          <w:rFonts w:ascii="Times New Roman" w:hAnsi="Times New Roman"/>
          <w:sz w:val="20"/>
          <w:u w:val="single"/>
        </w:rPr>
        <w:t>Surrender of Certificates in Exchange for Payments and Payment of 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Exchange Procedures for Share 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(i) As soon as reasonably practicable following the Effective Time, the Paying Agent shall deliver to every Company Stockholder that is a holder of Company Capital Stock (to the extent not already delivered) (A) a letter of transmittal, in substantially the form attached hereto as </w:t>
      </w:r>
      <w:r>
        <w:rPr>
          <w:rFonts w:ascii="Times New Roman" w:hAnsi="Times New Roman"/>
          <w:sz w:val="20"/>
          <w:u w:val="single"/>
        </w:rPr>
        <w:t>Exhibit I</w:t>
      </w:r>
      <w:r>
        <w:rPr>
          <w:rFonts w:ascii="Times New Roman" w:hAnsi="Times New Roman"/>
          <w:sz w:val="20"/>
        </w:rPr>
        <w:t xml:space="preserve"> (the “</w:t>
      </w:r>
      <w:r>
        <w:rPr>
          <w:rFonts w:ascii="Times New Roman" w:hAnsi="Times New Roman"/>
          <w:b/>
          <w:i/>
          <w:sz w:val="20"/>
        </w:rPr>
        <w:t>Letter of Transmittal</w:t>
      </w:r>
      <w:r>
        <w:rPr>
          <w:rFonts w:ascii="Times New Roman" w:hAnsi="Times New Roman"/>
          <w:sz w:val="20"/>
        </w:rPr>
        <w:t>”), (B) instructions for use of the Letter of Transmittal in effecting the surrender of certificates, book entry shares or other instruments which immediately prior to the Effective Time represent issued and outstanding Company Capital Stock (the “</w:t>
      </w:r>
      <w:r>
        <w:rPr>
          <w:rFonts w:ascii="Times New Roman" w:hAnsi="Times New Roman"/>
          <w:b/>
          <w:i/>
          <w:sz w:val="20"/>
        </w:rPr>
        <w:t>Certificates</w:t>
      </w:r>
      <w:r>
        <w:rPr>
          <w:rFonts w:ascii="Times New Roman" w:hAnsi="Times New Roman"/>
          <w:sz w:val="20"/>
        </w:rPr>
        <w:t>”), (C) Investor Suitability Documentation, and (D) tax forms or other exchange or payment-related documents (collectively, the “</w:t>
      </w:r>
      <w:r>
        <w:rPr>
          <w:rFonts w:ascii="Times New Roman" w:hAnsi="Times New Roman"/>
          <w:b/>
          <w:i/>
          <w:sz w:val="20"/>
        </w:rPr>
        <w:t>Exchange Documents</w:t>
      </w:r>
      <w:r>
        <w:rPr>
          <w:rFonts w:ascii="Times New Roman" w:hAnsi="Times New Roman"/>
          <w:sz w:val="20"/>
        </w:rPr>
        <w:t xml:space="preserve">”) reasonably requested by Acquiror in order to effectuate the cash payments or stock issuances to be made under </w:t>
      </w:r>
      <w:r>
        <w:rPr>
          <w:rFonts w:ascii="Times New Roman" w:hAnsi="Times New Roman"/>
          <w:sz w:val="20"/>
          <w:u w:val="single"/>
        </w:rPr>
        <w:t>Section 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(ii) Upon delivery to the Paying Agent of properly completed and duly executed Exchange Documents, either (x) at the Effective Time as to executed Exchange Documents delivered at least two (2) Business Days prior to the Closing Date or (y) as soon as reasonably practicable (and in no event more than five (5) Business Days) after the date of delivery as to executed Exchange Documents delivered after the second Business Day prior to the Closing Date: (A) the Paying Agent shall deliver to the holder of record of such Certificate, at such Company Stockholder’s election, either a check or wire transfer to an account designated by such Company Stockholder pursuant to the Exchange Documents, representing the cash amount that such Company Stockholder has the right to receive pursuant to </w:t>
      </w:r>
      <w:r>
        <w:rPr>
          <w:rFonts w:ascii="Times New Roman" w:hAnsi="Times New Roman"/>
          <w:sz w:val="20"/>
          <w:u w:val="single"/>
        </w:rPr>
        <w:t>Section 2.1(b)</w:t>
      </w:r>
      <w:r>
        <w:rPr>
          <w:rFonts w:ascii="Times New Roman" w:hAnsi="Times New Roman"/>
          <w:sz w:val="20"/>
        </w:rPr>
        <w:t xml:space="preserve"> (subject to </w:t>
      </w:r>
      <w:r>
        <w:rPr>
          <w:rFonts w:ascii="Times New Roman" w:hAnsi="Times New Roman"/>
          <w:sz w:val="20"/>
          <w:u w:val="single"/>
        </w:rPr>
        <w:t>Section 2.2(f)</w:t>
      </w:r>
      <w:r>
        <w:rPr>
          <w:rFonts w:ascii="Times New Roman" w:hAnsi="Times New Roman"/>
          <w:sz w:val="20"/>
        </w:rPr>
        <w:t xml:space="preserve"> below); (B) Acquiror shall cause its transfer agent to issue to such Company Stockholder who is an Accredited Investor the number of shares of Acquiror Common Stock that such Company Stockholder has the right to receive pursuant to </w:t>
      </w:r>
      <w:r>
        <w:rPr>
          <w:rFonts w:ascii="Times New Roman" w:hAnsi="Times New Roman"/>
          <w:sz w:val="20"/>
          <w:u w:val="single"/>
        </w:rPr>
        <w:t>Section 2.1(b)</w:t>
      </w:r>
      <w:r>
        <w:rPr>
          <w:rFonts w:ascii="Times New Roman" w:hAnsi="Times New Roman"/>
          <w:sz w:val="20"/>
        </w:rPr>
        <w:t xml:space="preserve"> and the Spreadsheet (subject to </w:t>
      </w:r>
      <w:r>
        <w:rPr>
          <w:rFonts w:ascii="Times New Roman" w:hAnsi="Times New Roman"/>
          <w:sz w:val="20"/>
          <w:u w:val="single"/>
        </w:rPr>
        <w:t>Sections 2.2(e)</w:t>
      </w:r>
      <w:r>
        <w:rPr>
          <w:rFonts w:ascii="Times New Roman" w:hAnsi="Times New Roman"/>
          <w:sz w:val="20"/>
        </w:rPr>
        <w:t xml:space="preserve"> and </w:t>
      </w:r>
      <w:r>
        <w:rPr>
          <w:rFonts w:ascii="Times New Roman" w:hAnsi="Times New Roman"/>
          <w:sz w:val="20"/>
          <w:u w:val="single"/>
        </w:rPr>
        <w:t>2.2(f)</w:t>
      </w:r>
      <w:r>
        <w:rPr>
          <w:rFonts w:ascii="Times New Roman" w:hAnsi="Times New Roman"/>
          <w:sz w:val="20"/>
        </w:rPr>
        <w:t xml:space="preserve"> below); and (C) in each case, each Certificate shall be cancelled. Until so surrendered, each Certificate outstanding after the Effective Time will be deemed, for all corporate purposes thereafter, to evidence only the right to receive that portion of the Merger Consideration (without interest) issuable in exchange for the Company Capital Stock represented by such Certificate. No portion of the Merger Consideration will be paid or issued to the holder of any unsurrendered Certificate with respect to shares of Company Capital Stock formerly represented thereby until the holder of record of such Certificate shall surrender such Certificate and validly executed Letter of Transmittal pursuant hereto.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 Interest; U.S. Funds</w:t>
      </w:r>
      <w:r>
        <w:rPr>
          <w:rFonts w:ascii="Times New Roman" w:hAnsi="Times New Roman"/>
          <w:sz w:val="20"/>
        </w:rPr>
        <w:t xml:space="preserve">. No interest shall accumulate on any cash payable in connection with the Merger (other than as may be provided pursuant to the Escrow Agreement). All amounts paid by Acquiror hereunder shall be made in U.S. Dollars. No dividends or other distributions declared or made after the Effective Time with respect to Acquiror Common Stock with a record date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Effective Time shall be paid to the holder of any unsurrendered Certificate with respect to the shares of Acquiror Common Stock issuable upon surrender thereof, until the holder of record of such Certificate shall surrender such Certificate.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Transfers of Ownership</w:t>
      </w:r>
      <w:r>
        <w:rPr>
          <w:rFonts w:ascii="Times New Roman" w:hAnsi="Times New Roman"/>
          <w:sz w:val="20"/>
        </w:rPr>
        <w:t xml:space="preserve">. All cash paid or payable and all shares of Acquiror Common Stock issued or issuable following the surrender for exchange of all shares of Company Capital Stock and all cash paid or payable and all shares of Acquiror Common Stock issued or issuable in respect of the Company Options in accordance with the terms hereof shall be so paid or payable in full satisfaction of all rights pertaining to all shares of Company Capital Stock, the Company Options including any rights to declared but unpaid dividends, and there shall be no further registration of transfers on the records of the Surviving Corporation of shares of Company Capital Stock or Company Options which were issued and outstanding immediately prior to the Effective Time. If, after the Effective Time, a Certificate or Company Option is presented to the Surviving Corporation for any reason, such Certificate or Company Option shall be canceled and exchanged as provided in this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No Liability</w:t>
      </w:r>
      <w:r>
        <w:rPr>
          <w:rFonts w:ascii="Times New Roman" w:hAnsi="Times New Roman"/>
          <w:sz w:val="20"/>
        </w:rPr>
        <w:t xml:space="preserve">. Notwithstanding anything to the contrary in this </w:t>
      </w:r>
      <w:r>
        <w:rPr>
          <w:rFonts w:ascii="Times New Roman" w:hAnsi="Times New Roman"/>
          <w:sz w:val="20"/>
          <w:u w:val="single"/>
        </w:rPr>
        <w:t>Section 2.2</w:t>
      </w:r>
      <w:r>
        <w:rPr>
          <w:rFonts w:ascii="Times New Roman" w:hAnsi="Times New Roman"/>
          <w:sz w:val="20"/>
        </w:rPr>
        <w:t xml:space="preserve">, none of Acquiror, Merger Sub, the Surviving Corporation or any party hereto shall be liable to any Person for any amount properly paid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Fractional Shares</w:t>
      </w:r>
      <w:r>
        <w:rPr>
          <w:rFonts w:ascii="Times New Roman" w:hAnsi="Times New Roman"/>
          <w:sz w:val="20"/>
        </w:rPr>
        <w:t xml:space="preserve">. No fraction of a share of Acquiror Common Stock will be issued by virtue of the Merger. Any Accredited Investor who would otherwise be entitled to receive a fraction of share of Acquiror Common Stock shall have the fractional share rounded up to the nearest whole share by Acquiror, after aggregating the shares of Acquiror Common Stock issuable with respect to all such shares of Company Capital Stock held by such Accredited Investor.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Unaccredited Investors</w:t>
      </w:r>
      <w:r>
        <w:rPr>
          <w:rFonts w:ascii="Times New Roman" w:hAnsi="Times New Roman"/>
          <w:sz w:val="20"/>
        </w:rPr>
        <w:t xml:space="preserve">. Notwithstanding anything to the contrary in this Agreement, Acquiror shall be entitled, in its reasonable discretion, not to issue any shares of Acquiror Common Stock to which an Unaccredited Investor would otherwise be entitled under this Agreement and, in lieu thereof, to deliver or cause to be delivered an amount in cash to such Unaccredited Investor equal to the Aggregate Additional Unaccredited Cash Consideration Amount. In such event, each Accredited Investor shall receive, in addition to such Accredited Investor’s Per Share Stock Closing Amount, a number of additional shares of Acquiror Common Stock equal to the Per Share Additional Accredited Stock Consideration, and each such Accredited Investor’s cash consideration shall be reduced by an amount equal to the Per Share Reduced Accredited Cash Consideration Amount, such that the total Merger Consideration delivered to each Accredited Investor remains unchanged in value. For the avoidance of doubt, the Closing Stock Consideration Value shall not be affected by the application of this </w:t>
      </w:r>
      <w:r>
        <w:rPr>
          <w:rFonts w:ascii="Times New Roman" w:hAnsi="Times New Roman"/>
          <w:sz w:val="20"/>
          <w:u w:val="single"/>
        </w:rPr>
        <w:t>Section 2.2(f)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Restrictive Legend</w:t>
      </w:r>
      <w:r>
        <w:rPr>
          <w:rFonts w:ascii="Times New Roman" w:hAnsi="Times New Roman"/>
          <w:sz w:val="20"/>
        </w:rPr>
        <w:t xml:space="preserve">. The shares of Acquiror Common Stock issued by Acquiror to the Company Stockholders hereunder shall be placed in a restrictive class bearing a restrictive legend substantially as follows: </w:t>
      </w:r>
    </w:p>
    <w:p>
      <w:pPr>
        <w:pStyle w:val="TextBody"/>
        <w:bidi w:val="0"/>
        <w:spacing w:before="120" w:after="0"/>
        <w:jc w:val="left"/>
        <w:rPr/>
      </w:pPr>
      <w:r>
        <w:rPr/>
        <w:t>“</w:t>
      </w:r>
      <w:r>
        <w:rPr>
          <w:rFonts w:ascii="Times New Roman" w:hAnsi="Times New Roman"/>
          <w:sz w:val="20"/>
        </w:rPr>
        <w:t xml:space="preserve">THE SHARES HAVE NOT BEEN REGISTERED UNDER THE SECURITIES ACT OF 1933, AS AMENDED (THE ‘ACT’), OR ANY STATE SECURITIES LAWS AND MAY NOT BE OFFERED OR SOLD WITHIN THE UNITED STATES OR TO, OR FOR THE BENEFIT OF, U.S. PERSONS IN THE ABSENCE OF AN EFFECTIVE REGISTRATION STATEMENT AS TO THE SHARES UNDER THE ACT AND ANY APPLICABLE STATE SECURITIES LAW OR AN EXEMPTION FROM SUCH REGISTRATION UNDER THE ACT. THE ISSUER OF THESE SHARES MAY REQUIRE AN OPINION OF COUNSEL REASONABLY SATISFACTORY TO THE ISSUER THAT SUCH OFFER, SALE OR OTHER TRANSFER OTHERWISE COMPLIES WITH THE ACT AND ANY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Withholding Rights</w:t>
      </w:r>
      <w:r>
        <w:rPr>
          <w:rFonts w:ascii="Times New Roman" w:hAnsi="Times New Roman"/>
          <w:sz w:val="20"/>
        </w:rPr>
        <w:t>. Each of Paying Agent, Acquiror, Merger Sub, and the Surviving Corporation (each, a “</w:t>
      </w:r>
      <w:r>
        <w:rPr>
          <w:rFonts w:ascii="Times New Roman" w:hAnsi="Times New Roman"/>
          <w:b/>
          <w:i/>
          <w:sz w:val="20"/>
        </w:rPr>
        <w:t>Withholding Agent</w:t>
      </w:r>
      <w:r>
        <w:rPr>
          <w:rFonts w:ascii="Times New Roman" w:hAnsi="Times New Roman"/>
          <w:sz w:val="20"/>
        </w:rPr>
        <w:t xml:space="preserve">”) shall be entitled to deduct and withhold from any consideration or amount payable or otherwise deliverable under this Agreement to any Person such amounts as the applicable Withholding Agent is required to deduct and withhold with respect to any such payments under the Code or any other provision of U.S. federal, state, local or non-U.S. Tax Legal Requirements; provided, however, that other than any withholding (x) arising from a failure to deliver the form required under </w:t>
      </w:r>
      <w:r>
        <w:rPr>
          <w:rFonts w:ascii="Times New Roman" w:hAnsi="Times New Roman"/>
          <w:sz w:val="20"/>
          <w:u w:val="single"/>
        </w:rPr>
        <w:t>Section 1.4(b)(ix)</w:t>
      </w:r>
      <w:r>
        <w:rPr>
          <w:rFonts w:ascii="Times New Roman" w:hAnsi="Times New Roman"/>
          <w:sz w:val="20"/>
        </w:rPr>
        <w:t xml:space="preserve"> or (y) required with respect to any compensatory payments, if any Withholding Agent reasonably determines that it is obligated to deduct or withhold any amounts from amounts payable or otherwise deliverable pursuant to this Agreement, such Withholding Agent shall use commercially reasonable efforts to (i) provide the Person from whom such amounts will be withheld with written notice at least five (5) days prior to withholding any amounts pursuant to this </w:t>
      </w:r>
      <w:r>
        <w:rPr>
          <w:rFonts w:ascii="Times New Roman" w:hAnsi="Times New Roman"/>
          <w:sz w:val="20"/>
          <w:u w:val="single"/>
        </w:rPr>
        <w:t>Section 2.3</w:t>
      </w:r>
      <w:r>
        <w:rPr>
          <w:rFonts w:ascii="Times New Roman" w:hAnsi="Times New Roman"/>
          <w:sz w:val="20"/>
        </w:rPr>
        <w:t xml:space="preserve">, and (ii) cooperate in good faith with such Person to minimize such withheld amounts to the extent permitted under applicable Legal Requirements. To the extent that amounts are so withheld and timely paid over to the appropriate Tax Authority, such amounts shall be treated for purposes of this Agreement as having been delivered and paid to such Person in respect of which such deduction and withholding was made. With respect to any compensatory payments made pursuant to this Agreement in the form of Acquiror Common Stock, net share withholding (deducting or withholding from the number of shares of Acquiror Common Stock delivered) shall be utilized in satisfaction of the Tax withholding payment obligation. </w:t>
      </w:r>
    </w:p>
    <w:p>
      <w:pPr>
        <w:pStyle w:val="TextBody"/>
        <w:bidi w:val="0"/>
        <w:spacing w:before="240" w:after="0"/>
        <w:jc w:val="left"/>
        <w:rPr>
          <w:rFonts w:ascii="Times New Roman" w:hAnsi="Times New Roman"/>
          <w:sz w:val="20"/>
        </w:rPr>
      </w:pPr>
      <w:bookmarkStart w:id="27" w:name="ex2_2rom152392_13"/>
      <w:bookmarkEnd w:id="27"/>
      <w:r>
        <w:rPr>
          <w:rFonts w:ascii="Times New Roman" w:hAnsi="Times New Roman"/>
          <w:sz w:val="20"/>
        </w:rPr>
        <w:t>2.4 </w:t>
      </w:r>
      <w:r>
        <w:rPr>
          <w:rFonts w:ascii="Times New Roman" w:hAnsi="Times New Roman"/>
          <w:sz w:val="20"/>
          <w:u w:val="single"/>
        </w:rPr>
        <w:t>Initial Working Capital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least three (3) Business Days prior to the Closing Date, the Company shall deliver to Acquiror an estimated consolidated balance sheet of the Company (the “</w:t>
      </w:r>
      <w:r>
        <w:rPr>
          <w:rFonts w:ascii="Times New Roman" w:hAnsi="Times New Roman"/>
          <w:b/>
          <w:i/>
          <w:sz w:val="20"/>
        </w:rPr>
        <w:t>Estimated Balance Sheet</w:t>
      </w:r>
      <w:r>
        <w:rPr>
          <w:rFonts w:ascii="Times New Roman" w:hAnsi="Times New Roman"/>
          <w:sz w:val="20"/>
        </w:rPr>
        <w:t>”) and a good-faith estimate (the “</w:t>
      </w:r>
      <w:r>
        <w:rPr>
          <w:rFonts w:ascii="Times New Roman" w:hAnsi="Times New Roman"/>
          <w:b/>
          <w:i/>
          <w:sz w:val="20"/>
        </w:rPr>
        <w:t>Estimated Closing Statement</w:t>
      </w:r>
      <w:r>
        <w:rPr>
          <w:rFonts w:ascii="Times New Roman" w:hAnsi="Times New Roman"/>
          <w:sz w:val="20"/>
        </w:rPr>
        <w:t>”) of each of the following amounts, measured as of the close of business on the Business Day immediately preceding the Closing Date (the “</w:t>
      </w:r>
      <w:r>
        <w:rPr>
          <w:rFonts w:ascii="Times New Roman" w:hAnsi="Times New Roman"/>
          <w:b/>
          <w:i/>
          <w:sz w:val="20"/>
        </w:rPr>
        <w:t>Adjustment Time</w:t>
      </w:r>
      <w:r>
        <w:rPr>
          <w:rFonts w:ascii="Times New Roman" w:hAnsi="Times New Roman"/>
          <w:sz w:val="20"/>
        </w:rPr>
        <w:t>”): (i) the Company Net Working Capital (the “</w:t>
      </w:r>
      <w:r>
        <w:rPr>
          <w:rFonts w:ascii="Times New Roman" w:hAnsi="Times New Roman"/>
          <w:b/>
          <w:i/>
          <w:sz w:val="20"/>
        </w:rPr>
        <w:t>Estimated Net Working Capital</w:t>
      </w:r>
      <w:r>
        <w:rPr>
          <w:rFonts w:ascii="Times New Roman" w:hAnsi="Times New Roman"/>
          <w:sz w:val="20"/>
        </w:rPr>
        <w:t>”), (ii) the Company Cash (the “</w:t>
      </w:r>
      <w:r>
        <w:rPr>
          <w:rFonts w:ascii="Times New Roman" w:hAnsi="Times New Roman"/>
          <w:b/>
          <w:i/>
          <w:sz w:val="20"/>
        </w:rPr>
        <w:t>Estimated Cash</w:t>
      </w:r>
      <w:r>
        <w:rPr>
          <w:rFonts w:ascii="Times New Roman" w:hAnsi="Times New Roman"/>
          <w:sz w:val="20"/>
        </w:rPr>
        <w:t>”), (iii) the aggregate amount of all Indebtedness of the Company (the “</w:t>
      </w:r>
      <w:r>
        <w:rPr>
          <w:rFonts w:ascii="Times New Roman" w:hAnsi="Times New Roman"/>
          <w:b/>
          <w:i/>
          <w:sz w:val="20"/>
        </w:rPr>
        <w:t>Estimated Indebtedness</w:t>
      </w:r>
      <w:r>
        <w:rPr>
          <w:rFonts w:ascii="Times New Roman" w:hAnsi="Times New Roman"/>
          <w:sz w:val="20"/>
        </w:rPr>
        <w:t>”), (iv) the aggregate amount of all Transaction Expenses unpaid (the “</w:t>
      </w:r>
      <w:r>
        <w:rPr>
          <w:rFonts w:ascii="Times New Roman" w:hAnsi="Times New Roman"/>
          <w:b/>
          <w:i/>
          <w:sz w:val="20"/>
        </w:rPr>
        <w:t>Estimated Transaction Expenses</w:t>
      </w:r>
      <w:r>
        <w:rPr>
          <w:rFonts w:ascii="Times New Roman" w:hAnsi="Times New Roman"/>
          <w:sz w:val="20"/>
        </w:rPr>
        <w:t>”), and (v) the aggregate amount of all Assumed Expenses (the “</w:t>
      </w:r>
      <w:r>
        <w:rPr>
          <w:rFonts w:ascii="Times New Roman" w:hAnsi="Times New Roman"/>
          <w:b/>
          <w:i/>
          <w:sz w:val="20"/>
        </w:rPr>
        <w:t>Estimated Assumed Expenses</w:t>
      </w:r>
      <w:r>
        <w:rPr>
          <w:rFonts w:ascii="Times New Roman" w:hAnsi="Times New Roman"/>
          <w:sz w:val="20"/>
        </w:rPr>
        <w:t xml:space="preserve">”), together with reasonable supporting detail for each such estimate. The Estimated Closing Statement shall be prepared in a manner consistent with the Company Balance Sheet and based on the Company’s books and records and the best estimate of the management of the Company as of the Adjustment Time. </w:t>
      </w:r>
    </w:p>
    <w:p>
      <w:pPr>
        <w:pStyle w:val="TextBody"/>
        <w:bidi w:val="0"/>
        <w:spacing w:before="240" w:after="0"/>
        <w:jc w:val="left"/>
        <w:rPr>
          <w:rFonts w:ascii="Times New Roman" w:hAnsi="Times New Roman"/>
          <w:sz w:val="20"/>
        </w:rPr>
      </w:pPr>
      <w:r>
        <w:rPr>
          <w:rFonts w:ascii="Times New Roman" w:hAnsi="Times New Roman"/>
          <w:sz w:val="20"/>
        </w:rPr>
        <w:t xml:space="preserve">(b) The Closing Cash Consideration shall be calculated at Closing using the estimated amounts set forth in the Estimated Closing Statement, subject to adjustment as set forth in </w:t>
      </w:r>
      <w:r>
        <w:rPr>
          <w:rFonts w:ascii="Times New Roman" w:hAnsi="Times New Roman"/>
          <w:sz w:val="20"/>
          <w:u w:val="single"/>
        </w:rPr>
        <w:t>Section 2.6</w:t>
      </w:r>
      <w:r>
        <w:rPr>
          <w:rFonts w:ascii="Times New Roman" w:hAnsi="Times New Roman"/>
          <w:sz w:val="20"/>
        </w:rPr>
        <w:t xml:space="preserve">. The Closing Stock Consideration and the Closing Stock Consideration Value shall not be subject to adjustment pursuant to </w:t>
      </w:r>
      <w:r>
        <w:rPr>
          <w:rFonts w:ascii="Times New Roman" w:hAnsi="Times New Roman"/>
          <w:sz w:val="20"/>
          <w:u w:val="single"/>
        </w:rPr>
        <w:t>Section 2.4</w:t>
      </w:r>
      <w:r>
        <w:rPr>
          <w:rFonts w:ascii="Times New Roman" w:hAnsi="Times New Roman"/>
          <w:sz w:val="20"/>
        </w:rPr>
        <w:t xml:space="preserve"> or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8" w:name="ex2_2rom152392_14"/>
      <w:bookmarkEnd w:id="28"/>
      <w:r>
        <w:rPr>
          <w:rFonts w:ascii="Times New Roman" w:hAnsi="Times New Roman"/>
          <w:sz w:val="20"/>
        </w:rPr>
        <w:t>2.5 </w:t>
      </w:r>
      <w:r>
        <w:rPr>
          <w:rFonts w:ascii="Times New Roman" w:hAnsi="Times New Roman"/>
          <w:sz w:val="20"/>
          <w:u w:val="single"/>
        </w:rPr>
        <w:t>Determination of Actual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soon as practicable, but in no event later than ninety (90) days following the Effective Time, Acquiror shall prepare and deliver to the Securityholders’ Representative (the date of such delivery, the “</w:t>
      </w:r>
      <w:r>
        <w:rPr>
          <w:rFonts w:ascii="Times New Roman" w:hAnsi="Times New Roman"/>
          <w:b/>
          <w:i/>
          <w:sz w:val="20"/>
        </w:rPr>
        <w:t>Delivery Date</w:t>
      </w:r>
      <w:r>
        <w:rPr>
          <w:rFonts w:ascii="Times New Roman" w:hAnsi="Times New Roman"/>
          <w:sz w:val="20"/>
        </w:rPr>
        <w:t>”) a statement with the following information (the “</w:t>
      </w:r>
      <w:r>
        <w:rPr>
          <w:rFonts w:ascii="Times New Roman" w:hAnsi="Times New Roman"/>
          <w:b/>
          <w:i/>
          <w:sz w:val="20"/>
        </w:rPr>
        <w:t>Closing Working Capital Statement</w:t>
      </w:r>
      <w:r>
        <w:rPr>
          <w:rFonts w:ascii="Times New Roman" w:hAnsi="Times New Roman"/>
          <w:sz w:val="20"/>
        </w:rPr>
        <w:t>”): (i) a consolidated balance sheet of the Company and its Subsidiaries as of the Adjustment Time, prepared in a manner consistent with the Company Balance Sheet (the “</w:t>
      </w:r>
      <w:r>
        <w:rPr>
          <w:rFonts w:ascii="Times New Roman" w:hAnsi="Times New Roman"/>
          <w:b/>
          <w:i/>
          <w:sz w:val="20"/>
        </w:rPr>
        <w:t>Final Balance Sheet</w:t>
      </w:r>
      <w:r>
        <w:rPr>
          <w:rFonts w:ascii="Times New Roman" w:hAnsi="Times New Roman"/>
          <w:sz w:val="20"/>
        </w:rPr>
        <w:t>”), reflecting all adjustments made by Acquiror to the Estimated Balance Sheet, and including (A) Acquiror’s calculation of the Company Net Working Capital as of the Adjustment Time (the “</w:t>
      </w:r>
      <w:r>
        <w:rPr>
          <w:rFonts w:ascii="Times New Roman" w:hAnsi="Times New Roman"/>
          <w:b/>
          <w:i/>
          <w:sz w:val="20"/>
        </w:rPr>
        <w:t xml:space="preserve">Actual Working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Capital</w:t>
      </w:r>
      <w:r>
        <w:rPr>
          <w:rFonts w:ascii="Times New Roman" w:hAnsi="Times New Roman"/>
          <w:sz w:val="20"/>
        </w:rPr>
        <w:t>”), (B) Acquiror’s calculation of the Company Cash as of the Adjustment Time (the “</w:t>
      </w:r>
      <w:r>
        <w:rPr>
          <w:rFonts w:ascii="Times New Roman" w:hAnsi="Times New Roman"/>
          <w:b/>
          <w:i/>
          <w:sz w:val="20"/>
        </w:rPr>
        <w:t>Actual Cash</w:t>
      </w:r>
      <w:r>
        <w:rPr>
          <w:rFonts w:ascii="Times New Roman" w:hAnsi="Times New Roman"/>
          <w:sz w:val="20"/>
        </w:rPr>
        <w:t>”), (C) Acquiror’s calculation of the Indebtedness of the Company as of the Adjustment Time (the “</w:t>
      </w:r>
      <w:r>
        <w:rPr>
          <w:rFonts w:ascii="Times New Roman" w:hAnsi="Times New Roman"/>
          <w:b/>
          <w:i/>
          <w:sz w:val="20"/>
        </w:rPr>
        <w:t>Actual Indebtedness</w:t>
      </w:r>
      <w:r>
        <w:rPr>
          <w:rFonts w:ascii="Times New Roman" w:hAnsi="Times New Roman"/>
          <w:sz w:val="20"/>
        </w:rPr>
        <w:t>”), (D) Acquiror’s calculation of the Transaction Expenses as of the Adjustment Time (the “</w:t>
      </w:r>
      <w:r>
        <w:rPr>
          <w:rFonts w:ascii="Times New Roman" w:hAnsi="Times New Roman"/>
          <w:b/>
          <w:i/>
          <w:sz w:val="20"/>
        </w:rPr>
        <w:t>Actual Transaction Expenses</w:t>
      </w:r>
      <w:r>
        <w:rPr>
          <w:rFonts w:ascii="Times New Roman" w:hAnsi="Times New Roman"/>
          <w:sz w:val="20"/>
        </w:rPr>
        <w:t>”), and (E) Acquiror’s calculation of the Assumed Expenses as of the Adjustment Time (the “</w:t>
      </w:r>
      <w:r>
        <w:rPr>
          <w:rFonts w:ascii="Times New Roman" w:hAnsi="Times New Roman"/>
          <w:b/>
          <w:i/>
          <w:sz w:val="20"/>
        </w:rPr>
        <w:t>Actual Assumed Expenses</w:t>
      </w:r>
      <w:r>
        <w:rPr>
          <w:rFonts w:ascii="Times New Roman" w:hAnsi="Times New Roman"/>
          <w:sz w:val="20"/>
        </w:rPr>
        <w:t>”), and (ii) all work papers and copies of source documents that reasonably support and document Acquiror’s determination of the Final Balance Sheet, the Actual Working Capital, the Actual Cash, the Actual Indebtedness, the Actual Transaction Expenses, and the Actual Assumed Expenses (the documents contemplated by clauses (i) and (ii), the “</w:t>
      </w:r>
      <w:r>
        <w:rPr>
          <w:rFonts w:ascii="Times New Roman" w:hAnsi="Times New Roman"/>
          <w:b/>
          <w:i/>
          <w:sz w:val="20"/>
        </w:rPr>
        <w:t>Adjustment Documents</w:t>
      </w:r>
      <w:r>
        <w:rPr>
          <w:rFonts w:ascii="Times New Roman" w:hAnsi="Times New Roman"/>
          <w:sz w:val="20"/>
        </w:rPr>
        <w:t xml:space="preserve">”). The Closing Working Capital Statement shall be prepared in good faith in conformity with GAAP applied on a basis consistent with the methods used in computing the Company Net Working Capital. The Closing Working Capital Statement shall be accompanied by a certificate as to the preparation of the Closing Working Capital Statement executed by an officer of Acquiror. </w:t>
      </w:r>
    </w:p>
    <w:p>
      <w:pPr>
        <w:pStyle w:val="TextBody"/>
        <w:bidi w:val="0"/>
        <w:spacing w:before="240" w:after="0"/>
        <w:jc w:val="left"/>
        <w:rPr>
          <w:rFonts w:ascii="Times New Roman" w:hAnsi="Times New Roman"/>
          <w:sz w:val="20"/>
        </w:rPr>
      </w:pPr>
      <w:r>
        <w:rPr>
          <w:rFonts w:ascii="Times New Roman" w:hAnsi="Times New Roman"/>
          <w:sz w:val="20"/>
        </w:rPr>
        <w:t>(b) The Securityholders’ Representative shall have thirty (30) days following the Delivery Date to review the Adjustment Documents. The Securityholders’ Representative and its advisors and representatives shall have reasonable access to all relevant books and records (in electronic format, if available) and employees of the Company to complete its review of the Adjustment Documents. Unless the Securityholders’ Representative delivers written notice to Acquiror on or prior to the thirtieth (30th) day after the Delivery Date specifying in reasonable detail each disputed item and the basis therefor (the “</w:t>
      </w:r>
      <w:r>
        <w:rPr>
          <w:rFonts w:ascii="Times New Roman" w:hAnsi="Times New Roman"/>
          <w:b/>
          <w:i/>
          <w:sz w:val="20"/>
        </w:rPr>
        <w:t>Dispute Notice</w:t>
      </w:r>
      <w:r>
        <w:rPr>
          <w:rFonts w:ascii="Times New Roman" w:hAnsi="Times New Roman"/>
          <w:sz w:val="20"/>
        </w:rPr>
        <w:t>”), the Securityholders’ Representative shall be deemed to have accepted and agreed to all items and amounts in the Adjustment Documents not so disputed, and such undisputed items and amounts shall be final, binding and conclusive. If the Securityholders’ Representative timely notifies Acquiror of its objection to any items in the Adjustment Documents, Acquiror and the Securityholders’ Representative shall, within thirty (30) days following the date of such notice (the “</w:t>
      </w:r>
      <w:r>
        <w:rPr>
          <w:rFonts w:ascii="Times New Roman" w:hAnsi="Times New Roman"/>
          <w:b/>
          <w:i/>
          <w:sz w:val="20"/>
        </w:rPr>
        <w:t>Resolution Period</w:t>
      </w:r>
      <w:r>
        <w:rPr>
          <w:rFonts w:ascii="Times New Roman" w:hAnsi="Times New Roman"/>
          <w:sz w:val="20"/>
        </w:rPr>
        <w:t xml:space="preserve">”), attempt to resolve their differences and any resolution by them as to any disputed amounts shall be final, binding and conclusive. </w:t>
      </w:r>
    </w:p>
    <w:p>
      <w:pPr>
        <w:pStyle w:val="TextBody"/>
        <w:bidi w:val="0"/>
        <w:spacing w:before="240" w:after="0"/>
        <w:jc w:val="left"/>
        <w:rPr>
          <w:rFonts w:ascii="Times New Roman" w:hAnsi="Times New Roman"/>
          <w:sz w:val="20"/>
        </w:rPr>
      </w:pPr>
      <w:r>
        <w:rPr>
          <w:rFonts w:ascii="Times New Roman" w:hAnsi="Times New Roman"/>
          <w:sz w:val="20"/>
        </w:rPr>
        <w:t>(c) If at the conclusion of the Resolution Period there are amounts still remaining in dispute, then all amounts remaining in dispute shall be submitted to the Independent Accounting Firm. Acquiror and the Securityholders’ Representative agree to execute, if requested by the Independent Accounting Firm, a reasonable engagement letter and to abide by procedures to be mutually agreed upon by Acquiror, the Securityholders’ Representative and the Independent Accounting Firm. The fees and expenses of the Independent Accounting Firm incurred in resolving the disputed matter shall be equitably apportioned by the Independent Accounting Firm based on the extent to which Acquiror, on the one hand, or the Securityholders’ Representative (on behalf of the Company Securityholders), on the other hand, is determined by the Independent Accounting Firm to be the prevailing party in the resolution of such disputed matters. The Independent Accounting Firm shall act as an arbitrator to determine, based solely on presentations by Acquiror and the Securityholders’ Representative, and not by independent review, solely those items still in dispute. The Independent Accounting Firm’s determination shall be made within thirty (30) days of its engagement, shall be set forth in a written statement delivered to Acquiror and the Securityholders’ Representative and shall be final, binding and conclusive. The term “</w:t>
      </w:r>
      <w:r>
        <w:rPr>
          <w:rFonts w:ascii="Times New Roman" w:hAnsi="Times New Roman"/>
          <w:b/>
          <w:i/>
          <w:sz w:val="20"/>
        </w:rPr>
        <w:t>Final Adjustment Statement</w:t>
      </w:r>
      <w:r>
        <w:rPr>
          <w:rFonts w:ascii="Times New Roman" w:hAnsi="Times New Roman"/>
          <w:sz w:val="20"/>
        </w:rPr>
        <w:t xml:space="preserve">,” as used in this Agreement, means the definitive statement, as of the Adjustment Time, of (i) the final Company Net Working Capital, (ii) the final Company Cash, (iii) the final Indebtedness, (iv) the final Transaction Expenses, and (v) the final Assumed Expenses, each as of the Adjustment Time, as agreed to by the Securityholders’ Representative and Acquiror in accordance with </w:t>
      </w:r>
      <w:r>
        <w:rPr>
          <w:rFonts w:ascii="Times New Roman" w:hAnsi="Times New Roman"/>
          <w:sz w:val="20"/>
          <w:u w:val="single"/>
        </w:rPr>
        <w:t>Section 2.5(b)</w:t>
      </w:r>
      <w:r>
        <w:rPr>
          <w:rFonts w:ascii="Times New Roman" w:hAnsi="Times New Roman"/>
          <w:sz w:val="20"/>
        </w:rPr>
        <w:t xml:space="preserve"> or as determined by the Independent Accounting Firm in accordance with this </w:t>
      </w:r>
      <w:r>
        <w:rPr>
          <w:rFonts w:ascii="Times New Roman" w:hAnsi="Times New Roman"/>
          <w:sz w:val="20"/>
          <w:u w:val="single"/>
        </w:rPr>
        <w:t>Section 2.5(c)</w:t>
      </w:r>
      <w:r>
        <w:rPr>
          <w:rFonts w:ascii="Times New Roman" w:hAnsi="Times New Roman"/>
          <w:sz w:val="20"/>
        </w:rPr>
        <w:t xml:space="preserve"> (in addition to those non-disputed items previously agreed to by Acquiror and the Securityholders’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Post-Closing Adjustment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sum of (i) Actual Working Capital, plus Actual Cash, minus Actual Indebtedness, minus Actual Transaction Expenses, minus Actual Assumed Expenses is greater than the sum of (ii) Estimated Net Working Capital, plus Estimated Cash, minus Estimated Indebtedness, minus Estimated Transaction Expenses, minus Estimated Assumed Expenses (the amount by which (i) exceeds (ii), the “</w:t>
      </w:r>
      <w:r>
        <w:rPr>
          <w:rFonts w:ascii="Times New Roman" w:hAnsi="Times New Roman"/>
          <w:b/>
          <w:i/>
          <w:sz w:val="20"/>
        </w:rPr>
        <w:t>Surplus Amount</w:t>
      </w:r>
      <w:r>
        <w:rPr>
          <w:rFonts w:ascii="Times New Roman" w:hAnsi="Times New Roman"/>
          <w:sz w:val="20"/>
        </w:rPr>
        <w:t xml:space="preserve">”), then Acquiror shall deposit the lesser of (i) the Surplus Amount, and (ii) the Adjustment Escrow Amount within two (2) Business Days after the determination of the Final Adjustment Statement with the Paying Agent for further distribution to the Escrow Participants. In addition, Securityholders’ Representative and Acquiror shall deliver a written notice executed by both parties instructing the Escrow Agent to release the Adjustment Escrow Amount to the Paying Agent for further distribution to the Escrow Participants; provided that all payments allocable to former holders of Company Employee Options shall be paid to the Company or its designated payroll service provider, for disbursement to such holders. </w:t>
      </w:r>
    </w:p>
    <w:p>
      <w:pPr>
        <w:pStyle w:val="TextBody"/>
        <w:bidi w:val="0"/>
        <w:spacing w:before="240" w:after="0"/>
        <w:jc w:val="left"/>
        <w:rPr>
          <w:rFonts w:ascii="Times New Roman" w:hAnsi="Times New Roman"/>
          <w:sz w:val="20"/>
        </w:rPr>
      </w:pPr>
      <w:r>
        <w:rPr>
          <w:rFonts w:ascii="Times New Roman" w:hAnsi="Times New Roman"/>
          <w:sz w:val="20"/>
        </w:rPr>
        <w:t>(b) If the sum of (i) Actual Working Capital, plus Actual Cash, minus Actual Indebtedness, minus Actual Transaction Expenses, minus Actual Assumed Expenses is less than the sum of (ii) Estimated Net Working Capital, plus Estimated Cash, minus Estimated Indebtedness, minus Estimated Transaction Expenses, minus Estimated Assumed Expenses (the amount by which (ii) exceeds (i), the “</w:t>
      </w:r>
      <w:r>
        <w:rPr>
          <w:rFonts w:ascii="Times New Roman" w:hAnsi="Times New Roman"/>
          <w:b/>
          <w:i/>
          <w:sz w:val="20"/>
        </w:rPr>
        <w:t>Deficit Amount</w:t>
      </w:r>
      <w:r>
        <w:rPr>
          <w:rFonts w:ascii="Times New Roman" w:hAnsi="Times New Roman"/>
          <w:sz w:val="20"/>
        </w:rPr>
        <w:t xml:space="preserve">”), then Acquiror shall be entitled to withdraw from the Adjustment Escrow Amount, the lesser of (i) the Deficit Amount and (ii) the Adjustment Escrow Amount. With respect to any payment to Acquiror in connection with adjustments to the Escrow Amount pursuant to this </w:t>
      </w:r>
      <w:r>
        <w:rPr>
          <w:rFonts w:ascii="Times New Roman" w:hAnsi="Times New Roman"/>
          <w:sz w:val="20"/>
          <w:u w:val="single"/>
        </w:rPr>
        <w:t>Section 2.6</w:t>
      </w:r>
      <w:r>
        <w:rPr>
          <w:rFonts w:ascii="Times New Roman" w:hAnsi="Times New Roman"/>
          <w:sz w:val="20"/>
        </w:rPr>
        <w:t xml:space="preserve">, the Securityholders’ Representative and Acquiror shall deliver to the Escrow Agent, within two (2) Business Days following the determination of the Final Adjustment Statement, a written notice executed by both parties instructing the Escrow Agent to make such payment to Acquiror from the Escrow Amount and, to the extent any amount remains in the Escrow Amount after such payment, to pay such remaining amount to the Paying Agent for further distribution to the Escrow Participants and to the Company for further distribution to former holders of Company Employee Options. The amounts set forth in this Section 2.6 shall be the sole and exclusive source of recovery for the Company Securityholders or Acquiror, as applicable, for any Surplus Amount or Deficit Amount,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(c) The post-Closing Merger Consideration adjustment set forth in this Section 2.6 shall be the sole and exclusive remedy of the parties for any matters arising out of or relating to the determination of Actual Working Capital, Actual Cash, Actual Indebtedness and Actual Transaction Expenses, Closing Cash, Closing Indebtedness, Transaction Expenses, the Merger Consideration, or any component thereof, and no party shall be entitled to assert any claim for indemnification under Article IX or otherwise with respect to any such matters. For the avoidance of doubt, nothing herein shall limit or otherwise negatively affect any of the rights or remedies of the Securityholders’ Representative Group with respect to the Escrow Participants pursuant to Section 10.11 or otherwise. </w:t>
      </w:r>
    </w:p>
    <w:p>
      <w:pPr>
        <w:pStyle w:val="TextBody"/>
        <w:bidi w:val="0"/>
        <w:spacing w:before="240" w:after="0"/>
        <w:jc w:val="left"/>
        <w:rPr>
          <w:rFonts w:ascii="Times New Roman" w:hAnsi="Times New Roman"/>
          <w:sz w:val="20"/>
        </w:rPr>
      </w:pPr>
      <w:r>
        <w:rPr>
          <w:rFonts w:ascii="Times New Roman" w:hAnsi="Times New Roman"/>
          <w:sz w:val="20"/>
        </w:rPr>
        <w:t xml:space="preserve">(d) For the avoidance of doubt, any Surplus Amount or Deficit Amount determined pursuant to this </w:t>
      </w:r>
      <w:r>
        <w:rPr>
          <w:rFonts w:ascii="Times New Roman" w:hAnsi="Times New Roman"/>
          <w:sz w:val="20"/>
          <w:u w:val="single"/>
        </w:rPr>
        <w:t>Section 2.6</w:t>
      </w:r>
      <w:r>
        <w:rPr>
          <w:rFonts w:ascii="Times New Roman" w:hAnsi="Times New Roman"/>
          <w:sz w:val="20"/>
        </w:rPr>
        <w:t xml:space="preserve"> shall be paid or recouped exclusively in cash and shall adjust only the Closing Cash Consideration. The Closing Stock Consideration and the Closing Stock Consideration Value shall not be affected by any post-Closing adjustment under this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9" w:name="ex2_2rom152392_16"/>
      <w:bookmarkEnd w:id="29"/>
      <w:r>
        <w:rPr>
          <w:rFonts w:ascii="Times New Roman" w:hAnsi="Times New Roman"/>
          <w:sz w:val="20"/>
        </w:rPr>
        <w:t>2.7 </w:t>
      </w:r>
      <w:r>
        <w:rPr>
          <w:rFonts w:ascii="Times New Roman" w:hAnsi="Times New Roman"/>
          <w:sz w:val="20"/>
          <w:u w:val="single"/>
        </w:rPr>
        <w:t>Spreadsheet</w:t>
      </w:r>
      <w:r>
        <w:rPr>
          <w:rFonts w:ascii="Times New Roman" w:hAnsi="Times New Roman"/>
          <w:sz w:val="20"/>
        </w:rPr>
        <w:t>. The Company shall prepare and deliver to Acquiror, not later than two (2) Business Days prior to the Closing Date, a spreadsheet (the “</w:t>
      </w:r>
      <w:r>
        <w:rPr>
          <w:rFonts w:ascii="Times New Roman" w:hAnsi="Times New Roman"/>
          <w:b/>
          <w:i/>
          <w:sz w:val="20"/>
        </w:rPr>
        <w:t>Spreadsheet</w:t>
      </w:r>
      <w:r>
        <w:rPr>
          <w:rFonts w:ascii="Times New Roman" w:hAnsi="Times New Roman"/>
          <w:sz w:val="20"/>
        </w:rPr>
        <w:t xml:space="preserve">”), which Spreadsheet shall be dated as of the Closing Date and shall set forth all of the following information, as of the Closing Date and immediately prior to the Effective Time: (a) the names of all the Company Securityholders and holders of SAFEs and their respective addresses (including email addresses), including the amount of the Merger Consideration each of them is entitled to as of the Closing; (b) the number and kind of shares of Company Capital Stock held by, or subject to the Company Options held by, such Persons; (c) the exercise price per share in effect for each Company Option; (d) each Escrow Participant’s Pro Rata Portion (as a percentage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(e) the calculation of the Total Stock, the Escrow Amounts, the Reserve Amount, the Merger Consideration, the Residual Per Share Merger Consideration, the Assumed Expenses and the Per Share Closing Amount for each kind of share of Company Capital Stock, (f) the Aggregate Exercise Amount, and (g) any tax reporting and additional information reasonably requested by the Paying Agent. In the event of any conflict between the terms of this Agreement as it relates to determining such amounts that each Company Securityholder is entitled to receive or the calculations described above, the amounts set forth on the Spreadsheet shall govern. </w:t>
      </w:r>
    </w:p>
    <w:p>
      <w:pPr>
        <w:pStyle w:val="TextBody"/>
        <w:bidi w:val="0"/>
        <w:spacing w:before="240" w:after="0"/>
        <w:jc w:val="left"/>
        <w:rPr>
          <w:rFonts w:ascii="Times New Roman" w:hAnsi="Times New Roman"/>
          <w:sz w:val="20"/>
        </w:rPr>
      </w:pPr>
      <w:bookmarkStart w:id="30" w:name="ex2_2rom152392_17"/>
      <w:bookmarkEnd w:id="30"/>
      <w:r>
        <w:rPr>
          <w:rFonts w:ascii="Times New Roman" w:hAnsi="Times New Roman"/>
          <w:sz w:val="20"/>
        </w:rPr>
        <w:t>2.8 </w:t>
      </w:r>
      <w:r>
        <w:rPr>
          <w:rFonts w:ascii="Times New Roman" w:hAnsi="Times New Roman"/>
          <w:sz w:val="20"/>
          <w:u w:val="single"/>
        </w:rPr>
        <w:t>Appraisal Rights</w:t>
      </w:r>
      <w:r>
        <w:rPr>
          <w:rFonts w:ascii="Times New Roman" w:hAnsi="Times New Roman"/>
          <w:sz w:val="20"/>
        </w:rPr>
        <w:t xml:space="preserve">. Notwithstanding anything contained in this Agreement to the contrary, any Dissenting Shares shall not be converted into the right to receive the cash amount provided for in </w:t>
      </w:r>
      <w:r>
        <w:rPr>
          <w:rFonts w:ascii="Times New Roman" w:hAnsi="Times New Roman"/>
          <w:sz w:val="20"/>
          <w:u w:val="single"/>
        </w:rPr>
        <w:t>Section 2.1(b)</w:t>
      </w:r>
      <w:r>
        <w:rPr>
          <w:rFonts w:ascii="Times New Roman" w:hAnsi="Times New Roman"/>
          <w:sz w:val="20"/>
        </w:rPr>
        <w:t xml:space="preserve">, but shall instead be converted into the right to receive such consideration as may be determined to be due with respect to any such Dissenting Shares pursuant to the Delaware Code or other applicable Legal Requirements. Each holder of Dissenting Shares who, pursuant to the provisions of the Delaware Code or other applicable Legal Requirements, becomes entitled to payment thereunder for such shares shall receive payment therefor in accordance with the Delaware Code or other applicable Legal Requirements (but only after the value therefor shall have been agreed upon or finally determined pursuant to such provisions), as applicable. If, after the Effective Time, any Dissenting Shares shall lose their status as Dissenting Shares, then any such shares shall immediately be converted into the right to receive the Merger Consideration payable pursuant to </w:t>
      </w:r>
      <w:r>
        <w:rPr>
          <w:rFonts w:ascii="Times New Roman" w:hAnsi="Times New Roman"/>
          <w:sz w:val="20"/>
          <w:u w:val="single"/>
        </w:rPr>
        <w:t>Section 2.1(b)</w:t>
      </w:r>
      <w:r>
        <w:rPr>
          <w:rFonts w:ascii="Times New Roman" w:hAnsi="Times New Roman"/>
          <w:sz w:val="20"/>
        </w:rPr>
        <w:t xml:space="preserve"> in respect of such shares as if such shares never had been Dissenting Shares, and Acquiror shall issue and deliver to the holder thereof, the amount of cash to which such holder would be entitled in respect thereof under </w:t>
      </w:r>
      <w:r>
        <w:rPr>
          <w:rFonts w:ascii="Times New Roman" w:hAnsi="Times New Roman"/>
          <w:sz w:val="20"/>
          <w:u w:val="single"/>
        </w:rPr>
        <w:t>Section 2.1</w:t>
      </w:r>
      <w:r>
        <w:rPr>
          <w:rFonts w:ascii="Times New Roman" w:hAnsi="Times New Roman"/>
          <w:sz w:val="20"/>
        </w:rPr>
        <w:t xml:space="preserve"> as if such shares never had been Dissenting Shares. The Company shall give Acquiror prompt notice of any demands for appraisal received by the Company, withdrawals of such demands, and any other instruments served pursuant to the Delaware Code or other applicable Legal Requirements and received by the Company. The Company shall not, except with the prior written consent of Acquiror (which consent shall not be unreasonably withheld, conditioned or delayed), voluntarily make any payment or offer to make any payment with respect to, or settle or offer to settle, any claim or demand in respect of any Dissenting Shares. </w:t>
      </w:r>
    </w:p>
    <w:p>
      <w:pPr>
        <w:pStyle w:val="TextBody"/>
        <w:bidi w:val="0"/>
        <w:spacing w:before="240" w:after="0"/>
        <w:jc w:val="left"/>
        <w:rPr>
          <w:rFonts w:ascii="Times New Roman" w:hAnsi="Times New Roman"/>
          <w:sz w:val="20"/>
        </w:rPr>
      </w:pPr>
      <w:bookmarkStart w:id="31" w:name="ex2_2rom152392_18"/>
      <w:bookmarkEnd w:id="31"/>
      <w:r>
        <w:rPr>
          <w:rFonts w:ascii="Times New Roman" w:hAnsi="Times New Roman"/>
          <w:sz w:val="20"/>
        </w:rPr>
        <w:t>2.9 </w:t>
      </w:r>
      <w:r>
        <w:rPr>
          <w:rFonts w:ascii="Times New Roman" w:hAnsi="Times New Roman"/>
          <w:sz w:val="20"/>
          <w:u w:val="single"/>
        </w:rPr>
        <w:t>Additional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General</w:t>
      </w:r>
      <w:r>
        <w:rPr>
          <w:rFonts w:ascii="Times New Roman" w:hAnsi="Times New Roman"/>
          <w:sz w:val="20"/>
        </w:rPr>
        <w:t xml:space="preserve">. In addition to the other consideration set forth herein, and subject to the terms and conditions of this Agreement (including </w:t>
      </w:r>
      <w:r>
        <w:rPr>
          <w:rFonts w:ascii="Times New Roman" w:hAnsi="Times New Roman"/>
          <w:sz w:val="20"/>
          <w:u w:val="single"/>
        </w:rPr>
        <w:t>Article IX</w:t>
      </w:r>
      <w:r>
        <w:rPr>
          <w:rFonts w:ascii="Times New Roman" w:hAnsi="Times New Roman"/>
          <w:sz w:val="20"/>
        </w:rPr>
        <w:t xml:space="preserve"> and Acquiror’s set-off rights described in </w:t>
      </w:r>
      <w:r>
        <w:rPr>
          <w:rFonts w:ascii="Times New Roman" w:hAnsi="Times New Roman"/>
          <w:sz w:val="20"/>
          <w:u w:val="single"/>
        </w:rPr>
        <w:t>Section 9.2</w:t>
      </w:r>
      <w:r>
        <w:rPr>
          <w:rFonts w:ascii="Times New Roman" w:hAnsi="Times New Roman"/>
          <w:sz w:val="20"/>
        </w:rPr>
        <w:t xml:space="preserve"> and the conditions and limitations set forth on </w:t>
      </w:r>
      <w:r>
        <w:rPr>
          <w:rFonts w:ascii="Times New Roman" w:hAnsi="Times New Roman"/>
          <w:sz w:val="20"/>
          <w:u w:val="single"/>
        </w:rPr>
        <w:t>Schedule 2.9</w:t>
      </w:r>
      <w:r>
        <w:rPr>
          <w:rFonts w:ascii="Times New Roman" w:hAnsi="Times New Roman"/>
          <w:sz w:val="20"/>
        </w:rPr>
        <w:t>), the Company Securityholders shall be entitled to receive one or more additional payments in cash (each, an “</w:t>
      </w:r>
      <w:r>
        <w:rPr>
          <w:rFonts w:ascii="Times New Roman" w:hAnsi="Times New Roman"/>
          <w:b/>
          <w:i/>
          <w:sz w:val="20"/>
        </w:rPr>
        <w:t>Additional Consideration Payment</w:t>
      </w:r>
      <w:r>
        <w:rPr>
          <w:rFonts w:ascii="Times New Roman" w:hAnsi="Times New Roman"/>
          <w:sz w:val="20"/>
        </w:rPr>
        <w:t>” and collectively, the “</w:t>
      </w:r>
      <w:r>
        <w:rPr>
          <w:rFonts w:ascii="Times New Roman" w:hAnsi="Times New Roman"/>
          <w:b/>
          <w:i/>
          <w:sz w:val="20"/>
        </w:rPr>
        <w:t>Additional Consideration Payments</w:t>
      </w:r>
      <w:r>
        <w:rPr>
          <w:rFonts w:ascii="Times New Roman" w:hAnsi="Times New Roman"/>
          <w:sz w:val="20"/>
        </w:rPr>
        <w:t>”) based on achievement of the regulatory and commercial, sales-based milestone events (each, a “</w:t>
      </w:r>
      <w:r>
        <w:rPr>
          <w:rFonts w:ascii="Times New Roman" w:hAnsi="Times New Roman"/>
          <w:b/>
          <w:i/>
          <w:sz w:val="20"/>
        </w:rPr>
        <w:t>Milestone</w:t>
      </w:r>
      <w:r>
        <w:rPr>
          <w:rFonts w:ascii="Times New Roman" w:hAnsi="Times New Roman"/>
          <w:sz w:val="20"/>
        </w:rPr>
        <w:t>” and, collectively, the “</w:t>
      </w:r>
      <w:r>
        <w:rPr>
          <w:rFonts w:ascii="Times New Roman" w:hAnsi="Times New Roman"/>
          <w:b/>
          <w:i/>
          <w:sz w:val="20"/>
        </w:rPr>
        <w:t>Milestones</w:t>
      </w:r>
      <w:r>
        <w:rPr>
          <w:rFonts w:ascii="Times New Roman" w:hAnsi="Times New Roman"/>
          <w:sz w:val="20"/>
        </w:rPr>
        <w:t xml:space="preserve">”) set forth on </w:t>
      </w:r>
      <w:r>
        <w:rPr>
          <w:rFonts w:ascii="Times New Roman" w:hAnsi="Times New Roman"/>
          <w:sz w:val="20"/>
          <w:u w:val="single"/>
        </w:rPr>
        <w:t>Schedule 2.9</w:t>
      </w:r>
      <w:r>
        <w:rPr>
          <w:rFonts w:ascii="Times New Roman" w:hAnsi="Times New Roman"/>
          <w:sz w:val="20"/>
        </w:rPr>
        <w:t xml:space="preserve">. The payments described in </w:t>
      </w:r>
      <w:r>
        <w:rPr>
          <w:rFonts w:ascii="Times New Roman" w:hAnsi="Times New Roman"/>
          <w:sz w:val="20"/>
          <w:u w:val="single"/>
        </w:rPr>
        <w:t>Section 2.9(b)</w:t>
      </w:r>
      <w:r>
        <w:rPr>
          <w:rFonts w:ascii="Times New Roman" w:hAnsi="Times New Roman"/>
          <w:sz w:val="20"/>
        </w:rPr>
        <w:t xml:space="preserve"> and </w:t>
      </w:r>
      <w:r>
        <w:rPr>
          <w:rFonts w:ascii="Times New Roman" w:hAnsi="Times New Roman"/>
          <w:sz w:val="20"/>
          <w:u w:val="single"/>
        </w:rPr>
        <w:t>Section 2.9(c)</w:t>
      </w:r>
      <w:r>
        <w:rPr>
          <w:rFonts w:ascii="Times New Roman" w:hAnsi="Times New Roman"/>
          <w:sz w:val="20"/>
        </w:rPr>
        <w:t xml:space="preserve"> (if any) received by any Company Stockholder shall be treated for all U.S. federal income Tax purposes as adjustments to the Merger Consideration (except to the extent of amounts recharacterized as interest under Section 483 of the Code) unless otherwise required by a final “determination” within the meaning of Section 1313(a) of the Code (or analogous state, local or non-U.S. applicable Legal Requirements).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Regulatory Milestone Payments</w:t>
      </w:r>
      <w:r>
        <w:rPr>
          <w:rFonts w:ascii="Times New Roman" w:hAnsi="Times New Roman"/>
          <w:sz w:val="20"/>
        </w:rPr>
        <w:t xml:space="preserve">. With respect to each Regulatory Milestone, within [***] after such Regulatory Milestone is achieved by or on behalf of the Company, Acquiror shall pay to the Paying Agent (for further distribution to the Company Stockholders and former holders of Company Non-Employee Options in accordance with their Pro Rata Portion) or the Surviving Corporation (for further distribution to the former holders of Company Employee Options in accordance with their Pro Rata Portion), as applicable, such Additional Consideration Payment(s) set forth on </w:t>
      </w:r>
      <w:r>
        <w:rPr>
          <w:rFonts w:ascii="Times New Roman" w:hAnsi="Times New Roman"/>
          <w:sz w:val="20"/>
          <w:u w:val="single"/>
        </w:rPr>
        <w:t>Schedule 2.9</w:t>
      </w:r>
      <w:r>
        <w:rPr>
          <w:rFonts w:ascii="Times New Roman" w:hAnsi="Times New Roman"/>
          <w:sz w:val="20"/>
        </w:rPr>
        <w:t xml:space="preserve"> related to each such Regulatory Milestone, in each instance, subject and pursuant to the conditions, limitations and procedures set forth therein (each, a “</w:t>
      </w:r>
      <w:r>
        <w:rPr>
          <w:rFonts w:ascii="Times New Roman" w:hAnsi="Times New Roman"/>
          <w:b/>
          <w:i/>
          <w:sz w:val="20"/>
        </w:rPr>
        <w:t>Regulatory Milestone Payment</w:t>
      </w:r>
      <w:r>
        <w:rPr>
          <w:rFonts w:ascii="Times New Roman" w:hAnsi="Times New Roman"/>
          <w:sz w:val="20"/>
        </w:rPr>
        <w:t>” and collectively, the “</w:t>
      </w:r>
      <w:r>
        <w:rPr>
          <w:rFonts w:ascii="Times New Roman" w:hAnsi="Times New Roman"/>
          <w:b/>
          <w:i/>
          <w:sz w:val="20"/>
        </w:rPr>
        <w:t>Regulatory Milestone Payments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Commercial Milestone Payments</w:t>
      </w:r>
      <w:r>
        <w:rPr>
          <w:rFonts w:ascii="Times New Roman" w:hAnsi="Times New Roman"/>
          <w:sz w:val="20"/>
        </w:rPr>
        <w:t xml:space="preserve">. Within [***] after the end of the calendar quarter in which any Commercial Milestone is achieved as set forth on </w:t>
      </w:r>
      <w:r>
        <w:rPr>
          <w:rFonts w:ascii="Times New Roman" w:hAnsi="Times New Roman"/>
          <w:sz w:val="20"/>
          <w:u w:val="single"/>
        </w:rPr>
        <w:t>Schedule 2.9</w:t>
      </w:r>
      <w:r>
        <w:rPr>
          <w:rFonts w:ascii="Times New Roman" w:hAnsi="Times New Roman"/>
          <w:sz w:val="20"/>
        </w:rPr>
        <w:t xml:space="preserve">, Acquiror shall pay to the Paying Agent (for further distribution to the Company Stockholders and former holders of Company Non-Employee Options in accordance with their Pro Rata Portion) or the Surviving Corporation (for further distribution to the former holders of Company Employee Options in accordance with their Pro Rata Portion), as applicable, such Additional Consideration Payment(s) set forth on </w:t>
      </w:r>
      <w:r>
        <w:rPr>
          <w:rFonts w:ascii="Times New Roman" w:hAnsi="Times New Roman"/>
          <w:sz w:val="20"/>
          <w:u w:val="single"/>
        </w:rPr>
        <w:t>Schedule 2.9</w:t>
      </w:r>
      <w:r>
        <w:rPr>
          <w:rFonts w:ascii="Times New Roman" w:hAnsi="Times New Roman"/>
          <w:sz w:val="20"/>
        </w:rPr>
        <w:t xml:space="preserve"> related to such Commercial Milestone, in each instance, subject and pursuant to the conditions, limitations and procedures set forth therein (each, a “</w:t>
      </w:r>
      <w:r>
        <w:rPr>
          <w:rFonts w:ascii="Times New Roman" w:hAnsi="Times New Roman"/>
          <w:b/>
          <w:i/>
          <w:sz w:val="20"/>
        </w:rPr>
        <w:t>Commercial Milestone Payment</w:t>
      </w:r>
      <w:r>
        <w:rPr>
          <w:rFonts w:ascii="Times New Roman" w:hAnsi="Times New Roman"/>
          <w:sz w:val="20"/>
        </w:rPr>
        <w:t>” and collectively, the “</w:t>
      </w:r>
      <w:r>
        <w:rPr>
          <w:rFonts w:ascii="Times New Roman" w:hAnsi="Times New Roman"/>
          <w:b/>
          <w:i/>
          <w:sz w:val="20"/>
        </w:rPr>
        <w:t>Commercial Milestone Payments</w:t>
      </w:r>
      <w:r>
        <w:rPr>
          <w:rFonts w:ascii="Times New Roman" w:hAnsi="Times New Roman"/>
          <w:sz w:val="20"/>
        </w:rPr>
        <w:t>” and together with the Regulatory Milestone Payments, the “</w:t>
      </w:r>
      <w:r>
        <w:rPr>
          <w:rFonts w:ascii="Times New Roman" w:hAnsi="Times New Roman"/>
          <w:b/>
          <w:i/>
          <w:sz w:val="20"/>
        </w:rPr>
        <w:t>Milestone Payments</w:t>
      </w:r>
      <w:r>
        <w:rPr>
          <w:rFonts w:ascii="Times New Roman" w:hAnsi="Times New Roman"/>
          <w:sz w:val="20"/>
        </w:rPr>
        <w:t>” and each, a “</w:t>
      </w:r>
      <w:r>
        <w:rPr>
          <w:rFonts w:ascii="Times New Roman" w:hAnsi="Times New Roman"/>
          <w:b/>
          <w:i/>
          <w:sz w:val="20"/>
        </w:rPr>
        <w:t>Milestone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Royalty Payments</w:t>
      </w:r>
      <w:r>
        <w:rPr>
          <w:rFonts w:ascii="Times New Roman" w:hAnsi="Times New Roman"/>
          <w:sz w:val="20"/>
        </w:rPr>
        <w:t xml:space="preserve">. Following the First Commercial Sale of a Product in the United States (including achievement of the second Regulatory Milestone (RM-2) set forth on Schedule 2.9), during the Royalty Term set forth on </w:t>
      </w:r>
      <w:r>
        <w:rPr>
          <w:rFonts w:ascii="Times New Roman" w:hAnsi="Times New Roman"/>
          <w:sz w:val="20"/>
          <w:u w:val="single"/>
        </w:rPr>
        <w:t>Schedule 2.9</w:t>
      </w:r>
      <w:r>
        <w:rPr>
          <w:rFonts w:ascii="Times New Roman" w:hAnsi="Times New Roman"/>
          <w:sz w:val="20"/>
        </w:rPr>
        <w:t xml:space="preserve"> Acquiror shall pay to the Paying Agent (for further distribution to the Company Stockholders and former holders of Company Non-Employee Options in accordance with their Pro Rata Portion) or the Surviving Corporation (for further distribution to the former holders of Company Employee Options in accordance with their Pro Rata Portion), as applicable, within [***] after the end of each calendar quarter following the Closing Date, a Royalty Payment amount calculated as a percentage of Net Sales of all Products sold in the United States during the Royalty Term that have, at the time of sale, an active J-Code or have otherwise been afforded active Pass-Through Status, in each case permitting separate reimbursement for such Products (such Products, collectively, “</w:t>
      </w:r>
      <w:r>
        <w:rPr>
          <w:rFonts w:ascii="Times New Roman" w:hAnsi="Times New Roman"/>
          <w:b/>
          <w:i/>
          <w:sz w:val="20"/>
        </w:rPr>
        <w:t>Royalty Products</w:t>
      </w:r>
      <w:r>
        <w:rPr>
          <w:rFonts w:ascii="Times New Roman" w:hAnsi="Times New Roman"/>
          <w:sz w:val="20"/>
        </w:rPr>
        <w:t xml:space="preserve">”) during such calendar quarter based on the applicable Royalty Payment Percentage and as described on </w:t>
      </w:r>
      <w:r>
        <w:rPr>
          <w:rFonts w:ascii="Times New Roman" w:hAnsi="Times New Roman"/>
          <w:sz w:val="20"/>
          <w:u w:val="single"/>
        </w:rPr>
        <w:t>Schedule 2.9</w:t>
      </w:r>
      <w:r>
        <w:rPr>
          <w:rFonts w:ascii="Times New Roman" w:hAnsi="Times New Roman"/>
          <w:sz w:val="20"/>
        </w:rPr>
        <w:t xml:space="preserve"> (each, a “</w:t>
      </w:r>
      <w:r>
        <w:rPr>
          <w:rFonts w:ascii="Times New Roman" w:hAnsi="Times New Roman"/>
          <w:b/>
          <w:i/>
          <w:sz w:val="20"/>
        </w:rPr>
        <w:t>Royalty Payment</w:t>
      </w:r>
      <w:r>
        <w:rPr>
          <w:rFonts w:ascii="Times New Roman" w:hAnsi="Times New Roman"/>
          <w:sz w:val="20"/>
        </w:rPr>
        <w:t>” and collectively, the “</w:t>
      </w:r>
      <w:r>
        <w:rPr>
          <w:rFonts w:ascii="Times New Roman" w:hAnsi="Times New Roman"/>
          <w:b/>
          <w:i/>
          <w:sz w:val="20"/>
        </w:rPr>
        <w:t>Royalty Payments</w:t>
      </w:r>
      <w:r>
        <w:rPr>
          <w:rFonts w:ascii="Times New Roman" w:hAnsi="Times New Roman"/>
          <w:sz w:val="20"/>
        </w:rPr>
        <w:t xml:space="preserve">”) provided, however, that all payments to former holders of In-the-Money Options shall be subject to </w:t>
      </w:r>
      <w:r>
        <w:rPr>
          <w:rFonts w:ascii="Times New Roman" w:hAnsi="Times New Roman"/>
          <w:sz w:val="20"/>
          <w:u w:val="single"/>
        </w:rPr>
        <w:t>Section 2.1(b)(ii)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Net Sales Reports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(i) With respect to the calendar year in which the First Commercial Sale of any Product occurs in any country and each calendar year thereafter until expiry, of the last Valid Claim included in the Acquired Patents Covering a Product, within [***] following the end of each such calendar year, the Acquiror shall provide the Securityholders’ Representative a report setting forth, on a Product by Product and country by country basis, the corresponding Net Sales of each Product sold in each such country and in the aggregate across all countries during such calendar year, reasonable detail regarding the calculation of such Net Sales and, as applicable, an indication that any of the Commercial Milestones have been achieved during such calendar quarter (each such report, a “</w:t>
      </w:r>
      <w:r>
        <w:rPr>
          <w:rFonts w:ascii="Times New Roman" w:hAnsi="Times New Roman"/>
          <w:b/>
          <w:i/>
          <w:sz w:val="20"/>
        </w:rPr>
        <w:t>Commercial Milestone Net Sales Report</w:t>
      </w:r>
      <w:r>
        <w:rPr>
          <w:rFonts w:ascii="Times New Roman" w:hAnsi="Times New Roman"/>
          <w:sz w:val="20"/>
        </w:rPr>
        <w:t xml:space="preserve">”). After the expiry, in all countries, of the last Valid Claim included in the Acquired Patents Covering a Product and until all Commercial Milestones have been achieved, upon the request of Securityholders’ Representative, such request to be made no more than one time per calendar year, Acquiror shall provide to Securityholders’ Representative with written certification as to whether or not any Commercial Milestones have been achieved for which Commercial Milestone Payments have not yet been paid, which certification shall include the date of achievement for any such Commercial Milestones that were achieved. </w:t>
      </w:r>
    </w:p>
    <w:p>
      <w:pPr>
        <w:pStyle w:val="TextBody"/>
        <w:bidi w:val="0"/>
        <w:spacing w:before="120" w:after="0"/>
        <w:jc w:val="left"/>
        <w:rPr>
          <w:rFonts w:ascii="Times New Roman" w:hAnsi="Times New Roman"/>
          <w:sz w:val="20"/>
        </w:rPr>
      </w:pPr>
      <w:r>
        <w:rPr>
          <w:rFonts w:ascii="Times New Roman" w:hAnsi="Times New Roman"/>
          <w:sz w:val="20"/>
        </w:rPr>
        <w:t>(ii) With respect to the calendar quarter in which the First Commercial Sale of any Royalty Product occurs in the United States and each calendar quarter thereafter, within [***] following the end of each such calendar quarter, the Acquiror shall provide the Securityholders’ Representative a report setting forth, on a Royalty Product-by-Royalty Product basis, the corresponding Net Sales of each Royalty Product sold during such calendar quarter, reasonable details regarding the calculation of such Net Sales, the Royalty Payment due with respect to such Net Sales during such calendar quarter (each such report, a “</w:t>
      </w:r>
      <w:r>
        <w:rPr>
          <w:rFonts w:ascii="Times New Roman" w:hAnsi="Times New Roman"/>
          <w:b/>
          <w:i/>
          <w:sz w:val="20"/>
        </w:rPr>
        <w:t>Royalty Product Net Sales Report</w:t>
      </w:r>
      <w:r>
        <w:rPr>
          <w:rFonts w:ascii="Times New Roman" w:hAnsi="Times New Roman"/>
          <w:sz w:val="20"/>
        </w:rPr>
        <w:t>”, and together with the Commercial Milestone Net Sales Reports, collectively, “</w:t>
      </w:r>
      <w:r>
        <w:rPr>
          <w:rFonts w:ascii="Times New Roman" w:hAnsi="Times New Roman"/>
          <w:b/>
          <w:i/>
          <w:sz w:val="20"/>
        </w:rPr>
        <w:t>Net Sales Reports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(iii) The Securityholders’ Representative may designate (1) one of the “Big Four” accounting firms to be engaged on a non-contingency basis or (2) another nationally recognized third-party accounting firm reasonably acceptable to Acquiror (each, an “</w:t>
      </w:r>
      <w:r>
        <w:rPr>
          <w:rFonts w:ascii="Times New Roman" w:hAnsi="Times New Roman"/>
          <w:b/>
          <w:i/>
          <w:sz w:val="20"/>
        </w:rPr>
        <w:t>Independent Auditor</w:t>
      </w:r>
      <w:r>
        <w:rPr>
          <w:rFonts w:ascii="Times New Roman" w:hAnsi="Times New Roman"/>
          <w:sz w:val="20"/>
        </w:rPr>
        <w:t>”) to receive limited access to inspect only those relevant books and records of Acquiror (and, as applicable, each other Selling Person) needed to verify the calculation of Net Sales relating to the sale of the applicable Products, in each case only upon reasonable prior notice and for the sole purpose and solely to the extent necessary to confirm whether the Net Sales reported, the calculations with respect thereto, the Royalty Payments made and whether any Commercial Milestone Payment should have been made are correct, in each instance, with such review being subject to reasonable written restrictions on the use and disclosure of any such underlying books, records or related information obtained in connection with such review (each such review, a “</w:t>
      </w:r>
      <w:r>
        <w:rPr>
          <w:rFonts w:ascii="Times New Roman" w:hAnsi="Times New Roman"/>
          <w:b/>
          <w:i/>
          <w:sz w:val="20"/>
        </w:rPr>
        <w:t>Net Sales Audit</w:t>
      </w:r>
      <w:r>
        <w:rPr>
          <w:rFonts w:ascii="Times New Roman" w:hAnsi="Times New Roman"/>
          <w:sz w:val="20"/>
        </w:rPr>
        <w:t xml:space="preserve">”); provided, for clarity, that Acquiror may require that the Independent Auditor execute, prior to being granted any such access, a confidentiality agreement in customary form including an agreement not to disclose any such books or records that are made available to the Independent Auditor pursuant to this </w:t>
      </w:r>
      <w:r>
        <w:rPr>
          <w:rFonts w:ascii="Times New Roman" w:hAnsi="Times New Roman"/>
          <w:sz w:val="20"/>
          <w:u w:val="single"/>
        </w:rPr>
        <w:t>Section 2.9(e)</w:t>
      </w:r>
      <w:r>
        <w:rPr>
          <w:rFonts w:ascii="Times New Roman" w:hAnsi="Times New Roman"/>
          <w:sz w:val="20"/>
        </w:rPr>
        <w:t xml:space="preserve"> to the Securityholders’ Representative or any other party (excluding, for the avoidance of doubt, the Independent Auditor not being prohibited from including as applicable information derived from such books or records in the Independent Auditor’s written report or otherwise as contemplated herein and, for the avoidance of doubt, nothing herein shall prohibit the Securityholders’ Representative from disclosing the Independent Auditor’s written report or other applicable information to the Securityholders’ Representative Group). Securityholders’ Representative shall not exercise its right to have a Net Sales Audit conducted more than one time during any particular calendar year. Each such Net Sales Audit shall be limited to reviewing the books and records pertaining to sales of Products made in the [***] prior to the year in which the audit is conducted and the books and records pertaining to any particular calendar year shall not be subject to a Net Sales Audit more than once. The Independent Auditor shall be directed to render a written report as to whether the Net Sales reported in the applicable Net Sales Reports are correct, whether Royalty Payments have been calculated and made correctly and whether there was a failure to timely pay any Commercial Milestone Payment (with such written report providing details with respect to any discrepancies in the Net Sales reported, the calculation or payment of any such Royalty Payments and any failure to timely pay a Commercial Milestone Payment) as promptly as practicable, but in any event no later than [***] after the Independent Auditor has been provided access to all of the relevant books and records for the conduct of such Net Sales Audit. Acquiror shall and shall cause each Selling Person to provide or make accessible to the Independent Auditor such books, records, work papers, schedules and other documents and information relating to the calculation of Net Sales (including the gross sales of Products and the deductions taken therefrom in calculating Net Sales) and Royalty Payments with respect thereto as the Independent Auditor may reasonably request, in each instance, solely to the extent necessary to verify such calculations. The Independent Auditor’s determination of the amount of Net Sales that should have been reported in any Net Sales Report shall be binding on the parties hereto; provided, that in the event either Acquiror or Securityholder’s Representative disputes, in good faith for suspected manifest error, any such determination, Acquiror or Securityholders’ Representative, as applicable, may refer the matter to arbitration before an independent arbitrator experienced in the industry and knowledgeable in such matters, which shall otherwise be conducted in Irvine, California under the arbitration procedures set forth in </w:t>
      </w:r>
      <w:r>
        <w:rPr>
          <w:rFonts w:ascii="Times New Roman" w:hAnsi="Times New Roman"/>
          <w:sz w:val="20"/>
          <w:u w:val="single"/>
        </w:rPr>
        <w:t>Section 9.4(d)</w:t>
      </w:r>
      <w:r>
        <w:rPr>
          <w:rFonts w:ascii="Times New Roman" w:hAnsi="Times New Roman"/>
          <w:sz w:val="20"/>
        </w:rPr>
        <w:t xml:space="preserve"> below </w:t>
      </w:r>
      <w:r>
        <w:rPr>
          <w:rFonts w:ascii="Times New Roman" w:hAnsi="Times New Roman"/>
          <w:i/>
          <w:sz w:val="20"/>
        </w:rPr>
        <w:t>mutatis mutandis</w:t>
      </w:r>
      <w:r>
        <w:rPr>
          <w:rFonts w:ascii="Times New Roman" w:hAnsi="Times New Roman"/>
          <w:sz w:val="20"/>
        </w:rPr>
        <w:t xml:space="preserve">. The fees and expenses of the Independent Auditor shall be paid by the Securityholders’ Representative (on behalf of the Company Securityholders), unless the Net Sales Audit reveals either that Net Sales in a Net Sales Report were underreported by more than [***], any Royalty Payment was underpaid by more than [***], or Acquiror failed to either timely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 the occurrence of a Commercial Milestone or to timely pay a Commercial Milestone, in which event the Acquiror shall be responsible for [***] of the fees and expenses of the Independent Auditor. In the event that the Independent Auditor determines that Net Sales during any year were of a sufficient level such that a Commercial Milestone was achieved and the corresponding Commercial Milestone Payment had not been paid by Acquiror or that Acquiror had failed to pay or underpaid any Royalty Payment, Acquiror shall pay such Commercial Milestone Payment and Royalty Payments (to the extent not already paid in full), together with all interest due thereon as calculated pursuant to </w:t>
      </w:r>
      <w:r>
        <w:rPr>
          <w:rFonts w:ascii="Times New Roman" w:hAnsi="Times New Roman"/>
          <w:sz w:val="20"/>
          <w:u w:val="single"/>
        </w:rPr>
        <w:t>Section 2.10</w:t>
      </w:r>
      <w:r>
        <w:rPr>
          <w:rFonts w:ascii="Times New Roman" w:hAnsi="Times New Roman"/>
          <w:sz w:val="20"/>
        </w:rPr>
        <w:t xml:space="preserve">, to the Paying Agent (for further distribution to the Company Stockholders and former holders of Company Non-Employee Options in accordance with their Pro Rata Portion) or the Surviving Corporation (for further distribution to the former holders of Company Employee Options in accordance with their Pro Rata Portion), as applicable, within [***] following such determination.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Covenants</w:t>
      </w:r>
      <w:r>
        <w:rPr>
          <w:rFonts w:ascii="Times New Roman" w:hAnsi="Times New Roman"/>
          <w:sz w:val="20"/>
        </w:rPr>
        <w:t xml:space="preserve">. Subject to </w:t>
      </w:r>
      <w:r>
        <w:rPr>
          <w:rFonts w:ascii="Times New Roman" w:hAnsi="Times New Roman"/>
          <w:sz w:val="20"/>
          <w:u w:val="single"/>
        </w:rPr>
        <w:t>Section 2.9(k)</w:t>
      </w:r>
      <w:r>
        <w:rPr>
          <w:rFonts w:ascii="Times New Roman" w:hAnsi="Times New Roman"/>
          <w:sz w:val="20"/>
        </w:rPr>
        <w:t xml:space="preserve"> and Acquiror’s right to exercise its reasonable business judgement while acting in good faith (including as contemplated in </w:t>
      </w:r>
      <w:r>
        <w:rPr>
          <w:rFonts w:ascii="Times New Roman" w:hAnsi="Times New Roman"/>
          <w:sz w:val="20"/>
          <w:u w:val="single"/>
        </w:rPr>
        <w:t>Section 2.9(k)</w:t>
      </w:r>
      <w:r>
        <w:rPr>
          <w:rFonts w:ascii="Times New Roman" w:hAnsi="Times New Roman"/>
          <w:sz w:val="20"/>
        </w:rPr>
        <w:t xml:space="preserve"> below), following the Closing until the later of (x) the end of the Royalty Term or (y) [***] after Closing, Acquiror agrees not to take any action with the specific intent and for the primary purpose of wrongfully depriving the Company Securityholders of the Royalties or Milestone Payments otherwise due under this Agreement. For the avoidance of doubt, nothing in this </w:t>
      </w:r>
      <w:r>
        <w:rPr>
          <w:rFonts w:ascii="Times New Roman" w:hAnsi="Times New Roman"/>
          <w:sz w:val="20"/>
          <w:u w:val="single"/>
        </w:rPr>
        <w:t>Section 2.9(f)</w:t>
      </w:r>
      <w:r>
        <w:rPr>
          <w:rFonts w:ascii="Times New Roman" w:hAnsi="Times New Roman"/>
          <w:sz w:val="20"/>
        </w:rPr>
        <w:t xml:space="preserve"> shall prohibit either Party from engaging in normal-course business activities, acquisitions, or independent development, nor shall it restrict either Party from entering into separate agreements with third parties, provided that such actions are not primarily directed at circumventing the payment obligations herein in violation of the foregoing. In furtherance of the foregoing and subject to this </w:t>
      </w:r>
      <w:r>
        <w:rPr>
          <w:rFonts w:ascii="Times New Roman" w:hAnsi="Times New Roman"/>
          <w:sz w:val="20"/>
          <w:u w:val="single"/>
        </w:rPr>
        <w:t>Section 2.9(f)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(i) until the earlier of the end of the Diligence Period (as defined below) or the achievement of all Regulatory Milestones, Acquiror will use Commercially Reasonable Efforts to (A) advance the development of and seek to obtain Regulatory Approval for the lead Product known by the Company as “IRX 101” in the United States and (B) achieve the second Regulatory Milestone (RM-2) solely limited to using such Commercially Reasonable Efforts to perform the following steps: (1) submitting an application with CMS for a J-Code (as those terms are defined in Schedule 2.9) and (2) evaluating and timely taking actions and interacting with and responding to CMS in furtherance of CMS’ review of and, if applicable, taking appropriate and permissible actions in response to CMS’ determination made with respect to such application and prospective issuance of a J-Code; and </w:t>
      </w:r>
    </w:p>
    <w:p>
      <w:pPr>
        <w:pStyle w:val="TextBody"/>
        <w:bidi w:val="0"/>
        <w:spacing w:before="120" w:after="0"/>
        <w:jc w:val="left"/>
        <w:rPr>
          <w:rFonts w:ascii="Times New Roman" w:hAnsi="Times New Roman"/>
          <w:sz w:val="20"/>
        </w:rPr>
      </w:pPr>
      <w:r>
        <w:rPr>
          <w:rFonts w:ascii="Times New Roman" w:hAnsi="Times New Roman"/>
          <w:sz w:val="20"/>
        </w:rPr>
        <w:t xml:space="preserve">(ii) Following the First Commercial Sale of such Product in the United States and until expiration of the Diligence Period, Acquiror shall (and shall use Commercially Reasonable Efforts to require each other Selling Person(s) to) use Commercially Reasonable Efforts to market, promote and sell at least one Product in the United States. </w:t>
      </w:r>
    </w:p>
    <w:p>
      <w:pPr>
        <w:pStyle w:val="TextBody"/>
        <w:bidi w:val="0"/>
        <w:spacing w:before="240" w:after="0"/>
        <w:jc w:val="left"/>
        <w:rPr>
          <w:rFonts w:ascii="Times New Roman" w:hAnsi="Times New Roman"/>
          <w:sz w:val="20"/>
        </w:rPr>
      </w:pPr>
      <w:r>
        <w:rPr>
          <w:rFonts w:ascii="Times New Roman" w:hAnsi="Times New Roman"/>
          <w:sz w:val="20"/>
        </w:rPr>
        <w:t>For the purpose of this Agreement, (x) “</w:t>
      </w:r>
      <w:r>
        <w:rPr>
          <w:rFonts w:ascii="Times New Roman" w:hAnsi="Times New Roman"/>
          <w:b/>
          <w:i/>
          <w:sz w:val="20"/>
        </w:rPr>
        <w:t>Diligence Period”</w:t>
      </w:r>
      <w:r>
        <w:rPr>
          <w:rFonts w:ascii="Times New Roman" w:hAnsi="Times New Roman"/>
          <w:sz w:val="20"/>
        </w:rPr>
        <w:t xml:space="preserve"> means the period beginning on the Closing Date and ending upon the earliest to occur of (i) the full payment of all Additional Consideration Payments and (ii) [***] following the Closing Date (such date, the “</w:t>
      </w:r>
      <w:r>
        <w:rPr>
          <w:rFonts w:ascii="Times New Roman" w:hAnsi="Times New Roman"/>
          <w:b/>
          <w:i/>
          <w:sz w:val="20"/>
        </w:rPr>
        <w:t>Diligence Period</w:t>
      </w:r>
      <w:r>
        <w:rPr>
          <w:rFonts w:ascii="Times New Roman" w:hAnsi="Times New Roman"/>
          <w:sz w:val="20"/>
        </w:rPr>
        <w:t>”), and (y) “</w:t>
      </w:r>
      <w:r>
        <w:rPr>
          <w:rFonts w:ascii="Times New Roman" w:hAnsi="Times New Roman"/>
          <w:b/>
          <w:i/>
          <w:sz w:val="20"/>
        </w:rPr>
        <w:t>Commercially Reasonable Efforts</w:t>
      </w:r>
      <w:r>
        <w:rPr>
          <w:rFonts w:ascii="Times New Roman" w:hAnsi="Times New Roman"/>
          <w:sz w:val="20"/>
        </w:rPr>
        <w:t xml:space="preserve">” means, (i) with respect to the efforts to be expended by a party with respect to any objective, such reasonable, diligent, and good faith efforts as such party would normally use to accomplish a similar objective under similar circumstances; and (ii) with respect to the development or commercialization of Products by any Person, the application by such Person, consistent with the exercise of its own prudent scientific and business judgment, of diligent efforts to fulfill the obligation in issue, comparable with the level of efforts and resources typically devoted by Acquiror for its own internally funded compounds or products or other compounds or products owned or controlled by Acquiror (or if Acquiror has no such other compounds or products, then those of a company in the biopharmaceutical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industry of comparable size and with comparable resources for compounds or products owned or controlled by such company) that are of similar market potential at a similar stage in development or product life as the applicable Product, based on facts and circumstances existing at the time the applicable decision is made, taking into account scientific, commercial, legal, regulatory and other relevant factors, including issues of safety and efficacy, strength of its proprietary position, expected and actual approved labeling, expected and actual cost and time to develop, expected and actual profitability (without consideration of amounts payable to Company Securityholders pursuant to this Agreement), expected and actual competitiveness (including timing of introduction thereof) of alternative products (including but not limited to generic products) in the marketplace, the nature and extent of expected and actual market exclusivity (including patent coverage and regulatory exclusivity), the expected likelihood of regulatory approval, the expected and actual reimbursability and pricing, and the expected and actual amounts of marketing and promotional expenditures required, all based on conditions then-prevailing. For clarity, Commercially Reasonable Efforts will not mean that a party guarantees that it will actually accomplish the applicable task or objective and does not require a party to (x) take any action that would reasonably be expected to have a material adverse effect on such party or its Affiliates, including their other products or programs, (y) accept or commit to any expenditure that is unreasonable in light of the factors described above, or (z) continue any development or regulatory activity once such party determines in good faith, consistent with the foregoing standard, that such activity is no longer commercially reasonable. Except as otherwise expressly set forth in the Agreement, following the Closing, the parties intend the express provisions of the Agreement (including the definition of “Commercially Reasonable Efforts” where such term is expressly applicable) to govern their contractual relationship and to supersede any standard of efforts that might otherwise be imposed by applicable Legal Requirements solely to the extent such standards conflict with the express provisions of the Agreement. Upon the expiration of the Diligence Period, the obligations of the Company and Acquiror (whether through the Company or otherwise) to use Commercially Reasonable Efforts under this Section 2.9 shall cease and shall automatically terminate in their entirety.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Acknowledgements; Assignment and Transfer Restrictions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parties hereto understand and agree that (1) the contingent rights to receive the Additional Consideration Payments (or any portion thereof) shall not be represented by any form of certificate or other instrument and do not constitute an equity or ownership interest in Acquiror or the Surviving Corporation, (2) the Company Securityholders shall not have any rights as a securityholder of Acquiror or the Surviving Corporation as a result of the Company Securityholders’ contingent right to receive any Additional Consideration Payments hereunder, and (3) the contingent rights to receive Additional Consideration Payments do not confer upon the Company Securityholders any voting rights, dividend rights, or other rights of a holder of equity securities of Acquiror or the Surviving Corporation. The parties hereto acknowledge and agree that neither the Additional Consideration Payments nor any Company Securityholder’s right to receive any portion thereof is or shall be deemed to be a “security” as defined in the Securities Act of 1933, as amended, or other federal, state or local Legal Requirements. </w:t>
      </w:r>
    </w:p>
    <w:p>
      <w:pPr>
        <w:pStyle w:val="TextBody"/>
        <w:bidi w:val="0"/>
        <w:spacing w:before="120" w:after="0"/>
        <w:jc w:val="left"/>
        <w:rPr>
          <w:rFonts w:ascii="Times New Roman" w:hAnsi="Times New Roman"/>
          <w:sz w:val="20"/>
        </w:rPr>
      </w:pPr>
      <w:r>
        <w:rPr>
          <w:rFonts w:ascii="Times New Roman" w:hAnsi="Times New Roman"/>
          <w:sz w:val="20"/>
        </w:rPr>
        <w:t>(ii) No Company Securityholder may assign, transfer, pledge, hypothecate or otherwise dispose of any right to receive Additional Consideration Payments, in whole or in part, without the express prior written consent of Acquiror, not to be unreasonably withheld, conditioned or delayed, except (A) to a financial institution or other Person whose primary business is the acquisition, financing, or investment in royalty streams, revenue interests, or similar payment rights (each, a “</w:t>
      </w:r>
      <w:r>
        <w:rPr>
          <w:rFonts w:ascii="Times New Roman" w:hAnsi="Times New Roman"/>
          <w:b/>
          <w:i/>
          <w:sz w:val="20"/>
        </w:rPr>
        <w:t>Financial Assignee</w:t>
      </w:r>
      <w:r>
        <w:rPr>
          <w:rFonts w:ascii="Times New Roman" w:hAnsi="Times New Roman"/>
          <w:sz w:val="20"/>
        </w:rPr>
        <w:t xml:space="preserve">”); provided that, in each case, such assignee is not (and is not an Affiliate of) a Person that is engaged, directly or indirectly, in the research, development, manufacture, or commercialization of pharmaceutical or biotechnology products, including any that are competitive with Products; (B) by will or intestacy, (C) by operation of law, (D) as a bona fide gift to such Company Securityholder’s family member or to a trust for the benefit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Securityholder or one or more of such Company Securityholder’s family members, or (E) to an Affiliate of such Company Securityholder; provided, that (1) any such transfer shall be effective only upon the delivery of prompt written notice to Acquiror and the Securityholders’ Representative, which notice shall specify the identity of the transferor and transferee, the rights transferred, and the effective date of such transfer, (2) no such assignment or transfer shall be permitted if it cannot be effected without registration under applicable securities laws or would result in adverse consequences to Acquiror or the Surviving Corporation under applicable Legal Requirements, and (3) the transferor and transferee shall provide such additional evidence of transfer as Acquiror or the Securityholders’ Representative may reasonably request. Any purported assignment or transfer of rights to Additional Consideration Payments in violation of this paragraph shall be null and void, and Acquiror, the Surviving Corporation, and the Securityholders’ Representative shall not recognize or give effect to any such purported assignment or transfer. For clarity, a “Financial Assignee” includes royalty monetization firms, royalty funds, and similar investment entities (including, by way of example, firms such as Healthcare Royalty Partners or similar organizations), but excludes any operating company or strategic acquirer with any (including any direct or indirect affiliates having any) active programs or products in a similar field as the Products.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Regulatory Update Reports</w:t>
      </w:r>
      <w:r>
        <w:rPr>
          <w:rFonts w:ascii="Times New Roman" w:hAnsi="Times New Roman"/>
          <w:sz w:val="20"/>
        </w:rPr>
        <w:t>. Following the Closing until the achievement of all of the Regulatory Milestones, Acquiror shall provide the Securityholders’ Representative, within [***] following January 1st of each calendar year, with a written report in reasonable detail of the progress toward the achievement of each of the Regulatory Milestones (each such report, an “</w:t>
      </w:r>
      <w:r>
        <w:rPr>
          <w:rFonts w:ascii="Times New Roman" w:hAnsi="Times New Roman"/>
          <w:b/>
          <w:i/>
          <w:sz w:val="20"/>
        </w:rPr>
        <w:t>Regulatory Milestone Update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Milestone Notices</w:t>
      </w:r>
      <w:r>
        <w:rPr>
          <w:rFonts w:ascii="Times New Roman" w:hAnsi="Times New Roman"/>
          <w:sz w:val="20"/>
        </w:rPr>
        <w:t xml:space="preserve">. In the event that the Securityholders’ Representative believes in good faith that any Milestone has been achieved and the corresponding Additional Consideration Payment has not yet been paid in accordance with this </w:t>
      </w:r>
      <w:r>
        <w:rPr>
          <w:rFonts w:ascii="Times New Roman" w:hAnsi="Times New Roman"/>
          <w:sz w:val="20"/>
          <w:u w:val="single"/>
        </w:rPr>
        <w:t>Section 2.9</w:t>
      </w:r>
      <w:r>
        <w:rPr>
          <w:rFonts w:ascii="Times New Roman" w:hAnsi="Times New Roman"/>
          <w:sz w:val="20"/>
        </w:rPr>
        <w:t>, it shall notify Acquiror and the Surviving Corporation in writing of such belief (each a “</w:t>
      </w:r>
      <w:r>
        <w:rPr>
          <w:rFonts w:ascii="Times New Roman" w:hAnsi="Times New Roman"/>
          <w:b/>
          <w:i/>
          <w:sz w:val="20"/>
        </w:rPr>
        <w:t>Milestone Notice”</w:t>
      </w:r>
      <w:r>
        <w:rPr>
          <w:rFonts w:ascii="Times New Roman" w:hAnsi="Times New Roman"/>
          <w:sz w:val="20"/>
        </w:rPr>
        <w:t xml:space="preserve">), which Milestone Notice shall include an invoice for the amount of such payment. Notwithstanding the foregoing, the Securityholders’ Representative shall not deliver more than one (1) such Milestone Notice in any calendar year, and any such Milestone Notice shall be delivered no earlier than, and may be delivered at any time after, (i) [***] of the applicable calendar year with respect to any Milestone believed to have been achieved during the first half of such calendar year, and (ii) [***] of the applicable calendar year with respect to any Milestone believed to have been achieved during the second half of such calendar year; provided that, if more than one Milestone is believed to have been achieved during the same half of a calendar year, the Securityholders’ Representative shall consolidate all such claims into a single notice covering such period. To the extent Acquiror and the Surviving Corporation agree, Acquiror shall make (or cause to be made) the corresponding Additional Consideration Payment, together with all interest due thereon as calculated pursuant to </w:t>
      </w:r>
      <w:r>
        <w:rPr>
          <w:rFonts w:ascii="Times New Roman" w:hAnsi="Times New Roman"/>
          <w:sz w:val="20"/>
          <w:u w:val="single"/>
        </w:rPr>
        <w:t>Section 2.10</w:t>
      </w:r>
      <w:r>
        <w:rPr>
          <w:rFonts w:ascii="Times New Roman" w:hAnsi="Times New Roman"/>
          <w:sz w:val="20"/>
        </w:rPr>
        <w:t xml:space="preserve">, within [***] of such notice. Without limiting the right to have a Net Sales Audit conducted pursuant to </w:t>
      </w:r>
      <w:r>
        <w:rPr>
          <w:rFonts w:ascii="Times New Roman" w:hAnsi="Times New Roman"/>
          <w:sz w:val="20"/>
          <w:u w:val="single"/>
        </w:rPr>
        <w:t>Section 2.9(e)</w:t>
      </w:r>
      <w:r>
        <w:rPr>
          <w:rFonts w:ascii="Times New Roman" w:hAnsi="Times New Roman"/>
          <w:sz w:val="20"/>
        </w:rPr>
        <w:t xml:space="preserve">, to the extent Acquiror and the Company disagree, the parties shall discuss and attempt to resolve such dispute in good faith. If the parties are unable to resolve such dispute within [***] of notification by the Securityholders’ Representative of its belief, all unresolved disputed items relating to Commercial Milestones shall be promptly referred to the Independent Accounting Firm and shall be resolved in accordance with </w:t>
      </w:r>
      <w:r>
        <w:rPr>
          <w:rFonts w:ascii="Times New Roman" w:hAnsi="Times New Roman"/>
          <w:sz w:val="20"/>
          <w:u w:val="single"/>
        </w:rPr>
        <w:t>Section 2.9(e)</w:t>
      </w:r>
      <w:r>
        <w:rPr>
          <w:rFonts w:ascii="Times New Roman" w:hAnsi="Times New Roman"/>
          <w:sz w:val="20"/>
        </w:rPr>
        <w:t xml:space="preserve"> above </w:t>
      </w:r>
      <w:r>
        <w:rPr>
          <w:rFonts w:ascii="Times New Roman" w:hAnsi="Times New Roman"/>
          <w:i/>
          <w:sz w:val="20"/>
        </w:rPr>
        <w:t>mutatis mutandis</w:t>
      </w:r>
      <w:r>
        <w:rPr>
          <w:rFonts w:ascii="Times New Roman" w:hAnsi="Times New Roman"/>
          <w:sz w:val="20"/>
        </w:rPr>
        <w:t xml:space="preserve"> and all unresolved disputed items relating to Regulatory Milestones shall be promptly referred to arbitration before an independent arbitrator experienced in the industry and knowledgeable in such regulatory matters, which shall otherwise be conducted in Irvine, California under the arbitration procedures set forth in </w:t>
      </w:r>
      <w:r>
        <w:rPr>
          <w:rFonts w:ascii="Times New Roman" w:hAnsi="Times New Roman"/>
          <w:sz w:val="20"/>
          <w:u w:val="single"/>
        </w:rPr>
        <w:t>Section 9.4(d)</w:t>
      </w:r>
      <w:r>
        <w:rPr>
          <w:rFonts w:ascii="Times New Roman" w:hAnsi="Times New Roman"/>
          <w:sz w:val="20"/>
        </w:rPr>
        <w:t xml:space="preserve"> below </w:t>
      </w:r>
      <w:r>
        <w:rPr>
          <w:rFonts w:ascii="Times New Roman" w:hAnsi="Times New Roman"/>
          <w:i/>
          <w:sz w:val="20"/>
        </w:rPr>
        <w:t>mutatis mutandis</w:t>
      </w:r>
      <w:r>
        <w:rPr>
          <w:rFonts w:ascii="Times New Roman" w:hAnsi="Times New Roman"/>
          <w:sz w:val="20"/>
        </w:rPr>
        <w:t xml:space="preserve">. For clarity, the failure of Securityholders’ Representative to send a Milestone Notice with respect to any Additional Consideration Payment shall not be a waiver of any rights with respect to such Additional Consideration Payment and shall be without prejudice to seek payment of or of Acquiror’s obligation to pay such Additional Consideration Payment based on an Independent Auditor’s findings made in a Net Sales Audit conducted pursuant to Section 2.9(e).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Change of Control</w:t>
      </w:r>
      <w:r>
        <w:rPr>
          <w:rFonts w:ascii="Times New Roman" w:hAnsi="Times New Roman"/>
          <w:sz w:val="20"/>
        </w:rPr>
        <w:t>. During the Diligence Period, (i) the Surviving Corporation may not directly or indirectly consummate a Change of Control of the Surviving Corporation (or its successor) unless the relevant transferee, assignee, acquirer, delegatee or other successor of the Surviving Corporation (the “</w:t>
      </w:r>
      <w:r>
        <w:rPr>
          <w:rFonts w:ascii="Times New Roman" w:hAnsi="Times New Roman"/>
          <w:b/>
          <w:i/>
          <w:sz w:val="20"/>
        </w:rPr>
        <w:t>Successor Entity</w:t>
      </w:r>
      <w:r>
        <w:rPr>
          <w:rFonts w:ascii="Times New Roman" w:hAnsi="Times New Roman"/>
          <w:sz w:val="20"/>
        </w:rPr>
        <w:t xml:space="preserve">”) in such Change of Control is bound by or otherwise assumes and succeeds to the obligations of Acquiror set forth in </w:t>
      </w:r>
      <w:r>
        <w:rPr>
          <w:rFonts w:ascii="Times New Roman" w:hAnsi="Times New Roman"/>
          <w:sz w:val="20"/>
          <w:u w:val="single"/>
        </w:rPr>
        <w:t>Section 2.9</w:t>
      </w:r>
      <w:r>
        <w:rPr>
          <w:rFonts w:ascii="Times New Roman" w:hAnsi="Times New Roman"/>
          <w:sz w:val="20"/>
        </w:rPr>
        <w:t xml:space="preserve">, which assumption shall be effected pursuant to the definitive agreement governing such Change of Control or such other instrument entered into in connection therewith, and (ii) the Surviving Corporation shall provide written notice to the Securityholders’ Representative of any Change of Control within [***] following the consummation of such Change of Control. Upon the consummation of such Change of Control, the Successor Entity shall be bound by, and shall otherwise assume, all of the Surviving Corporation’s and Acquiror’s obligations under this Agreement; provided that if such obligations are not assumed by operation of law or contract, Successor Entity shall expressly agree to assume all of the Surviving Corporation’s and Acquiror’s obligations under this Agreement, (x) Acquiror shall be fully released and discharged from all obligations under this </w:t>
      </w:r>
      <w:r>
        <w:rPr>
          <w:rFonts w:ascii="Times New Roman" w:hAnsi="Times New Roman"/>
          <w:sz w:val="20"/>
          <w:u w:val="single"/>
        </w:rPr>
        <w:t>Section 2.9</w:t>
      </w:r>
      <w:r>
        <w:rPr>
          <w:rFonts w:ascii="Times New Roman" w:hAnsi="Times New Roman"/>
          <w:sz w:val="20"/>
        </w:rPr>
        <w:t xml:space="preserve"> arising from and after the date of such Change of Control, and (y) all references to “Acquiror” in this </w:t>
      </w:r>
      <w:r>
        <w:rPr>
          <w:rFonts w:ascii="Times New Roman" w:hAnsi="Times New Roman"/>
          <w:sz w:val="20"/>
          <w:u w:val="single"/>
        </w:rPr>
        <w:t>Section 2.9</w:t>
      </w:r>
      <w:r>
        <w:rPr>
          <w:rFonts w:ascii="Times New Roman" w:hAnsi="Times New Roman"/>
          <w:sz w:val="20"/>
        </w:rPr>
        <w:t xml:space="preserve"> shall be deemed to refer to the Successor Entity. For the avoidance of doubt: (A) a Change of Control shall not, in and of itself, accelerate or otherwise modify the payment obligations with respect to any Milestone Payment or Royalty Payment, and no Milestone Payment or Royalty Payment shall become due or payable solely as a result of a Change of Control; and (B) the Commercially Reasonable Efforts standard applicable to the Successor Entity following a Change of Control shall be measured by reference to the efforts and resources of Acquiror and its Affiliates as of immediately prior to the consummation of such Change of Control, and shall not be increased, expanded, or otherwise modified to take into account the resources, capabilities, personnel, infrastructure, or financial condition of the Successor Entity or any of its affiliates. For clarity, a Change of Control of Acquiror is outside the scope of this Section 2.9(j) and nothing contained in this Section 2.9(j) is intended to apply to or be triggered by a Change of Control of Acquiror.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No Assurances; Business Discretion</w:t>
      </w:r>
      <w:r>
        <w:rPr>
          <w:rFonts w:ascii="Times New Roman" w:hAnsi="Times New Roman"/>
          <w:sz w:val="20"/>
        </w:rPr>
        <w:t xml:space="preserve">. The Securityholders’ Representative, on behalf of itself and each Company Securityholder, acknowledges and agrees that, without prejudice to Acquiror’s obligations under this Agreement, (i) there is no assurance that the Company Securityholders will receive any Additional Consideration Payment and it is possible that no Milestones will be achieved or Royalty Payments will accrue without any breach of the Agreement by Acquiror or any of its Affiliates, (ii) the Product development process is a process of scientific discovery and as such is inherently unpredictable and delays to development of any Product may occur for reasons beyond Acquiror’s reasonable control as such Product is developed, (iii) the Product development process is subject to a high level of governmental regulation and the requirements of the regulatory process of seeking approval to research and develop each Product may result in delays beyond Acquiror’s reasonable control, (iv) such delays beyond Acquiror’s reasonable control, without evidence of some other failure to use Commercially Reasonable Efforts to commercialize the Products, shall not by itself constitute a breach of this Agreement, and (v) there is no guarantee or other assurance of any kind that any of the Additional Consideration Payments will be earned or paid hereunder (regardless of any projections, models, forecasts or any other financial data generated by, or provided to, the Company or any of its Affiliates or Representatives). Other than to the extent expressly set forth in </w:t>
      </w:r>
      <w:r>
        <w:rPr>
          <w:rFonts w:ascii="Times New Roman" w:hAnsi="Times New Roman"/>
          <w:sz w:val="20"/>
          <w:u w:val="single"/>
        </w:rPr>
        <w:t>Section 2.9(f)</w:t>
      </w:r>
      <w:r>
        <w:rPr>
          <w:rFonts w:ascii="Times New Roman" w:hAnsi="Times New Roman"/>
          <w:sz w:val="20"/>
        </w:rPr>
        <w:t xml:space="preserve">, the parties hereto understand and agree that, following the Closing, Acquiror and its Affiliates are free to manage and operate the Surviving Corporation and its Subsidiaries in accordance with their commercial judgment based upon the business requirements of Acquiror and its Subsidiaries. Subject to and without limiting Acquiror’s obligations under </w:t>
      </w:r>
      <w:r>
        <w:rPr>
          <w:rFonts w:ascii="Times New Roman" w:hAnsi="Times New Roman"/>
          <w:sz w:val="20"/>
          <w:u w:val="single"/>
        </w:rPr>
        <w:t>Section 2.9(f)</w:t>
      </w:r>
      <w:r>
        <w:rPr>
          <w:rFonts w:ascii="Times New Roman" w:hAnsi="Times New Roman"/>
          <w:sz w:val="20"/>
        </w:rPr>
        <w:t xml:space="preserve">, each of Acquiror and its Subsidiaries (including the Surviving Corporation) shall be permitted, following the Closing (including during the Diligence Period), to make changes at its sole discretion to its operations, organization, personnel, accounting practices and other aspects of its business,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Securityholders shall not have any right to claim the loss of all or any portion of the Additional Consideration Payments or other damages solely as a result of such decisions and where implementation of such decisions does not otherwise result in a breach of any of Acquiror’s obligations under this </w:t>
      </w:r>
      <w:r>
        <w:rPr>
          <w:rFonts w:ascii="Times New Roman" w:hAnsi="Times New Roman"/>
          <w:sz w:val="20"/>
          <w:u w:val="single"/>
        </w:rPr>
        <w:t>Section 2.9</w:t>
      </w:r>
      <w:r>
        <w:rPr>
          <w:rFonts w:ascii="Times New Roman" w:hAnsi="Times New Roman"/>
          <w:sz w:val="20"/>
        </w:rPr>
        <w:t xml:space="preserve">. Notwithstanding the foregoing and for the avoidance of doubt, none of Acquiror or any of its Subsidiaries shall have any express or implied obligation to take any action, or omit to take any action, to seek to maximize the amount of Additional Consideration Payments.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Additional Consideration Payments to Company Optionholders</w:t>
      </w:r>
      <w:r>
        <w:rPr>
          <w:rFonts w:ascii="Times New Roman" w:hAnsi="Times New Roman"/>
          <w:sz w:val="20"/>
        </w:rPr>
        <w:t xml:space="preserve">. To the extent the applicable Pro Rata Portion of any Additional Consideration Payment to be made to any Company Optionholder is intended to be exempt from the application of Section 409A as a “short-term deferral”, such applicable Pro Rata Portion of the Additional Consideration Payment shall be made to the Company Optionholder no later than March 15th of the calendar year following the calendar year in which such payment to the Company Optionholder is no longer subject to a substantial risk of forfeiture within the meaning of Section 409A. The Acquiror intends that the applicable Pro Rata Portion of each Additional Consideration Payment payable to a Company Optionholder be treated as a separate payment for purposes of Section 409A of the Code and the Treasury Regulations promulgated thereunder. </w:t>
      </w:r>
    </w:p>
    <w:p>
      <w:pPr>
        <w:pStyle w:val="TextBody"/>
        <w:bidi w:val="0"/>
        <w:spacing w:before="240" w:after="0"/>
        <w:jc w:val="left"/>
        <w:rPr>
          <w:rFonts w:ascii="Times New Roman" w:hAnsi="Times New Roman"/>
          <w:sz w:val="20"/>
        </w:rPr>
      </w:pPr>
      <w:bookmarkStart w:id="32" w:name="ex2_2rom152392_19"/>
      <w:bookmarkEnd w:id="32"/>
      <w:r>
        <w:rPr>
          <w:rFonts w:ascii="Times New Roman" w:hAnsi="Times New Roman"/>
          <w:sz w:val="20"/>
        </w:rPr>
        <w:t>2.10 </w:t>
      </w:r>
      <w:r>
        <w:rPr>
          <w:rFonts w:ascii="Times New Roman" w:hAnsi="Times New Roman"/>
          <w:sz w:val="20"/>
          <w:u w:val="single"/>
        </w:rPr>
        <w:t>Overdue Payments</w:t>
      </w:r>
      <w:r>
        <w:rPr>
          <w:rFonts w:ascii="Times New Roman" w:hAnsi="Times New Roman"/>
          <w:sz w:val="20"/>
        </w:rPr>
        <w:t xml:space="preserve">. In the event that any portion of any undisputed payment due and payable by Acquiror pursuant to this Agreement that remains unpaid when due following written notice of non-payment by the Securityholders’ Representative shall bear interest from (and including) the due date until (but excluding) the date of payment thereof at a per annum rate equal to the Secured Overnight Financing Rate (SOFR) for the date that payment was first due as published in The Wall Street Journal plus [***], compounded on the basis of a year of 360 days; provided that (a) interest shall not accrue at a rate that exceeds the maximum rate permitted by applicable Legal Requirements and (b) no interest shall be payable under this </w:t>
      </w:r>
      <w:r>
        <w:rPr>
          <w:rFonts w:ascii="Times New Roman" w:hAnsi="Times New Roman"/>
          <w:sz w:val="20"/>
          <w:u w:val="single"/>
        </w:rPr>
        <w:t>Section 2.10</w:t>
      </w:r>
      <w:r>
        <w:rPr>
          <w:rFonts w:ascii="Times New Roman" w:hAnsi="Times New Roman"/>
          <w:sz w:val="20"/>
        </w:rPr>
        <w:t xml:space="preserve"> for time elapsed with respect to (1) any period during which Acquiror disputes in good faith such payment and (2) the portion of any payment under this Agreement deposited by the Acquiror with the Paying Agent in accordance herewith as to which the Acquiror has instructed the prompt payment thereof by the Paying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Subject to and except as set forth in the disclosure schedule of the Company delivered to Acquiror concurrently with the parties’ execution of this Agreement (the “</w:t>
      </w:r>
      <w:r>
        <w:rPr>
          <w:rFonts w:ascii="Times New Roman" w:hAnsi="Times New Roman"/>
          <w:b/>
          <w:i/>
          <w:sz w:val="20"/>
        </w:rPr>
        <w:t>Company Disclosure Schedule</w:t>
      </w:r>
      <w:r>
        <w:rPr>
          <w:rFonts w:ascii="Times New Roman" w:hAnsi="Times New Roman"/>
          <w:sz w:val="20"/>
        </w:rPr>
        <w:t xml:space="preserve">”), and except as otherwise provided in this Agreement, the Company represents and warrants to Acquiror as follows as of the date hereof: </w:t>
      </w:r>
    </w:p>
    <w:p>
      <w:pPr>
        <w:pStyle w:val="TextBody"/>
        <w:bidi w:val="0"/>
        <w:spacing w:before="240" w:after="0"/>
        <w:jc w:val="left"/>
        <w:rPr>
          <w:rFonts w:ascii="Times New Roman" w:hAnsi="Times New Roman"/>
          <w:sz w:val="20"/>
        </w:rPr>
      </w:pPr>
      <w:bookmarkStart w:id="33" w:name="ex2_2rom152392_21"/>
      <w:bookmarkEnd w:id="33"/>
      <w:r>
        <w:rPr>
          <w:rFonts w:ascii="Times New Roman" w:hAnsi="Times New Roman"/>
          <w:sz w:val="20"/>
        </w:rPr>
        <w:t>3.1 </w:t>
      </w:r>
      <w:r>
        <w:rPr>
          <w:rFonts w:ascii="Times New Roman" w:hAnsi="Times New Roman"/>
          <w:sz w:val="20"/>
          <w:u w:val="single"/>
        </w:rPr>
        <w:t>Organization, Standing and Power</w:t>
      </w:r>
      <w:r>
        <w:rPr>
          <w:rFonts w:ascii="Times New Roman" w:hAnsi="Times New Roman"/>
          <w:sz w:val="20"/>
        </w:rPr>
        <w:t xml:space="preserve">. The Company is a corporation duly organized, validly existing and in good standing under the laws of the State of Delaware. The Company has full corporate power and authority to own, lease and operate its properties and to conduct its business as currently conducted and is duly qualified or licensed to do business and is in good standing in each jurisdiction required for the current conduct of its business, except where the failure to be so qualified or licensed and in good standing would not have a Material Adverse Effect. The Company is not in violation of any of the provisions of the Company Certificate of Incorporation or its bylaws. The Company has made available to Acquiror complete and correct copies of the organizational documents of the Company, each in effect as of the date hereof. </w:t>
      </w:r>
    </w:p>
    <w:p>
      <w:pPr>
        <w:pStyle w:val="TextBody"/>
        <w:bidi w:val="0"/>
        <w:spacing w:before="240" w:after="0"/>
        <w:jc w:val="left"/>
        <w:rPr>
          <w:rFonts w:ascii="Times New Roman" w:hAnsi="Times New Roman"/>
          <w:sz w:val="20"/>
        </w:rPr>
      </w:pPr>
      <w:bookmarkStart w:id="34" w:name="ex2_2rom152392_22"/>
      <w:bookmarkEnd w:id="34"/>
      <w:r>
        <w:rPr>
          <w:rFonts w:ascii="Times New Roman" w:hAnsi="Times New Roman"/>
          <w:sz w:val="20"/>
        </w:rPr>
        <w:t>3.2 </w:t>
      </w:r>
      <w:r>
        <w:rPr>
          <w:rFonts w:ascii="Times New Roman" w:hAnsi="Times New Roman"/>
          <w:sz w:val="20"/>
          <w:u w:val="single"/>
        </w:rPr>
        <w:t>Subsidiaries</w:t>
      </w:r>
      <w:r>
        <w:rPr>
          <w:rFonts w:ascii="Times New Roman" w:hAnsi="Times New Roman"/>
          <w:sz w:val="20"/>
        </w:rPr>
        <w:t xml:space="preserve">. Other than as set forth on </w:t>
      </w:r>
      <w:r>
        <w:rPr>
          <w:rFonts w:ascii="Times New Roman" w:hAnsi="Times New Roman"/>
          <w:sz w:val="20"/>
          <w:u w:val="single"/>
        </w:rPr>
        <w:t>Section 3.2</w:t>
      </w:r>
      <w:r>
        <w:rPr>
          <w:rFonts w:ascii="Times New Roman" w:hAnsi="Times New Roman"/>
          <w:sz w:val="20"/>
        </w:rPr>
        <w:t xml:space="preserve"> of the Company Disclosure Schedule, the Company does not own, directly or indirectly, any capital stock of, or other equity or voting interests in,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35" w:name="ex2_2rom152392_23"/>
      <w:bookmarkEnd w:id="35"/>
      <w:r>
        <w:rPr>
          <w:rFonts w:ascii="Times New Roman" w:hAnsi="Times New Roman"/>
          <w:sz w:val="20"/>
        </w:rPr>
        <w:t>3.3 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of the Company as of the Closing Date consists of (i) 13,200,000 shares of Company Common Stock, with a par value of $0.0001, of which 9,122,459 shares are issued and outstanding, (ii) 3,213,693 shares of Company Preferred Stock, with a par value of $0.0001, (A) of which 1,590,925 shares have been designated Series Seed Preferred Stock, all of which are issued and outstanding, (B) of which 937,545 shares have been designated Series Seed II Preferred Stock, 726,603 of which are issued and outstanding, (C) of which 181,987 shares have been designated Series Seed II-A Preferred Stock, 181,986 of which are issued and outstanding, and (D) of which 503,236 shares have been designated Series Seed II-B Preferred Stock, 503,221 of which are issued and outstanding.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Section 3.3(b)</w:t>
      </w:r>
      <w:r>
        <w:rPr>
          <w:rFonts w:ascii="Times New Roman" w:hAnsi="Times New Roman"/>
          <w:sz w:val="20"/>
        </w:rPr>
        <w:t xml:space="preserve"> of the Company Disclosure Schedule sets forth, as of the Agreement Date, (i) the name of each Person that is the registered owner of any shares of Company Capital Stock and the number and class or series of such shares so owned by such Person, and (ii) a list of all holders of outstanding Company Options, including the number of shares of Company Common Stock subject to each such Company Option. The Company has made available to Acquiror accurate and complete copies of the Company Equity Plan and all agreements and documents relating to the Company Options. The terms of the Company Equity Plan permit the treatment of Company Options granted thereunder as provided herein without the consent or approval of any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(c) As of the Agreement Date, except for (A) the conversion privileges of the Company Preferred Stock, (B) currently outstanding Company Options to purchase up to 645,000 shares of Company Common Stock which have been granted to employees, consultants or directors pursuant to the Company Equity Plan, (C) a reservation of an additional 25,000 shares of its Company Common Stock for direct issuances or purchase upon exercise of Company Options to be granted in the future, under the Company Equity Plan, or (D) as set forth on </w:t>
      </w:r>
      <w:r>
        <w:rPr>
          <w:rFonts w:ascii="Times New Roman" w:hAnsi="Times New Roman"/>
          <w:sz w:val="20"/>
          <w:u w:val="single"/>
        </w:rPr>
        <w:t>Section 3.3(c)</w:t>
      </w:r>
      <w:r>
        <w:rPr>
          <w:rFonts w:ascii="Times New Roman" w:hAnsi="Times New Roman"/>
          <w:sz w:val="20"/>
        </w:rPr>
        <w:t xml:space="preserve"> of the Company Disclosure Schedule, (1) no subscription, warrant, option, convertible security, or other right (contingent or otherwise) to purchase or otherwise acquire equity securities of the Company is authorized or outstanding, and (2) there is no commitment by the Company to issue shares, subscriptions, warrants, options, convertible securities, or other such rights or to distribute to holders of any of its equity securities any evidence of Indebtedness or asset. </w:t>
      </w:r>
    </w:p>
    <w:p>
      <w:pPr>
        <w:pStyle w:val="TextBody"/>
        <w:bidi w:val="0"/>
        <w:spacing w:before="240" w:after="0"/>
        <w:jc w:val="left"/>
        <w:rPr>
          <w:rFonts w:ascii="Times New Roman" w:hAnsi="Times New Roman"/>
          <w:sz w:val="20"/>
        </w:rPr>
      </w:pPr>
      <w:r>
        <w:rPr>
          <w:rFonts w:ascii="Times New Roman" w:hAnsi="Times New Roman"/>
          <w:sz w:val="20"/>
        </w:rPr>
        <w:t xml:space="preserve">(d) All issued and outstanding shares of Company Capital Stock are, and all shares which may be issued pursuant to the conversion of Company Preferred Stock or the exercise of the Company Options, when issued in accordance with the applicable security, will be, duly authorized, validly issued, fully paid and non-assessable and are, to the knowledge of the Company, free of any Encumbrances in respect thereof, other than Permitted Encumbrances. All issued and outstanding shares of Company Capital Stock, the Company Options were issued in material compliance with all applicable state and federal securities Legal Requirements. The outstanding shares of Company Capital Stock have been issued in accordance with the registration or qualification provisions of the Securities Act and any relevant state securities laws or pursuant to valid exemptions therefrom. None of the issued and outstanding Company Capital Stock were issued in violation of any preemptive rights, rights of first refusal, transfer restrictions, or similar rights in favor of any third parties or Legal Requirements. Except as set forth on </w:t>
      </w:r>
      <w:r>
        <w:rPr>
          <w:rFonts w:ascii="Times New Roman" w:hAnsi="Times New Roman"/>
          <w:sz w:val="20"/>
          <w:u w:val="single"/>
        </w:rPr>
        <w:t>Section 3.3(d)</w:t>
      </w:r>
      <w:r>
        <w:rPr>
          <w:rFonts w:ascii="Times New Roman" w:hAnsi="Times New Roman"/>
          <w:sz w:val="20"/>
        </w:rPr>
        <w:t xml:space="preserve"> of the Company Disclosure Schedule, (i) there are no Contracts to which the Company is a party which require the Company to repurchase, redeem or otherwise acquire any Company Capital Stock or to make any investment (in the form of a loan, capital contribution or otherwise) in, any other Person, and (ii) there are no voting trusts, stockholder agreements, proxies or other agreements or understandings in effect with respect to the voting or transfer of any Company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information contained in the Spreadsheet delivered pursuant to </w:t>
      </w:r>
      <w:r>
        <w:rPr>
          <w:rFonts w:ascii="Times New Roman" w:hAnsi="Times New Roman"/>
          <w:sz w:val="20"/>
          <w:u w:val="single"/>
        </w:rPr>
        <w:t>Section 2.7</w:t>
      </w:r>
      <w:r>
        <w:rPr>
          <w:rFonts w:ascii="Times New Roman" w:hAnsi="Times New Roman"/>
          <w:sz w:val="20"/>
        </w:rPr>
        <w:t xml:space="preserve"> will be true, correct and complete as of the Closing Date and the calculations performed to compute the information contained therein will be accurate and in accordance with the books and records of the Company, the terms of this Agreement, the Company’s Certificate of Incorporation, any applicable Contracts and applicable Legal Requirements. Except as set forth on the Spreadsheet, no Person is entitled to receive any portion of the Merger Consideration or any other payment arising out of, relating to or in connection with the transactions contemplated by this Agreement. </w:t>
      </w:r>
    </w:p>
    <w:p>
      <w:pPr>
        <w:pStyle w:val="TextBody"/>
        <w:bidi w:val="0"/>
        <w:spacing w:before="240" w:after="0"/>
        <w:jc w:val="left"/>
        <w:rPr>
          <w:rFonts w:ascii="Times New Roman" w:hAnsi="Times New Roman"/>
          <w:sz w:val="20"/>
        </w:rPr>
      </w:pPr>
      <w:bookmarkStart w:id="36" w:name="ex2_2rom152392_24"/>
      <w:bookmarkEnd w:id="36"/>
      <w:r>
        <w:rPr>
          <w:rFonts w:ascii="Times New Roman" w:hAnsi="Times New Roman"/>
          <w:sz w:val="20"/>
        </w:rPr>
        <w:t>3.4 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enter into this Agreement and the Ancillary Agreements to which it is a party, and subject to adoption by the Company Stockholders of this Agreement and the approval by the Company Stockholders of the Merger, to consummate the transactions contemplated hereby and thereby. The execution, delivery and performance by the Company of this Agreement and the Ancillary Agreements to which it is a party, and the consummation by the Company of the transactions contemplated hereby and thereby, have been duly and validly authorized by the Company Board. This Agreement has been duly and validly executed and delivered by the Company and constitutes a valid and binding obligation of the Company enforceable against the Company in accordance with its terms, subject only to the effect, if any, of (i) applicable bankruptcy, insolvency, moratorium and other similar Legal Requirements affecting the rights of creditors generally and (ii) Legal Requirements governing specific performance, injunctive relief and other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of this Agreement and the Ancillary Agreements by the Company does not, and neither the consummation of the transactions contemplated hereby nor compliance by the Company with any of the provisions of this Agreement or the Ancillary Agreements will, (i) conflict with, or result in a breach of any provision of the Company Certificate of Incorporation or the bylaws of the Company, each as amended to date, (ii) require any filings or registration with, notification to, or authorization, consent or approval of any Governmental Entity, other than (x) the filing of the Certificate of Merger, as provided in </w:t>
      </w:r>
      <w:r>
        <w:rPr>
          <w:rFonts w:ascii="Times New Roman" w:hAnsi="Times New Roman"/>
          <w:sz w:val="20"/>
          <w:u w:val="single"/>
        </w:rPr>
        <w:t>Section 1.2</w:t>
      </w:r>
      <w:r>
        <w:rPr>
          <w:rFonts w:ascii="Times New Roman" w:hAnsi="Times New Roman"/>
          <w:sz w:val="20"/>
        </w:rPr>
        <w:t xml:space="preserve">, (y) such filings and notifications as may be required to be made in connection with the Merger under the HSR Act or applicable foreign Antitrust Laws and the expiration or termination of applicable waiting periods under the HSR Act or applicable foreign Antitrust Laws, the receipt of authorizations, consents, approvals, or other clearances required under such foreign Antitrust Laws, (iii) require the consent or other action by any Person, materially conflict with, result in a material violation or material breach of or constitute a default under (with or without notice or lapse of time or both), give rise to a right of termination, cancellation or modification, result in any loss of a material benefit or result in the acceleration of any obligation under any Material Contract, (iv) violate or breach the terms of or cause any default under any applicable Legal Requirements or (v) result in the creation of any Encumbrance of any kind upon the Company’s Capital Stock, except in the case of clause (iii), (iv) and (v), as would not have or reasonably be expected to be material to the Company. </w:t>
      </w:r>
    </w:p>
    <w:p>
      <w:pPr>
        <w:pStyle w:val="TextBody"/>
        <w:bidi w:val="0"/>
        <w:spacing w:before="240" w:after="0"/>
        <w:jc w:val="left"/>
        <w:rPr>
          <w:rFonts w:ascii="Times New Roman" w:hAnsi="Times New Roman"/>
          <w:sz w:val="20"/>
        </w:rPr>
      </w:pPr>
      <w:bookmarkStart w:id="37" w:name="ex2_2rom152392_25"/>
      <w:bookmarkEnd w:id="37"/>
      <w:r>
        <w:rPr>
          <w:rFonts w:ascii="Times New Roman" w:hAnsi="Times New Roman"/>
          <w:sz w:val="20"/>
        </w:rPr>
        <w:t>3.5 </w:t>
      </w:r>
      <w:r>
        <w:rPr>
          <w:rFonts w:ascii="Times New Roman" w:hAnsi="Times New Roman"/>
          <w:sz w:val="20"/>
          <w:u w:val="single"/>
        </w:rPr>
        <w:t>Financial Statements</w:t>
      </w:r>
      <w:r>
        <w:rPr>
          <w:rFonts w:ascii="Times New Roman" w:hAnsi="Times New Roman"/>
          <w:sz w:val="20"/>
        </w:rPr>
        <w:t xml:space="preserve">. Attached to </w:t>
      </w:r>
      <w:r>
        <w:rPr>
          <w:rFonts w:ascii="Times New Roman" w:hAnsi="Times New Roman"/>
          <w:sz w:val="20"/>
          <w:u w:val="single"/>
        </w:rPr>
        <w:t>Section 3.5(a)</w:t>
      </w:r>
      <w:r>
        <w:rPr>
          <w:rFonts w:ascii="Times New Roman" w:hAnsi="Times New Roman"/>
          <w:sz w:val="20"/>
        </w:rPr>
        <w:t xml:space="preserve"> of the Company Disclosure Schedule are true, correct and complete copies of (i) the unaudited financial statements of the Company for the fiscal year ended December 31, 2025 and (ii) the unaudited financial statements (balance sheet, changes in stockholders’ equity, statement of operations and statement of cash flows) of the Company for the five (5)-month period ended May 31, 2026 (collectively, the “</w:t>
      </w:r>
      <w:r>
        <w:rPr>
          <w:rFonts w:ascii="Times New Roman" w:hAnsi="Times New Roman"/>
          <w:b/>
          <w:i/>
          <w:sz w:val="20"/>
        </w:rPr>
        <w:t>Financial Statements</w:t>
      </w:r>
      <w:r>
        <w:rPr>
          <w:rFonts w:ascii="Times New Roman" w:hAnsi="Times New Roman"/>
          <w:sz w:val="20"/>
        </w:rPr>
        <w:t>”, with the balance sheet included in the May 31, 2026 Financial Statements, sometimes referred to in this Agreement as the “</w:t>
      </w:r>
      <w:r>
        <w:rPr>
          <w:rFonts w:ascii="Times New Roman" w:hAnsi="Times New Roman"/>
          <w:b/>
          <w:i/>
          <w:sz w:val="20"/>
        </w:rPr>
        <w:t>Company Balance Sheet</w:t>
      </w:r>
      <w:r>
        <w:rPr>
          <w:rFonts w:ascii="Times New Roman" w:hAnsi="Times New Roman"/>
          <w:sz w:val="20"/>
        </w:rPr>
        <w:t xml:space="preserve">”). Except as set forth in </w:t>
      </w:r>
      <w:r>
        <w:rPr>
          <w:rFonts w:ascii="Times New Roman" w:hAnsi="Times New Roman"/>
          <w:sz w:val="20"/>
          <w:u w:val="single"/>
        </w:rPr>
        <w:t>Section 3.5</w:t>
      </w:r>
      <w:r>
        <w:rPr>
          <w:rFonts w:ascii="Times New Roman" w:hAnsi="Times New Roman"/>
          <w:sz w:val="20"/>
        </w:rPr>
        <w:t xml:space="preserve"> of the Company Disclosure Schedule, the Financial Statements have been prepared in accordance with GAAP (except that the unaudited Financial Statements do not contain footnotes). The Financial Statements present fairly, in all material respects, the financial condition of the Company at the dates therein indicated and the results of operations and cash flows of the Company for the periods therein specified (subject, in the case of unaudited interim period financial statements, to the absence of footnotes). The Financial Statements are consistent in all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respects with and derived from the books and records of the Company (which books and records are accurate and complete in all material respects). All accounts receivable that are reflected on the Financial Statements represent or will represent valid receivables arising from sales actually made or services actually performed in the ordinary course of business with unaffiliated third parties. No account receivable has been assigned or pledged to any other Person. The Company maintains and will continue to maintain a system of internal accounting controls sufficient to provide reasonable assurance that (i) transactions are executed with management’s general or specific authorizations; (ii) transactions are recorded as necessary to permit preparation of financial statements in conformance with GAAP and to maintain accountability for assets; (iii) access to the Company’s assets is permitted only in accordance with management’s authorization; and (iv) the recorded accountability for assets is compared with existing assets at reasonable intervals and appropriate action is taken with respect to any differences. The Company is not party to or otherwise involved in any “off-balance sheet arrangements” (as defined in Item 303 of Regulation S-K under the Securities Exchange Act of 1934, as amended). </w:t>
      </w:r>
    </w:p>
    <w:p>
      <w:pPr>
        <w:pStyle w:val="TextBody"/>
        <w:bidi w:val="0"/>
        <w:spacing w:before="240" w:after="0"/>
        <w:jc w:val="left"/>
        <w:rPr>
          <w:rFonts w:ascii="Times New Roman" w:hAnsi="Times New Roman"/>
          <w:sz w:val="20"/>
        </w:rPr>
      </w:pPr>
      <w:bookmarkStart w:id="38" w:name="ex2_2rom152392_26"/>
      <w:bookmarkEnd w:id="38"/>
      <w:r>
        <w:rPr>
          <w:rFonts w:ascii="Times New Roman" w:hAnsi="Times New Roman"/>
          <w:sz w:val="20"/>
        </w:rPr>
        <w:t>3.6 </w:t>
      </w:r>
      <w:r>
        <w:rPr>
          <w:rFonts w:ascii="Times New Roman" w:hAnsi="Times New Roman"/>
          <w:sz w:val="20"/>
          <w:u w:val="single"/>
        </w:rPr>
        <w:t>Undisclosed Liabilities</w:t>
      </w:r>
      <w:r>
        <w:rPr>
          <w:rFonts w:ascii="Times New Roman" w:hAnsi="Times New Roman"/>
          <w:sz w:val="20"/>
        </w:rPr>
        <w:t>. The Company is not subject to any liabilities that would be required by GAAP to be reflected on a combined balance sheet of the Company except (a) as disclosed, set forth or reflected or reserved against on the Financial Statements, (b) for liabilities arising in connection with the transactions contemplated by this Agreement, including, without limitation, the Company’s Transaction Expenses or (c) for liabilities incurred in the ordinary course of business since May 31, 2026 (the “</w:t>
      </w:r>
      <w:r>
        <w:rPr>
          <w:rFonts w:ascii="Times New Roman" w:hAnsi="Times New Roman"/>
          <w:b/>
          <w:i/>
          <w:sz w:val="20"/>
        </w:rPr>
        <w:t>Company Balance Sheet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9" w:name="ex2_2rom152392_27"/>
      <w:bookmarkEnd w:id="39"/>
      <w:r>
        <w:rPr>
          <w:rFonts w:ascii="Times New Roman" w:hAnsi="Times New Roman"/>
          <w:sz w:val="20"/>
        </w:rPr>
        <w:t>3.7 </w:t>
      </w:r>
      <w:r>
        <w:rPr>
          <w:rFonts w:ascii="Times New Roman" w:hAnsi="Times New Roman"/>
          <w:sz w:val="20"/>
          <w:u w:val="single"/>
        </w:rPr>
        <w:t>Absence of Certain Changes</w:t>
      </w:r>
      <w:r>
        <w:rPr>
          <w:rFonts w:ascii="Times New Roman" w:hAnsi="Times New Roman"/>
          <w:sz w:val="20"/>
        </w:rPr>
        <w:t xml:space="preserve">. Except as expressly contemplated by this Agreement, between the Company Balance Sheet Date and the Agreement Date, (a) the Company has conducted its business in the ordinary course consistent with past practice, (b) there has not occurred a Material Adverse Effect, and (c) except as set forth on </w:t>
      </w:r>
      <w:r>
        <w:rPr>
          <w:rFonts w:ascii="Times New Roman" w:hAnsi="Times New Roman"/>
          <w:sz w:val="20"/>
          <w:u w:val="single"/>
        </w:rPr>
        <w:t>Section 3.7</w:t>
      </w:r>
      <w:r>
        <w:rPr>
          <w:rFonts w:ascii="Times New Roman" w:hAnsi="Times New Roman"/>
          <w:sz w:val="20"/>
        </w:rPr>
        <w:t xml:space="preserve"> of the Company Disclosure Schedule, neither the Company nor its Subsidiaries has taken or omitted to take any action that, if taken or omitted between the Agreement Date and the Closing Date, would be prohibited pursuant to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40" w:name="ex2_2rom152392_28"/>
      <w:bookmarkEnd w:id="40"/>
      <w:r>
        <w:rPr>
          <w:rFonts w:ascii="Times New Roman" w:hAnsi="Times New Roman"/>
          <w:sz w:val="20"/>
        </w:rPr>
        <w:t>3.8 </w:t>
      </w:r>
      <w:r>
        <w:rPr>
          <w:rFonts w:ascii="Times New Roman" w:hAnsi="Times New Roman"/>
          <w:sz w:val="20"/>
          <w:u w:val="single"/>
        </w:rPr>
        <w:t>Litigation</w:t>
      </w:r>
      <w:r>
        <w:rPr>
          <w:rFonts w:ascii="Times New Roman" w:hAnsi="Times New Roman"/>
          <w:sz w:val="20"/>
        </w:rPr>
        <w:t xml:space="preserve">. Except as set forth in </w:t>
      </w:r>
      <w:r>
        <w:rPr>
          <w:rFonts w:ascii="Times New Roman" w:hAnsi="Times New Roman"/>
          <w:sz w:val="20"/>
          <w:u w:val="single"/>
        </w:rPr>
        <w:t>Section 3.8</w:t>
      </w:r>
      <w:r>
        <w:rPr>
          <w:rFonts w:ascii="Times New Roman" w:hAnsi="Times New Roman"/>
          <w:sz w:val="20"/>
        </w:rPr>
        <w:t xml:space="preserve"> of the Company Disclosure Schedule, there is no, and in the past three (3) years there has not been any, Proceeding (a) pending before any Governmental Entity, or, to the knowledge of the Company, threatened in writing against the Company, its Subsidiaries or any of their assets or properties or any of their directors, officers or employees (in their capacities as such or relating to their employment, services or relationship with the Company or its Subsidiaries) or (b) pending before any Governmental Entity or threatened in writing by the Company against any Person. To the Company’s knowledge, no event has occurred or circumstance exists that (with or without notice, lapse of time or both) will or could reasonably be expected to form the basis of such a Proceeding that would reasonably be expected to be material to the Company. There is no Order, and within the past three (3) years there has been no Order against the Company or its Subsidiaries, any of their material assets or properties or any of their directors, officers or employees (in their capacities as such or relating to their employment, services or relationship with the Company or its Subsidiaries). </w:t>
      </w:r>
    </w:p>
    <w:p>
      <w:pPr>
        <w:pStyle w:val="TextBody"/>
        <w:bidi w:val="0"/>
        <w:spacing w:before="240" w:after="0"/>
        <w:jc w:val="left"/>
        <w:rPr>
          <w:rFonts w:ascii="Times New Roman" w:hAnsi="Times New Roman"/>
          <w:sz w:val="20"/>
        </w:rPr>
      </w:pPr>
      <w:bookmarkStart w:id="41" w:name="ex2_2rom152392_29"/>
      <w:bookmarkEnd w:id="41"/>
      <w:r>
        <w:rPr>
          <w:rFonts w:ascii="Times New Roman" w:hAnsi="Times New Roman"/>
          <w:sz w:val="20"/>
        </w:rPr>
        <w:t>3.9 </w:t>
      </w:r>
      <w:r>
        <w:rPr>
          <w:rFonts w:ascii="Times New Roman" w:hAnsi="Times New Roman"/>
          <w:sz w:val="20"/>
          <w:u w:val="single"/>
        </w:rPr>
        <w:t>Compliance with Laws; Governmental Permits</w:t>
      </w:r>
      <w:r>
        <w:rPr>
          <w:rFonts w:ascii="Times New Roman" w:hAnsi="Times New Roman"/>
          <w:sz w:val="20"/>
        </w:rPr>
        <w:t xml:space="preserve">. </w:t>
      </w:r>
      <w:r>
        <w:rPr>
          <w:rFonts w:ascii="Times New Roman" w:hAnsi="Times New Roman"/>
          <w:sz w:val="20"/>
          <w:u w:val="single"/>
        </w:rPr>
        <w:t>Section 3.9</w:t>
      </w:r>
      <w:r>
        <w:rPr>
          <w:rFonts w:ascii="Times New Roman" w:hAnsi="Times New Roman"/>
          <w:sz w:val="20"/>
        </w:rPr>
        <w:t xml:space="preserve"> of the Company Disclosure Schedule contains a true, complete, and correct list of all Company Authorizations held by the Company. The Company is, and for the past three (3) years has been, in compliance in all material respects with all material Legal Requirements applicable to the conduct of its business. As of the date of this Agreement, the Company has obtained each material federal, state, county, local or foreign governmental consent, license, permit, grant, or other authorization of a Governmental Entity that is necessary to own, lease and operate its properties and assets and to carry on its business as owned, leased, operated or carried on as of the Agreement Date (all of the foregoing material consents, licenses, permits, registrations, grants, and other authorizations, collectively, the “</w:t>
      </w:r>
      <w:r>
        <w:rPr>
          <w:rFonts w:ascii="Times New Roman" w:hAnsi="Times New Roman"/>
          <w:b/>
          <w:i/>
          <w:sz w:val="20"/>
        </w:rPr>
        <w:t>Company Authorizations</w:t>
      </w:r>
      <w:r>
        <w:rPr>
          <w:rFonts w:ascii="Times New Roman" w:hAnsi="Times New Roman"/>
          <w:sz w:val="20"/>
        </w:rPr>
        <w:t xml:space="preserve">”), and all of the Company Authorizations are in full force and effect. The Company has not received any written notice from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regarding (a) any violation of any Legal Requirements or violation of any Company Authorization that has not been cured or remedied or (b) any revocation, withdrawal, suspension, cancellation or modification of any Company Authorization. Notwithstanding anything contained in this </w:t>
      </w:r>
      <w:r>
        <w:rPr>
          <w:rFonts w:ascii="Times New Roman" w:hAnsi="Times New Roman"/>
          <w:sz w:val="20"/>
          <w:u w:val="single"/>
        </w:rPr>
        <w:t>Section 3.9</w:t>
      </w:r>
      <w:r>
        <w:rPr>
          <w:rFonts w:ascii="Times New Roman" w:hAnsi="Times New Roman"/>
          <w:sz w:val="20"/>
        </w:rPr>
        <w:t xml:space="preserve">, no representation or warranty shall be deemed to be made in this </w:t>
      </w:r>
      <w:r>
        <w:rPr>
          <w:rFonts w:ascii="Times New Roman" w:hAnsi="Times New Roman"/>
          <w:sz w:val="20"/>
          <w:u w:val="single"/>
        </w:rPr>
        <w:t>Section 3.9</w:t>
      </w:r>
      <w:r>
        <w:rPr>
          <w:rFonts w:ascii="Times New Roman" w:hAnsi="Times New Roman"/>
          <w:sz w:val="20"/>
        </w:rPr>
        <w:t xml:space="preserve"> in respect of the matters referenced in </w:t>
      </w:r>
      <w:r>
        <w:rPr>
          <w:rFonts w:ascii="Times New Roman" w:hAnsi="Times New Roman"/>
          <w:sz w:val="20"/>
          <w:u w:val="single"/>
        </w:rPr>
        <w:t>Section 3.11</w:t>
      </w:r>
      <w:r>
        <w:rPr>
          <w:rFonts w:ascii="Times New Roman" w:hAnsi="Times New Roman"/>
          <w:sz w:val="20"/>
        </w:rPr>
        <w:t xml:space="preserve">, </w:t>
      </w:r>
      <w:r>
        <w:rPr>
          <w:rFonts w:ascii="Times New Roman" w:hAnsi="Times New Roman"/>
          <w:sz w:val="20"/>
          <w:u w:val="single"/>
        </w:rPr>
        <w:t>Section 3.12</w:t>
      </w:r>
      <w:r>
        <w:rPr>
          <w:rFonts w:ascii="Times New Roman" w:hAnsi="Times New Roman"/>
          <w:sz w:val="20"/>
        </w:rPr>
        <w:t xml:space="preserve">, </w:t>
      </w:r>
      <w:r>
        <w:rPr>
          <w:rFonts w:ascii="Times New Roman" w:hAnsi="Times New Roman"/>
          <w:sz w:val="20"/>
          <w:u w:val="single"/>
        </w:rPr>
        <w:t>Section 3.13</w:t>
      </w:r>
      <w:r>
        <w:rPr>
          <w:rFonts w:ascii="Times New Roman" w:hAnsi="Times New Roman"/>
          <w:sz w:val="20"/>
        </w:rPr>
        <w:t xml:space="preserve">, </w:t>
      </w:r>
      <w:r>
        <w:rPr>
          <w:rFonts w:ascii="Times New Roman" w:hAnsi="Times New Roman"/>
          <w:sz w:val="20"/>
          <w:u w:val="single"/>
        </w:rPr>
        <w:t>Section 3.14</w:t>
      </w:r>
      <w:r>
        <w:rPr>
          <w:rFonts w:ascii="Times New Roman" w:hAnsi="Times New Roman"/>
          <w:sz w:val="20"/>
        </w:rPr>
        <w:t xml:space="preserve"> or </w:t>
      </w:r>
      <w:r>
        <w:rPr>
          <w:rFonts w:ascii="Times New Roman" w:hAnsi="Times New Roman"/>
          <w:sz w:val="20"/>
          <w:u w:val="single"/>
        </w:rPr>
        <w:t>Section 3.15</w:t>
      </w:r>
      <w:r>
        <w:rPr>
          <w:rFonts w:ascii="Times New Roman" w:hAnsi="Times New Roman"/>
          <w:sz w:val="20"/>
        </w:rPr>
        <w:t xml:space="preserve">. For the avoidance of doubt, Company Authorizations include Regulatory Approvals. </w:t>
      </w:r>
    </w:p>
    <w:p>
      <w:pPr>
        <w:pStyle w:val="TextBody"/>
        <w:bidi w:val="0"/>
        <w:spacing w:before="240" w:after="0"/>
        <w:jc w:val="left"/>
        <w:rPr>
          <w:rFonts w:ascii="Times New Roman" w:hAnsi="Times New Roman"/>
          <w:sz w:val="20"/>
        </w:rPr>
      </w:pPr>
      <w:bookmarkStart w:id="42" w:name="ex2_2rom152392_30"/>
      <w:bookmarkEnd w:id="42"/>
      <w:r>
        <w:rPr>
          <w:rFonts w:ascii="Times New Roman" w:hAnsi="Times New Roman"/>
          <w:sz w:val="20"/>
        </w:rPr>
        <w:t>3.10 </w:t>
      </w:r>
      <w:r>
        <w:rPr>
          <w:rFonts w:ascii="Times New Roman" w:hAnsi="Times New Roman"/>
          <w:sz w:val="20"/>
          <w:u w:val="single"/>
        </w:rPr>
        <w:t>Title to Property and Assets</w:t>
      </w:r>
      <w:r>
        <w:rPr>
          <w:rFonts w:ascii="Times New Roman" w:hAnsi="Times New Roman"/>
          <w:sz w:val="20"/>
        </w:rPr>
        <w:t xml:space="preserve">. The Company has good, valid and marketable title to all of its material properties and interests in material properties and assets, real and personal, reflected on the Company Balance Sheet or acquired after the Company Balance Sheet Date (except properties and assets, or interests in properties and assets, sold or otherwise disposed of since the Company Balance Sheet Date in the ordinary course of business consistent with past practice), or, with respect to leased properties and assets, including, without limitation, the Leased Real Property, valid leasehold interests in such properties and assets which afford the Company peaceful and undisturbed leasehold possession of such properties and assets, in each case, free and clear of all Encumbrances, except Permitted Encumbrances. The material property and equipment of the Company that are used in the operations of its business are (i) in good operating condition and repair, subject to normal wear and tear and ordinary maintenance, (ii) not obsolete, dangerous or in need of renewal or replacement, except for renewal or replacement in the ordinary course of business, consistent with past practice, and (iii) adequate for the conduct of the business of the Company as of the date of this Agreement. All properties used in the operations of the Company are reflected on the Company Balance Sheet to the extent required under GAAP to be so reflected. </w:t>
      </w:r>
    </w:p>
    <w:p>
      <w:pPr>
        <w:pStyle w:val="TextBody"/>
        <w:bidi w:val="0"/>
        <w:spacing w:before="240" w:after="0"/>
        <w:jc w:val="left"/>
        <w:rPr>
          <w:rFonts w:ascii="Times New Roman" w:hAnsi="Times New Roman"/>
          <w:sz w:val="20"/>
        </w:rPr>
      </w:pPr>
      <w:bookmarkStart w:id="43" w:name="ex2_2rom152392_31"/>
      <w:bookmarkEnd w:id="43"/>
      <w:r>
        <w:rPr>
          <w:rFonts w:ascii="Times New Roman" w:hAnsi="Times New Roman"/>
          <w:sz w:val="20"/>
        </w:rPr>
        <w:t>3.11 </w:t>
      </w:r>
      <w:r>
        <w:rPr>
          <w:rFonts w:ascii="Times New Roman" w:hAnsi="Times New Roman"/>
          <w:sz w:val="20"/>
          <w:u w:val="single"/>
        </w:rPr>
        <w:t>Real Estate</w:t>
      </w:r>
      <w:r>
        <w:rPr>
          <w:rFonts w:ascii="Times New Roman" w:hAnsi="Times New Roman"/>
          <w:sz w:val="20"/>
        </w:rPr>
        <w:t xml:space="preserve">. </w:t>
      </w:r>
      <w:r>
        <w:rPr>
          <w:rFonts w:ascii="Times New Roman" w:hAnsi="Times New Roman"/>
          <w:sz w:val="20"/>
          <w:u w:val="single"/>
        </w:rPr>
        <w:t>Section 3.11</w:t>
      </w:r>
      <w:r>
        <w:rPr>
          <w:rFonts w:ascii="Times New Roman" w:hAnsi="Times New Roman"/>
          <w:sz w:val="20"/>
        </w:rPr>
        <w:t xml:space="preserve"> of the Company Disclosure Schedule sets forth a list of all leases and subleases, including all amendments, extensions, renewals, guaranties and other agreements with respect thereto (each a “</w:t>
      </w:r>
      <w:r>
        <w:rPr>
          <w:rFonts w:ascii="Times New Roman" w:hAnsi="Times New Roman"/>
          <w:b/>
          <w:i/>
          <w:sz w:val="20"/>
        </w:rPr>
        <w:t>Lease</w:t>
      </w:r>
      <w:r>
        <w:rPr>
          <w:rFonts w:ascii="Times New Roman" w:hAnsi="Times New Roman"/>
          <w:sz w:val="20"/>
        </w:rPr>
        <w:t>”) under which the Company or any of its Subsidiaries occupies or has the right to occupy real property (the “</w:t>
      </w:r>
      <w:r>
        <w:rPr>
          <w:rFonts w:ascii="Times New Roman" w:hAnsi="Times New Roman"/>
          <w:b/>
          <w:i/>
          <w:sz w:val="20"/>
        </w:rPr>
        <w:t>Leased Real Property</w:t>
      </w:r>
      <w:r>
        <w:rPr>
          <w:rFonts w:ascii="Times New Roman" w:hAnsi="Times New Roman"/>
          <w:sz w:val="20"/>
        </w:rPr>
        <w:t xml:space="preserve">”). </w:t>
      </w:r>
      <w:r>
        <w:rPr>
          <w:rFonts w:ascii="Times New Roman" w:hAnsi="Times New Roman"/>
          <w:sz w:val="20"/>
          <w:u w:val="single"/>
        </w:rPr>
        <w:t>Section 3.11</w:t>
      </w:r>
      <w:r>
        <w:rPr>
          <w:rFonts w:ascii="Times New Roman" w:hAnsi="Times New Roman"/>
          <w:sz w:val="20"/>
        </w:rPr>
        <w:t xml:space="preserve"> of the Company Disclosure Schedule identifies the address or legal description of each parcel of Leased Real Property. The Company does not own any real property. To the knowledge of the Company, each Lease is valid, in full force and effect and enforceable against the Company and the Company holds a valid and subsisting leasehold interest under each such Lease, in each case free of Encumbrances other than Permitted Encumbrances. The Company is not in material default (and, to the knowledge of the Company, there is no event or condition that after notice or lapse of time or both would constitute a default by the Company or any of its Subsidiaries) under any Lease, to the knowledge of the Company, there is no material default (or event or condition that after notice or lapse of time or both would constitute a default) by any other party thereto under any Lease and no event has occurred or circumstance exists that, with the delivery of notice, the passage of time or both permit the termination, modification or acceleration of rent under such Lease. The Company has made available to Acquiror copies of the Leases. The Company has not subleased, licensed or otherwise granted any Person the right to use or occupy such Leased Real Property or any portion thereof. The Company has not collaterally assigned or granted any other security interest in such Lease or any interest therein. No other party to a Lease has notified the Company in writing of its intent to cancel, terminate, materially modify, not renew or lapse its Lease with the Company. </w:t>
      </w:r>
    </w:p>
    <w:p>
      <w:pPr>
        <w:pStyle w:val="TextBody"/>
        <w:bidi w:val="0"/>
        <w:spacing w:before="240" w:after="0"/>
        <w:jc w:val="left"/>
        <w:rPr>
          <w:rFonts w:ascii="Times New Roman" w:hAnsi="Times New Roman"/>
          <w:sz w:val="20"/>
        </w:rPr>
      </w:pPr>
      <w:bookmarkStart w:id="44" w:name="ex2_2rom152392_32"/>
      <w:bookmarkEnd w:id="44"/>
      <w:r>
        <w:rPr>
          <w:rFonts w:ascii="Times New Roman" w:hAnsi="Times New Roman"/>
          <w:sz w:val="20"/>
        </w:rPr>
        <w:t>3.12 </w:t>
      </w:r>
      <w:r>
        <w:rPr>
          <w:rFonts w:ascii="Times New Roman" w:hAnsi="Times New Roman"/>
          <w:sz w:val="20"/>
          <w:u w:val="single"/>
        </w:rPr>
        <w:t>Intellectual Property;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Section 3.12(a)</w:t>
      </w:r>
      <w:r>
        <w:rPr>
          <w:rFonts w:ascii="Times New Roman" w:hAnsi="Times New Roman"/>
          <w:sz w:val="20"/>
        </w:rPr>
        <w:t xml:space="preserve"> of the Company Disclosure Schedule sets forth a true, correct and complete list of all Registered Company IP, including (A) for domain names, the owner, the domain name administrator, date of registration, and date of renewal, and (B) for each other item of Registered Company IP, the jurisdiction, record owner, title, application or registration number, filing date, issue or registration date and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Registered Company IP that have been issued by, or registered with, or the subject of a pending application filed with, as applicable, the U.S. Patent and Trademark Office, the U.S. Copyright Office or any similar foreign office or agency are currently in compliance in all material respects with formal legal requirements relating to filing or maintenance thereof (including without limitation, as applicable, payment of filing, examination and maintenance fees, inventor declarations, proofs of working or use, timely post-registration filing of affidavits of use and incontestability, and renewal applications), except as the Company may have let the same lapse or become abandoned in the ordinary course of business. None of the patents owned by or exclusively licensed to the Company have been or are now involved in any patent office proceeding (including without limitation, interference, derivation, reissue, re-examination, inter partes review or opposition proceeding). </w:t>
      </w:r>
    </w:p>
    <w:p>
      <w:pPr>
        <w:pStyle w:val="TextBody"/>
        <w:bidi w:val="0"/>
        <w:spacing w:before="240" w:after="0"/>
        <w:jc w:val="left"/>
        <w:rPr>
          <w:rFonts w:ascii="Times New Roman" w:hAnsi="Times New Roman"/>
          <w:sz w:val="20"/>
        </w:rPr>
      </w:pPr>
      <w:r>
        <w:rPr>
          <w:rFonts w:ascii="Times New Roman" w:hAnsi="Times New Roman"/>
          <w:sz w:val="20"/>
        </w:rPr>
        <w:t xml:space="preserve">(c) All Registered Company IP is subsisting, valid and enforceable. All necessary registration, filing, prosecution, maintenance, renewal, annuity and other relevant fees, filings, documents and actions in respect of the Registered Company IP have been timely filed, paid and taken, and no Registered Company IP has lapsed, expired, been abandoned, been cancelled or become unenforceable, except as set forth on </w:t>
      </w:r>
      <w:r>
        <w:rPr>
          <w:rFonts w:ascii="Times New Roman" w:hAnsi="Times New Roman"/>
          <w:sz w:val="20"/>
          <w:u w:val="single"/>
        </w:rPr>
        <w:t>Section 3.12(c)</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exclusively (i) owns, all right, title and interest in and to all Owned Company IP, and (ii) has the valid, binding and legally enforceable right to use all Licensed Company IP, including all Exclusively Licensed Company IP, in each case sufficient for the conduct of the business of the Company as currently conducted and as currently proposed to be conducted, in each case of clauses (i) and (ii) free and clear of all Encumbrances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Section 3.12(e)</w:t>
      </w:r>
      <w:r>
        <w:rPr>
          <w:rFonts w:ascii="Times New Roman" w:hAnsi="Times New Roman"/>
          <w:sz w:val="20"/>
        </w:rPr>
        <w:t xml:space="preserve"> of the Company Disclosure Schedule sets forth a true, correct and complete list of all Inbound IP Licenses and Outbound IP Licenses. Each such Contract is valid, binding, in full force and effect, and enforceable by the Company or the applicable Subsidiary. Neither the Company nor any of its Subsidiaries, nor to the knowledge of the Company any other party thereto, is in breach of or default under any such Contract, and no event, occurrence, condition or omission exists that, with or without notice, lapse of time or both, would constitute such a breach or default or would permit termination, suspension, non-renewal, acceleration or modification of any material rights thereunder.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conduct of the business as currently conducted and as currently proposed to be conducted by the Company or any of its Subsidiaries nor the manufacture, use, sale, offer for sale, importation, exportation, licensing, distribution or other exploitation of any Company Product constitute an infringement, misappropriation or other violation of any Intellectual Property rights of any Person. Neither the Company nor any of its Subsidiaries has received any written notice, claim or demand alleging that any such infringement, misappropriation or violation of any Intellectual Property right of any other Person has occurred. </w:t>
      </w:r>
    </w:p>
    <w:p>
      <w:pPr>
        <w:pStyle w:val="TextBody"/>
        <w:bidi w:val="0"/>
        <w:spacing w:before="240" w:after="0"/>
        <w:jc w:val="left"/>
        <w:rPr>
          <w:rFonts w:ascii="Times New Roman" w:hAnsi="Times New Roman"/>
          <w:sz w:val="20"/>
        </w:rPr>
      </w:pPr>
      <w:r>
        <w:rPr>
          <w:rFonts w:ascii="Times New Roman" w:hAnsi="Times New Roman"/>
          <w:sz w:val="20"/>
        </w:rPr>
        <w:t xml:space="preserve">(g) No Person has infringed, misappropriated or otherwise violated any Owned Company IP or any Exclusively Licensed Company IP nor is any Person currently infringing, misappropriating, or otherwise violating any of the Owned Company IP and any of the Exclusively Licensed Company IP. Neither the Company nor any of its Subsidiaries has waived, abandoned, assigned or failed to enforce any material right in any Owned Company IP or Exclusively Licensed Company IP other than in the ordinary course of business pursuant to written Contracts made available to Acquiror. </w:t>
      </w:r>
    </w:p>
    <w:p>
      <w:pPr>
        <w:pStyle w:val="TextBody"/>
        <w:bidi w:val="0"/>
        <w:spacing w:before="240" w:after="0"/>
        <w:jc w:val="left"/>
        <w:rPr>
          <w:rFonts w:ascii="Times New Roman" w:hAnsi="Times New Roman"/>
          <w:sz w:val="20"/>
        </w:rPr>
      </w:pPr>
      <w:r>
        <w:rPr>
          <w:rFonts w:ascii="Times New Roman" w:hAnsi="Times New Roman"/>
          <w:sz w:val="20"/>
        </w:rPr>
        <w:t xml:space="preserve">(h) No claim or suit is pending or threatened in writing, and no written claim, demand, notice or challenge has been made, contesting the ownership, scope use, validity, patentability, inventorship, registrability, right to use or enforceability of any of the Owned Company IP and any of the Exclusively Licensed Company IP. To the knowledge of the Company, there are no facts, circumstances or conditions that would reasonably be expected to give rise to any such Proceeding, claim, demand, notice or challenge.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has taken reasonable actions to protect and maintain the confidentiality of all material trade secrets included in the Owned Company IP, and no such trade secret has been disclosed or authorized to be disclosed other than under valid written confidentiality obligations.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maintains and enforces commercially reasonable policies, procedures and rules regarding data privacy, protection and security. The Company complies with, and has complied with, all Data Security Requirements in all material respects. Neither the execution and delivery of this Agreement nor the Closing will result in a breach or violation of, or constitute a default under, any Data Security Requirement. There have been no (and the Company has not received any written charge, challenge, complaint, claim, notice, threat of investigation or demand from any Person with respect to any) actual or alleged (i) security breaches or unauthorized access or use of any of the Company Systems, Personal Data, trade secrets, or other confidential information of the Company, or (ii) unauthorized access to, collection, processing, storage, sharing, distribution, transfer, disclosure, destruction or disposal of any the Company’s or its Subsidiaries’ Personal Data, trade secrets or other confidential information. </w:t>
      </w:r>
    </w:p>
    <w:p>
      <w:pPr>
        <w:pStyle w:val="TextBody"/>
        <w:bidi w:val="0"/>
        <w:spacing w:before="240" w:after="0"/>
        <w:jc w:val="left"/>
        <w:rPr>
          <w:rFonts w:ascii="Times New Roman" w:hAnsi="Times New Roman"/>
          <w:sz w:val="20"/>
        </w:rPr>
      </w:pPr>
      <w:r>
        <w:rPr>
          <w:rFonts w:ascii="Times New Roman" w:hAnsi="Times New Roman"/>
          <w:sz w:val="20"/>
        </w:rPr>
        <w:t>(k) Each of the [***] License Agreement and the [***] Supply Agreement (the “</w:t>
      </w:r>
      <w:r>
        <w:rPr>
          <w:rFonts w:ascii="Times New Roman" w:hAnsi="Times New Roman"/>
          <w:b/>
          <w:i/>
          <w:sz w:val="20"/>
        </w:rPr>
        <w:t>Key Agreements</w:t>
      </w:r>
      <w:r>
        <w:rPr>
          <w:rFonts w:ascii="Times New Roman" w:hAnsi="Times New Roman"/>
          <w:sz w:val="20"/>
        </w:rPr>
        <w:t xml:space="preserve">”) is a valid, binding and enforceable obligation of the Company and the applicable counterparty thereto, and is in full force and effect. The Company has a valid and continuing exclusive license under the [***] License Agreement in the applicable field, territory and scope set forth therein, free and clear of any Encumbrances other than Permitted Encumbrances, and such rights are sufficient for the conduct of the business as currently conducted and as currently proposed to be conducted. The Company has valid and continuing supply rights under the [***] Supply Agreement sufficient for the conduct of the business as currently conducted and as currently proposed to be conducted, free and clear of any Encumbrances other than Permitted Encumbrances. Without limiting the foregoing, all patents, patent applications and patent rights licensed to the Company pursuant to the [***] License Agreement are Controlled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the applicable counterparty is in breach of or default under any Key Agreement, and no event, occurrence, condition or omission exists that, with or without notice, lapse of time or both, would constitute such a breach or default or would permit termination, suspension, cancellation, modification, narrowing of the field or territory, loss of exclusivity, acceleration of obligations, or imposition of any additional payment obligation thereunder. The Company has not received any written notice from any counterparty to a Key Agreement, and to the knowledge of the Company there is no threatened notice, alleging breach, default, failure to satisfy diligence obligations, improper sublicense, field violation, payment default, reporting default, change of control issue, assignment issue, or any fact or circumstance that would permit [***] to terminate, suspend or materially adversely modify any Key Agreement. </w:t>
      </w:r>
    </w:p>
    <w:p>
      <w:pPr>
        <w:pStyle w:val="TextBody"/>
        <w:bidi w:val="0"/>
        <w:spacing w:before="240" w:after="0"/>
        <w:jc w:val="left"/>
        <w:rPr>
          <w:rFonts w:ascii="Times New Roman" w:hAnsi="Times New Roman"/>
          <w:sz w:val="20"/>
        </w:rPr>
      </w:pPr>
      <w:r>
        <w:rPr>
          <w:rFonts w:ascii="Times New Roman" w:hAnsi="Times New Roman"/>
          <w:sz w:val="20"/>
        </w:rPr>
        <w:t xml:space="preserve">(m) Except as set forth on </w:t>
      </w:r>
      <w:r>
        <w:rPr>
          <w:rFonts w:ascii="Times New Roman" w:hAnsi="Times New Roman"/>
          <w:sz w:val="20"/>
          <w:u w:val="single"/>
        </w:rPr>
        <w:t>Section 3.12(m)</w:t>
      </w:r>
      <w:r>
        <w:rPr>
          <w:rFonts w:ascii="Times New Roman" w:hAnsi="Times New Roman"/>
          <w:sz w:val="20"/>
        </w:rPr>
        <w:t xml:space="preserve"> of the Company Disclosure Schedule, neither the execution, delivery or performance of this Agreement nor the consummation of the transactions contemplated hereby will, with or without notice, lapse of time or both, (i) require the consent of any counterparty to a Key Agreement, (ii) constitute a breach or default under any Key Agreement, (iii) give any counterparty to a Key Agreement any right to terminate, suspend, modify or not renew such Key Agreement, (iv) result in any loss or impairment of exclusivity or any narrowing of the licensed field or territory or the loss or impairment of any supply rights (as applicable) under any Key Agreement, or (v) trigger any additional payment, milestone, transfer fee, buyout, revenue share, or similar obligation other than amounts expressly disclosed on the Company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Company has timely made all payments, reports, diligence submissions, development updates and other performance required to maintain the Company’s rights under each Key Agreement, and no rights granted thereunder have lapsed, reverted or been reduced. </w:t>
      </w:r>
    </w:p>
    <w:p>
      <w:pPr>
        <w:pStyle w:val="TextBody"/>
        <w:bidi w:val="0"/>
        <w:spacing w:before="240" w:after="0"/>
        <w:jc w:val="left"/>
        <w:rPr>
          <w:rFonts w:ascii="Times New Roman" w:hAnsi="Times New Roman"/>
          <w:sz w:val="20"/>
        </w:rPr>
      </w:pPr>
      <w:bookmarkStart w:id="45" w:name="ex2_2rom152392_33"/>
      <w:bookmarkEnd w:id="45"/>
      <w:r>
        <w:rPr>
          <w:rFonts w:ascii="Times New Roman" w:hAnsi="Times New Roman"/>
          <w:sz w:val="20"/>
        </w:rPr>
        <w:t>3.13 </w:t>
      </w:r>
      <w:r>
        <w:rPr>
          <w:rFonts w:ascii="Times New Roman" w:hAnsi="Times New Roman"/>
          <w:sz w:val="20"/>
          <w:u w:val="single"/>
        </w:rPr>
        <w:t>Environmental Matters</w:t>
      </w:r>
      <w:r>
        <w:rPr>
          <w:rFonts w:ascii="Times New Roman" w:hAnsi="Times New Roman"/>
          <w:sz w:val="20"/>
        </w:rPr>
        <w:t xml:space="preserve">. The Company is and for the last three (3) years has been (i) in compliance in all material respects with all applicable Environmental Laws, and (ii) the Company holds all applicable Company Authorizations required under Environmental Laws for the operation of its business. There is no Environmental Claim pending or, to the knowledge of the Company, threatened in writing against the Company. The Company does not and has not engaged in or permitted any operation or activity at or upon, or any use or occupancy of, any Leased Real Property that has resulted in a Release of any Hazardous Materials on, under, in or about any Leased Real Property, or involved the generation, manufacture, storage, treatment or disposal of any Hazardous Materials at or on any Leased Real Property. The Company has not received any written notices, requests for information, claims, subpoenas or summons from any Person that alleges any violation by the Company of Environmental Law. There has never been, nor are there any pending, or to the knowledge of the Company, threatened Proceedings against the Company alleging any material violation of Environmental Law. </w:t>
      </w:r>
    </w:p>
    <w:p>
      <w:pPr>
        <w:pStyle w:val="TextBody"/>
        <w:bidi w:val="0"/>
        <w:spacing w:before="240" w:after="0"/>
        <w:jc w:val="left"/>
        <w:rPr>
          <w:rFonts w:ascii="Times New Roman" w:hAnsi="Times New Roman"/>
          <w:sz w:val="20"/>
        </w:rPr>
      </w:pPr>
      <w:bookmarkStart w:id="46" w:name="ex2_2rom152392_34"/>
      <w:bookmarkEnd w:id="46"/>
      <w:r>
        <w:rPr>
          <w:rFonts w:ascii="Times New Roman" w:hAnsi="Times New Roman"/>
          <w:sz w:val="20"/>
        </w:rPr>
        <w:t>3.14 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properly and timely filed (taking into account any valid extensions to file) all income and other material Tax Returns required to be filed by it and has properly and timely paid all Taxes due and payable, whether or not shown on any Tax Returns. All such Tax Returns are true, correct and complete and have been prepared in accordance with all applicable Legal Requirements, in each case, in all material respects. The Company has made available to Acquiror correct and complete copies of all U.S. federal income and state income Tax Returns, examination reports and statements of deficiencies, adjustments or proposed deficiencies and adjustments in respect of the Company for all taxable years remaining open under any applicable statute of limitations.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no liability for unpaid Taxes accruing after the Company Balance Sheet Date except for Taxes arising in the ordinary course of business subsequent to the Company Balance Sheet Date. </w:t>
      </w:r>
    </w:p>
    <w:p>
      <w:pPr>
        <w:pStyle w:val="TextBody"/>
        <w:bidi w:val="0"/>
        <w:spacing w:before="240" w:after="0"/>
        <w:jc w:val="left"/>
        <w:rPr>
          <w:rFonts w:ascii="Times New Roman" w:hAnsi="Times New Roman"/>
          <w:sz w:val="20"/>
        </w:rPr>
      </w:pPr>
      <w:r>
        <w:rPr>
          <w:rFonts w:ascii="Times New Roman" w:hAnsi="Times New Roman"/>
          <w:sz w:val="20"/>
        </w:rPr>
        <w:t xml:space="preserve">(c) There is (i) no written claim for Taxes being asserted against the Company that has resulted in an Encumbrance against the property of the Company other than Permitted Encumbrances, and (ii) no past, current or pending audit of, or Tax controversy associated with, any Tax Return of the Company being conducted by a Tax Authority.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not executed any waiver of any statute of limitations on or extending the period for the assessment or collection of any material Tax beyond the Closing Date which waiver or extension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(e) No claim has ever been made in writing by any Governmental Entity in a jurisdiction where the Company does not file Tax Returns that the Company is or may be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(f) The Company is neither a party to nor bound by any Tax sharing, Tax indemnity, or Tax allocation agreement, other than any Ordinary Contract, nor does the Company have any liability to another party under any such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Company is not, and has not been, a “United States real property holding corporation” within the meaning of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complied in all material respects with its obligations to (i) withhold and pay over to the proper Tax Authority (or properly hold for such timely payment) all amounts required to be so withheld or paid over under all applicable Legal Requirements and (ii) timely file all Tax Returns in respect of such withholding, for all periods through and the Agreement Date. </w:t>
      </w:r>
    </w:p>
    <w:p>
      <w:pPr>
        <w:pStyle w:val="TextBody"/>
        <w:bidi w:val="0"/>
        <w:spacing w:before="240" w:after="0"/>
        <w:jc w:val="left"/>
        <w:rPr>
          <w:rFonts w:ascii="Times New Roman" w:hAnsi="Times New Roman"/>
          <w:sz w:val="20"/>
        </w:rPr>
      </w:pPr>
      <w:r>
        <w:rPr>
          <w:rFonts w:ascii="Times New Roman" w:hAnsi="Times New Roman"/>
          <w:sz w:val="20"/>
        </w:rPr>
        <w:t xml:space="preserve">(i) There is no power of attorney given by or binding upon the Company with respect to Taxes for any period for which the statute of limitations (including any waivers or extensions) has not yet expired that is currently in effect (other than powers of attorney granted in the ordinary course of business with respect to the preparation of the Company’s Tax Returns).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predecessor of the Company has ever been a member of an affiliated group filing a consolidated U.S. federal income Tax Return of which the Company was not the ultimate parent corporation. The Company has no liabilities for the Taxes of any other Person under Treasury Regulations Section 1.1502-6 (or any similar provision of applicable Legal Requirements) as a transferee or successor, by operation of applicable Legal Requirements, by Contract or otherwise, in each case, other than an Ordinary Contract. </w:t>
      </w:r>
    </w:p>
    <w:p>
      <w:pPr>
        <w:pStyle w:val="TextBody"/>
        <w:bidi w:val="0"/>
        <w:spacing w:before="240" w:after="0"/>
        <w:jc w:val="left"/>
        <w:rPr>
          <w:rFonts w:ascii="Times New Roman" w:hAnsi="Times New Roman"/>
          <w:sz w:val="20"/>
        </w:rPr>
      </w:pPr>
      <w:r>
        <w:rPr>
          <w:rFonts w:ascii="Times New Roman" w:hAnsi="Times New Roman"/>
          <w:sz w:val="20"/>
        </w:rPr>
        <w:t xml:space="preserve">(k) The Company has not, at any time, distributed the stock of another Person, or had its stock distributed by another Person, in a transaction that was purported or intended to be governed in whole or in part by Section 355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(l) The Company has not participated in, nor is it currently participating in, a “listed transaction” or a “reportable transaction” within the meaning of Treasury Regulations Section 1.6011-4(b) or any equivalent transaction requiring disclosure under a corresponding or similar provision of applicable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(m) The Company will not be required to include any item of income in, or exclude any item of deduction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non-U.S. Legal Requirements) executed prior to the Closing; (iii) deferred intercompany gain or excess loss accounts described in Treasury Regulations under Section 1502 of the Code (or any corresponding or similar provision of state, local or non-U.S. Legal Requirements) with respect to a transaction occurring prior to the Closing; (iv) installment sale or open transaction disposition made prior to the Closing; or (v) prepaid amount or deferred revenue received or accrued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(n) The Company is and has always been validly treated as a corporation under Subchapter C of the Code for U.S. federal and applicable state and local income Tax purposes. The Company does not have any direct or indirect ownership interest in any corporation, partnership, limited liability company, joint venture, trust or other “business entity” within the meaning of Treasury Regulations section 301.7701-2(a). </w:t>
      </w:r>
    </w:p>
    <w:p>
      <w:pPr>
        <w:pStyle w:val="TextBody"/>
        <w:bidi w:val="0"/>
        <w:spacing w:before="240" w:after="0"/>
        <w:jc w:val="left"/>
        <w:rPr>
          <w:rFonts w:ascii="Times New Roman" w:hAnsi="Times New Roman"/>
          <w:sz w:val="20"/>
        </w:rPr>
      </w:pPr>
      <w:r>
        <w:rPr>
          <w:rFonts w:ascii="Times New Roman" w:hAnsi="Times New Roman"/>
          <w:sz w:val="20"/>
        </w:rPr>
        <w:t xml:space="preserve">(o) The Company uses and has always used the accrual method of accounting for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(p) The Company is not subject to Tax in any jurisdiction other than its country of incorporation, organization or formation by virtue of having employees, agents, a permanent establishment or place of business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(q) The Company is in material compliance with the requirements for any applicable Tax holidays or similar incentives actually claimed by it and none of the Tax holidays or incentives are reasonably expected to be jeopardized by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(r) The Company has disclosed on its Tax Returns any Tax reporting position taken in any Tax Return that could reasonably be expected to result in the imposition of penalties under Section 6662 of the Code or any comparable provisions of applicable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(s) (i) All sales, use, transfer, value-added, goods and services, and similar Taxes required to be collected by the Company have been timely collected and remitted to the appropriate Tax Authority, and (ii) for all sales made without charging or remitting such Taxes, the Company has obtained and retained all Tax exemption certificates and other documentation required to support an exemption from any such Taxes. </w:t>
      </w:r>
    </w:p>
    <w:p>
      <w:pPr>
        <w:pStyle w:val="TextBody"/>
        <w:bidi w:val="0"/>
        <w:spacing w:before="240" w:after="0"/>
        <w:jc w:val="left"/>
        <w:rPr>
          <w:rFonts w:ascii="Times New Roman" w:hAnsi="Times New Roman"/>
          <w:sz w:val="20"/>
        </w:rPr>
      </w:pPr>
      <w:r>
        <w:rPr>
          <w:rFonts w:ascii="Times New Roman" w:hAnsi="Times New Roman"/>
          <w:sz w:val="20"/>
        </w:rPr>
        <w:t xml:space="preserve">(t) The Company will not be required to make any adjustment pursuant to Section 481(a) of the Code or any similar provisions of applicable Legal Requirements by reason of any change in any accounting methods employed prior to the Closing and will not be required to make such an adjustment as a result of the transactions contemplated by this Agreement, and there is no application pending with any Governmental Entity or Tax Authority requesting permission for any changes in any accounting methods for Tax purposes. No Governmental Entity or Tax Authority has proposed in writing any such adjustment or change in accounting methods. </w:t>
      </w:r>
    </w:p>
    <w:p>
      <w:pPr>
        <w:pStyle w:val="TextBody"/>
        <w:bidi w:val="0"/>
        <w:spacing w:before="240" w:after="0"/>
        <w:jc w:val="left"/>
        <w:rPr>
          <w:rFonts w:ascii="Times New Roman" w:hAnsi="Times New Roman"/>
          <w:sz w:val="20"/>
        </w:rPr>
      </w:pPr>
      <w:r>
        <w:rPr>
          <w:rFonts w:ascii="Times New Roman" w:hAnsi="Times New Roman"/>
          <w:sz w:val="20"/>
        </w:rPr>
        <w:t xml:space="preserve">(u) The Company has never requested or received a ruling from any Tax Authority or signed a closing or other agreement with any Tax Authority. </w:t>
      </w:r>
    </w:p>
    <w:p>
      <w:pPr>
        <w:pStyle w:val="TextBody"/>
        <w:bidi w:val="0"/>
        <w:spacing w:before="240" w:after="0"/>
        <w:jc w:val="left"/>
        <w:rPr>
          <w:rFonts w:ascii="Times New Roman" w:hAnsi="Times New Roman"/>
          <w:sz w:val="20"/>
        </w:rPr>
      </w:pPr>
      <w:r>
        <w:rPr>
          <w:rFonts w:ascii="Times New Roman" w:hAnsi="Times New Roman"/>
          <w:sz w:val="20"/>
        </w:rPr>
        <w:t xml:space="preserve">(v) No Person holds, or has ever acquired, Company Capital Stock (or other equity interests) that are non-transferable and subject to a substantial risk of forfeiture within the meaning of Section 83 of the Code with respect to which a valid election under Section 83(b) of the Code has not been timely made. The Company has made available true, correct and complete copies of all election statements under Section 83(b) of the Code, together with evidence of timely filing of such election statements with the appropriate IRS Center with respect to Company Capital Stock (or other equity interests) that were initially subject to a vesting arrangement or to other property issued by the Company to any of its employees, non-employee directors, consultants or other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(w) The Company has complied (i) in all material respects with its obligations under applicable escheat or abandoned or unclaimed property Laws, (ii) timely paid to the appropriate Governmental Entity all amounts required to be paid thereunder, and (iii) timely filed all Tax Returns and other documentation required to be filed thereunder. </w:t>
      </w:r>
    </w:p>
    <w:p>
      <w:pPr>
        <w:pStyle w:val="TextBody"/>
        <w:bidi w:val="0"/>
        <w:spacing w:before="240" w:after="0"/>
        <w:jc w:val="left"/>
        <w:rPr>
          <w:rFonts w:ascii="Times New Roman" w:hAnsi="Times New Roman"/>
          <w:sz w:val="20"/>
        </w:rPr>
      </w:pPr>
      <w:r>
        <w:rPr>
          <w:rFonts w:ascii="Times New Roman" w:hAnsi="Times New Roman"/>
          <w:sz w:val="20"/>
        </w:rPr>
        <w:t xml:space="preserve">(x) The Company has not made any payment, is not obligated to make any payment, or is not a party to (or a participating employer in) any Contract that could obligate the Company or Acquiror to make any payment, in each case that constitutes or would constitute an “excess parachute payment,” as defined in Section 280G of the Code. No payment to any Person will be characterized as a “parachute payment,” within the meaning of Section 280G(b)(2) of the Code due in whole or in part to the transactions contemplated by this Agreement. The Company is eligible to seek stockholder approval in a manner that complies with Section 280G(b)(5) of the Code. The Company has not made any payment,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obligated to make any payment or payments, or is not a party to (or a participating employer in) any Contract that has resulted or could reasonably be expected to result in the imposition on the Company, any current or former Company Stockholder, Acquiror, or any employee of the Company of any additional Tax or interest under Section 409A of the Code (or any corresponding or similar provision of applicable Legal Requirements with respect to Taxes). For all applicable Tax purposes and during all relevant times, the Company has properly treated as an employee each person required to be treated as an employee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(y) Neither the Company nor Acquiror will be obligated to pay or reimburse any Person for any Taxes imposed under Section 4999 of the Code as a result of any Contract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(z) No Company Option (i) has an exercise price that has been or may be less than the fair market value of a share of the Company’s Common Stock as of the date such Company Option was granted, as determined in accordance with Section 409A of the Code, (ii) has any feature for the deferral of compensation other than the deferral of recognition of income until the later of exercise or disposition of such Company Option, or (iii) has been granted with respect to any class of stock of the Company that is not “service recipient stock” (within the meaning of Section 409A of the Code and the Treasury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(aa) Each Company Employee Plan that is a “nonqualified deferred compensation plan” within the meaning of Section 409A of the Code, including any Company Options, is, and at all times has been, maintained, administered, operated, and funded in all material respects in accordance with the applicable requirements of Section 409A of the Code. The Company is not a party to any agreement or arrangement with any Person that requires the Company to pay a tax gross-up for Taxes due under Section 409A of the Code. </w:t>
      </w:r>
    </w:p>
    <w:p>
      <w:pPr>
        <w:pStyle w:val="TextBody"/>
        <w:bidi w:val="0"/>
        <w:spacing w:before="240" w:after="0"/>
        <w:jc w:val="left"/>
        <w:rPr>
          <w:rFonts w:ascii="Times New Roman" w:hAnsi="Times New Roman"/>
          <w:sz w:val="20"/>
        </w:rPr>
      </w:pPr>
      <w:bookmarkStart w:id="47" w:name="ex2_2rom152392_35"/>
      <w:bookmarkEnd w:id="47"/>
      <w:r>
        <w:rPr>
          <w:rFonts w:ascii="Times New Roman" w:hAnsi="Times New Roman"/>
          <w:sz w:val="20"/>
        </w:rPr>
        <w:t>3.15 </w:t>
      </w:r>
      <w:r>
        <w:rPr>
          <w:rFonts w:ascii="Times New Roman" w:hAnsi="Times New Roman"/>
          <w:sz w:val="20"/>
          <w:u w:val="single"/>
        </w:rPr>
        <w:t>Employee Benefit Plans and 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Section 3.15(a)</w:t>
      </w:r>
      <w:r>
        <w:rPr>
          <w:rFonts w:ascii="Times New Roman" w:hAnsi="Times New Roman"/>
          <w:sz w:val="20"/>
        </w:rPr>
        <w:t xml:space="preserve"> of the Company Disclosure Schedule sets forth, as of the date hereof, a complete and correct list of each material Company Employee Plan. For purposes of this Agreement, a “</w:t>
      </w:r>
      <w:r>
        <w:rPr>
          <w:rFonts w:ascii="Times New Roman" w:hAnsi="Times New Roman"/>
          <w:b/>
          <w:i/>
          <w:sz w:val="20"/>
        </w:rPr>
        <w:t>Company Employee Plan</w:t>
      </w:r>
      <w:r>
        <w:rPr>
          <w:rFonts w:ascii="Times New Roman" w:hAnsi="Times New Roman"/>
          <w:sz w:val="20"/>
        </w:rPr>
        <w:t xml:space="preserve">” means: each employment, deferred compensation, bonus, change in control, severance, termination, incentive compensation, commission, stock purchase, stock option and other equity compensation plan, program, policy, agreement or arrangement; each severance or termination pay plan, program, agreement or arrangement; each employee welfare benefit plan (within the meaning of Section 4(1) of ERISA); each employee pension benefit plan (within the meaning of Section 4(2) of ERISA); and each vacation, paid time off, or other material employee benefit or compensation plan, fund, program, policy, agreement or arrangement, in each case, that is sponsored, maintained or contributed to or required to be contributed to by the Company or any ERISA Affiliate, or to which the Company or any ERISA Affiliate is a party or has any material liability, for the benefit of any current or former employee, director or consultant of the Company of any ERISA Affiliate.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made available to Acquiror a true and complete copy of each Company Employee Plan and each material document, if any, prepared in connection with each such Company Employee Plan, including, as applicable: (i) a copy of each trust or other funding arrangement, (ii) the most recent summary plan description and summary of material modifications, (iii) annual reports on IRS Form 5500 for the most recent plan year, (iv) the most recently received IRS determination letter for each such Company Employee Plan, and (v) the most recently prepared actuarial report and financial statement in connection with each such Company Employee Plan. Neither the Company nor any ERISA Affiliate has any express or implied commitment (A) to create, incur liability with respect to or cause to exist any other material employee benefit plan, program or arrangement, (B) to enter into any Contract to provide compensation or benefits to any individual other than in the ordinary course of business, or (C) to modify, change or terminate any Company Employee Plan, other than with respect to a modification, change or termination required by ERISA, the Code or other applicable Legal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(c) Neither the Company nor any ERISA Affiliate has ever maintained, established, sponsored, participated in, contributed to, or been required to contribute to any (i) employee pension benefit plan (within the meaning of Section 4(2) of ERISA) that is subject to Part 3 of Subtitle B of Title I of ERISA, Title IV of ERISA or Sections 412 or 430 of the Code, (ii) multiemployer plan (within the meaning of Section 3(37) or 4001(a)(3) of ERISA) or (iii) a “multiple employer plan” (within the meaning of Section 413(c) of the Code). </w:t>
      </w:r>
    </w:p>
    <w:p>
      <w:pPr>
        <w:pStyle w:val="TextBody"/>
        <w:bidi w:val="0"/>
        <w:spacing w:before="240" w:after="0"/>
        <w:jc w:val="left"/>
        <w:rPr>
          <w:rFonts w:ascii="Times New Roman" w:hAnsi="Times New Roman"/>
          <w:sz w:val="20"/>
        </w:rPr>
      </w:pPr>
      <w:r>
        <w:rPr>
          <w:rFonts w:ascii="Times New Roman" w:hAnsi="Times New Roman"/>
          <w:sz w:val="20"/>
        </w:rPr>
        <w:t xml:space="preserve">(d) The consummation of the transactions contemplated by this Agreement will not (i) result in any payment becoming due to any current or former employee, director, or individual service provider, (ii) increase any compensation or benefits otherwise payable under any Company Employee Plan, (iii) cause the acceleration of vesting in, or funding or payment of, any benefits under any Company Employee Plan and shall not otherwise accelerate or increase any liability, whether actual or contingent, of the Company under any Company Employee Plan, (iv)entitle any employee or officer of the Company to severance pay, or (v) other than the vesting of Company Options as contemplated hereby, accelerate the time of payment or vesting, or increase the amount of compensation due any such employee or officer.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pending, or to the knowledge of the Company, threatened Proceedings or claims by or on behalf of any Company Employee Plan, by any employee or beneficiary covered under any such Company Employee Plan or otherwise relating to any Company Employee Plan (other than routine claims for benefits). There has not been any prohibited transaction (within the meaning of Section 406 of ERISA or Section 4975 of the Code and not otherwise exempt under Section 408 of ERISA) with respect to any Company Employee Plan. As of the date of this Agreement, there are no audits, inquiries or proceedings pending or, to the knowledge of the Company, threatened by the IRS, the United States Department of Labor, or other Governmental Entity of competent jurisdiction with respect to any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has been established, maintained, funded, operated and administered in compliance in all material respects in accordance with its terms and applicable Legal Requirements. With respect to each Company Employee Plan, all contributions, premiums and other payments that are due have been timely paid, and any such amounts not yet due have been paid or properly accrued. Each Company Employee Plan that is intended to be qualified under Section 401(a) of the Code has received a favorable determination or opinion letter from the IRS as to its qualified status under the Code, and nothing has occurred with respect to any such Company Employee Plan that could reasonably be expected to adversely affect such plan’s qualification. </w:t>
      </w:r>
    </w:p>
    <w:p>
      <w:pPr>
        <w:pStyle w:val="TextBody"/>
        <w:bidi w:val="0"/>
        <w:spacing w:before="240" w:after="0"/>
        <w:jc w:val="left"/>
        <w:rPr>
          <w:rFonts w:ascii="Times New Roman" w:hAnsi="Times New Roman"/>
          <w:sz w:val="20"/>
        </w:rPr>
      </w:pPr>
      <w:r>
        <w:rPr>
          <w:rFonts w:ascii="Times New Roman" w:hAnsi="Times New Roman"/>
          <w:sz w:val="20"/>
        </w:rPr>
        <w:t xml:space="preserve">(g) No Company Employee Plan provides for or promises retiree medical, disability or life insurance benefits to any current or former employee, officer or director of the Company, except as required by Section 4980B of the Code, Part 6 of Title I of ERISA or similar applicable state law. </w:t>
      </w:r>
    </w:p>
    <w:p>
      <w:pPr>
        <w:pStyle w:val="TextBody"/>
        <w:bidi w:val="0"/>
        <w:spacing w:before="240" w:after="0"/>
        <w:jc w:val="left"/>
        <w:rPr>
          <w:rFonts w:ascii="Times New Roman" w:hAnsi="Times New Roman"/>
          <w:sz w:val="20"/>
        </w:rPr>
      </w:pPr>
      <w:r>
        <w:rPr>
          <w:rFonts w:ascii="Times New Roman" w:hAnsi="Times New Roman"/>
          <w:sz w:val="20"/>
        </w:rPr>
        <w:t xml:space="preserve">(h) The Company does not sponsor, maintain, or contribute to, and has never sponsored, maintained, or contributed to (or been obligated to sponsor, maintain, or contribute to), any Company Employee Plan subject to the laws of any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(i)  Section 3.15(i) of the Company Disclosure Schedule sets forth, as of the date of this Agreement, a true, complete and correct list of all employees (including temporary and agency employees) of the Company, including for each such employee, to the extent applicable: (i) name; (ii) employing entity; (iii) position or job title; (iv) date of hire (and service reference date, if different); (v) work location (city, state, and country); (vi) current base salary or hourly rate (as applicable for salaried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hourly employees, respectively); (vii) current target bonus amount and commission opportunity; (viii) total compensation paid during the calendar year ended December 31, 2025; (ix) whether full- or part-time; (x) whether exempt or non-exempt from minimum wage and overtime requirements under applicable Legal Requirements; (xi) amount of accrued but unused vacation and sick time (or PTO if combined); (xii) whether on a leave of absence (and expected date of return to full service); and (xiii) work authorization or visa status. </w:t>
      </w:r>
    </w:p>
    <w:p>
      <w:pPr>
        <w:pStyle w:val="TextBody"/>
        <w:bidi w:val="0"/>
        <w:spacing w:before="240" w:after="0"/>
        <w:jc w:val="left"/>
        <w:rPr>
          <w:rFonts w:ascii="Times New Roman" w:hAnsi="Times New Roman"/>
          <w:sz w:val="20"/>
        </w:rPr>
      </w:pPr>
      <w:r>
        <w:rPr>
          <w:rFonts w:ascii="Times New Roman" w:hAnsi="Times New Roman"/>
          <w:sz w:val="20"/>
        </w:rPr>
        <w:t xml:space="preserve">(j) Section 3.15(j) of the Company Disclosure Schedule sets forth, as of the date of this Agreement, a true, complete and correct list of all individual service providers, including but not limited to contractors or consultants, of the Company, including for each individual service provider, to the extent applicable: (i) name; (ii) job position or function; (iii) description of services provided; (iv) date of engagement; (v) total compensation paid during the calendar year ended December 31, 2025; (vi) hourly pay rate, per diem, or other compensation arrangement; (vii) work location (city, state, and country); (viii) engaging entity; (ix) average hours per work week or month, if hours are recorded; and (x) term of engagement and/or any notice or termination provisions applicable in the event of an earlier termination.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a party to any collective bargaining agreements, union contracts or other similar agreements with any labor union, works council, or other labor organization that relate to any employees of the Company, and to the knowledge of the Company, there are currently no organizational campaigns, petitions, or other unionization activities seeking recognition of a collective bargaining unit that could affect the Company. None of the transactions contemplated by this Agreement could reasonably be expected to require approval or consent by any works council, labor collective group, or other similar third-party entity. To the knowledge of the Company, no employee, contractor, or consultant of the Company intends to terminate his or her employment or relationship with the Company other than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(l) There is no and there has not been in the last three (3) years any labor strike, lockout, work stoppage, walk out, or other material labor dispute pending or, to the knowledge of the Company, threatened in writing against or involving the Company. To the knowledge of the Company, there is no, and for the last three (3) years there has been no labor union organizing activity involving any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(m) The Company is not engaged in any unfair labor practice and no unfair labor practice or labor charge or complaint is pending or, to the knowledge of the Company, threatened in writing with respect to the Company before the National Labor Relations Board, the Equal Employment Opportunity Commission or any other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(n) The Company is, and for the past three (3) years has been, in compliance in all material respects with all applicable Legal Requirements respecting labor and employment, including provisions thereof relating to hiring, termination, wages, hours, equal opportunity, fair labor standards, nondiscrimination, harassment, retaliation, reasonable accommodation, disability rights or benefits, terms and conditions of employment, occupational safety and health, payroll and withholding taxes, workers compensation, collective bargaining, immigration, and employee and worker classification. </w:t>
      </w:r>
    </w:p>
    <w:p>
      <w:pPr>
        <w:pStyle w:val="TextBody"/>
        <w:bidi w:val="0"/>
        <w:spacing w:before="240" w:after="0"/>
        <w:jc w:val="left"/>
        <w:rPr>
          <w:rFonts w:ascii="Times New Roman" w:hAnsi="Times New Roman"/>
          <w:sz w:val="20"/>
        </w:rPr>
      </w:pPr>
      <w:r>
        <w:rPr>
          <w:rFonts w:ascii="Times New Roman" w:hAnsi="Times New Roman"/>
          <w:sz w:val="20"/>
        </w:rPr>
        <w:t xml:space="preserve">(o) In the past three (3) years, the Company has not implemented any employee layoffs, reductions in force, early retirement programs, or other voluntary or involuntary employment termination programs (other than individual employee terminations in the ordinary course of business) that could implicate the Worker Adjustment Retraining and Notification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(p) The Company does not have any material liability for any arrears of wages, penalties or other sums (excluding Taxes, which are the subject of Section 3.14 hereof) for failure to comply with any applicable Legal Requirements relating to the employment of labor. The Company has paid in full to all its employees and consultants or adequately accrued in accordance with GAAP for all wages, salaries, commissions, bonuses, benefits and other compensation due to or on behalf of such employees and consultants as required by applicable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(q) The Company is not a party to, or otherwise bound by, any consent decree with, or citation by, any Governmental Entity relating to employees or employment practices. </w:t>
      </w:r>
    </w:p>
    <w:p>
      <w:pPr>
        <w:pStyle w:val="TextBody"/>
        <w:bidi w:val="0"/>
        <w:spacing w:before="240" w:after="0"/>
        <w:jc w:val="left"/>
        <w:rPr>
          <w:rFonts w:ascii="Times New Roman" w:hAnsi="Times New Roman"/>
          <w:sz w:val="20"/>
        </w:rPr>
      </w:pPr>
      <w:r>
        <w:rPr>
          <w:rFonts w:ascii="Times New Roman" w:hAnsi="Times New Roman"/>
          <w:sz w:val="20"/>
        </w:rPr>
        <w:t xml:space="preserve">(r) There are no and in the past three (3) years there have been no Proceedings before any Governmental Entity pending or threatened in writing between the Company, on the one hand, and any current or former individual service provider of the Company (in their capacities as such or relating to their employment, services or relationship with the Company), on the other hand, arising out of any alleged violation by the Company of any Legal Requirement pertaining to employment matters, including claims for compensation, wage and hour violations, severance benefits, vacation time, vacation pay or pension benefits, discrimination, harassment, retaliation, failure to accommodate, wrongful discharge, unfair labor practices, grievances, breach of contract, equal employment opportunities, reasonable accommodation, disability rights or benefits, human rights, pay equity, accessibility, language, immigration, employee classification, child labor, hiring, promotion and termination of employees, working conditions, privacy, health and safety, workers’ compensation, leaves of absence, paid sick leave, unemployment insurance, or any other employment-related matter arising under applicable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(s) In the past three (3) years, (i) no allegations of sexual harassment, sexual assault, or sexual misconduct in the course of being employed by, or providing services to, the Company have been made against (A) any current supervisor, officer or director of the Company (in their capacities as such or relating to their employment, services or relationship with the Company), or (B) any other individual service provider of the Company who, directly or indirectly, supervises any other individual service provider of the Company (in their capacities as such or relating to their employment, services or relationship with the Company) and (ii) the Company has not made any payment arising out of, or entered into any settlement agreement regarding, any allegations of sexual harassment, sexual assault or sexual misconduct by any individual service provider of the Company (in their capacities as such or relating to their employment, services or relationship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(t) Except as disclosed in Section 3.15(t) of the Company Disclosure Schedule, (i) all employees in the United States are employed on an at-will basis, and (ii) no employee has any agreement as to length of notice or severance payment required to terminate his or her employment, other than such as results by Legal Requirements from the employment of an employee without an agreement as to notice or severance. </w:t>
      </w:r>
    </w:p>
    <w:p>
      <w:pPr>
        <w:pStyle w:val="TextBody"/>
        <w:bidi w:val="0"/>
        <w:spacing w:before="240" w:after="0"/>
        <w:jc w:val="left"/>
        <w:rPr>
          <w:rFonts w:ascii="Times New Roman" w:hAnsi="Times New Roman"/>
          <w:sz w:val="20"/>
        </w:rPr>
      </w:pPr>
      <w:bookmarkStart w:id="48" w:name="ex2_2rom152392_36"/>
      <w:bookmarkEnd w:id="48"/>
      <w:r>
        <w:rPr>
          <w:rFonts w:ascii="Times New Roman" w:hAnsi="Times New Roman"/>
          <w:sz w:val="20"/>
        </w:rPr>
        <w:t>3.16 </w:t>
      </w:r>
      <w:r>
        <w:rPr>
          <w:rFonts w:ascii="Times New Roman" w:hAnsi="Times New Roman"/>
          <w:sz w:val="20"/>
          <w:u w:val="single"/>
        </w:rPr>
        <w:t>Insurance</w:t>
      </w:r>
      <w:r>
        <w:rPr>
          <w:rFonts w:ascii="Times New Roman" w:hAnsi="Times New Roman"/>
          <w:sz w:val="20"/>
        </w:rPr>
        <w:t xml:space="preserve">. </w:t>
      </w:r>
      <w:r>
        <w:rPr>
          <w:rFonts w:ascii="Times New Roman" w:hAnsi="Times New Roman"/>
          <w:sz w:val="20"/>
          <w:u w:val="single"/>
        </w:rPr>
        <w:t>Section 3.16</w:t>
      </w:r>
      <w:r>
        <w:rPr>
          <w:rFonts w:ascii="Times New Roman" w:hAnsi="Times New Roman"/>
          <w:sz w:val="20"/>
        </w:rPr>
        <w:t xml:space="preserve"> of the Company Disclosure Schedule sets forth a true, correct and complete list of all insurance policies carried by or for the benefit of the Company (the “</w:t>
      </w:r>
      <w:r>
        <w:rPr>
          <w:rFonts w:ascii="Times New Roman" w:hAnsi="Times New Roman"/>
          <w:b/>
          <w:i/>
          <w:sz w:val="20"/>
        </w:rPr>
        <w:t>Insurance Policies</w:t>
      </w:r>
      <w:r>
        <w:rPr>
          <w:rFonts w:ascii="Times New Roman" w:hAnsi="Times New Roman"/>
          <w:sz w:val="20"/>
        </w:rPr>
        <w:t xml:space="preserve">”), as well as a description of any self-insurance or co-insurance arrangements by or affecting the Company. The Company maintains policies of insurance and bonds of the type and in amounts customarily carried by Persons conducting businesses or owning assets similar to those of the Company. The Company has made available to Acquiror correct and complete copies of the Insurance Policies. All Insurance Policies with respect to the business and assets of the Company and its Subsidiaries are in full force and effect, and there is no claim pending under any Insurance Policies or bonds as to which coverage has been questioned, denied or disputed by the underwriters of such policies or bonds. All premiums due and payable under all such Insurance Policies and bonds have been paid and the Company is otherwise in compliance in all material respects with the terms of such Insurance Policies and bonds. All claims, occurrences, offenses, events and matters that could be covered under the Insurance Policies have been timely noticed pursuant to the conditions in such policy. The Company has no knowledge of any threatened termination of, or premium increase (other than in the ordinary course of business) with respect to, any 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49" w:name="ex2_2rom152392_37"/>
      <w:bookmarkEnd w:id="49"/>
      <w:r>
        <w:rPr>
          <w:rFonts w:ascii="Times New Roman" w:hAnsi="Times New Roman"/>
          <w:sz w:val="20"/>
        </w:rPr>
        <w:t>3.17 </w:t>
      </w:r>
      <w:r>
        <w:rPr>
          <w:rFonts w:ascii="Times New Roman" w:hAnsi="Times New Roman"/>
          <w:sz w:val="20"/>
          <w:u w:val="single"/>
        </w:rPr>
        <w:t>Material Contracts</w:t>
      </w:r>
      <w:r>
        <w:rPr>
          <w:rFonts w:ascii="Times New Roman" w:hAnsi="Times New Roman"/>
          <w:sz w:val="20"/>
        </w:rPr>
        <w:t xml:space="preserve">. </w:t>
      </w:r>
      <w:r>
        <w:rPr>
          <w:rFonts w:ascii="Times New Roman" w:hAnsi="Times New Roman"/>
          <w:sz w:val="20"/>
          <w:u w:val="single"/>
        </w:rPr>
        <w:t>Section 3.17</w:t>
      </w:r>
      <w:r>
        <w:rPr>
          <w:rFonts w:ascii="Times New Roman" w:hAnsi="Times New Roman"/>
          <w:sz w:val="20"/>
        </w:rPr>
        <w:t xml:space="preserve"> of the Company Disclosure Schedule contains a complete list, as of the date hereof, of all Contracts (other than Company Employee Plans or any purchase orders received or issued by the Company or its Subsidiaries in the ordinary course of business consistent with past practice) presently in effect to which the Company or any of its Subsidiaries is a party and by which it is bound and that fall within any of the following categories (each, a “</w:t>
      </w:r>
      <w:r>
        <w:rPr>
          <w:rFonts w:ascii="Times New Roman" w:hAnsi="Times New Roman"/>
          <w:b/>
          <w:i/>
          <w:sz w:val="20"/>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Contract with a customer or client for the purchase of products or services from the Company that contemplated payments to the Company or any of its Subsidiaries in excess of $100,000 during the twelve-month period ended May 31, 2026; </w:t>
      </w:r>
    </w:p>
    <w:p>
      <w:pPr>
        <w:pStyle w:val="TextBody"/>
        <w:bidi w:val="0"/>
        <w:spacing w:before="240" w:after="0"/>
        <w:jc w:val="left"/>
        <w:rPr>
          <w:rFonts w:ascii="Times New Roman" w:hAnsi="Times New Roman"/>
          <w:sz w:val="20"/>
        </w:rPr>
      </w:pPr>
      <w:r>
        <w:rPr>
          <w:rFonts w:ascii="Times New Roman" w:hAnsi="Times New Roman"/>
          <w:sz w:val="20"/>
        </w:rPr>
        <w:t xml:space="preserve">(b) each Contract (other than Contracts that relate to Transaction Expenses) with a supplier or other vendor for the purchase of products or services by the Company or any of its Subsidiaries contemplating payments by the Company or any of its Subsidiaries in excess of $100,000 during the twelve-month period ended May 31, 2026; </w:t>
      </w:r>
    </w:p>
    <w:p>
      <w:pPr>
        <w:pStyle w:val="TextBody"/>
        <w:bidi w:val="0"/>
        <w:spacing w:before="240" w:after="0"/>
        <w:jc w:val="left"/>
        <w:rPr>
          <w:rFonts w:ascii="Times New Roman" w:hAnsi="Times New Roman"/>
          <w:sz w:val="20"/>
        </w:rPr>
      </w:pPr>
      <w:r>
        <w:rPr>
          <w:rFonts w:ascii="Times New Roman" w:hAnsi="Times New Roman"/>
          <w:sz w:val="20"/>
        </w:rPr>
        <w:t xml:space="preserve">(c) each Contract granting any Person an Encumbrance on all or any part of the assets of any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(d) each Contract relating to any equity-based joint venture, partnership or strategic alliance or involves a sharing of revenues, profits, cash flows, expenses or losses with any other party or a payment of royalties to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(e) each Contract for the disposition of any significant portion of the assets or business of the Company or each Contract for the acquisition of the assets or business of any other Person, other than the sale or purchase of inventory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(f) each Contract which restricts the Company from freely engaging in business anywhere in the world (including Contracts containing covenants not to compete in any line of business or with any Person in any geographical area or non-solicitation or non-hire restrictions); </w:t>
      </w:r>
    </w:p>
    <w:p>
      <w:pPr>
        <w:pStyle w:val="TextBody"/>
        <w:bidi w:val="0"/>
        <w:spacing w:before="240" w:after="0"/>
        <w:jc w:val="left"/>
        <w:rPr>
          <w:rFonts w:ascii="Times New Roman" w:hAnsi="Times New Roman"/>
          <w:sz w:val="20"/>
        </w:rPr>
      </w:pPr>
      <w:r>
        <w:rPr>
          <w:rFonts w:ascii="Times New Roman" w:hAnsi="Times New Roman"/>
          <w:sz w:val="20"/>
        </w:rPr>
        <w:t xml:space="preserve">(g) each Contract under which the Company has advanced or loaned to any other Person any amounts, made any capital contribution or equity investment in, or assumed any liability or obligation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(h) any settlement, conciliation or similar agreement with any Governmental Entity or other Person or pursuant to which the Company will have any outstanding obligations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that requires a consent to or otherwise contains a provision relating to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(j) any collective bargaining agreement or other Contract with any labor union, labor organization, works council or group of employees; </w:t>
      </w:r>
    </w:p>
    <w:p>
      <w:pPr>
        <w:pStyle w:val="TextBody"/>
        <w:bidi w:val="0"/>
        <w:spacing w:before="240" w:after="0"/>
        <w:jc w:val="left"/>
        <w:rPr>
          <w:rFonts w:ascii="Times New Roman" w:hAnsi="Times New Roman"/>
          <w:sz w:val="20"/>
        </w:rPr>
      </w:pPr>
      <w:r>
        <w:rPr>
          <w:rFonts w:ascii="Times New Roman" w:hAnsi="Times New Roman"/>
          <w:sz w:val="20"/>
        </w:rPr>
        <w:t xml:space="preserve">(k) each Contract for the employment of any employee or the services of any individual service provider of the Company that (A) provides for base compensation in excess of $100,000; (B) provides for a term of employment other than (i) at-will employment or (ii) that cannot be terminated by the Company without penalty or similar further payment without more than thirty (30) days’ notice; (C) provides for severance, or similar payment due upon termination of employment; or (D) provides for a Transaction Expense (other than any Contracts for the engagement of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(l) each Contract with minimum purchase commitments or “take or pay” terms or pursuant to which the Company grants “most favored nation” status (or similar status) to any Person (whether in respect of pricing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(m) any Contract with a Governmental Entity, or any Contract with any academic institution or research center; </w:t>
      </w:r>
    </w:p>
    <w:p>
      <w:pPr>
        <w:pStyle w:val="TextBody"/>
        <w:bidi w:val="0"/>
        <w:spacing w:before="240" w:after="0"/>
        <w:jc w:val="left"/>
        <w:rPr>
          <w:rFonts w:ascii="Times New Roman" w:hAnsi="Times New Roman"/>
          <w:sz w:val="20"/>
        </w:rPr>
      </w:pPr>
      <w:r>
        <w:rPr>
          <w:rFonts w:ascii="Times New Roman" w:hAnsi="Times New Roman"/>
          <w:sz w:val="20"/>
        </w:rPr>
        <w:t xml:space="preserve">(n) each Contract relating to the incurrence, assumption or guarantee of 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(o) each Contract pursuant to which the Company is the lessee or lessor of, or holds, uses, or makes available for use to any Person (other than the Company), (A) any real property or (B) any tangible personal property and, in the case of clause (B), that involves an aggregate future or potential liability or receivable, as the case may be, in excess of $20,000; </w:t>
      </w:r>
    </w:p>
    <w:p>
      <w:pPr>
        <w:pStyle w:val="TextBody"/>
        <w:bidi w:val="0"/>
        <w:spacing w:before="240" w:after="0"/>
        <w:jc w:val="left"/>
        <w:rPr>
          <w:rFonts w:ascii="Times New Roman" w:hAnsi="Times New Roman"/>
          <w:sz w:val="20"/>
        </w:rPr>
      </w:pPr>
      <w:r>
        <w:rPr>
          <w:rFonts w:ascii="Times New Roman" w:hAnsi="Times New Roman"/>
          <w:sz w:val="20"/>
        </w:rPr>
        <w:t xml:space="preserve">(p) each Contract for the sale or purchase of any real property, or for the sale or purchase of any tangible personal property in an amount in excess of $20,000; </w:t>
      </w:r>
    </w:p>
    <w:p>
      <w:pPr>
        <w:pStyle w:val="TextBody"/>
        <w:bidi w:val="0"/>
        <w:spacing w:before="240" w:after="0"/>
        <w:jc w:val="left"/>
        <w:rPr>
          <w:rFonts w:ascii="Times New Roman" w:hAnsi="Times New Roman"/>
          <w:sz w:val="20"/>
        </w:rPr>
      </w:pPr>
      <w:r>
        <w:rPr>
          <w:rFonts w:ascii="Times New Roman" w:hAnsi="Times New Roman"/>
          <w:sz w:val="20"/>
        </w:rPr>
        <w:t xml:space="preserve">(q) each Contract relating in whole or in part to the Company Products; </w:t>
      </w:r>
    </w:p>
    <w:p>
      <w:pPr>
        <w:pStyle w:val="TextBody"/>
        <w:bidi w:val="0"/>
        <w:spacing w:before="240" w:after="0"/>
        <w:jc w:val="left"/>
        <w:rPr>
          <w:rFonts w:ascii="Times New Roman" w:hAnsi="Times New Roman"/>
          <w:sz w:val="20"/>
        </w:rPr>
      </w:pPr>
      <w:r>
        <w:rPr>
          <w:rFonts w:ascii="Times New Roman" w:hAnsi="Times New Roman"/>
          <w:sz w:val="20"/>
        </w:rPr>
        <w:t xml:space="preserve">(r) each Contract that is a license agreement, covenant not to sue agreement or co-existence agreement or similar agreement to which the Company is a party and (A) licenses in Intellectual Property owned by a third party, including any inbound agreement under which Intellectual Property that covers or is incorporated in the Product is licensed to the Company, or (B) licenses out Owned Company IP; </w:t>
      </w:r>
    </w:p>
    <w:p>
      <w:pPr>
        <w:pStyle w:val="TextBody"/>
        <w:bidi w:val="0"/>
        <w:spacing w:before="240" w:after="0"/>
        <w:jc w:val="left"/>
        <w:rPr>
          <w:rFonts w:ascii="Times New Roman" w:hAnsi="Times New Roman"/>
          <w:sz w:val="20"/>
        </w:rPr>
      </w:pPr>
      <w:r>
        <w:rPr>
          <w:rFonts w:ascii="Times New Roman" w:hAnsi="Times New Roman"/>
          <w:sz w:val="20"/>
        </w:rPr>
        <w:t xml:space="preserve">(s) each Contract to which the Company is a party relating to any contract research organization, supply or manufacturing arrangement and any Contract with any third party to develop, promote or market the Company Product or that otherwise grants any rights (including any license) or imposes any obligations to develop, manufacture, supply, distribute, market, sell, offer, import or otherwise commercialize any product or technology; and </w:t>
      </w:r>
    </w:p>
    <w:p>
      <w:pPr>
        <w:pStyle w:val="TextBody"/>
        <w:bidi w:val="0"/>
        <w:spacing w:before="240" w:after="0"/>
        <w:jc w:val="left"/>
        <w:rPr>
          <w:rFonts w:ascii="Times New Roman" w:hAnsi="Times New Roman"/>
          <w:sz w:val="20"/>
        </w:rPr>
      </w:pPr>
      <w:r>
        <w:rPr>
          <w:rFonts w:ascii="Times New Roman" w:hAnsi="Times New Roman"/>
          <w:sz w:val="20"/>
        </w:rPr>
        <w:t xml:space="preserve">(t) any other Contract or group of Contracts, whether or not made in the ordinary course of business, other than those Contracts required to otherwise be disclosed pursuant this Section 3.17, that is material to the business, operations, assets, financial condition, results of operations or prospects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Each such Material Contract, each Inbound IP License and each Outbound IP License is in writing and is a legal, valid and binding agreement is enforceable against the Company and by the Company in accordance with its terms and is in full force and effect, except as set forth on Schedule 3.17 of the Company Disclosure Schedule. The Company is not, and no other party is in breach or violation of, or (with or without notice or lapse of time or both) default under, any Material Contract, and neither the Company nor its Affiliates has received any written claim of any such breach, violation or default. No event has occurred, and no circumstance or condition exists, that (with or without notice or lapse of time) will, or could reasonably be expected to: (i) result in a violation or breach of any of the provisions of any Material Contract; (ii) give any Person the right to declare a default or exercise any remedy under any Material Contract; (iii) give any Person the right to accelerate the maturity or performance of any Material Contract; or (iv) give any Person the right to cancel, terminate or modify any Material Contract. Neither the Company nor, to the knowledge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Company, any third party to a Material Contract is in breach of any Material Contract, Inbound IP License or Outbound IP License. No Person is renegotiating, or has a right pursuant to the terms of any Material Contract to renegotiate, any amounts paid or payable to the Company under any Material Contract or any other material term or provision of any Material Contract. No Person has threatened to terminate or refuse to perform its obligations under any Material Contract (regardless of whether such Person has the right to do so under such Contract). The Company has made available to Acquiror true and complete copies of all Material Contracts, including any amendments thereto. </w:t>
      </w:r>
    </w:p>
    <w:p>
      <w:pPr>
        <w:pStyle w:val="TextBody"/>
        <w:bidi w:val="0"/>
        <w:spacing w:before="240" w:after="0"/>
        <w:jc w:val="left"/>
        <w:rPr>
          <w:rFonts w:ascii="Times New Roman" w:hAnsi="Times New Roman"/>
          <w:sz w:val="20"/>
        </w:rPr>
      </w:pPr>
      <w:bookmarkStart w:id="50" w:name="ex2_2rom152392_38"/>
      <w:bookmarkEnd w:id="50"/>
      <w:r>
        <w:rPr>
          <w:rFonts w:ascii="Times New Roman" w:hAnsi="Times New Roman"/>
          <w:sz w:val="20"/>
        </w:rPr>
        <w:t>3.18 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during the five (5) years prior to the date hereof has been, in compliance with all Healthcare Laws applicable to the conduct of the business and all Company Products, including all FDA Regulatory Laws, and, to the knowledge of the Company, there is no civil, criminal, or administrative action, subpoena, suit, demand, claim, hearing, consent decree, or proceeding pending by a Governmental Entity against the Company related to FDA Regulatory Laws or other Healthcare Laws. With respect to the products that the Company researches, develops, designs, manufactures, packages, labels, stores, tests, releases, imports, exports, distributes, promotes, markets, or otherwise handles, all such activities are and have been performed in compliance with applicable requirements under FDA Regulatory Laws and other Healthcare Laws. The Company holds all material Regulatory Approvals and Company Authorizations required for the conduct of the business as currently conducted, and all such Regulatory Approvals and Company Authorizations are valid and in full force and effect. The design, development, clinical or pre-clinical investigation, and testing of the Company Products by or on behalf of the Company are being, and have been conducted in compliance in all material respects with all applicable Legal Requirements, including FDA Regulatory Laws and other Healthcare Laws, to the extent applicable to the Company. The Company has never received any written communication or notification of any pending or threatened Proceeding from any Governmental Entity, including, without limitation, FDA. As of the date hereof, to the knowledge of the Company, there are no facts or circumstances reasonably likely to cause any hearing, enforcement, audit or other Proceeding by any Governmental Entity alleging potential or actual noncompliance by, or liability of, the Company under any FDA Regulatory Laws or other Healthcare Laws.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Schedule 3.18(b)</w:t>
      </w:r>
      <w:r>
        <w:rPr>
          <w:rFonts w:ascii="Times New Roman" w:hAnsi="Times New Roman"/>
          <w:sz w:val="20"/>
        </w:rPr>
        <w:t xml:space="preserve"> of the Company Disclosure Schedule sets forth a true, correct and complete list of each third party contract research organization or other provider of services engaged by the Company to perform pre-clinical or clinical studies and trials on the Company Products. </w:t>
      </w:r>
    </w:p>
    <w:p>
      <w:pPr>
        <w:pStyle w:val="TextBody"/>
        <w:bidi w:val="0"/>
        <w:spacing w:before="240" w:after="0"/>
        <w:jc w:val="left"/>
        <w:rPr>
          <w:rFonts w:ascii="Times New Roman" w:hAnsi="Times New Roman"/>
          <w:sz w:val="20"/>
        </w:rPr>
      </w:pPr>
      <w:r>
        <w:rPr>
          <w:rFonts w:ascii="Times New Roman" w:hAnsi="Times New Roman"/>
          <w:sz w:val="20"/>
        </w:rPr>
        <w:t xml:space="preserve">(c) During the five (5) years prior to the date hereof, all Company clinical trials have been, and any ongoing Company clinical trials are being, conducted in all material respects in accordance with applicable FDA Regulatory Laws or other Healthcare Laws. No Company clinical trial has been placed on clinical hold, terminated or suspended by the FDA or any other Governmental Entity, institutional review board, ethics committee, or safety monitoring committee, and no such action has been threatened. All pre-clinical and clinical trials that have been or are being conducted or planned to be conducted by or on behalf of the Company, or in which the Company was and, if still pending, are being or have been conducted in compliance in all material respects with required experimental protocols, procedures and controls, and applicable Legal Requirements, including FDA Regulatory Laws and other Healthcare Laws. The Company has not received any written notices, correspondence or other communication from FDA or any other Governmental Entity, or any institutional review board, ethics committee or safety monitoring committee raising any issues regarding any such clinical trials, or requesting, requiring or threatening the termination, suspension or material modification, or clinical hold of any such clinical trials. With respect to the Product, the Company has made available to Acquiror complete and accurate copies of all material clinical and preclinical data in the possession of the Company and all material written correspondence that exists as of the date of this Agreement between the Company and the applicable Governmental Entities.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has not initiated or been the responsible party for initiating, conducting, or issuing any recall, field notification, correction, market withdrawal, replacement, safety alert, or similar action relating to Company Products manufactured by the Company and no facts or circumstances exist that would reasonably be expected to result in any such action, nor have they received any unresolved written notice from a Governmental Entity that such an action is required with respect to their manufacturing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has made available to Acquiror true, correct and complete copies of all material regulatory documentation, including all submissions to and correspondence with FDA and other comparable Governmental Entities, and such regulatory documentation does not contain any materially false or misleading statement or fraudulent data, and does not omit any material fact necessary to make the statements therein, in light of the circumstances in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(f) All manufacture of the Product, including any clinical supplies used in any clinical trials, by or on behalf of the Company has been conducted in all material respects in compliance with the applicable specifications and requirements of Good Manufacturing Practices and applicable Legal Requirements including FDA Regulatory Laws and other Healthcare Laws. Neither the Company nor, to the knowledge of the Company, any person acting on its behalf has, with respect to the Product, (i) been subject to a Governmental Entity shutdown or import or export prohibition or (ii) received any Form FDA 483, or other Governmental Entity notice of inspectional observations, “warning letters,” “untitled letters” or written requests or requirements to make any change to the Product or any of the Company’s processes or procedures, or any similar correspondence from any Governmental Entity in respect of the Company or its business operations alleging or asserting noncompliance with FDA Regulatory Laws, Healthcare Laws, or any other applicable Legal Requirements, Regulatory Approval or Company Authorization, or any such requests or requirements of a Governmental Entity and, to the knowledge of the Company, no Governmental Entity is considering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(g) None of the Company or any of its officers, employees or agents, or, to the knowledge of the Company, any clinical investigator acting for the Company, has (i) made an untrue statement of a material fact or fraudulent statement to any Governmental Entity, (ii) failed to disclose a material fact required to be disclosed to any Governmental Entity, or (iii) committed an act, made a statement, or failed to make a statement, including with respect to any scientific data or information, that, at the time such disclosure was made or failure to disclose occurred, would reasonably be expected to provide a basis for the FDA or any other Governmental Entity to invoke its policy respecting “Fraud, Untrue Statements of Material Facts, Bribery, and Illegal Gratuities”, set forth in 56 Fed. Reg. 46191 (September 10, 1991), and any amendments thereto, or any similar policy or any other statute or regulation regarding the communication or submission of false information to any applicable Governmental Entity. The Company has not committed or engaged in any fraud or falsification or forgery of any research or development data, report, studies or publications or of any document or statement voluntarily submitted or required to be submitted to any Governmental Entity. None of the Company or any of its officers, employees, agents or, to the knowledge of the Company, any clinical investigator acting for the Company, is or has been convicted of any crime or engaged in any conduct that has resulted in, or would reasonably be expected to result in, debarment from participation in any program related to pharmaceutical products pursuant to 21 U.S.C. Section 335a (a) or (b) or exclusion from participation in any federal health care program pursuant to 42 U.S.C. Section 1320a-7. </w:t>
      </w:r>
    </w:p>
    <w:p>
      <w:pPr>
        <w:pStyle w:val="TextBody"/>
        <w:bidi w:val="0"/>
        <w:spacing w:before="240" w:after="0"/>
        <w:jc w:val="left"/>
        <w:rPr>
          <w:rFonts w:ascii="Times New Roman" w:hAnsi="Times New Roman"/>
          <w:sz w:val="20"/>
        </w:rPr>
      </w:pPr>
      <w:bookmarkStart w:id="51" w:name="ex2_2rom152392_39"/>
      <w:bookmarkEnd w:id="51"/>
      <w:r>
        <w:rPr>
          <w:rFonts w:ascii="Times New Roman" w:hAnsi="Times New Roman"/>
          <w:sz w:val="20"/>
        </w:rPr>
        <w:t>3.19 </w:t>
      </w:r>
      <w:r>
        <w:rPr>
          <w:rFonts w:ascii="Times New Roman" w:hAnsi="Times New Roman"/>
          <w:sz w:val="20"/>
          <w:u w:val="single"/>
        </w:rPr>
        <w:t>Brokers</w:t>
      </w:r>
      <w:r>
        <w:rPr>
          <w:rFonts w:ascii="Times New Roman" w:hAnsi="Times New Roman"/>
          <w:sz w:val="20"/>
        </w:rPr>
        <w:t xml:space="preserve">. Other than as set forth on </w:t>
      </w:r>
      <w:r>
        <w:rPr>
          <w:rFonts w:ascii="Times New Roman" w:hAnsi="Times New Roman"/>
          <w:sz w:val="20"/>
          <w:u w:val="single"/>
        </w:rPr>
        <w:t>Section 3.19</w:t>
      </w:r>
      <w:r>
        <w:rPr>
          <w:rFonts w:ascii="Times New Roman" w:hAnsi="Times New Roman"/>
          <w:sz w:val="20"/>
        </w:rPr>
        <w:t xml:space="preserve"> of the Company Disclosure Schedule, the Company has no obligation for the payment of any fees or expenses of any investment banker, broker or finder in connection with the origin, negotiation or execution of this Agreement or in connection with the Merger or any other transaction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52" w:name="ex2_2rom152392_40"/>
      <w:bookmarkEnd w:id="52"/>
      <w:r>
        <w:rPr>
          <w:rFonts w:ascii="Times New Roman" w:hAnsi="Times New Roman"/>
          <w:sz w:val="20"/>
        </w:rPr>
        <w:t>3.20 </w:t>
      </w:r>
      <w:r>
        <w:rPr>
          <w:rFonts w:ascii="Times New Roman" w:hAnsi="Times New Roman"/>
          <w:sz w:val="20"/>
          <w:u w:val="single"/>
        </w:rPr>
        <w:t>Affiliate Transactions</w:t>
      </w:r>
      <w:r>
        <w:rPr>
          <w:rFonts w:ascii="Times New Roman" w:hAnsi="Times New Roman"/>
          <w:sz w:val="20"/>
        </w:rPr>
        <w:t xml:space="preserve">. Other than as set forth on Section 3.20 of the Company Disclosure Schedule and other than any employment agreements, Company Employee Plans, and any equity awards or other agreements related to or governing Company Capital Stock, Company Employee Options or Company Non-Employee Options, (a) there are no Contracts between the Company, on the one hand, and any director, officer, or Affiliate of the Company or any Company Stockholder or, to the knowledge of the Company, any individual in such director’s, officer’s or Company Stockholder’s immediate family, on the other hand, (b) no director, officer, Company Stockholder or Affiliate of the Company or, to the knowledge of the Company, any individual in such director’s, officer’s or Company Stockholder’s immediate family, owns any material tangible or intangible property that the Company is using in its business, (c) the Company does not owe any amount to, and has not committed to make any loan or extend or guarantee credit or other obligations to or for the benefit of, any of the Company’s directors, officers, Company Stockholders or Affiliates, and (d) no director, officer, Company Stockholder or Affiliate of the Company owns any assets used in the business as it is now being conducted by the Company. </w:t>
      </w:r>
    </w:p>
    <w:p>
      <w:pPr>
        <w:pStyle w:val="TextBody"/>
        <w:bidi w:val="0"/>
        <w:spacing w:before="240" w:after="0"/>
        <w:jc w:val="left"/>
        <w:rPr>
          <w:rFonts w:ascii="Times New Roman" w:hAnsi="Times New Roman"/>
          <w:sz w:val="20"/>
        </w:rPr>
      </w:pPr>
      <w:bookmarkStart w:id="53" w:name="ex2_2rom152392_41"/>
      <w:bookmarkEnd w:id="53"/>
      <w:r>
        <w:rPr>
          <w:rFonts w:ascii="Times New Roman" w:hAnsi="Times New Roman"/>
          <w:sz w:val="20"/>
        </w:rPr>
        <w:t>3.21 </w:t>
      </w:r>
      <w:r>
        <w:rPr>
          <w:rFonts w:ascii="Times New Roman" w:hAnsi="Times New Roman"/>
          <w:sz w:val="20"/>
          <w:u w:val="single"/>
        </w:rPr>
        <w:t>Material Customers and Material Vendors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Section 3.21(a)</w:t>
      </w:r>
      <w:r>
        <w:rPr>
          <w:rFonts w:ascii="Times New Roman" w:hAnsi="Times New Roman"/>
          <w:sz w:val="20"/>
        </w:rPr>
        <w:t xml:space="preserve"> of the Company Disclosure Schedule sets forth a list of the top ten (10) customers of the Company (the “</w:t>
      </w:r>
      <w:r>
        <w:rPr>
          <w:rFonts w:ascii="Times New Roman" w:hAnsi="Times New Roman"/>
          <w:b/>
          <w:i/>
          <w:sz w:val="20"/>
        </w:rPr>
        <w:t>Material Customers</w:t>
      </w:r>
      <w:r>
        <w:rPr>
          <w:rFonts w:ascii="Times New Roman" w:hAnsi="Times New Roman"/>
          <w:sz w:val="20"/>
        </w:rPr>
        <w:t xml:space="preserve">”), as measured by the dollar amount of the aggregate revenue attributable to each Material Customer for the fiscal year ended December 31, 2025, showing the total revenue attributable to each Material Customer during such period.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Section 3.21(b)</w:t>
      </w:r>
      <w:r>
        <w:rPr>
          <w:rFonts w:ascii="Times New Roman" w:hAnsi="Times New Roman"/>
          <w:sz w:val="20"/>
        </w:rPr>
        <w:t xml:space="preserve"> of the Company Disclosure Schedule sets forth a list of the top ten (10) vendors of the Company (excluding professional service providers or providers of health and welfare benefits to employees and other service providers of the Company, the “</w:t>
      </w:r>
      <w:r>
        <w:rPr>
          <w:rFonts w:ascii="Times New Roman" w:hAnsi="Times New Roman"/>
          <w:b/>
          <w:i/>
          <w:sz w:val="20"/>
        </w:rPr>
        <w:t>Material Vendors</w:t>
      </w:r>
      <w:r>
        <w:rPr>
          <w:rFonts w:ascii="Times New Roman" w:hAnsi="Times New Roman"/>
          <w:sz w:val="20"/>
        </w:rPr>
        <w:t xml:space="preserve">”), as measured by the dollar amount of the aggregate fees paid by the Company to each Material Vendor for the fiscal year ended December 31, 2025, showing the total payments by the Company to each Material Vendor during such period. </w:t>
      </w:r>
    </w:p>
    <w:p>
      <w:pPr>
        <w:pStyle w:val="TextBody"/>
        <w:bidi w:val="0"/>
        <w:spacing w:before="240" w:after="0"/>
        <w:jc w:val="left"/>
        <w:rPr>
          <w:rFonts w:ascii="Times New Roman" w:hAnsi="Times New Roman"/>
          <w:sz w:val="20"/>
        </w:rPr>
      </w:pPr>
      <w:r>
        <w:rPr>
          <w:rFonts w:ascii="Times New Roman" w:hAnsi="Times New Roman"/>
          <w:sz w:val="20"/>
        </w:rPr>
        <w:t xml:space="preserve">(c) None of the Material Customers or Material Vendors has terminated, cancelled, not renewed, or provided written notice to terminate its relationship with the Company or materially reduced or changed, or provided notice of its intent to materially reduce or change, the terms of its relationship with the Company. To the knowledge of the Company, no Material Customer or Material Vendor intends to terminate or materially reduce or change the terms of its business with the Company. There is no material dispute or Proceeding pending or threatened against the Company by any Material Customer or Material Vendor.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is in material breach of or default under any Contract with any Material Customer or Material Vendor, and, to the knowledge of the Company, no Material Customer or Material Vendor is in material breach of or default under any such Contract. No event, occurrence, condition or omission exists that, with or without notice, lapse of time or both, would constitute such a breach or default or would permit the termination, suspension, cancellation, acceleration, non-renewal or material modification of any such Contract. </w:t>
      </w:r>
    </w:p>
    <w:p>
      <w:pPr>
        <w:pStyle w:val="TextBody"/>
        <w:bidi w:val="0"/>
        <w:spacing w:before="240" w:after="0"/>
        <w:jc w:val="left"/>
        <w:rPr>
          <w:rFonts w:ascii="Times New Roman" w:hAnsi="Times New Roman"/>
          <w:sz w:val="20"/>
        </w:rPr>
      </w:pPr>
      <w:bookmarkStart w:id="54" w:name="ex2_2rom152392_42"/>
      <w:bookmarkEnd w:id="54"/>
      <w:r>
        <w:rPr>
          <w:rFonts w:ascii="Times New Roman" w:hAnsi="Times New Roman"/>
          <w:sz w:val="20"/>
        </w:rPr>
        <w:t>3.22 </w:t>
      </w:r>
      <w:r>
        <w:rPr>
          <w:rFonts w:ascii="Times New Roman" w:hAnsi="Times New Roman"/>
          <w:sz w:val="20"/>
          <w:u w:val="single"/>
        </w:rPr>
        <w:t>Government Contracts, Awards and Incentives</w:t>
      </w:r>
      <w:r>
        <w:rPr>
          <w:rFonts w:ascii="Times New Roman" w:hAnsi="Times New Roman"/>
          <w:sz w:val="20"/>
        </w:rPr>
        <w:t>. (i) The Company does not currently have and, has not had, any pending and outstanding contracts or subcontracts, grants, incentives (including Tax incentives), awards or subawards, benefits, qualifications and subsidies granted to the Company from any Governmental Entity or prime or higher-tier contractor, grantee or awardee of a Governmental Entity or otherwise utilized by the Company (collectively “</w:t>
      </w:r>
      <w:r>
        <w:rPr>
          <w:rFonts w:ascii="Times New Roman" w:hAnsi="Times New Roman"/>
          <w:b/>
          <w:i/>
          <w:sz w:val="20"/>
        </w:rPr>
        <w:t>Governmental Award</w:t>
      </w:r>
      <w:r>
        <w:rPr>
          <w:rFonts w:ascii="Times New Roman" w:hAnsi="Times New Roman"/>
          <w:sz w:val="20"/>
        </w:rPr>
        <w:t xml:space="preserve">”); (ii) the Company has not nor, to the knowledge of the Company, have any of the Company’s agents, contractors, or licensors developed any Intellectual Property to which the Company has any rights, through the application of any financing or other funding made available by any Government Awards; and (iii) no Intellectual Property is subject to any assignment, grant-back, license or other right of any Governmental Entity as a result of any Government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55" w:name="ex2_2rom152392_43"/>
      <w:bookmarkEnd w:id="55"/>
      <w:r>
        <w:rPr>
          <w:rFonts w:ascii="Times New Roman" w:hAnsi="Times New Roman"/>
          <w:sz w:val="20"/>
        </w:rPr>
        <w:t>3.23 </w:t>
      </w:r>
      <w:r>
        <w:rPr>
          <w:rFonts w:ascii="Times New Roman" w:hAnsi="Times New Roman"/>
          <w:sz w:val="20"/>
          <w:u w:val="single"/>
        </w:rPr>
        <w:t>Bank Accounts; Powers of Attorney</w:t>
      </w:r>
      <w:r>
        <w:rPr>
          <w:rFonts w:ascii="Times New Roman" w:hAnsi="Times New Roman"/>
          <w:sz w:val="20"/>
        </w:rPr>
        <w:t xml:space="preserve">. </w:t>
      </w:r>
      <w:r>
        <w:rPr>
          <w:rFonts w:ascii="Times New Roman" w:hAnsi="Times New Roman"/>
          <w:sz w:val="20"/>
          <w:u w:val="single"/>
        </w:rPr>
        <w:t>Section 3.23(a)</w:t>
      </w:r>
      <w:r>
        <w:rPr>
          <w:rFonts w:ascii="Times New Roman" w:hAnsi="Times New Roman"/>
          <w:sz w:val="20"/>
        </w:rPr>
        <w:t xml:space="preserve"> of the Company Disclosure Schedule sets forth (i) the names and locations of all banks, trusts, companies, savings and loan associations and other financial institutions at which the Company maintains safe deposit boxes, checking accounts or lock box accounts and (ii) the names of all Persons authorized to draw thereon, make withdrawals therefrom or have access thereto. </w:t>
      </w:r>
      <w:r>
        <w:rPr>
          <w:rFonts w:ascii="Times New Roman" w:hAnsi="Times New Roman"/>
          <w:sz w:val="20"/>
          <w:u w:val="single"/>
        </w:rPr>
        <w:t>Section 3.23(b)</w:t>
      </w:r>
      <w:r>
        <w:rPr>
          <w:rFonts w:ascii="Times New Roman" w:hAnsi="Times New Roman"/>
          <w:sz w:val="20"/>
        </w:rPr>
        <w:t xml:space="preserve"> of the Company Disclosure Schedule sets forth all powers of attorney granted by the Company. </w:t>
      </w:r>
    </w:p>
    <w:p>
      <w:pPr>
        <w:pStyle w:val="TextBody"/>
        <w:bidi w:val="0"/>
        <w:spacing w:before="240" w:after="0"/>
        <w:jc w:val="left"/>
        <w:rPr>
          <w:rFonts w:ascii="Times New Roman" w:hAnsi="Times New Roman"/>
          <w:sz w:val="20"/>
        </w:rPr>
      </w:pPr>
      <w:bookmarkStart w:id="56" w:name="ex2_2rom152392_44"/>
      <w:bookmarkEnd w:id="56"/>
      <w:r>
        <w:rPr>
          <w:rFonts w:ascii="Times New Roman" w:hAnsi="Times New Roman"/>
          <w:sz w:val="20"/>
        </w:rPr>
        <w:t>3.24 </w:t>
      </w:r>
      <w:r>
        <w:rPr>
          <w:rFonts w:ascii="Times New Roman" w:hAnsi="Times New Roman"/>
          <w:sz w:val="20"/>
          <w:u w:val="single"/>
        </w:rPr>
        <w:t>No Other Company Representations or Warranties</w:t>
      </w:r>
      <w:r>
        <w:rPr>
          <w:rFonts w:ascii="Times New Roman" w:hAnsi="Times New Roman"/>
          <w:sz w:val="20"/>
        </w:rPr>
        <w:t xml:space="preserve">. Except for the representations and warranties contained in </w:t>
      </w:r>
      <w:r>
        <w:rPr>
          <w:rFonts w:ascii="Times New Roman" w:hAnsi="Times New Roman"/>
          <w:sz w:val="20"/>
          <w:u w:val="single"/>
        </w:rPr>
        <w:t>Article III</w:t>
      </w:r>
      <w:r>
        <w:rPr>
          <w:rFonts w:ascii="Times New Roman" w:hAnsi="Times New Roman"/>
          <w:sz w:val="20"/>
        </w:rPr>
        <w:t>, neither the Company nor any of its Affiliates makes any express or implied representation or warranty with respect to the Company or any of its Affiliates or with respect to any other information provided, or made available, to Acquiror or any of its Affiliates, agents or representatives in connection with the transactions contemplated hereby. Neither the Company, any of its Affiliates or any other Person will have or be subject to any liability or other obligation to Acquiror, its Affiliates, agents or representatives or any Person resulting from any information, documents, projections, forecasts or other material made available to Acquiror, its Affiliates or representatives in certain “data rooms,” confidential offering memorandum, offering materials or management presentations in expectation of the transactions contemplated by this Agreement (all such information, collectively, the “</w:t>
      </w:r>
      <w:r>
        <w:rPr>
          <w:rFonts w:ascii="Times New Roman" w:hAnsi="Times New Roman"/>
          <w:b/>
          <w:i/>
          <w:sz w:val="20"/>
        </w:rPr>
        <w:t>Evaluation Material</w:t>
      </w:r>
      <w:r>
        <w:rPr>
          <w:rFonts w:ascii="Times New Roman" w:hAnsi="Times New Roman"/>
          <w:sz w:val="20"/>
        </w:rPr>
        <w:t xml:space="preserve">”), unless any such information is expressly and specifically included in a representation or warranty contained in </w:t>
      </w:r>
      <w:r>
        <w:rPr>
          <w:rFonts w:ascii="Times New Roman" w:hAnsi="Times New Roman"/>
          <w:sz w:val="20"/>
          <w:u w:val="single"/>
        </w:rPr>
        <w:t>Article III</w:t>
      </w:r>
      <w:r>
        <w:rPr>
          <w:rFonts w:ascii="Times New Roman" w:hAnsi="Times New Roman"/>
          <w:sz w:val="20"/>
        </w:rPr>
        <w:t xml:space="preserve">. The Company disclaims any and all other representations and warranties, whether express or implied, and Acquiror acknowledges and agrees that none of the Company, any Company Securityholder, or any of their respective directors, officers, employees, stockholders, agents, Affiliates or representatives, or any other Person, shall have or be subject to any liability to Acquiror, Merger Sub or any other Person resulting from the distribution to Acquiror or Merger Sub of, or the use or reliance on by Acquiror or Merger Sub, any such Evaluation Material. </w:t>
      </w:r>
    </w:p>
    <w:p>
      <w:pPr>
        <w:pStyle w:val="TextBody"/>
        <w:bidi w:val="0"/>
        <w:spacing w:before="240" w:after="0"/>
        <w:jc w:val="left"/>
        <w:rPr>
          <w:rFonts w:ascii="Times New Roman" w:hAnsi="Times New Roman"/>
          <w:sz w:val="20"/>
        </w:rPr>
      </w:pPr>
      <w:bookmarkStart w:id="57" w:name="ex2_2rom152392_45"/>
      <w:bookmarkEnd w:id="57"/>
      <w:r>
        <w:rPr>
          <w:rFonts w:ascii="Times New Roman" w:hAnsi="Times New Roman"/>
          <w:sz w:val="20"/>
        </w:rPr>
        <w:t>3.25 </w:t>
      </w:r>
      <w:r>
        <w:rPr>
          <w:rFonts w:ascii="Times New Roman" w:hAnsi="Times New Roman"/>
          <w:sz w:val="20"/>
          <w:u w:val="single"/>
        </w:rPr>
        <w:t>No Other Representations or Warranties; No 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acknowledges, on behalf of itself and its Affiliates, that neither Acquiror nor any other Person has made any representation or warranty, express or implied, as to the accuracy or completeness of any information regarding Acquiror, the Surviving Corporation, or other matters that is not specifically included in this Agreement. Without limiting the generality of the foregoing, neither Acquiror nor any other Person has made a representation or warranty to the Company with respect to, and neither Acquiror nor any other Person shall be subject to any liability to the Company or any other Person resulting from Acquiror making available to the Company or any of its Affiliates, agents or representatives, (i) any projections, estimates or budgets for Acquiror or the Surviving Corporation, (ii) any statements, materials, documents or information relating to Acquiror, the Surviving Corporation or the Products, including with respect to the future operation of the business of the Surviving Corporation after the Closing or the likelihood of achievement of, or the efforts that Acquiror or any of its Affiliates intend to dedicate toward the achievement of, any milestone or target under </w:t>
      </w:r>
      <w:r>
        <w:rPr>
          <w:rFonts w:ascii="Times New Roman" w:hAnsi="Times New Roman"/>
          <w:sz w:val="20"/>
          <w:u w:val="single"/>
        </w:rPr>
        <w:t>Section 2.9</w:t>
      </w:r>
      <w:r>
        <w:rPr>
          <w:rFonts w:ascii="Times New Roman" w:hAnsi="Times New Roman"/>
          <w:sz w:val="20"/>
        </w:rPr>
        <w:t xml:space="preserve">, (iii) any materials, documents or information relating to Acquiror made available to the Company or its counsel, accountants or advisors, or (iv) the information contained in any management presentation of Acquiror, in each case, except as expressly covered by a representation or warranty set forth in </w:t>
      </w:r>
      <w:r>
        <w:rPr>
          <w:rFonts w:ascii="Times New Roman" w:hAnsi="Times New Roman"/>
          <w:sz w:val="20"/>
          <w:u w:val="single"/>
        </w:rPr>
        <w:t>Article IV</w:t>
      </w:r>
      <w:r>
        <w:rPr>
          <w:rFonts w:ascii="Times New Roman" w:hAnsi="Times New Roman"/>
          <w:sz w:val="20"/>
        </w:rPr>
        <w:t xml:space="preserve"> of this Agreement. In connection with the negotiation of this Agreement and the transactions contemplated hereby, Acquiror has delivered, or made available to the Company and its Affiliates, agents and representatives, certain projections and other forecasts, including but not limited to, projected financial statements, business plans, commercialization timelines, cash flow items and other data relating to the business of Acquiror and the Surviving Corporation. The Company acknowledges that there are uncertainties inherent in attempting to make such projections and other forecasts and plans and accordingly is not relying on them,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is familiar with such uncertainties, that the Company is taking full responsibility for making its own evaluation of the adequacy and accuracy of all projections and other forecasts and plans so furnished to it, and that the Company and its Affiliates, agents and representatives are not relying on any such projections and other forecasts and plans in connection with the transactions contemplated by this Agreement. Accordingly, the Company acknowledges that neither Acquiror nor any of its representatives, agents or Affiliates have made any representation or warranty with respect to such projections and other forecasts and plans.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Agreement, it is the explicit intent of the parties hereto that Acquiror is not making any representation or warranty whatsoever, express or implied, beyond those expressly given in </w:t>
      </w:r>
      <w:r>
        <w:rPr>
          <w:rFonts w:ascii="Times New Roman" w:hAnsi="Times New Roman"/>
          <w:sz w:val="20"/>
          <w:u w:val="single"/>
        </w:rPr>
        <w:t>Article IV</w:t>
      </w:r>
      <w:r>
        <w:rPr>
          <w:rFonts w:ascii="Times New Roman" w:hAnsi="Times New Roman"/>
          <w:sz w:val="20"/>
        </w:rPr>
        <w:t xml:space="preserve"> of this Agreement, except as expressly provided in </w:t>
      </w:r>
      <w:r>
        <w:rPr>
          <w:rFonts w:ascii="Times New Roman" w:hAnsi="Times New Roman"/>
          <w:sz w:val="20"/>
          <w:u w:val="single"/>
        </w:rPr>
        <w:t>Article IV</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(c) In furtherance of the foregoing, the Company acknowledges that it is not relying on any representation or warranty of Acquiror, other than those representations and warranties specifically set forth in </w:t>
      </w:r>
      <w:r>
        <w:rPr>
          <w:rFonts w:ascii="Times New Roman" w:hAnsi="Times New Roman"/>
          <w:sz w:val="20"/>
          <w:u w:val="single"/>
        </w:rPr>
        <w:t>Article IV</w:t>
      </w:r>
      <w:r>
        <w:rPr>
          <w:rFonts w:ascii="Times New Roman" w:hAnsi="Times New Roman"/>
          <w:sz w:val="20"/>
        </w:rPr>
        <w:t xml:space="preserve"> of this Agreement. The Company acknowledges and agrees that it has such knowledge and experience in financial and business matters and investments in general that make it capable of evaluating the merits and risks of this Agreement and the transactions contemplated by this Agreement and that it has conducted to its satisfaction an independent investigation of the merits and risks of the transactions contemplated hereby and, in making the determination to proceed with the transactions contemplated hereby, has relied solely on the results of its own independent investigation and the representations and warranties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3.25</w:t>
      </w:r>
      <w:r>
        <w:rPr>
          <w:rFonts w:ascii="Times New Roman" w:hAnsi="Times New Roman"/>
          <w:sz w:val="20"/>
        </w:rPr>
        <w:t xml:space="preserve"> or elsewhere in this Agreement, nothing in </w:t>
      </w:r>
      <w:r>
        <w:rPr>
          <w:rFonts w:ascii="Times New Roman" w:hAnsi="Times New Roman"/>
          <w:sz w:val="20"/>
          <w:u w:val="single"/>
        </w:rPr>
        <w:t>Section 3.25</w:t>
      </w:r>
      <w:r>
        <w:rPr>
          <w:rFonts w:ascii="Times New Roman" w:hAnsi="Times New Roman"/>
          <w:sz w:val="20"/>
        </w:rPr>
        <w:t xml:space="preserve"> shall limit any claim by Acquiror or Merger Sub for Fraud.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REPRESENTATIONS AND WARRANTIES OF ACQUIROR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Acquiror represents and warrants to the Company as follows as of the date hereof: </w:t>
      </w:r>
    </w:p>
    <w:p>
      <w:pPr>
        <w:pStyle w:val="TextBody"/>
        <w:bidi w:val="0"/>
        <w:spacing w:before="240" w:after="0"/>
        <w:jc w:val="left"/>
        <w:rPr>
          <w:rFonts w:ascii="Times New Roman" w:hAnsi="Times New Roman"/>
          <w:sz w:val="20"/>
        </w:rPr>
      </w:pPr>
      <w:bookmarkStart w:id="58" w:name="ex2_2rom152392_47"/>
      <w:bookmarkEnd w:id="58"/>
      <w:r>
        <w:rPr>
          <w:rFonts w:ascii="Times New Roman" w:hAnsi="Times New Roman"/>
          <w:sz w:val="20"/>
        </w:rPr>
        <w:t>4.1 </w:t>
      </w:r>
      <w:r>
        <w:rPr>
          <w:rFonts w:ascii="Times New Roman" w:hAnsi="Times New Roman"/>
          <w:sz w:val="20"/>
          <w:u w:val="single"/>
        </w:rPr>
        <w:t>Organization and Standing</w:t>
      </w:r>
      <w:r>
        <w:rPr>
          <w:rFonts w:ascii="Times New Roman" w:hAnsi="Times New Roman"/>
          <w:sz w:val="20"/>
        </w:rPr>
        <w:t xml:space="preserve">. Each of Acquiror and Merger Sub is a corporation duly organized, validly existing and in good standing under the laws of its jurisdiction of organization. Neither Acquiror nor Merger Sub is in violation of any of the provisions of their respective certificates or certificate of incorporation, as the case may be, or bylaws, each as amended to date. </w:t>
      </w:r>
    </w:p>
    <w:p>
      <w:pPr>
        <w:pStyle w:val="TextBody"/>
        <w:bidi w:val="0"/>
        <w:spacing w:before="240" w:after="0"/>
        <w:jc w:val="left"/>
        <w:rPr>
          <w:rFonts w:ascii="Times New Roman" w:hAnsi="Times New Roman"/>
          <w:sz w:val="20"/>
        </w:rPr>
      </w:pPr>
      <w:bookmarkStart w:id="59" w:name="ex2_2rom152392_48"/>
      <w:bookmarkEnd w:id="59"/>
      <w:r>
        <w:rPr>
          <w:rFonts w:ascii="Times New Roman" w:hAnsi="Times New Roman"/>
          <w:sz w:val="20"/>
        </w:rPr>
        <w:t>4.2 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Acquiror and Merger Sub has all requisite corporate power and authority to enter into this Agreement and to consummate the transactions contemplated hereby. The execution, delivery and performance by Acquiror and Merger Sub of this Agreement and the consummation by Acquiror and Merger Sub of the transactions contemplated hereby have been duly and validly authorized by the boards of directors of Acquiror and Merger Sub and, effective immediately after the execution of this Agreement by Merger Sub, the sole shareholder of Merger Sub has adopted this Agreement and approved the Merger and the transactions contemplated hereby. This Agreement has been duly and validly executed and delivered by each of Acquiror and Merger Sub and constitutes a valid and binding obligation of Acquiror and Merger Sub enforceable against Acquiror and Merger Sub, respectively, in accordance with its terms, subject only to the effect, if any, of (i) applicable bankruptcy, insolvency, moratorium and other similar Legal Requirements affecting the rights of creditors generally and (ii) Legal Requirements governing specific performance, injunctive relief and other equitable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of this Agreement by Acquiror and Merger Sub do not, and neither the consummation of the transactions contemplated hereby nor compliance by Acquiror or Merger Sub with any provisions of this Agreement will, conflict with, or result in any violation of, or default under (with or without notice or lapse of time, or both), or give rise to a right of termination, cancellation or acceleration of any obligation or loss of a benefit under (i) any provision of their respective certificates or certificate of incorporation, as the case may be, or bylaws, as amended to date, or (ii) any Legal Requirement, except where such conflict, violation, default, termination, cancellation or acceleration, individually or in the aggregate, would not be material to Acquiror’s or Merger Sub’s ability to consummate the Merger or to perform their respective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consent, approval, Order or authorization of, or registration, declaration or filing with, any Governmental Entity, is required by or with respect to Acquiror or Merger Sub in connection with the execution and delivery of this Agreement or the consummation of the transactions contemplated hereby, except for (i) the filing of the Certificate of Merger, as provided in </w:t>
      </w:r>
      <w:r>
        <w:rPr>
          <w:rFonts w:ascii="Times New Roman" w:hAnsi="Times New Roman"/>
          <w:sz w:val="20"/>
          <w:u w:val="single"/>
        </w:rPr>
        <w:t>Section 1.2</w:t>
      </w:r>
      <w:r>
        <w:rPr>
          <w:rFonts w:ascii="Times New Roman" w:hAnsi="Times New Roman"/>
          <w:sz w:val="20"/>
        </w:rPr>
        <w:t xml:space="preserve">, (ii) such filings as may be required under applicable state securities laws and the securities laws of any foreign country, (iii) such filings and notifications as may be required to be made in connection with the Merger under the HSR Act or applicable foreign Antitrust Laws and the expiration or early termination of applicable waiting periods under the HSR Act or applicable foreign Antitrust Laws, the receipt of authorizations, consents, approvals, or other clearances required under such foreign Antitrust Laws and (iv) such other consents, authorizations, filings, approvals, notices and registrations which, if not obtained or made, would not be material to Acquiror’s or Merger Sub’s ability to consummate the Merger or to perform their respective obligations under this Agreement. </w:t>
      </w:r>
    </w:p>
    <w:p>
      <w:pPr>
        <w:pStyle w:val="TextBody"/>
        <w:bidi w:val="0"/>
        <w:spacing w:before="240" w:after="0"/>
        <w:jc w:val="left"/>
        <w:rPr>
          <w:rFonts w:ascii="Times New Roman" w:hAnsi="Times New Roman"/>
          <w:sz w:val="20"/>
        </w:rPr>
      </w:pPr>
      <w:bookmarkStart w:id="60" w:name="ex2_2rom152392_49"/>
      <w:bookmarkEnd w:id="60"/>
      <w:r>
        <w:rPr>
          <w:rFonts w:ascii="Times New Roman" w:hAnsi="Times New Roman"/>
          <w:sz w:val="20"/>
        </w:rPr>
        <w:t>4.3 </w:t>
      </w:r>
      <w:r>
        <w:rPr>
          <w:rFonts w:ascii="Times New Roman" w:hAnsi="Times New Roman"/>
          <w:sz w:val="20"/>
          <w:u w:val="single"/>
        </w:rPr>
        <w:t>No Prior Merger Sub Operations</w:t>
      </w:r>
      <w:r>
        <w:rPr>
          <w:rFonts w:ascii="Times New Roman" w:hAnsi="Times New Roman"/>
          <w:sz w:val="20"/>
        </w:rPr>
        <w:t xml:space="preserve">. Merger Sub was formed solely for the purpose of effecting the Merger and has not engaged in any business activities or conducted any operations other than in connection with the transactions contemplated hereby. </w:t>
      </w:r>
    </w:p>
    <w:p>
      <w:pPr>
        <w:pStyle w:val="TextBody"/>
        <w:bidi w:val="0"/>
        <w:spacing w:before="240" w:after="0"/>
        <w:jc w:val="left"/>
        <w:rPr>
          <w:rFonts w:ascii="Times New Roman" w:hAnsi="Times New Roman"/>
          <w:sz w:val="20"/>
        </w:rPr>
      </w:pPr>
      <w:bookmarkStart w:id="61" w:name="ex2_2rom152392_50"/>
      <w:bookmarkEnd w:id="61"/>
      <w:r>
        <w:rPr>
          <w:rFonts w:ascii="Times New Roman" w:hAnsi="Times New Roman"/>
          <w:sz w:val="20"/>
        </w:rPr>
        <w:t>4.4 </w:t>
      </w:r>
      <w:r>
        <w:rPr>
          <w:rFonts w:ascii="Times New Roman" w:hAnsi="Times New Roman"/>
          <w:sz w:val="20"/>
          <w:u w:val="single"/>
        </w:rPr>
        <w:t>Litigation</w:t>
      </w:r>
      <w:r>
        <w:rPr>
          <w:rFonts w:ascii="Times New Roman" w:hAnsi="Times New Roman"/>
          <w:sz w:val="20"/>
        </w:rPr>
        <w:t xml:space="preserve">. There is no Proceeding pending before any Governmental Entity, or, to the knowledge of the Acquiror, threatened in writing against the Acquiror or any of its assets or properties or any of its directors, officers or employees (in their capacities as such or relating to their employment, services or relationship with the Acquiror) that challenge or seek to enjoin, alter or materially delay the transactions contemplated by this Agreement or that would, individually or in the aggregate, reasonably be expected to have a material adverse effect on the Acquiror’s ability to perform its obligations under this Agreement. There is no material Order against the Acquiror, any of its material assets or properties or any of its directors, officers or employees (in their capacities as such or relating to their employment, services or relationship with the Company) that enjoins, alters or materially delays the transactions contemplated by this Agreement or that would reasonably be expected to have a material adverse effect on the Acquiror’s ability to perform its obligations under this Agreement. </w:t>
      </w:r>
    </w:p>
    <w:p>
      <w:pPr>
        <w:pStyle w:val="TextBody"/>
        <w:bidi w:val="0"/>
        <w:spacing w:before="240" w:after="0"/>
        <w:jc w:val="left"/>
        <w:rPr>
          <w:rFonts w:ascii="Times New Roman" w:hAnsi="Times New Roman"/>
          <w:sz w:val="20"/>
        </w:rPr>
      </w:pPr>
      <w:bookmarkStart w:id="62" w:name="ex2_2rom152392_51"/>
      <w:bookmarkEnd w:id="62"/>
      <w:r>
        <w:rPr>
          <w:rFonts w:ascii="Times New Roman" w:hAnsi="Times New Roman"/>
          <w:sz w:val="20"/>
        </w:rPr>
        <w:t>4.5 </w:t>
      </w:r>
      <w:r>
        <w:rPr>
          <w:rFonts w:ascii="Times New Roman" w:hAnsi="Times New Roman"/>
          <w:sz w:val="20"/>
          <w:u w:val="single"/>
        </w:rPr>
        <w:t>Sufficient Funds</w:t>
      </w:r>
      <w:r>
        <w:rPr>
          <w:rFonts w:ascii="Times New Roman" w:hAnsi="Times New Roman"/>
          <w:sz w:val="20"/>
        </w:rPr>
        <w:t xml:space="preserve">. Acquiror has as of the date of this Agreement, and shall have on the Closing Date, sufficient funds to enable Acquiror to consummate the transactions contemplated hereby, including payment of the Merger Consideration and fees and expenses of Acquiror relating to the transactions contemplated hereby and to provide for the working capital needs of the Surviving Corporation. Acquiror’s obligations under this Agreement are not subject to any conditions regarding Acquiror’s, its Affiliates’, or any other Person’s ability to obtain financing for the consummation of the transactions contemplated hereby. </w:t>
      </w:r>
    </w:p>
    <w:p>
      <w:pPr>
        <w:pStyle w:val="TextBody"/>
        <w:bidi w:val="0"/>
        <w:spacing w:before="240" w:after="0"/>
        <w:jc w:val="left"/>
        <w:rPr>
          <w:rFonts w:ascii="Times New Roman" w:hAnsi="Times New Roman"/>
          <w:sz w:val="20"/>
        </w:rPr>
      </w:pPr>
      <w:bookmarkStart w:id="63" w:name="ex2_2rom152392_52"/>
      <w:bookmarkEnd w:id="63"/>
      <w:r>
        <w:rPr>
          <w:rFonts w:ascii="Times New Roman" w:hAnsi="Times New Roman"/>
          <w:sz w:val="20"/>
        </w:rPr>
        <w:t>4.6 </w:t>
      </w:r>
      <w:r>
        <w:rPr>
          <w:rFonts w:ascii="Times New Roman" w:hAnsi="Times New Roman"/>
          <w:sz w:val="20"/>
          <w:u w:val="single"/>
        </w:rPr>
        <w:t>Transaction Fees</w:t>
      </w:r>
      <w:r>
        <w:rPr>
          <w:rFonts w:ascii="Times New Roman" w:hAnsi="Times New Roman"/>
          <w:sz w:val="20"/>
        </w:rPr>
        <w:t xml:space="preserve">. Neither Acquiror nor any Affiliate of Acquiror is obligated for the payment of any fees or expenses of any investment banker, broker or finder in connection with the origin, negotiation or execution of this Agreement or in connection with the Merger or any other transaction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64" w:name="ex2_2rom152392_53"/>
      <w:bookmarkEnd w:id="64"/>
      <w:r>
        <w:rPr>
          <w:rFonts w:ascii="Times New Roman" w:hAnsi="Times New Roman"/>
          <w:sz w:val="20"/>
        </w:rPr>
        <w:t>4.7 </w:t>
      </w:r>
      <w:r>
        <w:rPr>
          <w:rFonts w:ascii="Times New Roman" w:hAnsi="Times New Roman"/>
          <w:sz w:val="20"/>
          <w:u w:val="single"/>
        </w:rPr>
        <w:t>Solvency</w:t>
      </w:r>
      <w:r>
        <w:rPr>
          <w:rFonts w:ascii="Times New Roman" w:hAnsi="Times New Roman"/>
          <w:sz w:val="20"/>
        </w:rPr>
        <w:t xml:space="preserve">. No transfer of property is being made and no obligation is being incurred in connection with the transactions contemplated by this Agreement with the intent to hinder, delay or defraud either present or future creditors of Acquiror, the Merger Sub, the Company or any of their respective Subsidiaries. </w:t>
      </w:r>
    </w:p>
    <w:p>
      <w:pPr>
        <w:pStyle w:val="TextBody"/>
        <w:bidi w:val="0"/>
        <w:spacing w:before="240" w:after="0"/>
        <w:jc w:val="left"/>
        <w:rPr>
          <w:rFonts w:ascii="Times New Roman" w:hAnsi="Times New Roman"/>
          <w:sz w:val="20"/>
        </w:rPr>
      </w:pPr>
      <w:bookmarkStart w:id="65" w:name="ex2_2rom152392_54"/>
      <w:bookmarkEnd w:id="65"/>
      <w:r>
        <w:rPr>
          <w:rFonts w:ascii="Times New Roman" w:hAnsi="Times New Roman"/>
          <w:sz w:val="20"/>
        </w:rPr>
        <w:t>4.8 </w:t>
      </w:r>
      <w:r>
        <w:rPr>
          <w:rFonts w:ascii="Times New Roman" w:hAnsi="Times New Roman"/>
          <w:sz w:val="20"/>
          <w:u w:val="single"/>
        </w:rPr>
        <w:t>Valid Issuance of Stock Consideration</w:t>
      </w:r>
      <w:r>
        <w:rPr>
          <w:rFonts w:ascii="Times New Roman" w:hAnsi="Times New Roman"/>
          <w:sz w:val="20"/>
        </w:rPr>
        <w:t xml:space="preserve">. The shares of Acquiror Common Stock to be issued pursuant to this Agreement, when issued in accordance with the terms and conditions of this Agreement, will be duly authorized, validly issued, fully paid and non-assessable and free and clear of all Encumbrances (other than restrictions under applicable securities laws and the organizational documents of Acquiror). Acquiror has authorized and reserved a sufficient number of shares of Acquiror Common Stock for issuance pursuant to this Agreement. </w:t>
      </w:r>
    </w:p>
    <w:p>
      <w:pPr>
        <w:pStyle w:val="TextBody"/>
        <w:bidi w:val="0"/>
        <w:spacing w:before="240" w:after="0"/>
        <w:jc w:val="left"/>
        <w:rPr>
          <w:rFonts w:ascii="Times New Roman" w:hAnsi="Times New Roman"/>
          <w:sz w:val="20"/>
        </w:rPr>
      </w:pPr>
      <w:bookmarkStart w:id="66" w:name="ex2_2rom152392_55"/>
      <w:bookmarkEnd w:id="66"/>
      <w:r>
        <w:rPr>
          <w:rFonts w:ascii="Times New Roman" w:hAnsi="Times New Roman"/>
          <w:sz w:val="20"/>
        </w:rPr>
        <w:t>4.9 </w:t>
      </w:r>
      <w:r>
        <w:rPr>
          <w:rFonts w:ascii="Times New Roman" w:hAnsi="Times New Roman"/>
          <w:sz w:val="20"/>
          <w:u w:val="single"/>
        </w:rPr>
        <w:t>No Additional Representations; No 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(a) Acquiror acknowledges that neither the Company nor any other Person has made any representation or warranty, express or implied, as to the accuracy or completeness of any information regarding the Company or other matters that is not specifically included in this Agreement or the Company Disclosure Schedule. Without limiting the generality of the foregoing, neither the Company nor any other Person has made a representation or warranty to Acquiror with respect to, and neither the Company nor any other Person, shall be subject to any liability to Acquiror or any other Person resulting from the Company making available to Acquiror, (i) any projections, estimates or budgets for the Company, (ii) any materials, documents or information relating to the Company made available to Acquiror or its counsel, accountants or advisors in the Company’s data room or otherwise, or (iii) the information contained any confidential information memorandum or management presentation of the Company, in each case, except as expressly covered by a representation or warranty set forth in </w:t>
      </w:r>
      <w:r>
        <w:rPr>
          <w:rFonts w:ascii="Times New Roman" w:hAnsi="Times New Roman"/>
          <w:sz w:val="20"/>
          <w:u w:val="single"/>
        </w:rPr>
        <w:t>Article III</w:t>
      </w:r>
      <w:r>
        <w:rPr>
          <w:rFonts w:ascii="Times New Roman" w:hAnsi="Times New Roman"/>
          <w:sz w:val="20"/>
        </w:rPr>
        <w:t xml:space="preserve"> of this Agreement. In connection with Acquiror’s investigation of the Company, the Company has delivered, or made available to Acquiror and its respective Affiliates, agents and representatives, certain projections and other forecasts, including but not limited to, projected financial statements, cash flow items and other data of the Company relating to the business of the Company and certain business plan information of the Company. Acquiror acknowledges that there are uncertainties inherent in attempting to make such projections and other forecasts and plans and accordingly is not relying on them, that Acquiror is familiar with such uncertainties, that Acquiror is taking full responsibility for making its own evaluation of the adequacy and accuracy of all projections and other forecasts and plans so furnished to it, and that Acquiror and its Affiliates, agents and representatives are not relying on any such projections and other forecasts and plans in connection with the transactions contemplated by this Agreement. Accordingly, Acquiror acknowledges that, without limiting the generality of </w:t>
      </w:r>
      <w:r>
        <w:rPr>
          <w:rFonts w:ascii="Times New Roman" w:hAnsi="Times New Roman"/>
          <w:sz w:val="20"/>
          <w:u w:val="single"/>
        </w:rPr>
        <w:t>Section 3.22</w:t>
      </w:r>
      <w:r>
        <w:rPr>
          <w:rFonts w:ascii="Times New Roman" w:hAnsi="Times New Roman"/>
          <w:sz w:val="20"/>
        </w:rPr>
        <w:t xml:space="preserve">, neither the Company nor any of its representatives, agents or Affiliates, have made any representation or warranty with respect to such projections and other forecasts and plans.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in this Agreement, it is the explicit intent of the parties hereto that the Company is not making any representation or warranty whatsoever, express or implied, beyond those expressly given in </w:t>
      </w:r>
      <w:r>
        <w:rPr>
          <w:rFonts w:ascii="Times New Roman" w:hAnsi="Times New Roman"/>
          <w:sz w:val="20"/>
          <w:u w:val="single"/>
        </w:rPr>
        <w:t>Article III</w:t>
      </w:r>
      <w:r>
        <w:rPr>
          <w:rFonts w:ascii="Times New Roman" w:hAnsi="Times New Roman"/>
          <w:sz w:val="20"/>
        </w:rPr>
        <w:t xml:space="preserve"> of this Agreement, except as expressly provided in </w:t>
      </w:r>
      <w:r>
        <w:rPr>
          <w:rFonts w:ascii="Times New Roman" w:hAnsi="Times New Roman"/>
          <w:sz w:val="20"/>
          <w:u w:val="single"/>
        </w:rPr>
        <w:t>Article III</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(c) In furtherance of the foregoing, Acquiror acknowledges that it is not relying on any representation or warranty of the Company, other than those representations and warranties specifically set forth in </w:t>
      </w:r>
      <w:r>
        <w:rPr>
          <w:rFonts w:ascii="Times New Roman" w:hAnsi="Times New Roman"/>
          <w:sz w:val="20"/>
          <w:u w:val="single"/>
        </w:rPr>
        <w:t>Article III</w:t>
      </w:r>
      <w:r>
        <w:rPr>
          <w:rFonts w:ascii="Times New Roman" w:hAnsi="Times New Roman"/>
          <w:sz w:val="20"/>
        </w:rPr>
        <w:t xml:space="preserve"> of this Agreement. Acquiror acknowledges and agrees that it has such knowledge and experience in financial and business matters and investments in general that make it capable of evaluating the merits and risks of this Agreement and the transactions contemplated by this Agreement and that it has conducted to its satisfaction an independent investigation of the financial condition, liabilities, results of operations and projected operations of the Company and the nature and condition of its properties, assets and businesses and, in making the determination to proceed with the transactions contemplated hereby, has relied solely on the results of its own independent investigation and the representations and warranties set forth in </w:t>
      </w:r>
      <w:r>
        <w:rPr>
          <w:rFonts w:ascii="Times New Roman" w:hAnsi="Times New Roman"/>
          <w:sz w:val="20"/>
          <w:u w:val="single"/>
        </w:rPr>
        <w:t>Article 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4.9</w:t>
      </w:r>
      <w:r>
        <w:rPr>
          <w:rFonts w:ascii="Times New Roman" w:hAnsi="Times New Roman"/>
          <w:sz w:val="20"/>
        </w:rPr>
        <w:t xml:space="preserve"> or elsewhere in this Agreement, nothing in this </w:t>
      </w:r>
      <w:r>
        <w:rPr>
          <w:rFonts w:ascii="Times New Roman" w:hAnsi="Times New Roman"/>
          <w:sz w:val="20"/>
          <w:u w:val="single"/>
        </w:rPr>
        <w:t>Section 4.9</w:t>
      </w:r>
      <w:r>
        <w:rPr>
          <w:rFonts w:ascii="Times New Roman" w:hAnsi="Times New Roman"/>
          <w:sz w:val="20"/>
        </w:rPr>
        <w:t xml:space="preserve"> shall limit any claim by Acquiror or any other Person for Fraud, including any Fraud committed by, or with the actual knowledge of, such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CONDUCT PRIOR TO THE EFFECTIVE TIME </w:t>
      </w:r>
    </w:p>
    <w:p>
      <w:pPr>
        <w:pStyle w:val="TextBody"/>
        <w:bidi w:val="0"/>
        <w:spacing w:before="240" w:after="0"/>
        <w:jc w:val="left"/>
        <w:rPr>
          <w:rFonts w:ascii="Times New Roman" w:hAnsi="Times New Roman"/>
          <w:sz w:val="20"/>
        </w:rPr>
      </w:pPr>
      <w:bookmarkStart w:id="67" w:name="ex2_2rom152392_57"/>
      <w:bookmarkEnd w:id="67"/>
      <w:r>
        <w:rPr>
          <w:rFonts w:ascii="Times New Roman" w:hAnsi="Times New Roman"/>
          <w:sz w:val="20"/>
        </w:rPr>
        <w:t>5.1 </w:t>
      </w:r>
      <w:r>
        <w:rPr>
          <w:rFonts w:ascii="Times New Roman" w:hAnsi="Times New Roman"/>
          <w:sz w:val="20"/>
          <w:u w:val="single"/>
        </w:rPr>
        <w:t>Conduct of Business of the Company</w:t>
      </w:r>
      <w:r>
        <w:rPr>
          <w:rFonts w:ascii="Times New Roman" w:hAnsi="Times New Roman"/>
          <w:sz w:val="20"/>
        </w:rPr>
        <w:t xml:space="preserve">. During the period from the Agreement Date and continuing until the earlier of the termination of this Agreement and the Effective Time, except as Acquiror shall otherwise consent in advance in writing (such consent not to be unreasonably withheld, conditioned or delayed), the Company shall use commercially reasonable efforts to: </w:t>
      </w:r>
    </w:p>
    <w:p>
      <w:pPr>
        <w:pStyle w:val="TextBody"/>
        <w:bidi w:val="0"/>
        <w:spacing w:before="240" w:after="0"/>
        <w:jc w:val="left"/>
        <w:rPr>
          <w:rFonts w:ascii="Times New Roman" w:hAnsi="Times New Roman"/>
          <w:sz w:val="20"/>
        </w:rPr>
      </w:pPr>
      <w:r>
        <w:rPr>
          <w:rFonts w:ascii="Times New Roman" w:hAnsi="Times New Roman"/>
          <w:sz w:val="20"/>
        </w:rPr>
        <w:t xml:space="preserve">(a) conduct its business in all material respects in the ordinary course consistent with past practices and to preserve substantially intact its business and all of its material assets and properties (real and personal); and </w:t>
      </w:r>
    </w:p>
    <w:p>
      <w:pPr>
        <w:pStyle w:val="TextBody"/>
        <w:bidi w:val="0"/>
        <w:spacing w:before="240" w:after="0"/>
        <w:jc w:val="left"/>
        <w:rPr>
          <w:rFonts w:ascii="Times New Roman" w:hAnsi="Times New Roman"/>
          <w:sz w:val="20"/>
        </w:rPr>
      </w:pPr>
      <w:r>
        <w:rPr>
          <w:rFonts w:ascii="Times New Roman" w:hAnsi="Times New Roman"/>
          <w:sz w:val="20"/>
        </w:rPr>
        <w:t xml:space="preserve">(b) preserve its relationships with customers and others having business dealings with it; </w:t>
      </w:r>
    </w:p>
    <w:p>
      <w:pPr>
        <w:pStyle w:val="TextBody"/>
        <w:bidi w:val="0"/>
        <w:spacing w:before="240" w:after="0"/>
        <w:jc w:val="left"/>
        <w:rPr>
          <w:rFonts w:ascii="Times New Roman" w:hAnsi="Times New Roman"/>
          <w:sz w:val="20"/>
        </w:rPr>
      </w:pPr>
      <w:r>
        <w:rPr>
          <w:rFonts w:ascii="Times New Roman" w:hAnsi="Times New Roman"/>
          <w:sz w:val="20"/>
        </w:rPr>
        <w:t xml:space="preserve">(c) comply in all material respects with all Legal Requirements and applicable regulatory requirements (including all Legal Requirements and FDA Regulatory Laws relating to the Products); </w:t>
      </w:r>
    </w:p>
    <w:p>
      <w:pPr>
        <w:pStyle w:val="TextBody"/>
        <w:bidi w:val="0"/>
        <w:spacing w:before="240" w:after="0"/>
        <w:jc w:val="left"/>
        <w:rPr>
          <w:rFonts w:ascii="Times New Roman" w:hAnsi="Times New Roman"/>
          <w:sz w:val="20"/>
        </w:rPr>
      </w:pPr>
      <w:r>
        <w:rPr>
          <w:rFonts w:ascii="Times New Roman" w:hAnsi="Times New Roman"/>
          <w:sz w:val="20"/>
        </w:rPr>
        <w:t xml:space="preserve">(d) maintain its books and records in accordance with GAAP, consistently applied, and maintain its existing internal financial controls in all material respects; and </w:t>
      </w:r>
    </w:p>
    <w:p>
      <w:pPr>
        <w:pStyle w:val="TextBody"/>
        <w:bidi w:val="0"/>
        <w:spacing w:before="240" w:after="0"/>
        <w:jc w:val="left"/>
        <w:rPr>
          <w:rFonts w:ascii="Times New Roman" w:hAnsi="Times New Roman"/>
          <w:sz w:val="20"/>
        </w:rPr>
      </w:pPr>
      <w:r>
        <w:rPr>
          <w:rFonts w:ascii="Times New Roman" w:hAnsi="Times New Roman"/>
          <w:sz w:val="20"/>
        </w:rPr>
        <w:t xml:space="preserve">(e) maintain in full force and effect the insurance policies set forth on </w:t>
      </w:r>
      <w:r>
        <w:rPr>
          <w:rFonts w:ascii="Times New Roman" w:hAnsi="Times New Roman"/>
          <w:sz w:val="20"/>
          <w:u w:val="single"/>
        </w:rPr>
        <w:t>Section 3.16</w:t>
      </w:r>
      <w:r>
        <w:rPr>
          <w:rFonts w:ascii="Times New Roman" w:hAnsi="Times New Roman"/>
          <w:sz w:val="20"/>
        </w:rPr>
        <w:t xml:space="preserve"> of the Company Disclosure Schedule (or comparable replacement policies). </w:t>
      </w:r>
    </w:p>
    <w:p>
      <w:pPr>
        <w:pStyle w:val="TextBody"/>
        <w:bidi w:val="0"/>
        <w:spacing w:before="240" w:after="0"/>
        <w:jc w:val="left"/>
        <w:rPr>
          <w:rFonts w:ascii="Times New Roman" w:hAnsi="Times New Roman"/>
          <w:sz w:val="20"/>
        </w:rPr>
      </w:pPr>
      <w:bookmarkStart w:id="68" w:name="ex2_2rom152392_58"/>
      <w:bookmarkEnd w:id="68"/>
      <w:r>
        <w:rPr>
          <w:rFonts w:ascii="Times New Roman" w:hAnsi="Times New Roman"/>
          <w:sz w:val="20"/>
        </w:rPr>
        <w:t>5.2 </w:t>
      </w:r>
      <w:r>
        <w:rPr>
          <w:rFonts w:ascii="Times New Roman" w:hAnsi="Times New Roman"/>
          <w:sz w:val="20"/>
          <w:u w:val="single"/>
        </w:rPr>
        <w:t>Restrictions on Conduct of Business of the Company</w:t>
      </w:r>
      <w:r>
        <w:rPr>
          <w:rFonts w:ascii="Times New Roman" w:hAnsi="Times New Roman"/>
          <w:sz w:val="20"/>
        </w:rPr>
        <w:t xml:space="preserve">. During the period from the Agreement Date and continuing until the earlier of the termination of this Agreement and the Effective Time, the Company shall not do any of the following (except to the extent (i) expressly provided in this Agreement, (ii) required by applicable Legal Requirement or Order, or (iii) as consented to in writing by Acquiror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Charter Documents</w:t>
      </w:r>
      <w:r>
        <w:rPr>
          <w:rFonts w:ascii="Times New Roman" w:hAnsi="Times New Roman"/>
          <w:sz w:val="20"/>
        </w:rPr>
        <w:t xml:space="preserve">. Cause or permit any amendments to the Company Certificate of Incorporation or the bylaws of the Company;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Dividends; Changes in Capital Stock</w:t>
      </w:r>
      <w:r>
        <w:rPr>
          <w:rFonts w:ascii="Times New Roman" w:hAnsi="Times New Roman"/>
          <w:sz w:val="20"/>
        </w:rPr>
        <w:t xml:space="preserve">. Declare, set aside, or pay any dividend on or make any other distribution (whether in cash, stock or property) in respect of any of the Company Capital Stock (or other equity interests), or split, sub-divide, combine or reclassify any of the Company Capital Stock (or other equity interests) or issue or authorize the issuance of any other securities in respect of, in lieu of or in substitution for shares of Company Capital Stock (or other equity interests), or repurchase, redeem or otherwise acquire, directly or indirectly, any shares of Company Capital Stock (or other equity interests) except Company Capital Stock from former employees, non-employee directors and consultants in accordance with agreements providing for the repurchase of shares in connection with any termination of service as in effect on the Agreement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Issuance of Securities</w:t>
      </w:r>
      <w:r>
        <w:rPr>
          <w:rFonts w:ascii="Times New Roman" w:hAnsi="Times New Roman"/>
          <w:sz w:val="20"/>
        </w:rPr>
        <w:t xml:space="preserve">. Issue, deliver or sell or authorize or propose the issuance, delivery or sale of, or purchase, acquire, redeem, encumber or grant options or rights to purchase or propose the purchase, acquisition, redemption, Encumbrance or grant of options or rights to purchase of any shares of Company Capital Stock (or other equity interests) or securities convertible into, or subscriptions, rights, warrants or options to acquire, or other Contracts of any character obligating it to issue any such shares (or other interest) or other convertible securities, other than: (i) the issuance of shares of Company Capital Stock pursuant to the exercise in accordance with their terms of the Company Options or other rights outstanding as of the Agreement Date; and (ii) the repurchase of any shares of Company Capital Stock from former employees, non-employee directors and consultants in accordance with Contracts providing for the repurchase of shares in connection with any termination of service;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Dispositions</w:t>
      </w:r>
      <w:r>
        <w:rPr>
          <w:rFonts w:ascii="Times New Roman" w:hAnsi="Times New Roman"/>
          <w:sz w:val="20"/>
        </w:rPr>
        <w:t xml:space="preserve">. Sell, lease, license, abandon, permit to expire or lapse, transfer or otherwise dispose of or encumber (other than Permitted Encumbrances) any of its material properties or assets, other than sales in the ordinary course of business consistent with its past practice or enter into any Contract with respect to the foregoing;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Indebtedness</w:t>
      </w:r>
      <w:r>
        <w:rPr>
          <w:rFonts w:ascii="Times New Roman" w:hAnsi="Times New Roman"/>
          <w:sz w:val="20"/>
        </w:rPr>
        <w:t xml:space="preserve">. Except as required by Legal Requirements or contractual obligations, incur any Indebtedness or guarantee any Indebtedness or issue or sell any debt securities, in each case in excess of $500,000, except in the ordinary course of business and consistent with past practice;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Capital Expenditures</w:t>
      </w:r>
      <w:r>
        <w:rPr>
          <w:rFonts w:ascii="Times New Roman" w:hAnsi="Times New Roman"/>
          <w:sz w:val="20"/>
        </w:rPr>
        <w:t xml:space="preserve">. Make any capital expenditures, capital additions or capital improvements in excess of the amounts budgeted therefor by the Company for the fiscal year ending December 31, 2026;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Insurance</w:t>
      </w:r>
      <w:r>
        <w:rPr>
          <w:rFonts w:ascii="Times New Roman" w:hAnsi="Times New Roman"/>
          <w:sz w:val="20"/>
        </w:rPr>
        <w:t xml:space="preserve">. Materially change the amount of any insurance coverage naming the Company as a beneficiary or loss payee or allow any such insurance coverage to be canceled or terminated;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Employee Benefit Plans; Severance; Pay Increases; Hiring</w:t>
      </w:r>
      <w:r>
        <w:rPr>
          <w:rFonts w:ascii="Times New Roman" w:hAnsi="Times New Roman"/>
          <w:sz w:val="20"/>
        </w:rPr>
        <w:t xml:space="preserve">. Except to the extent required under ERISA, applicable Legal Requirements or as necessary to maintain the qualified status of a plan under the Code, (i) adopt, amend or terminate any Company Employee Plan or any employee severance or compensation benefit plan, including any stock issuance or stock option plan, or amend any compensation, benefit, entitlement, grant or award provided or made under any such plan (other than any plan implemented pursuant to 401(k) of the Code) or (ii) pay any bonus to any employee or non-employee director or consultant or increase the salaries, wage rates or fees of its employees or consultants (other than in the ordinary course of business or pursuant to plans, policies or Contracts in effect on the Agreement Date and set forth on </w:t>
      </w:r>
      <w:r>
        <w:rPr>
          <w:rFonts w:ascii="Times New Roman" w:hAnsi="Times New Roman"/>
          <w:sz w:val="20"/>
          <w:u w:val="single"/>
        </w:rPr>
        <w:t>Section 5.2(h)</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Lawsuits</w:t>
      </w:r>
      <w:r>
        <w:rPr>
          <w:rFonts w:ascii="Times New Roman" w:hAnsi="Times New Roman"/>
          <w:sz w:val="20"/>
        </w:rPr>
        <w:t xml:space="preserve">. Commence or settle a lawsuit or other Proceeding other than (i) for the routine collection of bills, (ii) in such cases where the Company in good faith determines that failure to commence suit would result in the material impairment of a valuable aspect of its business, or (iii) for a breach of this Agreement;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Acquisitions</w:t>
      </w:r>
      <w:r>
        <w:rPr>
          <w:rFonts w:ascii="Times New Roman" w:hAnsi="Times New Roman"/>
          <w:sz w:val="20"/>
        </w:rPr>
        <w:t xml:space="preserve">. Acquire or agree to acquire by merging or consolidating with, or by purchasing a substantial portion of the assets of, or by any other manner, any business or any corporation, partnership, association or other business organization or division thereof, or otherwise acquire or agree to acquire any assets which are material, individually or in the aggregate, to its business;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Accounting</w:t>
      </w:r>
      <w:r>
        <w:rPr>
          <w:rFonts w:ascii="Times New Roman" w:hAnsi="Times New Roman"/>
          <w:sz w:val="20"/>
        </w:rPr>
        <w:t xml:space="preserve">. Materially change accounting methods or practices or revalue any of its assets (including writing down the value of inventory or writing off notes or accounts receivable otherwise than in the ordinary course of business), except in each case as required by changes in GAAP, Legal Requirements or recommended by its independent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w:t>
      </w:r>
      <w:r>
        <w:rPr>
          <w:rFonts w:ascii="Times New Roman" w:hAnsi="Times New Roman"/>
          <w:sz w:val="20"/>
          <w:u w:val="single"/>
        </w:rPr>
        <w:t>Encumbrances</w:t>
      </w:r>
      <w:r>
        <w:rPr>
          <w:rFonts w:ascii="Times New Roman" w:hAnsi="Times New Roman"/>
          <w:sz w:val="20"/>
        </w:rPr>
        <w:t xml:space="preserve">. Except in the ordinary course consistent with past practice, place or allow the creation of any Encumbrance (other than a Permitted Encumbrance) on any material assets of the Company;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Liquidation; Reorganization</w:t>
      </w:r>
      <w:r>
        <w:rPr>
          <w:rFonts w:ascii="Times New Roman" w:hAnsi="Times New Roman"/>
          <w:sz w:val="20"/>
        </w:rPr>
        <w:t xml:space="preserve">. Adopt a plan of complete or partial liquidation, dissolution, merger, consolidation, restructuring, recapitalization or other reorganization of the Company (other than the Merger);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Intellectual Property</w:t>
      </w:r>
      <w:r>
        <w:rPr>
          <w:rFonts w:ascii="Times New Roman" w:hAnsi="Times New Roman"/>
          <w:sz w:val="20"/>
        </w:rPr>
        <w:t xml:space="preserve">. Other than in the ordinary course of business, (i) sell, license, transfer, abandon, dedicate to the public, or allow to lapse or expire any material Company Intellectual Property, except for non-exclusive licenses granted to customers of the Company in the ordinary course of business or (ii) disclose, license, release, deliver, or escrow any trade secrets or other confidential or proprietary information (including source code);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Material Contracts</w:t>
      </w:r>
      <w:r>
        <w:rPr>
          <w:rFonts w:ascii="Times New Roman" w:hAnsi="Times New Roman"/>
          <w:sz w:val="20"/>
        </w:rPr>
        <w:t xml:space="preserve">. Terminate, amend, waive or modify in any material manner any Material Contract, or enter into any Contract that would constitute a Material Contract if in effect on the Agreement Date, in each case without the prior written consent of Acquiror;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Tax</w:t>
      </w:r>
      <w:r>
        <w:rPr>
          <w:rFonts w:ascii="Times New Roman" w:hAnsi="Times New Roman"/>
          <w:sz w:val="20"/>
        </w:rPr>
        <w:t xml:space="preserve">. (i) Make, change or revoke any material Tax election; (ii) amend, refile or otherwise modify any previously filed Tax Return of the Company; (iii) settle, compromise, concede or otherwise resolve any Tax claim, audit, examination or assessment with respect to the Company; (iv) enter into any Tax sharing, Tax indemnity or Tax allocation agreement, other than an Ordinary Contract; (v) voluntarily initiate any voluntary disclosure process with any Tax Authority, or enter into any voluntary disclosure agreement with any Tax Authority with respect to Taxes; or (vi) change the Tax accounting period of the Company;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Other</w:t>
      </w:r>
      <w:r>
        <w:rPr>
          <w:rFonts w:ascii="Times New Roman" w:hAnsi="Times New Roman"/>
          <w:sz w:val="20"/>
        </w:rPr>
        <w:t xml:space="preserve">. Take or agree or otherwise to take, any of the actions described in clauses (a) through (p) in this </w:t>
      </w:r>
      <w:r>
        <w:rPr>
          <w:rFonts w:ascii="Times New Roman" w:hAnsi="Times New Roman"/>
          <w:sz w:val="20"/>
          <w:u w:val="single"/>
        </w:rPr>
        <w:t>Section 5.2</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ADDITIONAL AGREEMENTS </w:t>
      </w:r>
    </w:p>
    <w:p>
      <w:pPr>
        <w:pStyle w:val="TextBody"/>
        <w:bidi w:val="0"/>
        <w:spacing w:before="240" w:after="0"/>
        <w:jc w:val="left"/>
        <w:rPr>
          <w:rFonts w:ascii="Times New Roman" w:hAnsi="Times New Roman"/>
          <w:sz w:val="20"/>
        </w:rPr>
      </w:pPr>
      <w:bookmarkStart w:id="69" w:name="ex2_2rom152392_60"/>
      <w:bookmarkEnd w:id="69"/>
      <w:r>
        <w:rPr>
          <w:rFonts w:ascii="Times New Roman" w:hAnsi="Times New Roman"/>
          <w:sz w:val="20"/>
        </w:rPr>
        <w:t>6.1 </w:t>
      </w:r>
      <w:r>
        <w:rPr>
          <w:rFonts w:ascii="Times New Roman" w:hAnsi="Times New Roman"/>
          <w:sz w:val="20"/>
          <w:u w:val="single"/>
        </w:rPr>
        <w:t>Solicitation Statement</w:t>
      </w:r>
      <w:r>
        <w:rPr>
          <w:rFonts w:ascii="Times New Roman" w:hAnsi="Times New Roman"/>
          <w:sz w:val="20"/>
        </w:rPr>
        <w:t>. As promptly as practicable, and in any event no later than five (5) Business Days following the Agreement Date, the Company shall solicit the approval of the Company Stockholders for the adoption of this Agreement and approval of the Merger in accordance with the Delaware Code and all applicable Legal Requirements. The Company shall deliver to each Company Stockholder a solicitation statement (the “</w:t>
      </w:r>
      <w:r>
        <w:rPr>
          <w:rFonts w:ascii="Times New Roman" w:hAnsi="Times New Roman"/>
          <w:b/>
          <w:i/>
          <w:sz w:val="20"/>
        </w:rPr>
        <w:t>Solicitation Statement</w:t>
      </w:r>
      <w:r>
        <w:rPr>
          <w:rFonts w:ascii="Times New Roman" w:hAnsi="Times New Roman"/>
          <w:sz w:val="20"/>
        </w:rPr>
        <w:t xml:space="preserve">”) describing this Agreement, the Merger, and the other transactions contemplated hereby, which shall include all information required by applicable Legal Requirements, including Section 228(e) and Section 262(d)(2) of the Delaware Code. Acquiror shall provide such publicly available information about Acquiror as the Company shall reasonably request in connection with the preparation of such Solicitation Statement. The form and content of the Solicitation Statement and any related materials shall be subject to the prior written approval of Acquiror (not to be unreasonably withheld, conditioned or delayed). The Company makes no representation, warranty or covenant with respect to any information supplied by Acquiror or its Affiliates for inclusion in the Solicitation Statement, and Acquiror makes no representation, warranty or covenant with respect to any information supplied by the Company or its Affiliates for inclusion in the Solicitation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70" w:name="ex2_2rom152392_61"/>
      <w:bookmarkEnd w:id="70"/>
      <w:r>
        <w:rPr>
          <w:rFonts w:ascii="Times New Roman" w:hAnsi="Times New Roman"/>
          <w:sz w:val="20"/>
        </w:rPr>
        <w:t>6.2 </w:t>
      </w:r>
      <w:r>
        <w:rPr>
          <w:rFonts w:ascii="Times New Roman" w:hAnsi="Times New Roman"/>
          <w:sz w:val="20"/>
          <w:u w:val="single"/>
        </w:rPr>
        <w:t>Confidentiality; Public Disclosure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parties hereto acknowledge that Acquiror and the Company have previously executed a Mutual Nondisclosure Agreement, dated December 12, 2025 (the “</w:t>
      </w:r>
      <w:r>
        <w:rPr>
          <w:rFonts w:ascii="Times New Roman" w:hAnsi="Times New Roman"/>
          <w:b/>
          <w:i/>
          <w:sz w:val="20"/>
        </w:rPr>
        <w:t>Confidentiality</w:t>
      </w:r>
      <w:r>
        <w:rPr>
          <w:rFonts w:ascii="Times New Roman" w:hAnsi="Times New Roman"/>
          <w:sz w:val="20"/>
        </w:rPr>
        <w:t> </w:t>
      </w:r>
      <w:r>
        <w:rPr>
          <w:rFonts w:ascii="Times New Roman" w:hAnsi="Times New Roman"/>
          <w:b/>
          <w:i/>
          <w:sz w:val="20"/>
        </w:rPr>
        <w:t>Agreement</w:t>
      </w:r>
      <w:r>
        <w:rPr>
          <w:rFonts w:ascii="Times New Roman" w:hAnsi="Times New Roman"/>
          <w:sz w:val="20"/>
        </w:rPr>
        <w:t xml:space="preserve">”) which shall continue in full force and effect in accordance with its terms. For the avoidance of doubt, from and after the Effective Time, all rights of the Company under the Confidentiality Agreement (including any rights to enforce confidentiality restrictions with respect to Confidential Information (as defined in the Confidentiality Agreement) of the Company disclosed to Acquiror or its representatives prior to the Closing) shall inure to the benefit of the Surviving Corporation, and the Surviving Corporation shall be deemed a successor-in-interest to the Company for all purposes under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Acquiror will consult with each other and agree before issuing any press release, making any public statement, or otherwise making any disclosure with respect to the terms of this Agreement or the transactions contemplated hereby or the use of either party’s name, and will not issue any such press release or make any such public statement or other disclosure without the prior written consent of the other party, except to the extent necessary in order to comply with applicable Legal Requirements or any listing agreement with a national securities exchange. </w:t>
      </w:r>
    </w:p>
    <w:p>
      <w:pPr>
        <w:pStyle w:val="TextBody"/>
        <w:bidi w:val="0"/>
        <w:spacing w:before="240" w:after="0"/>
        <w:jc w:val="left"/>
        <w:rPr>
          <w:rFonts w:ascii="Times New Roman" w:hAnsi="Times New Roman"/>
          <w:sz w:val="20"/>
        </w:rPr>
      </w:pPr>
      <w:bookmarkStart w:id="71" w:name="ex2_2rom152392_62"/>
      <w:bookmarkEnd w:id="71"/>
      <w:r>
        <w:rPr>
          <w:rFonts w:ascii="Times New Roman" w:hAnsi="Times New Roman"/>
          <w:sz w:val="20"/>
        </w:rPr>
        <w:t>6.3 </w:t>
      </w:r>
      <w:r>
        <w:rPr>
          <w:rFonts w:ascii="Times New Roman" w:hAnsi="Times New Roman"/>
          <w:sz w:val="20"/>
          <w:u w:val="single"/>
        </w:rPr>
        <w:t>Governmental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Acquiror and the Company shall, no later than [***] following the execution of this Agreement, make the initial filing required from such party under the HSR Act in connection with the consummation of the Merger and the other transactions contemplated hereby, and as promptly as practicable following the execution of this Agreement, execute and file or, if appropriate, join in the execution and filing of, the applications, notifications, and other documents required for the lawful consummation of the Merger and the other transactions contemplated hereby under the Antitrust Laws of the jurisdictions identified in </w:t>
      </w:r>
      <w:r>
        <w:rPr>
          <w:rFonts w:ascii="Times New Roman" w:hAnsi="Times New Roman"/>
          <w:sz w:val="20"/>
          <w:u w:val="single"/>
        </w:rPr>
        <w:t>Section 6.3</w:t>
      </w:r>
      <w:r>
        <w:rPr>
          <w:rFonts w:ascii="Times New Roman" w:hAnsi="Times New Roman"/>
          <w:sz w:val="20"/>
        </w:rPr>
        <w:t xml:space="preserve"> of the Company Disclosure Schedule. Acquiror shall pay all filing fees associated with the above filings, applications, or notifications. Subject to the limitations set forth in </w:t>
      </w:r>
      <w:r>
        <w:rPr>
          <w:rFonts w:ascii="Times New Roman" w:hAnsi="Times New Roman"/>
          <w:sz w:val="20"/>
          <w:u w:val="single"/>
        </w:rPr>
        <w:t>Section 6.3(b)</w:t>
      </w:r>
      <w:r>
        <w:rPr>
          <w:rFonts w:ascii="Times New Roman" w:hAnsi="Times New Roman"/>
          <w:sz w:val="20"/>
        </w:rPr>
        <w:t xml:space="preserve"> and </w:t>
      </w:r>
      <w:r>
        <w:rPr>
          <w:rFonts w:ascii="Times New Roman" w:hAnsi="Times New Roman"/>
          <w:sz w:val="20"/>
          <w:u w:val="single"/>
        </w:rPr>
        <w:t>Section 6.3(c)</w:t>
      </w:r>
      <w:r>
        <w:rPr>
          <w:rFonts w:ascii="Times New Roman" w:hAnsi="Times New Roman"/>
          <w:sz w:val="20"/>
        </w:rPr>
        <w:t xml:space="preserve">, each of Acquiror and the Company shall use commercially reasonable efforts to obtain all authorizations, approvals, clearances, consents, actions, or non-actions of any Governmental Entity in connection with the above filings, applications, or notifications. Each party shall promptly inform the other of any material communication between such party (including its representatives, counsel, or consultants) and any Governmental Entity regarding any of the transactions contemplated hereby. If either party or any Affiliate of such party receives any formal or informal request for supplemental information or documentary material from any Governmental Entity with respect to the transactions contemplated hereby, such party shall, as soon as reasonably practicable, prepare a response in compliance with such request. The party preparing such response shall consult in good faith with the other party and consider in good faith the views and input of the other party prior to submission, provided that Acquiror shall have sole and final authority to direct and control the making of such response, subject to its obligations under this </w:t>
      </w:r>
      <w:r>
        <w:rPr>
          <w:rFonts w:ascii="Times New Roman" w:hAnsi="Times New Roman"/>
          <w:sz w:val="20"/>
          <w:u w:val="single"/>
        </w:rPr>
        <w:t>Section 6.3</w:t>
      </w:r>
      <w:r>
        <w:rPr>
          <w:rFonts w:ascii="Times New Roman" w:hAnsi="Times New Roman"/>
          <w:sz w:val="20"/>
        </w:rPr>
        <w:t xml:space="preserve">. Acquiror shall pay all filing fees associated with the filing required under the HSR Act. </w:t>
      </w:r>
    </w:p>
    <w:p>
      <w:pPr>
        <w:pStyle w:val="TextBody"/>
        <w:bidi w:val="0"/>
        <w:spacing w:before="240" w:after="0"/>
        <w:jc w:val="left"/>
        <w:rPr>
          <w:rFonts w:ascii="Times New Roman" w:hAnsi="Times New Roman"/>
          <w:sz w:val="20"/>
        </w:rPr>
      </w:pPr>
      <w:r>
        <w:rPr>
          <w:rFonts w:ascii="Times New Roman" w:hAnsi="Times New Roman"/>
          <w:sz w:val="20"/>
        </w:rPr>
        <w:t>(b) Notwithstanding anything in this Agreement to the contrary, it is expressly understood and agreed that (i) Acquiror shall have no obligation to commence, defend, participate in, or otherwise litigate or contest any Proceeding or any decree, judgment, injunction or other order, whether temporary, preliminary or permanent (each an “</w:t>
      </w:r>
      <w:r>
        <w:rPr>
          <w:rFonts w:ascii="Times New Roman" w:hAnsi="Times New Roman"/>
          <w:b/>
          <w:i/>
          <w:sz w:val="20"/>
        </w:rPr>
        <w:t>Order</w:t>
      </w:r>
      <w:r>
        <w:rPr>
          <w:rFonts w:ascii="Times New Roman" w:hAnsi="Times New Roman"/>
          <w:sz w:val="20"/>
        </w:rPr>
        <w:t xml:space="preserve">”) in connection with Antitrust Laws (including by (A) defending through litigation on the merits, (B) seeking or exhausting any avenue of appeal, or (C) commencing or participating in any litigation or other legal proceeding against any Governmental Entity in connection with the transactions contemplated by this Agreement), and (ii) neither Acquiror nor any of its Subsidiaries or Affiliates shall be required to propose, negotiate, offer, commit to, agree to or effect any Remedial Action. For purposes of this Agreement, a “Remedial Action” means any action described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clauses (a) through (d) below, in each case to the extent proposed, agreed to or effected by Acquiror in its sole discretion: (a) sell or otherwise dispose of, or hold separate and agree to sell or otherwise dispose of, specific assets or categories of assets or businesses of the Company, Acquiror, or any of their respective Subsidiaries or Affiliates; (b) terminate any existing relationships and contractual rights and obligations, or enter into such new relationships or contractual rights and obligations; (c) amend or terminate such existing licenses or other intellectual property agreements and enter into such new licenses or other intellectual property agreements; and (d) in each case with respect to the foregoing clauses (a), (b) or (c), enter into agreements with the relevant Governmental Entity giving effect thereto. Any Remedial Action, if any, shall be taken solely at Acquiror’s election. The occurrence of a Remedial Action to which Acquiror agrees in writing shall not be deemed a failure of any condition set forth in </w:t>
      </w:r>
      <w:r>
        <w:rPr>
          <w:rFonts w:ascii="Times New Roman" w:hAnsi="Times New Roman"/>
          <w:sz w:val="20"/>
          <w:u w:val="single"/>
        </w:rPr>
        <w:t>Article VII</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nothing in this Agreement shall require the Company or any of its Affiliates to take or agree to any Remedial Action with regard to any business other than the Company or to take or agree to any Remedial Action or enter into any agreement or consent decree with any other Governmental Entity that is not (x) related to the transactions contemplated by this Agreement or (y) conditioned on the prior occurrence of the Closing. The Company shall not, and shall cause its Subsidiaries and Affiliates not to, without Acquiror’s prior written consent (in Acquiror’s sole discretion), discuss, propose, commit to or agree to any Remedial Action or other remedy with any Governmental Entity in connection with Antitrust Laws, or otherwise take or commit to take any action that would limit Acquiror’s freedom of action with respect to, or Acquiror’s ability to retain, any of the businesses, operations, assets or equity holdings of Acquiror or any of its Subsidiaries or Affiliates (including, after the Closing, the Surviving Corporation), or otherwise receive the full benefits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(d) Acquiror, the Subsidiaries of Acquiror, and their respective Affiliates shall not, and shall not cause any Person to, acquire (whether via merger, consolidation, stock or asset purchase or otherwise), or agree to so acquire, any material amounts of assets of or any equity in any other Person or any business or division thereof, if and only to the extent that such acquisition or agreement would reasonably be expected to (i) materially increase the risk of not obtaining any authorizations, Consents, orders, declarations, approvals, clearances, actions, or non-actions of any Governmental Entity necessary to consummate the transactions contemplated by this Agreement or the expiration or termination of any waiting period under any Antitrust Laws; or (ii) materially increase the risk of any Governmental Entity entering an Order prohibiting the consummation of the transactions contemplated by this Agreement, or materially increase the risk of not being able to have any such Order reversed, overturned, removed or vacated on appeal or otherwise.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Consultation and Coordination</w:t>
      </w:r>
      <w:r>
        <w:rPr>
          <w:rFonts w:ascii="Times New Roman" w:hAnsi="Times New Roman"/>
          <w:sz w:val="20"/>
        </w:rPr>
        <w:t xml:space="preserve">. Each of the Company, on the one hand, and Acquiror, on the other hand, shall keep the other reasonably informed of the status of matters relating to the completion of the transactions contemplated by this Agreement and, to the extent permissible, promptly furnish the other with copies of notices or other communications between such party (including its representatives and counsel) and any Governmental Entity with respect to such transactions. Each party shall provide the other party and its counsel with a reasonable opportunity to review in advance, and consider in good faith the views and input of the other party in connection with, any proposed written communication to any Governmental Entity relating to the transactions contemplated by this Agreement. Neither the Company nor Acquiror shall participate in any substantive meeting or discussion, either in person or by telephone, with any Governmental Entity in connection with the transactions contemplated by this Agreement unless it consults with the other party in advance and, to the extent not prohibited by such Governmental Entity, gives the other party the opportunity to attend and participate. </w:t>
      </w:r>
    </w:p>
    <w:p>
      <w:pPr>
        <w:pStyle w:val="TextBody"/>
        <w:bidi w:val="0"/>
        <w:spacing w:before="240" w:after="0"/>
        <w:jc w:val="left"/>
        <w:rPr>
          <w:rFonts w:ascii="Times New Roman" w:hAnsi="Times New Roman"/>
          <w:sz w:val="20"/>
        </w:rPr>
      </w:pPr>
      <w:bookmarkStart w:id="72" w:name="ex2_2rom152392_63"/>
      <w:bookmarkEnd w:id="72"/>
      <w:r>
        <w:rPr>
          <w:rFonts w:ascii="Times New Roman" w:hAnsi="Times New Roman"/>
          <w:sz w:val="20"/>
        </w:rPr>
        <w:t>6.4 </w:t>
      </w:r>
      <w:r>
        <w:rPr>
          <w:rFonts w:ascii="Times New Roman" w:hAnsi="Times New Roman"/>
          <w:sz w:val="20"/>
          <w:u w:val="single"/>
        </w:rPr>
        <w:t>Reasonable Best Efforts</w:t>
      </w:r>
      <w:r>
        <w:rPr>
          <w:rFonts w:ascii="Times New Roman" w:hAnsi="Times New Roman"/>
          <w:sz w:val="20"/>
        </w:rPr>
        <w:t xml:space="preserve">. Subject to the limitations set forth in </w:t>
      </w:r>
      <w:r>
        <w:rPr>
          <w:rFonts w:ascii="Times New Roman" w:hAnsi="Times New Roman"/>
          <w:sz w:val="20"/>
          <w:u w:val="single"/>
        </w:rPr>
        <w:t>Section 6.3,</w:t>
      </w:r>
      <w:r>
        <w:rPr>
          <w:rFonts w:ascii="Times New Roman" w:hAnsi="Times New Roman"/>
          <w:sz w:val="20"/>
        </w:rPr>
        <w:t xml:space="preserve"> each of the parties hereto agrees to use its reasonable best efforts, and to cooperate with each other party hereto, to take,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cause to be taken, all actions, and to do, or cause to be done, all things necessary, appropriate or desirable to consummate and make effective, in the most expeditious manner practicable, the Merger and the other transactions contemplated hereby, including the satisfaction of the respective conditions set forth in </w:t>
      </w:r>
      <w:r>
        <w:rPr>
          <w:rFonts w:ascii="Times New Roman" w:hAnsi="Times New Roman"/>
          <w:sz w:val="20"/>
          <w:u w:val="single"/>
        </w:rPr>
        <w:t>Article VIII</w:t>
      </w:r>
      <w:r>
        <w:rPr>
          <w:rFonts w:ascii="Times New Roman" w:hAnsi="Times New Roman"/>
          <w:sz w:val="20"/>
        </w:rPr>
        <w:t xml:space="preserve">, and including to execute and deliver such other instruments and do and perform such other acts and things as may be necessary or reasonably desirable for effecting completely the consummation of the Merger and the other transactions contemplated hereby. </w:t>
      </w:r>
    </w:p>
    <w:p>
      <w:pPr>
        <w:pStyle w:val="TextBody"/>
        <w:bidi w:val="0"/>
        <w:spacing w:before="240" w:after="0"/>
        <w:jc w:val="left"/>
        <w:rPr>
          <w:rFonts w:ascii="Times New Roman" w:hAnsi="Times New Roman"/>
          <w:sz w:val="20"/>
        </w:rPr>
      </w:pPr>
      <w:bookmarkStart w:id="73" w:name="ex2_2rom152392_64"/>
      <w:bookmarkEnd w:id="73"/>
      <w:r>
        <w:rPr>
          <w:rFonts w:ascii="Times New Roman" w:hAnsi="Times New Roman"/>
          <w:sz w:val="20"/>
        </w:rPr>
        <w:t>6.5 </w:t>
      </w:r>
      <w:r>
        <w:rPr>
          <w:rFonts w:ascii="Times New Roman" w:hAnsi="Times New Roman"/>
          <w:sz w:val="20"/>
          <w:u w:val="single"/>
        </w:rPr>
        <w:t>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period commencing on the Agreement Date and continuing until the earlier of the termination of this Agreement and the Effective Time, the Company shall afford Acquiror and its accountants, counsel and other representatives reasonable access, at Acquiror’s sole expense, upon reasonable advance notice during business hours to (i) all of the Company’s properties, books, Intellectual Property, Contracts and records, (ii) all other information concerning the business, properties and personnel of the Company as Acquiror may reasonably request, and (iii) subject to prior discussion with the Company, employees or contractors of the Company as identified by Acquiror, in each case, subject only to restrictions imposed by applicable Legal Requirements. Notwithstanding the foregoing, the Company shall not be required to provide Acquiror or its agents with access to any files, books, records or information where such access would (A) violate or waive any privilege or protection under applicable Legal Requirements, or (B) violate the terms of any nondisclosure or similar Contract with any third party (</w:t>
      </w:r>
      <w:r>
        <w:rPr>
          <w:rFonts w:ascii="Times New Roman" w:hAnsi="Times New Roman"/>
          <w:sz w:val="20"/>
          <w:u w:val="single"/>
        </w:rPr>
        <w:t>provided</w:t>
      </w:r>
      <w:r>
        <w:rPr>
          <w:rFonts w:ascii="Times New Roman" w:hAnsi="Times New Roman"/>
          <w:sz w:val="20"/>
        </w:rPr>
        <w:t xml:space="preserve">, that in each case, the Company shall use commercially reasonable efforts to provide Acquiror with access to such information to the fullest extent practicable without risking loss of privilege or protections under such Legal Requirement, privacy right or Contract, including, for example, providing for such information to be reviewed by counsel for Acquiror on terms reasonably acceptable to counsel for the Company). Notwithstanding anything to the contrary in this Agreement, no investigation or access to information by Acquiror or its representatives, and no knowledge obtained by Acquiror or its representatives in connection with such investigation or access, shall affect or be deemed to modify, amend or supplement any representation or warranty set forth in this Agreement or in the Company Disclosure Schedule, or the conditions to the obligations of the parties to consummate the Merger nor shall any such investigation, access or knowledge restrict, impair or otherwise affect any Indemnified Party’s right to indemnification hereunder or otherwise prevent or cure any misrepresentation, breach of warranty or breach of covenant. </w:t>
      </w:r>
    </w:p>
    <w:p>
      <w:pPr>
        <w:pStyle w:val="TextBody"/>
        <w:bidi w:val="0"/>
        <w:spacing w:before="240" w:after="0"/>
        <w:jc w:val="left"/>
        <w:rPr>
          <w:rFonts w:ascii="Times New Roman" w:hAnsi="Times New Roman"/>
          <w:sz w:val="20"/>
        </w:rPr>
      </w:pPr>
      <w:r>
        <w:rPr>
          <w:rFonts w:ascii="Times New Roman" w:hAnsi="Times New Roman"/>
          <w:sz w:val="20"/>
        </w:rPr>
        <w:t xml:space="preserve">(b) From the Closing until the fifth anniversary of the Closing, Acquiror shall, and shall cause the Company, to provide the Securityholders’ Representative and its agents and advisors with reasonable access (for the purpose of examining and copying), at the Securityholders’ Representative’s sole expense (on behalf of the Company Securityholders), during normal business hours, and upon reasonable advance notice, to the relevant books and records of the Company as may be reasonably requested by the Securityholders’ Representative with respect to periods or occurrences prior to the Closing Date and reasonable access, during normal business hours, and upon reasonable advance notice, to employees of each of Acquiror, the Company, and each of their respective Affiliates, as may be reasonably necessary for the Securityholders’ Representative to conduct its duties hereunder and solely for the purposes of complying with any applicable tax, financial reporting or regulatory Legal Requirements (provided, that (i) such access does not unreasonably interfere with the normal operations of the Company; and (ii) such access is permissible under applicable Legal Requirements). Notwithstanding anything to the contrary set forth in this Agreement, neither Acquiror or the Company shall be required to disclose to the Securityholders’ Representative or any of its representatives any information if doing so would disclose any (A) trade secrets or (B) information that is subject to the attorney client privilege or violate any Legal Requirements to which Acquiror or any of its Affiliates (including the Company) is subject (provided, that the Company shall use commercially reasonable efforts to make alternative arrangements to disclose such information in a manner that does not have the foregoing effects). Unless otherwise consented to in writing by the Securityholders’ Representative, neither Acquiror nor the Company shall, for a period of five (5) years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destroy, alter or otherwise dispose of any of the books and records of the Company for any period prior to the Closing Date without first offering to surrender to the Securityholders’ Representative such books and records or any portion thereof which Acquiror or the Company may intend to destroy, alter or dispose of. Any such surrender shall be at the sole cost and expense of the Securityholders’ Representative (on behalf of the Company Securityholders). If the Securityholders’ Representative fails to accept delivery of such books and records within sixty (60) days after receipt by the Securityholders’ Representative of such offer, Acquiror may destroy, alter or dispose of such books and records without further obligation. </w:t>
      </w:r>
    </w:p>
    <w:p>
      <w:pPr>
        <w:pStyle w:val="TextBody"/>
        <w:bidi w:val="0"/>
        <w:spacing w:before="240" w:after="0"/>
        <w:jc w:val="left"/>
        <w:rPr>
          <w:rFonts w:ascii="Times New Roman" w:hAnsi="Times New Roman"/>
          <w:sz w:val="20"/>
        </w:rPr>
      </w:pPr>
      <w:bookmarkStart w:id="74" w:name="ex2_2rom152392_65"/>
      <w:bookmarkEnd w:id="74"/>
      <w:r>
        <w:rPr>
          <w:rFonts w:ascii="Times New Roman" w:hAnsi="Times New Roman"/>
          <w:sz w:val="20"/>
        </w:rPr>
        <w:t>6.6 </w:t>
      </w:r>
      <w:r>
        <w:rPr>
          <w:rFonts w:ascii="Times New Roman" w:hAnsi="Times New Roman"/>
          <w:sz w:val="20"/>
          <w:u w:val="single"/>
        </w:rPr>
        <w:t>Expenses</w:t>
      </w:r>
      <w:r>
        <w:rPr>
          <w:rFonts w:ascii="Times New Roman" w:hAnsi="Times New Roman"/>
          <w:sz w:val="20"/>
        </w:rPr>
        <w:t xml:space="preserve">. Whether or not the Merger is consummated, except as provided in </w:t>
      </w:r>
      <w:r>
        <w:rPr>
          <w:rFonts w:ascii="Times New Roman" w:hAnsi="Times New Roman"/>
          <w:sz w:val="20"/>
          <w:u w:val="single"/>
        </w:rPr>
        <w:t>Section 6.3</w:t>
      </w:r>
      <w:r>
        <w:rPr>
          <w:rFonts w:ascii="Times New Roman" w:hAnsi="Times New Roman"/>
          <w:sz w:val="20"/>
        </w:rPr>
        <w:t xml:space="preserve">, all costs and expenses incurred in connection with this Agreement and the transactions contemplated hereby shall be paid by the party incurring such expense. </w:t>
      </w:r>
    </w:p>
    <w:p>
      <w:pPr>
        <w:pStyle w:val="TextBody"/>
        <w:bidi w:val="0"/>
        <w:spacing w:before="240" w:after="0"/>
        <w:jc w:val="left"/>
        <w:rPr>
          <w:rFonts w:ascii="Times New Roman" w:hAnsi="Times New Roman"/>
          <w:sz w:val="20"/>
        </w:rPr>
      </w:pPr>
      <w:bookmarkStart w:id="75" w:name="ex2_2rom152392_66"/>
      <w:bookmarkEnd w:id="75"/>
      <w:r>
        <w:rPr>
          <w:rFonts w:ascii="Times New Roman" w:hAnsi="Times New Roman"/>
          <w:sz w:val="20"/>
        </w:rPr>
        <w:t>6.7 </w:t>
      </w:r>
      <w:r>
        <w:rPr>
          <w:rFonts w:ascii="Times New Roman" w:hAnsi="Times New Roman"/>
          <w:sz w:val="20"/>
          <w:u w:val="single"/>
        </w:rPr>
        <w:t>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terminate (i) each of the Company Employee Plans, or the Company’s employer participation in any multiple employer Company Employee Plans, that are intended to be qualified within the meaning of Sections 401(a) and 401(k) of the Code (collectively, the “</w:t>
      </w:r>
      <w:r>
        <w:rPr>
          <w:rFonts w:ascii="Times New Roman" w:hAnsi="Times New Roman"/>
          <w:b/>
          <w:i/>
          <w:sz w:val="20"/>
        </w:rPr>
        <w:t>401(k) Plan</w:t>
      </w:r>
      <w:r>
        <w:rPr>
          <w:rFonts w:ascii="Times New Roman" w:hAnsi="Times New Roman"/>
          <w:sz w:val="20"/>
        </w:rPr>
        <w:t xml:space="preserve">”) with such termination to be effective as of the day immediately prior to the Closing Date and reflected in resolutions of the board of directors of the Company, unless Acquiror provides written notice to the Company no later than three Business Days prior to the Closing Date that the 401(k) Plan shall not be terminated. Such resolutions will be subject to the prior review and approval of Acquiror, which shall not be unreasonably withheld, conditioned, or delayed. The Company shall also take such other actions as reasonably and timely requested by Acquiror prior to the Closing in furtherance of facilitating termination of such other Company Employee Plans in connection with the Closing. </w:t>
      </w:r>
    </w:p>
    <w:p>
      <w:pPr>
        <w:pStyle w:val="TextBody"/>
        <w:bidi w:val="0"/>
        <w:spacing w:before="240" w:after="0"/>
        <w:jc w:val="left"/>
        <w:rPr>
          <w:rFonts w:ascii="Times New Roman" w:hAnsi="Times New Roman"/>
          <w:sz w:val="20"/>
        </w:rPr>
      </w:pPr>
      <w:r>
        <w:rPr>
          <w:rFonts w:ascii="Times New Roman" w:hAnsi="Times New Roman"/>
          <w:sz w:val="20"/>
        </w:rPr>
        <w:t>(b) As soon as practicable following the execution of this Agreement and prior to the Effective Time, the Company shall provide notification to all holders of Company Options describing the treatment of any unexercised Company Options in this Agreement, including the potential forfeiture of rights to receive any Royalty Payments that would otherwise be paid more than [***] after the Closing, and providing holders of such Company Options an opportunity to instead exercise all their Company Options prior to the Closing so that they will have the right to receive payments under this Agreement as Company Stockholders (the “</w:t>
      </w:r>
      <w:r>
        <w:rPr>
          <w:rFonts w:ascii="Times New Roman" w:hAnsi="Times New Roman"/>
          <w:b/>
          <w:i/>
          <w:sz w:val="20"/>
        </w:rPr>
        <w:t>Optionee Communication</w:t>
      </w:r>
      <w:r>
        <w:rPr>
          <w:rFonts w:ascii="Times New Roman" w:hAnsi="Times New Roman"/>
          <w:sz w:val="20"/>
        </w:rPr>
        <w:t xml:space="preserve">”). The Optionee Communication will permit holders of Company Options to elect a “net exercise” of their Company Options (with respect to the payment of the applicable exercise price of the Company Option and any applicable withholding taxes) and will reference $[***] per share as the then current fair market value of the Company’s Common Stock that will be used by the Company and Acquiror for all tax reporting and administration purposes with respect to the exercise of any Company Options pursuant to the Optionee Communication. Such Optionee Communication will be subject to the prior review and approval of Acquiror,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(c) Following the execution of this Agreement and prior to the Effective Time, the Company shall use commercially reasonable efforts to obtain waivers of any excess parachute payment under Section 280G of the Code by each individual whom the Company reasonably believes is, with respect to the Company, a “disqualified individual” (within the meaning of Section 280G of the Code and the Treasury Regulations promulgated thereunder), as determined immediately prior to the initiation of the solicitation of the requisite 280G Approval (as defined below) (the “</w:t>
      </w:r>
      <w:r>
        <w:rPr>
          <w:rFonts w:ascii="Times New Roman" w:hAnsi="Times New Roman"/>
          <w:b/>
          <w:i/>
          <w:sz w:val="20"/>
        </w:rPr>
        <w:t>Waived 280G Benefits</w:t>
      </w:r>
      <w:r>
        <w:rPr>
          <w:rFonts w:ascii="Times New Roman" w:hAnsi="Times New Roman"/>
          <w:sz w:val="20"/>
        </w:rPr>
        <w:t xml:space="preserve">”). Prior to the Effective Time, the Company shall submit to the Company Stockholders for approval (in a manner reasonably satisfactory to Acquiror) by such number of Company Stockholders as is required by the terms of Section 280G(b)(5)(B) of the Code, any Waived 280G Benefits, such that, if the Company Stockholders approve such payments and benefits, such payments and benefits shall not be deemed to be “excess parachute payments” under Section 280G of the Code, and prior to the Effective Time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deliver to Acquiror evidence reasonably satisfactory to Acquiror either (A) that a Company Stockholder vote was solicited in conformance with Section 280G and the Treasury Regulations promulgated thereunder and the requisite Company Stockholder approval was obtained with respect to Waived 280G Benefits that were subject to the Company Stockholder vote (the “</w:t>
      </w:r>
      <w:r>
        <w:rPr>
          <w:rFonts w:ascii="Times New Roman" w:hAnsi="Times New Roman"/>
          <w:b/>
          <w:i/>
          <w:sz w:val="20"/>
        </w:rPr>
        <w:t>280G Approval</w:t>
      </w:r>
      <w:r>
        <w:rPr>
          <w:rFonts w:ascii="Times New Roman" w:hAnsi="Times New Roman"/>
          <w:sz w:val="20"/>
        </w:rPr>
        <w:t xml:space="preserve">”), or (B) that the 280G Approval was not obtained and as a consequence, that such “Waived 280G Benefits” shall not be made or provided, pursuant to the waivers that were executed by the affected individuals. </w:t>
      </w:r>
    </w:p>
    <w:p>
      <w:pPr>
        <w:pStyle w:val="TextBody"/>
        <w:bidi w:val="0"/>
        <w:spacing w:before="240" w:after="0"/>
        <w:jc w:val="left"/>
        <w:rPr>
          <w:rFonts w:ascii="Times New Roman" w:hAnsi="Times New Roman"/>
          <w:sz w:val="20"/>
        </w:rPr>
      </w:pPr>
      <w:bookmarkStart w:id="76" w:name="ex2_2rom152392_67"/>
      <w:bookmarkEnd w:id="76"/>
      <w:r>
        <w:rPr>
          <w:rFonts w:ascii="Times New Roman" w:hAnsi="Times New Roman"/>
          <w:sz w:val="20"/>
        </w:rPr>
        <w:t>6.8 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Tax Returns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Company shall prepare and timely file, or shall cause to be prepared and timely filed (in each case, taking into account applicable extensions) all Tax Returns of the Company that are first required to be filed after the date hereof but on or prior to the Closing Date (each, a “</w:t>
      </w:r>
      <w:r>
        <w:rPr>
          <w:rFonts w:ascii="Times New Roman" w:hAnsi="Times New Roman"/>
          <w:b/>
          <w:i/>
          <w:sz w:val="20"/>
        </w:rPr>
        <w:t>Company Prepared Return</w:t>
      </w:r>
      <w:r>
        <w:rPr>
          <w:rFonts w:ascii="Times New Roman" w:hAnsi="Times New Roman"/>
          <w:sz w:val="20"/>
        </w:rPr>
        <w:t xml:space="preserve">”) and the Company shall pay, or cause to be paid, prior to the Closing, all Taxes of the Company shown as due thereon. Each Company Prepared Return shall be prepared in a manner consistent with the past practices of the Company, except as required by applicable Legal Requirements. Each Company Prepared Return shall be submitted by the Company to Acquiror as soon as reasonably practicable prior to the due date of such Tax Return, taking into account applicable extensions. The Company shall consider such changes to any Company Prepared Return as Acquiror may reasonably request and shall not file any Company Prepared Return without Acquiror’s consent, which consent shall not be unreasonably withheld, conditioned, or delayed. Any unresolved disputes relating to the Company Prepared Returns shall be resolved by the Independent Accounting Firm in accordance with the terms and procedures in </w:t>
      </w:r>
      <w:r>
        <w:rPr>
          <w:rFonts w:ascii="Times New Roman" w:hAnsi="Times New Roman"/>
          <w:sz w:val="20"/>
          <w:u w:val="single"/>
        </w:rPr>
        <w:t>Section 2.5</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provided, however, that in the event that the Independent Accounting Firm has not yet resolved any such Tax dispute prior to the deadline for filing of the applicable Company Prepared Return, such Company Prepared Return as prepared by the Company (but adjusted to reflect any comments to which the parties have agreed) shall be filed with the applicable Governmental Entity, subject to later amendment of such Company Prepared Return, to reflect the resolution when rendered by the Independent Accounting Firm. </w:t>
      </w:r>
    </w:p>
    <w:p>
      <w:pPr>
        <w:pStyle w:val="TextBody"/>
        <w:bidi w:val="0"/>
        <w:spacing w:before="120" w:after="0"/>
        <w:jc w:val="left"/>
        <w:rPr>
          <w:rFonts w:ascii="Times New Roman" w:hAnsi="Times New Roman"/>
          <w:sz w:val="20"/>
        </w:rPr>
      </w:pPr>
      <w:r>
        <w:rPr>
          <w:rFonts w:ascii="Times New Roman" w:hAnsi="Times New Roman"/>
          <w:sz w:val="20"/>
        </w:rPr>
        <w:t>(ii) Acquiror shall prepare and timely file, or shall cause to be prepared and timely filed (in each case, taking into account applicable extensions) all Tax Returns of the Company for any Pre-Closing Tax Period that are first required to be filed after the Closing Date (each, an “</w:t>
      </w:r>
      <w:r>
        <w:rPr>
          <w:rFonts w:ascii="Times New Roman" w:hAnsi="Times New Roman"/>
          <w:b/>
          <w:i/>
          <w:sz w:val="20"/>
        </w:rPr>
        <w:t>Acquiror Prepared Return</w:t>
      </w:r>
      <w:r>
        <w:rPr>
          <w:rFonts w:ascii="Times New Roman" w:hAnsi="Times New Roman"/>
          <w:sz w:val="20"/>
        </w:rPr>
        <w:t xml:space="preserve">”). Each Acquiror Prepared Return shall be prepared in a manner consistent with the past practices of the Company, except as required by applicable Legal Requirements. Each Acquiror Prepared Return shall be submitted by Acquiror to Securityholders’ Representative (i) in the case of any Acquiror Prepared Return that is an income Tax Return, at least thirty (30) days prior to the due date of such Tax Return and (ii) in the case of any Acquiror Prepared Return that is not an income Tax Return, as soon as reasonably practicable prior to the due date of such Tax Return, in each case of clauses (i) and (ii), taking into account applicable extensions. The Company shall consider in good faith such changes to any Acquiror Prepared Return as Securityholders’ Representative may reasonably request.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Transfer Taxes</w:t>
      </w:r>
      <w:r>
        <w:rPr>
          <w:rFonts w:ascii="Times New Roman" w:hAnsi="Times New Roman"/>
          <w:sz w:val="20"/>
        </w:rPr>
        <w:t>. All transfer, documentary, sales, use, stamp, registration value added and other similar Taxes and fees (including any penalties and interest) incurred in connection with this Agreement and the transaction contemplated hereby (collectively, “</w:t>
      </w:r>
      <w:r>
        <w:rPr>
          <w:rFonts w:ascii="Times New Roman" w:hAnsi="Times New Roman"/>
          <w:b/>
          <w:i/>
          <w:sz w:val="20"/>
        </w:rPr>
        <w:t>Transfer Taxes</w:t>
      </w:r>
      <w:r>
        <w:rPr>
          <w:rFonts w:ascii="Times New Roman" w:hAnsi="Times New Roman"/>
          <w:sz w:val="20"/>
        </w:rPr>
        <w:t xml:space="preserve">”) shall be borne fifty percent (50%) by the Company Securityholders, on the one hand, and fifty percent (50%) by the Acquiror, on the other hand. The party required by applicable Legal Requirements will prepare and timely file all necessary Tax Returns and other documentation with respect to all such Transfer Taxes, and the non-filing party will cooperate in good faith with respect thereto (and, to the extent required by applicable Legal Requirements, join in the execution of any such Tax Returns or other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Cooperation on Tax Matters</w:t>
      </w:r>
      <w:r>
        <w:rPr>
          <w:rFonts w:ascii="Times New Roman" w:hAnsi="Times New Roman"/>
          <w:sz w:val="20"/>
        </w:rPr>
        <w:t xml:space="preserve">. Acquiror, the Company and the Securityholders’ Representative shall use commercially reasonable efforts to cooperate fully, as and to the extent reasonably requested by the other party, in connection with the preparation and filing of Tax Returns pursuant to this Agreement and any Proceeding with respect to Taxes. Such cooperation shall include using commercially reasonable efforts to (i) retain and (upon the other party’s request) provide records and information which are in such party’s possession and reasonably relevant to any such Proceeding and (ii) make employees available on a mutually convenient basis to provide additional information and explanation of any material provided hereunder. Acquiror, the Company and the Securityholders’ Representative agree to use commercially reasonable efforts to (A) retain all books and records with respect to Tax matters pertinent to the Company relating to any Pre-Closing Tax Period and any Straddle Period until the expiration of the applicable statute of limitations (and, to the extent notified by the other party, any extensions thereof), and to abide by all record retention agreements entered into with any Governmental Entity and (B) give the other party reasonable written notice prior to transferring, destroying or discarding any such books and records and, if the other party so requests, Acquiror, the Company and the Securityholders’ Representative, as the case may be, shall allow the other party to take possession of such books and records at such other party’s expense. Acquiror and the Securityholders’ Representative further agree, upon request, to use their commercially reasonable efforts to obtain any certificate or other document from any Governmental Entity or any other Person as may be necessary to mitigate, reduce or eliminate any Tax that could be imposed (including, but not limited to, with respect to the transactions contemplated hereby). Notwithstanding anything to the contrary contained herein, in no event shall Acquiror be required to disclose any consolidated, combined, unitary, or other similar Tax Return of which Acquiror is the common parent or any information related to Taxes or Tax Return other than information relating solely to the Company and/or transactions contemplated hereby. Notwithstanding anything to the contrary in this Agreement, the Securityholders’ Representative shall have no obligation to prepare or file any Tax Returns.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Transaction Tax Deductions</w:t>
      </w:r>
      <w:r>
        <w:rPr>
          <w:rFonts w:ascii="Times New Roman" w:hAnsi="Times New Roman"/>
          <w:sz w:val="20"/>
        </w:rPr>
        <w:t xml:space="preserve">. Acquiror, the Company and the Securityholders’ Representative agree that to the extent permitted by applicable Tax Legal Requirements at a “more likely than not” (or higher) level of comfort, any Transaction Tax Deductions shall be allocated to, and reported in, the Pre-Closing Tax Period or the portion of a Straddle Period ending on the Closing Date, for purposes of the calculation of the Merger Consideration (or any component thereof) and/or determining the amount of any liability for Taxes.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Tax Sharing Agreements</w:t>
      </w:r>
      <w:r>
        <w:rPr>
          <w:rFonts w:ascii="Times New Roman" w:hAnsi="Times New Roman"/>
          <w:sz w:val="20"/>
        </w:rPr>
        <w:t xml:space="preserve">. The Company shall cause any Tax sharing agreement to which the Company is a party, other than an Ordinary Contract, to be terminated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Straddle Period</w:t>
      </w:r>
      <w:r>
        <w:rPr>
          <w:rFonts w:ascii="Times New Roman" w:hAnsi="Times New Roman"/>
          <w:sz w:val="20"/>
        </w:rPr>
        <w:t xml:space="preserve">. In the case of any Straddle Period, the amount of Taxes allocable to the portion of the Straddle Period ending on the Closing Date shall be determined as follows: (i) in the case of Taxes that are based upon or related to income or receipts, based upon or imposed in connection with any sale or other transfer or assignment of property or any other specifically identifiable transaction or event, the amount of such Taxes shall be determined based on an interim closing of the books as of the Effective Time, and (ii) in the case of Taxes not described in clause (i) above (such as real or personal property Taxes), the amount of such Taxes for the entire Straddle Period multiplied by a fraction, the numerator of which is the number of calendar days in the Straddle Period ending on and including the Closing Date and the denominator of which is the number of calendar days in the entire relevant Straddle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Tax Contests</w:t>
      </w:r>
      <w:r>
        <w:rPr>
          <w:rFonts w:ascii="Times New Roman" w:hAnsi="Times New Roman"/>
          <w:sz w:val="20"/>
        </w:rPr>
        <w:t>. Acquiror shall promptly notify Securityholders’ Representative in writing upon receipt of notice from any Tax Authority of the commencement of any Proceeding relating to Taxes or Tax Returns of the Company for any Pre-Closing Tax Period (or portion thereof) (each, a “</w:t>
      </w:r>
      <w:r>
        <w:rPr>
          <w:rFonts w:ascii="Times New Roman" w:hAnsi="Times New Roman"/>
          <w:b/>
          <w:i/>
          <w:sz w:val="20"/>
        </w:rPr>
        <w:t>Tax Contest</w:t>
      </w:r>
      <w:r>
        <w:rPr>
          <w:rFonts w:ascii="Times New Roman" w:hAnsi="Times New Roman"/>
          <w:sz w:val="20"/>
        </w:rPr>
        <w:t xml:space="preserve">”). Acquiror shall have control over the conduct of all Tax Contests and shall (i) provide the Securityholders’ Representative copies of all material correspondence received from the Tax Authority related to such Tax Contest, (ii) keep the Securityholders’ Representative reasonably and timely informed of all material developments related to such Tax Contest, (iii) provide the Securityholders’ Representative with the opportunity (at the Indemnifying Parties’ cost and expense), to participate in such Tax Contest, and (iv) not settle, abandon, concede or otherwise conclude any such Tax Contest without first consulting with the Securityholders’ Representative in good faith and considering in good faith any comments provided by the Securityholders’ Representative in connection therewith.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Post-Closing Actions</w:t>
      </w:r>
      <w:r>
        <w:rPr>
          <w:rFonts w:ascii="Times New Roman" w:hAnsi="Times New Roman"/>
          <w:sz w:val="20"/>
        </w:rPr>
        <w:t xml:space="preserve">. Notwithstanding anything to the contrary in this Agreement, if Acquiror or any of its Affiliates (including, after the Closing, the Surviving Corporation) intends to take any of the following actions: (i) amend, refile or otherwise modify any Tax Return, (ii) file any Tax Return in a jurisdiction where the Company has not historically filed Tax Returns, (iii) make, change or revoke any Tax election, (iv) change any Tax accounting period or method, (v) agree to waive or extend the statute of limitations relating to Taxes, (vi) file any ruling or request with any Tax Authority, (vii) initiate any contact or voluntarily approaching any Tax Authority (including negotiating any voluntary disclosure agreement with a Tax Authority with respect to filing Tax Returns or paying Taxes), or (viii) take any action on the Closing Date after the Closing that is outside the ordinary course of business, in each case of clauses (i) through (viii), with respect to the Company (or the Surviving Corporation) for, in respect of, or that has retroactive effect to any Pre-Closing Tax Period or any Straddle Period and that could reasonably be expected to either (x) result in a reduction to the Merger Consideration or (y) give rise to a claim for indemnification against the Indemnifying Parties under </w:t>
      </w:r>
      <w:r>
        <w:rPr>
          <w:rFonts w:ascii="Times New Roman" w:hAnsi="Times New Roman"/>
          <w:sz w:val="20"/>
          <w:u w:val="single"/>
        </w:rPr>
        <w:t>Section 9.2</w:t>
      </w:r>
      <w:r>
        <w:rPr>
          <w:rFonts w:ascii="Times New Roman" w:hAnsi="Times New Roman"/>
          <w:sz w:val="20"/>
        </w:rPr>
        <w:t xml:space="preserve">, then Acquiror shall (A) provide the Securityholders’ Representative with reasonable advance written notice of such intended action, and (B) consult with the Securityholders’ Representative in good faith and consider in good faith any written comments provided by the Securityholders’ Representative in connection therewith; provided, that, notwithstanding the foregoing, any action taken by or at the direction of Acquiror or any of its Affiliates (including, after the Closing, the Surviving Corporation) pursuant to clauses (i) through (viii) of this </w:t>
      </w:r>
      <w:r>
        <w:rPr>
          <w:rFonts w:ascii="Times New Roman" w:hAnsi="Times New Roman"/>
          <w:sz w:val="20"/>
          <w:u w:val="single"/>
        </w:rPr>
        <w:t>Section 6.8(h)</w:t>
      </w:r>
      <w:r>
        <w:rPr>
          <w:rFonts w:ascii="Times New Roman" w:hAnsi="Times New Roman"/>
          <w:sz w:val="20"/>
        </w:rPr>
        <w:t xml:space="preserve"> shall not be determinative of the amount of Damages with respect to any related claims for indemnification pursuant to </w:t>
      </w:r>
      <w:r>
        <w:rPr>
          <w:rFonts w:ascii="Times New Roman" w:hAnsi="Times New Roman"/>
          <w:sz w:val="20"/>
          <w:u w:val="single"/>
        </w:rPr>
        <w:t>Article IX</w:t>
      </w:r>
      <w:r>
        <w:rPr>
          <w:rFonts w:ascii="Times New Roman" w:hAnsi="Times New Roman"/>
          <w:sz w:val="20"/>
        </w:rPr>
        <w:t xml:space="preserve">. Acquiror shall not make any election under Section 338 or 336 of the Code (or any similar provision under state, local or non-U.S. Legal Requirements) with respect to the Merger.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Company Option-Based Merger Consideration</w:t>
      </w:r>
      <w:r>
        <w:rPr>
          <w:rFonts w:ascii="Times New Roman" w:hAnsi="Times New Roman"/>
          <w:sz w:val="20"/>
        </w:rPr>
        <w:t xml:space="preserve">. Acquiror intends that, based on currently available guidance under Section 409A of the Code, all payments of Company Option-Based Merger Consideration pursuant to </w:t>
      </w:r>
      <w:r>
        <w:rPr>
          <w:rFonts w:ascii="Times New Roman" w:hAnsi="Times New Roman"/>
          <w:sz w:val="20"/>
          <w:u w:val="single"/>
        </w:rPr>
        <w:t>Section 2.1(b)(ii)</w:t>
      </w:r>
      <w:r>
        <w:rPr>
          <w:rFonts w:ascii="Times New Roman" w:hAnsi="Times New Roman"/>
          <w:sz w:val="20"/>
        </w:rPr>
        <w:t xml:space="preserve"> will either be exempt from application of Section 409A of the Code, or alternatively compliant with its payment requirements, and will report such payments of Company Option-Based Merger Consideration accordingly, unless otherwise required by a change in applicable Legal Requirements or by the relevant Tax Authority.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Option Exercise Tax Reporting</w:t>
      </w:r>
      <w:r>
        <w:rPr>
          <w:rFonts w:ascii="Times New Roman" w:hAnsi="Times New Roman"/>
          <w:sz w:val="20"/>
        </w:rPr>
        <w:t xml:space="preserve">. For purposes of Acquiror’s reporting on Form W-2 or Form 1099 to be issued by Acquiror and other applicable Tax reporting by Acquiror of the applicable amount of compensatory income recognized upon the exercise of any Company Options following the Agreement Date and prior to the Closing, Acquiror shall reference $[***] per share as the then current fair market value of the Company’s Common Stock upon the date of exercise of such Company Options, which the Acquiror agrees is a reasonable estimation of the then current fair market value of the Company’s Common Stock during the period following the Agreement Date and prior to the Closing for Tax reporting and administration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(k) </w:t>
      </w:r>
      <w:r>
        <w:rPr>
          <w:rFonts w:ascii="Times New Roman" w:hAnsi="Times New Roman"/>
          <w:sz w:val="20"/>
          <w:u w:val="single"/>
        </w:rPr>
        <w:t>Overlap</w:t>
      </w:r>
      <w:r>
        <w:rPr>
          <w:rFonts w:ascii="Times New Roman" w:hAnsi="Times New Roman"/>
          <w:sz w:val="20"/>
        </w:rPr>
        <w:t xml:space="preserve">. To the extent of any conflict between this </w:t>
      </w:r>
      <w:r>
        <w:rPr>
          <w:rFonts w:ascii="Times New Roman" w:hAnsi="Times New Roman"/>
          <w:sz w:val="20"/>
          <w:u w:val="single"/>
        </w:rPr>
        <w:t>Section 6.8</w:t>
      </w:r>
      <w:r>
        <w:rPr>
          <w:rFonts w:ascii="Times New Roman" w:hAnsi="Times New Roman"/>
          <w:sz w:val="20"/>
        </w:rPr>
        <w:t xml:space="preserve"> and any other provision of this Agreement, the provisions of this </w:t>
      </w:r>
      <w:r>
        <w:rPr>
          <w:rFonts w:ascii="Times New Roman" w:hAnsi="Times New Roman"/>
          <w:sz w:val="20"/>
          <w:u w:val="single"/>
        </w:rPr>
        <w:t>Section 6.8</w:t>
      </w:r>
      <w:r>
        <w:rPr>
          <w:rFonts w:ascii="Times New Roman" w:hAnsi="Times New Roman"/>
          <w:sz w:val="20"/>
        </w:rPr>
        <w:t xml:space="preserve"> shall control. </w:t>
      </w:r>
    </w:p>
    <w:p>
      <w:pPr>
        <w:pStyle w:val="TextBody"/>
        <w:bidi w:val="0"/>
        <w:spacing w:before="240" w:after="0"/>
        <w:jc w:val="left"/>
        <w:rPr>
          <w:rFonts w:ascii="Times New Roman" w:hAnsi="Times New Roman"/>
          <w:sz w:val="20"/>
        </w:rPr>
      </w:pPr>
      <w:bookmarkStart w:id="77" w:name="ex2_2rom152392_68"/>
      <w:bookmarkEnd w:id="77"/>
      <w:r>
        <w:rPr>
          <w:rFonts w:ascii="Times New Roman" w:hAnsi="Times New Roman"/>
          <w:sz w:val="20"/>
        </w:rPr>
        <w:t>6.9 </w:t>
      </w:r>
      <w:r>
        <w:rPr>
          <w:rFonts w:ascii="Times New Roman" w:hAnsi="Times New Roman"/>
          <w:sz w:val="20"/>
          <w:u w:val="single"/>
        </w:rPr>
        <w:t>Indemnification; Directors’ and Officers’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six (6) years from and after the Closing Date, Acquiror and the Surviving Corporation agree to indemnify (including advancement of expenses) and hold harmless all past and present officers and directors of the Company (the “</w:t>
      </w:r>
      <w:r>
        <w:rPr>
          <w:rFonts w:ascii="Times New Roman" w:hAnsi="Times New Roman"/>
          <w:b/>
          <w:i/>
          <w:sz w:val="20"/>
        </w:rPr>
        <w:t>Indemnified D&amp;O</w:t>
      </w:r>
      <w:r>
        <w:rPr>
          <w:rFonts w:ascii="Times New Roman" w:hAnsi="Times New Roman"/>
          <w:sz w:val="20"/>
        </w:rPr>
        <w:t xml:space="preserve">”) to the same extent such persons are indemnified by the Company as of the date of this Agreement pursuant to the Company Certificate of Incorporation, the bylaws of the Company, each indemnification agreement in effect between the Company and any Indemnified D&amp;O set forth on </w:t>
      </w:r>
      <w:r>
        <w:rPr>
          <w:rFonts w:ascii="Times New Roman" w:hAnsi="Times New Roman"/>
          <w:sz w:val="20"/>
          <w:u w:val="single"/>
        </w:rPr>
        <w:t>Section 6.9</w:t>
      </w:r>
      <w:r>
        <w:rPr>
          <w:rFonts w:ascii="Times New Roman" w:hAnsi="Times New Roman"/>
          <w:sz w:val="20"/>
        </w:rPr>
        <w:t xml:space="preserve"> of the Company Disclosure Schedule or under applicable Legal Requirements for acts or omissions which occurred at or prior to the Effective Time. The Surviving Corporation’s certificate of incorporation and bylaws shall contain provisions with respect to indemnification and exculpation that are at least as favorable to the Indemnified D&amp;O as those provisions contained in the Company Certificate of Incorporation and the bylaws of the Company in effect on the date hereof, and such provisions shall not be amended, repealed or otherwise modified for a period of six (6) years in any manner that would adversely affect the rights of the past and present officers and directors of the Company. Notwithstanding the foregoing, (i) the obligations of Acquiror, the Surviving Corporation and their respective successors set forth in this </w:t>
      </w:r>
      <w:r>
        <w:rPr>
          <w:rFonts w:ascii="Times New Roman" w:hAnsi="Times New Roman"/>
          <w:sz w:val="20"/>
          <w:u w:val="single"/>
        </w:rPr>
        <w:t>Section 6.9</w:t>
      </w:r>
      <w:r>
        <w:rPr>
          <w:rFonts w:ascii="Times New Roman" w:hAnsi="Times New Roman"/>
          <w:sz w:val="20"/>
        </w:rPr>
        <w:t xml:space="preserve"> shall be subject to any limitation imposed by applicable Legal Requirements, (B) no Indemnified D&amp;O shall have any right of contribution, indemnification or advancement from Acquiror, the Surviving Corporation or their respective successors with respect to any Damages claimed by any of the Indemnified Parties against such Indemnified D&amp;O or any Affiliate thereof in their capacities as Indemnifying Parties pursuant to </w:t>
      </w:r>
      <w:r>
        <w:rPr>
          <w:rFonts w:ascii="Times New Roman" w:hAnsi="Times New Roman"/>
          <w:sz w:val="20"/>
          <w:u w:val="single"/>
        </w:rPr>
        <w:t>Article IX</w:t>
      </w:r>
      <w:r>
        <w:rPr>
          <w:rFonts w:ascii="Times New Roman" w:hAnsi="Times New Roman"/>
          <w:sz w:val="20"/>
        </w:rPr>
        <w:t xml:space="preserve"> of this Agreement and (C) no Indemnified D&amp;O shall be entitled to coverage under any director and officer insurance policy or errors and omission policy of Acquiror or the Surviving Corporation, in addition to the D&amp;O Tail, unless such Indemnified D&amp;O is separately eligible for coverage under such policy pursuant to the policies and procedures and the terms of such insurance policy of Acquiror or the Surviving Corporation, respectively. </w:t>
      </w:r>
    </w:p>
    <w:p>
      <w:pPr>
        <w:pStyle w:val="TextBody"/>
        <w:bidi w:val="0"/>
        <w:spacing w:before="240" w:after="0"/>
        <w:jc w:val="left"/>
        <w:rPr>
          <w:rFonts w:ascii="Times New Roman" w:hAnsi="Times New Roman"/>
          <w:sz w:val="20"/>
        </w:rPr>
      </w:pPr>
      <w:r>
        <w:rPr>
          <w:rFonts w:ascii="Times New Roman" w:hAnsi="Times New Roman"/>
          <w:sz w:val="20"/>
        </w:rPr>
        <w:t>(b) Prior to the Effective Time, the Company shall purchase for the benefit of the Indemnified D&amp;Os, a officers’ and directors’ liability insurance tail for a period of six (6) years with respect to acts or omissions occurring at or prior to the Effective Time covering each past and present officer and member of the Board of Directors of the Company who are currently covered by the Company’s officers’ and directors’ liability insurance policy (the “</w:t>
      </w:r>
      <w:r>
        <w:rPr>
          <w:rFonts w:ascii="Times New Roman" w:hAnsi="Times New Roman"/>
          <w:b/>
          <w:i/>
          <w:sz w:val="20"/>
        </w:rPr>
        <w:t>D&amp;O Tail</w:t>
      </w:r>
      <w:r>
        <w:rPr>
          <w:rFonts w:ascii="Times New Roman" w:hAnsi="Times New Roman"/>
          <w:sz w:val="20"/>
        </w:rPr>
        <w:t xml:space="preserve">”). The terms and coverage amounts of the liability insurance policy shall be at least as favorable as the terms and coverage amounts of the liability insurance policy in effect on the date hereof. The cost of such “tail” insurance policy shall be borne 100%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(c) If Acquiror,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Acquiror or the Surviving Corporation, as the case may be, shall assume the obligations set forth in this </w:t>
      </w:r>
      <w:r>
        <w:rPr>
          <w:rFonts w:ascii="Times New Roman" w:hAnsi="Times New Roman"/>
          <w:sz w:val="20"/>
          <w:u w:val="single"/>
        </w:rPr>
        <w:t>Section 6.9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6.9</w:t>
      </w:r>
      <w:r>
        <w:rPr>
          <w:rFonts w:ascii="Times New Roman" w:hAnsi="Times New Roman"/>
          <w:sz w:val="20"/>
        </w:rPr>
        <w:t xml:space="preserve"> are intended for the benefit of, and shall be enforceable by, all Indemnified D&amp;O and their respective heirs and representatives. The rights of all Indemnified D&amp;O under this </w:t>
      </w:r>
      <w:r>
        <w:rPr>
          <w:rFonts w:ascii="Times New Roman" w:hAnsi="Times New Roman"/>
          <w:sz w:val="20"/>
          <w:u w:val="single"/>
        </w:rPr>
        <w:t>Section 6.9</w:t>
      </w:r>
      <w:r>
        <w:rPr>
          <w:rFonts w:ascii="Times New Roman" w:hAnsi="Times New Roman"/>
          <w:sz w:val="20"/>
        </w:rPr>
        <w:t xml:space="preserve"> are in addition to, and not in substitution for, any other rights to indemnification or contribution that any such person may have by contract, applicable Legal Requirements or otherwise. </w:t>
      </w:r>
    </w:p>
    <w:p>
      <w:pPr>
        <w:pStyle w:val="TextBody"/>
        <w:bidi w:val="0"/>
        <w:spacing w:before="240" w:after="0"/>
        <w:jc w:val="left"/>
        <w:rPr>
          <w:rFonts w:ascii="Times New Roman" w:hAnsi="Times New Roman"/>
          <w:sz w:val="20"/>
        </w:rPr>
      </w:pPr>
      <w:bookmarkStart w:id="78" w:name="ex2_2rom152392_69"/>
      <w:bookmarkEnd w:id="78"/>
      <w:r>
        <w:rPr>
          <w:rFonts w:ascii="Times New Roman" w:hAnsi="Times New Roman"/>
          <w:sz w:val="20"/>
        </w:rPr>
        <w:t>6.10 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79" w:name="ex2_2rom152392_70"/>
      <w:bookmarkEnd w:id="79"/>
      <w:r>
        <w:rPr>
          <w:rFonts w:ascii="Times New Roman" w:hAnsi="Times New Roman"/>
          <w:sz w:val="20"/>
        </w:rPr>
        <w:t>6.11 </w:t>
      </w:r>
      <w:r>
        <w:rPr>
          <w:rFonts w:ascii="Times New Roman" w:hAnsi="Times New Roman"/>
          <w:sz w:val="20"/>
          <w:u w:val="single"/>
        </w:rPr>
        <w:t>Representation and Warranty Insurance Policy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Closing, Acquiror shall obtain, at its own cost, a representation and warranty insurance policy (the “</w:t>
      </w:r>
      <w:r>
        <w:rPr>
          <w:rFonts w:ascii="Times New Roman" w:hAnsi="Times New Roman"/>
          <w:b/>
          <w:i/>
          <w:sz w:val="20"/>
        </w:rPr>
        <w:t>R&amp;W Policy</w:t>
      </w:r>
      <w:r>
        <w:rPr>
          <w:rFonts w:ascii="Times New Roman" w:hAnsi="Times New Roman"/>
          <w:sz w:val="20"/>
        </w:rPr>
        <w:t xml:space="preserve">”) issued in the name of Acquiror in connection with this Agreement, subject to the terms and conditions set forth therein. Acquiror shall cause the R&amp;W Policy to be bound and in full force and effect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(b) The R&amp;W Policy shall expressly provide that any right of any insurer thereunder or any other Person to subrogate or otherwise make, bring or initiate any Proceeding against any Company Stockholders or based upon, arising out of, or related to this Agreement, or the negotiation, execution or performance of this Agreement, shall be limited to claims of Fraud and that all other such claims are waived thereunder, and Acquiror shall not, and shall not permit the Company to, and shall cause its Representatives not to amend, waive or otherwise modify any representation and warranty insurance policy in connection with such waiver or any other similar provision in a manner that would be adverse to the Company Stockholders, in each case without the prior written consent of the Securityholders’ Representative. </w:t>
      </w:r>
    </w:p>
    <w:p>
      <w:pPr>
        <w:pStyle w:val="TextBody"/>
        <w:bidi w:val="0"/>
        <w:spacing w:before="240" w:after="0"/>
        <w:jc w:val="left"/>
        <w:rPr>
          <w:rFonts w:ascii="Times New Roman" w:hAnsi="Times New Roman"/>
          <w:sz w:val="20"/>
        </w:rPr>
      </w:pPr>
      <w:bookmarkStart w:id="80" w:name="ex2_2rom152392_71"/>
      <w:bookmarkEnd w:id="80"/>
      <w:r>
        <w:rPr>
          <w:rFonts w:ascii="Times New Roman" w:hAnsi="Times New Roman"/>
          <w:sz w:val="20"/>
        </w:rPr>
        <w:t>6.12 </w:t>
      </w:r>
      <w:r>
        <w:rPr>
          <w:rFonts w:ascii="Times New Roman" w:hAnsi="Times New Roman"/>
          <w:sz w:val="20"/>
          <w:u w:val="single"/>
        </w:rPr>
        <w:t>[***]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Securityholders acknowledge and agree that as between the Acquiror (and, following the Closing, the Company) on the one hand, and the Company Securityholders on the other hand, any obligation to pay [***] any amounts payable pursuant to Section 5.3.2(b) of the [***] License Agreement due to the change of control of Company that will occur upon the Closing under this Agreement, including any obligation arising from or related to any Additional Consideration Payments paid by Acquiror pursuant to </w:t>
      </w:r>
      <w:r>
        <w:rPr>
          <w:rFonts w:ascii="Times New Roman" w:hAnsi="Times New Roman"/>
          <w:sz w:val="20"/>
          <w:u w:val="single"/>
        </w:rPr>
        <w:t>Section 2.9</w:t>
      </w:r>
      <w:r>
        <w:rPr>
          <w:rFonts w:ascii="Times New Roman" w:hAnsi="Times New Roman"/>
          <w:sz w:val="20"/>
        </w:rPr>
        <w:t xml:space="preserve"> after the Closing, shall be the sole financial responsibility of the Company Securityholders (such payments, the “</w:t>
      </w:r>
      <w:r>
        <w:rPr>
          <w:rFonts w:ascii="Times New Roman" w:hAnsi="Times New Roman"/>
          <w:b/>
          <w:i/>
          <w:sz w:val="20"/>
        </w:rPr>
        <w:t>[***] Payments</w:t>
      </w:r>
      <w:r>
        <w:rPr>
          <w:rFonts w:ascii="Times New Roman" w:hAnsi="Times New Roman"/>
          <w:sz w:val="20"/>
        </w:rPr>
        <w:t xml:space="preserve">”); provided, however, that Acquiror shall be responsible for making the [***] Payments to [***] and upon making any such [***] Payment to [***], Acquiror shall be entitled to and have the independent right to deduct or set off from any Additional Consideration Payments in accordance with </w:t>
      </w:r>
      <w:r>
        <w:rPr>
          <w:rFonts w:ascii="Times New Roman" w:hAnsi="Times New Roman"/>
          <w:sz w:val="20"/>
          <w:u w:val="single"/>
        </w:rPr>
        <w:t>Section 6.12(b)</w:t>
      </w:r>
      <w:r>
        <w:rPr>
          <w:rFonts w:ascii="Times New Roman" w:hAnsi="Times New Roman"/>
          <w:sz w:val="20"/>
        </w:rPr>
        <w:t xml:space="preserve"> below, any [***] Payments that are triggered by, calculated based upon, or otherwise arising from or related to any Additional Consideration Payments and which are paid or then due and payable by Acquiror hereunder in connection with the transactions contemplated by this Agreement. For clarity, Company Securityholders shall not be financially responsible for any other payments under the [***] License Agreement, other than [***] Payments, and Acquiror (and the Company) shall be solely responsible for and may not deduct or set off (i) any interest or late payment fees due and payable to [***] as a result of Acquiror’s failure to timely remit any [***] Payment to [***] in breach of the [***] License Agreement, (ii) any payments arising out of or based upon the breach of the [***] License Agreement as finally determined by a court of competent jurisdiction or mutually agreed in writing by the parties, which breach occurs after the Closing, (iii) any additional payments imposed by any amendments to the [***] License Agreement entered into after the Closing, or (iv) any payments triggered by a subsequent Change of Control or other similar transaction, in each case, that is entered into after the Closing. For the avoidance of doubt, the amounts payable to [***] under the [***] License Agreement that are triggered by and due upon the Closing are included as “Transaction Expenses” within the meaning of the definition set forth in Exhibit A and shall be addressed through the Closing payment mechanics set forth in Section 2.4 and the post-Closing adjustment set forth in Section 2.6.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Securityholders shall cooperate with Acquiror in calculating and facilitating payment of any [***] Payments. Acquiror shall have the right to discharge such payment obligations on behalf of the Company Securityholders by making direct payments to [***] and deducting or setting off such amounts from the applicable Additional Consideration Payments hereunder, in each case in proportion to each applicable Company Securityholder’s respective Pro Rata Portion of the applicable Additional Consideration Payment. For the avoidance of doubt, the Securityholders’ Representative has no obligation to make, calculate or otherwise take action or other obligation in connection with the [***]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such amounts so deducted pursuant to this </w:t>
      </w:r>
      <w:r>
        <w:rPr>
          <w:rFonts w:ascii="Times New Roman" w:hAnsi="Times New Roman"/>
          <w:sz w:val="20"/>
          <w:u w:val="single"/>
        </w:rPr>
        <w:t>Section 6.12</w:t>
      </w:r>
      <w:r>
        <w:rPr>
          <w:rFonts w:ascii="Times New Roman" w:hAnsi="Times New Roman"/>
          <w:sz w:val="20"/>
        </w:rPr>
        <w:t xml:space="preserve"> shall be treated for all purposes of this Agreement as having been paid to the applicable Company Securityholders hereunder. For the avoidance of doubt, Acquiror’s right to deduct or offset under this </w:t>
      </w:r>
      <w:r>
        <w:rPr>
          <w:rFonts w:ascii="Times New Roman" w:hAnsi="Times New Roman"/>
          <w:sz w:val="20"/>
          <w:u w:val="single"/>
        </w:rPr>
        <w:t>Section 6.12(c)</w:t>
      </w:r>
      <w:r>
        <w:rPr>
          <w:rFonts w:ascii="Times New Roman" w:hAnsi="Times New Roman"/>
          <w:sz w:val="20"/>
        </w:rPr>
        <w:t xml:space="preserve"> is independent of, and in addition to, any deduction or set-off rights set forth in </w:t>
      </w:r>
      <w:r>
        <w:rPr>
          <w:rFonts w:ascii="Times New Roman" w:hAnsi="Times New Roman"/>
          <w:sz w:val="20"/>
          <w:u w:val="single"/>
        </w:rPr>
        <w:t>Section 9.2(h)</w:t>
      </w:r>
      <w:r>
        <w:rPr>
          <w:rFonts w:ascii="Times New Roman" w:hAnsi="Times New Roman"/>
          <w:sz w:val="20"/>
        </w:rPr>
        <w:t xml:space="preserve"> or elsewhere in this Agreement, and Acquiror shall not be required to assert an indemnification claim under </w:t>
      </w:r>
      <w:r>
        <w:rPr>
          <w:rFonts w:ascii="Times New Roman" w:hAnsi="Times New Roman"/>
          <w:sz w:val="20"/>
          <w:u w:val="single"/>
        </w:rPr>
        <w:t>Article IX</w:t>
      </w:r>
      <w:r>
        <w:rPr>
          <w:rFonts w:ascii="Times New Roman" w:hAnsi="Times New Roman"/>
          <w:sz w:val="20"/>
        </w:rPr>
        <w:t xml:space="preserve"> as a condition to exercising its deduction or offset rights under this </w:t>
      </w:r>
      <w:r>
        <w:rPr>
          <w:rFonts w:ascii="Times New Roman" w:hAnsi="Times New Roman"/>
          <w:sz w:val="20"/>
          <w:u w:val="single"/>
        </w:rPr>
        <w:t>Section 6.12(c)</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81" w:name="ex2_2rom152392_72"/>
      <w:bookmarkEnd w:id="81"/>
      <w:r>
        <w:rPr>
          <w:rFonts w:ascii="Times New Roman" w:hAnsi="Times New Roman"/>
          <w:sz w:val="20"/>
        </w:rPr>
        <w:t>6.13 </w:t>
      </w:r>
      <w:r>
        <w:rPr>
          <w:rFonts w:ascii="Times New Roman" w:hAnsi="Times New Roman"/>
          <w:sz w:val="20"/>
          <w:u w:val="single"/>
        </w:rPr>
        <w:t>Option Cancellation Agreements</w:t>
      </w:r>
      <w:r>
        <w:rPr>
          <w:rFonts w:ascii="Times New Roman" w:hAnsi="Times New Roman"/>
          <w:sz w:val="20"/>
        </w:rPr>
        <w:t xml:space="preserve">. After the date of this Agreement and prior to the Closing, the Company shall use commercially reasonable efforts to obtain executed Option Cancellation Agreements from all holders of In-the-Money Options. </w:t>
      </w:r>
    </w:p>
    <w:p>
      <w:pPr>
        <w:pStyle w:val="TextBody"/>
        <w:bidi w:val="0"/>
        <w:spacing w:before="240" w:after="0"/>
        <w:jc w:val="left"/>
        <w:rPr>
          <w:rFonts w:ascii="Times New Roman" w:hAnsi="Times New Roman"/>
          <w:sz w:val="20"/>
        </w:rPr>
      </w:pPr>
      <w:bookmarkStart w:id="82" w:name="ex2_2rom152392_73"/>
      <w:bookmarkEnd w:id="82"/>
      <w:r>
        <w:rPr>
          <w:rFonts w:ascii="Times New Roman" w:hAnsi="Times New Roman"/>
          <w:sz w:val="20"/>
        </w:rPr>
        <w:t>6.14 </w:t>
      </w:r>
      <w:r>
        <w:rPr>
          <w:rFonts w:ascii="Times New Roman" w:hAnsi="Times New Roman"/>
          <w:sz w:val="20"/>
          <w:u w:val="single"/>
        </w:rPr>
        <w:t>Piper Sandler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Securityholders acknowledge and agree that as between the Acquiror (and, following the Closing, the Company) on the one hand, and the Company Securityholders on the other hand, any obligation to pay Piper Sandler any amounts payable pursuant to that certain Piper Sandler Engagement Letter, including (i) any amounts payable pursuant to the Fees section thereof due to the transactions contemplated herein, including any obligation arising from or related to any Additional Consideration Payments paid by Acquiror pursuant to Section 2.9 after the Closing and (ii) any indemnification obligations pursuant to Annex A of such letter, shall be the sole financial responsibility of the Company Securityholders (such payments, the “</w:t>
      </w:r>
      <w:r>
        <w:rPr>
          <w:rFonts w:ascii="Times New Roman" w:hAnsi="Times New Roman"/>
          <w:b/>
          <w:i/>
          <w:sz w:val="20"/>
        </w:rPr>
        <w:t>Piper Sandler Payments</w:t>
      </w:r>
      <w:r>
        <w:rPr>
          <w:rFonts w:ascii="Times New Roman" w:hAnsi="Times New Roman"/>
          <w:sz w:val="20"/>
        </w:rPr>
        <w:t xml:space="preserve">”); provided, however, that Acquiror shall be responsible for making the Piper Sandler Payments to Piper Sandler and upon making any such Piper Sandler Payment to Piper Sandler, Acquiror shall be entitled to and have the independent right to deduct or set off from any Additional Consideration Payments in accordance with </w:t>
      </w:r>
      <w:r>
        <w:rPr>
          <w:rFonts w:ascii="Times New Roman" w:hAnsi="Times New Roman"/>
          <w:sz w:val="20"/>
          <w:u w:val="single"/>
        </w:rPr>
        <w:t>Section 6.14(b)</w:t>
      </w:r>
      <w:r>
        <w:rPr>
          <w:rFonts w:ascii="Times New Roman" w:hAnsi="Times New Roman"/>
          <w:sz w:val="20"/>
        </w:rPr>
        <w:t xml:space="preserve"> below, any Piper Sandler Payments that are triggered by, calculated based upon, or otherwise arising from or related to any Additional Consideration Payments and which are paid or then due and payable by Acquiror hereunder in connection with the transactions contemplated by this Agreement. For clarity, Company Securityholders shall not be financially responsible for any other payments under the Piper Sandler Engagement Letter, other than Piper Sandler Payments, and Acquiror (and the Company) shall be solely responsible for and may not deduct or set off (i) any interest or late payment fees due and payable to Piper Sandler as a result of Acquiror’s failure to timely remit any Piper Sandler Payment to Piper Sandler in breach of the Piper Sandler Engagement Letter, (ii) any payments arising out of or based upon an actual breach of the Piper Sandler Engagement Letter, as finally determined by a court of competent jurisdiction or mutually agreed in writing by the parties, which breach occurs after the Closing, or (iii) any additional payments imposed by any amendments to the Piper Sandler Engagement Letter entered into after the Closing. For the avoidance of doubt, the amounts payable to Piper Sandler under the Piper Sandler Engagement Letter that are triggered by and due upon the Closing are included as “Transaction Expenses” within the meaning of the definition set forth in Exhibit A and shall be addressed through the Closing payment mechanics set forth in </w:t>
      </w:r>
      <w:r>
        <w:rPr>
          <w:rFonts w:ascii="Times New Roman" w:hAnsi="Times New Roman"/>
          <w:sz w:val="20"/>
          <w:u w:val="single"/>
        </w:rPr>
        <w:t>Section 2.4</w:t>
      </w:r>
      <w:r>
        <w:rPr>
          <w:rFonts w:ascii="Times New Roman" w:hAnsi="Times New Roman"/>
          <w:sz w:val="20"/>
        </w:rPr>
        <w:t xml:space="preserve"> and the post-Closing adjustment set forth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Securityholders shall cooperate with Acquiror in calculating and facilitating payment of any Piper Sandler Payments. Acquiror shall have the right to discharge such payment obligations on behalf of the Company Securityholders by making direct payments to Piper Sandler and deducting or setting off such amounts from the applicable Additional Consideration Payments hereunder, in each case in proportion to each applicable Company Securityholder’s respective Pro Rata Portion of the applicable Additional Consideration Payment. For the avoidance of doubt, the Securityholders’ Representative has no obligation to make, calculate or otherwise take action or other obligation in connection with the Piper Sandler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such amounts so deducted pursuant to this </w:t>
      </w:r>
      <w:r>
        <w:rPr>
          <w:rFonts w:ascii="Times New Roman" w:hAnsi="Times New Roman"/>
          <w:sz w:val="20"/>
          <w:u w:val="single"/>
        </w:rPr>
        <w:t>Section 6.14</w:t>
      </w:r>
      <w:r>
        <w:rPr>
          <w:rFonts w:ascii="Times New Roman" w:hAnsi="Times New Roman"/>
          <w:sz w:val="20"/>
        </w:rPr>
        <w:t xml:space="preserve"> shall be treated for all purposes of this Agreement as having been paid to the applicable Company Securityholders hereunder. For the avoidance of doubt, Acquiror’s right to deduct or offset under this </w:t>
      </w:r>
      <w:r>
        <w:rPr>
          <w:rFonts w:ascii="Times New Roman" w:hAnsi="Times New Roman"/>
          <w:sz w:val="20"/>
          <w:u w:val="single"/>
        </w:rPr>
        <w:t>Section 6.14(c)</w:t>
      </w:r>
      <w:r>
        <w:rPr>
          <w:rFonts w:ascii="Times New Roman" w:hAnsi="Times New Roman"/>
          <w:sz w:val="20"/>
        </w:rPr>
        <w:t xml:space="preserve"> is independent of, and in addition to, any deduction or set-off rights set forth in </w:t>
      </w:r>
      <w:r>
        <w:rPr>
          <w:rFonts w:ascii="Times New Roman" w:hAnsi="Times New Roman"/>
          <w:sz w:val="20"/>
          <w:u w:val="single"/>
        </w:rPr>
        <w:t>Section 9.2(h)</w:t>
      </w:r>
      <w:r>
        <w:rPr>
          <w:rFonts w:ascii="Times New Roman" w:hAnsi="Times New Roman"/>
          <w:sz w:val="20"/>
        </w:rPr>
        <w:t xml:space="preserve"> or elsewhere in this Agreement, and Acquiror shall not be required to assert an indemnification claim under </w:t>
      </w:r>
      <w:r>
        <w:rPr>
          <w:rFonts w:ascii="Times New Roman" w:hAnsi="Times New Roman"/>
          <w:sz w:val="20"/>
          <w:u w:val="single"/>
        </w:rPr>
        <w:t>Article IX</w:t>
      </w:r>
      <w:r>
        <w:rPr>
          <w:rFonts w:ascii="Times New Roman" w:hAnsi="Times New Roman"/>
          <w:sz w:val="20"/>
        </w:rPr>
        <w:t xml:space="preserve"> as a condition to exercising its deduction or offset rights under this </w:t>
      </w:r>
      <w:r>
        <w:rPr>
          <w:rFonts w:ascii="Times New Roman" w:hAnsi="Times New Roman"/>
          <w:sz w:val="20"/>
          <w:u w:val="single"/>
        </w:rPr>
        <w:t>Section 6.14(c)</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CONDITIONS TO THE MERGER </w:t>
      </w:r>
    </w:p>
    <w:p>
      <w:pPr>
        <w:pStyle w:val="TextBody"/>
        <w:bidi w:val="0"/>
        <w:spacing w:before="240" w:after="0"/>
        <w:jc w:val="left"/>
        <w:rPr>
          <w:rFonts w:ascii="Times New Roman" w:hAnsi="Times New Roman"/>
          <w:sz w:val="20"/>
        </w:rPr>
      </w:pPr>
      <w:bookmarkStart w:id="83" w:name="ex2_2rom152392_75"/>
      <w:bookmarkEnd w:id="83"/>
      <w:r>
        <w:rPr>
          <w:rFonts w:ascii="Times New Roman" w:hAnsi="Times New Roman"/>
          <w:sz w:val="20"/>
        </w:rPr>
        <w:t>7.1 </w:t>
      </w:r>
      <w:r>
        <w:rPr>
          <w:rFonts w:ascii="Times New Roman" w:hAnsi="Times New Roman"/>
          <w:sz w:val="20"/>
          <w:u w:val="single"/>
        </w:rPr>
        <w:t>Conditions to Obligations of Each Party to Effect the Merger</w:t>
      </w:r>
      <w:r>
        <w:rPr>
          <w:rFonts w:ascii="Times New Roman" w:hAnsi="Times New Roman"/>
          <w:sz w:val="20"/>
        </w:rPr>
        <w:t xml:space="preserve">. The respective obligations of each party hereto to consummate the transactions contemplated hereby shall be subject to the satisfaction at or prior to the Effective Time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Illegality</w:t>
      </w:r>
      <w:r>
        <w:rPr>
          <w:rFonts w:ascii="Times New Roman" w:hAnsi="Times New Roman"/>
          <w:sz w:val="20"/>
        </w:rPr>
        <w:t xml:space="preserve">. No Governmental Entity shall have entered any Order which is in effect and makes the transactions contemplated by this Agreement illegal, restrains or prohibits consummation of such transactions or causes such transactions to be rescinded following completion.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Regulatory Approvals</w:t>
      </w:r>
      <w:r>
        <w:rPr>
          <w:rFonts w:ascii="Times New Roman" w:hAnsi="Times New Roman"/>
          <w:sz w:val="20"/>
        </w:rPr>
        <w:t xml:space="preserve">. The waiting period (and any extension thereof) applicable under the HSR Act with respect to the consummation of the transactions contemplated hereby shall have expired or been terminated and any equivalent pre-clearance period or approval required by the Antitrust Laws of the jurisdictions identified in </w:t>
      </w:r>
      <w:r>
        <w:rPr>
          <w:rFonts w:ascii="Times New Roman" w:hAnsi="Times New Roman"/>
          <w:sz w:val="20"/>
          <w:u w:val="single"/>
        </w:rPr>
        <w:t>Section  6.3</w:t>
      </w:r>
      <w:r>
        <w:rPr>
          <w:rFonts w:ascii="Times New Roman" w:hAnsi="Times New Roman"/>
          <w:sz w:val="20"/>
        </w:rPr>
        <w:t xml:space="preserve"> of the Company Disclosure Schedule shall have been likewise completed or obtained. </w:t>
      </w:r>
    </w:p>
    <w:p>
      <w:pPr>
        <w:pStyle w:val="TextBody"/>
        <w:bidi w:val="0"/>
        <w:spacing w:before="240" w:after="0"/>
        <w:jc w:val="left"/>
        <w:rPr>
          <w:rFonts w:ascii="Times New Roman" w:hAnsi="Times New Roman"/>
          <w:sz w:val="20"/>
        </w:rPr>
      </w:pPr>
      <w:bookmarkStart w:id="84" w:name="ex2_2rom152392_76"/>
      <w:bookmarkEnd w:id="84"/>
      <w:r>
        <w:rPr>
          <w:rFonts w:ascii="Times New Roman" w:hAnsi="Times New Roman"/>
          <w:sz w:val="20"/>
        </w:rPr>
        <w:t>7.2 </w:t>
      </w:r>
      <w:r>
        <w:rPr>
          <w:rFonts w:ascii="Times New Roman" w:hAnsi="Times New Roman"/>
          <w:sz w:val="20"/>
          <w:u w:val="single"/>
        </w:rPr>
        <w:t>Additional Conditions to Obligations of the Company</w:t>
      </w:r>
      <w:r>
        <w:rPr>
          <w:rFonts w:ascii="Times New Roman" w:hAnsi="Times New Roman"/>
          <w:sz w:val="20"/>
        </w:rPr>
        <w:t xml:space="preserve">. The obligations of the Company to consummate the transactions contemplated hereby shall be subject to the satisfaction at or prior to the Effective Time of each of the following conditions (it being understood that each such condition is solely for the benefit of the Company and may be waived by the Company in writing in its sole discretion without notice, liability or obligation to any Person):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Representations and Warranties</w:t>
      </w:r>
      <w:r>
        <w:rPr>
          <w:rFonts w:ascii="Times New Roman" w:hAnsi="Times New Roman"/>
          <w:sz w:val="20"/>
        </w:rPr>
        <w:t xml:space="preserve">. The representations and warranties of Acquiror and Merger Sub contained in this Agreement shall be true and correct on the date hereof and as of the Closing Date with the same force and effect as if made on the Closing Date (except that those representations and warranties which address matters only as of a particular date shall have been true and correct only on such date), except, in each case, or in the aggregate, as does not constitute a Material Adverse Effect on Acquiror at the Closing Date.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Covenants</w:t>
      </w:r>
      <w:r>
        <w:rPr>
          <w:rFonts w:ascii="Times New Roman" w:hAnsi="Times New Roman"/>
          <w:sz w:val="20"/>
        </w:rPr>
        <w:t xml:space="preserve">. Acquiror and Merger Sub shall have performed and complied in all material respects with all covenants, obligations and agreements of this Agreement required to be performed and complied with by them at or prior to the Closing.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Payments at the Closing</w:t>
      </w:r>
      <w:r>
        <w:rPr>
          <w:rFonts w:ascii="Times New Roman" w:hAnsi="Times New Roman"/>
          <w:sz w:val="20"/>
        </w:rPr>
        <w:t xml:space="preserve">. On or prior to the Closing Date, Acquiror shall have made the payments contemplated by </w:t>
      </w:r>
      <w:r>
        <w:rPr>
          <w:rFonts w:ascii="Times New Roman" w:hAnsi="Times New Roman"/>
          <w:sz w:val="20"/>
          <w:u w:val="single"/>
        </w:rPr>
        <w:t>Section 1.4(a)(iv)</w:t>
      </w:r>
      <w:r>
        <w:rPr>
          <w:rFonts w:ascii="Times New Roman" w:hAnsi="Times New Roman"/>
          <w:sz w:val="20"/>
        </w:rPr>
        <w:t xml:space="preserve"> through </w:t>
      </w:r>
      <w:r>
        <w:rPr>
          <w:rFonts w:ascii="Times New Roman" w:hAnsi="Times New Roman"/>
          <w:sz w:val="20"/>
          <w:u w:val="single"/>
        </w:rPr>
        <w:t>(ix)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Receipt of Closing Deliveries</w:t>
      </w:r>
      <w:r>
        <w:rPr>
          <w:rFonts w:ascii="Times New Roman" w:hAnsi="Times New Roman"/>
          <w:sz w:val="20"/>
        </w:rPr>
        <w:t xml:space="preserve">. The Company shall have received each of the agreements, instruments and other documents set forth in </w:t>
      </w:r>
      <w:r>
        <w:rPr>
          <w:rFonts w:ascii="Times New Roman" w:hAnsi="Times New Roman"/>
          <w:sz w:val="20"/>
          <w:u w:val="single"/>
        </w:rPr>
        <w:t>Section 1.4(a)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85" w:name="ex2_2rom152392_77"/>
      <w:bookmarkEnd w:id="85"/>
      <w:r>
        <w:rPr>
          <w:rFonts w:ascii="Times New Roman" w:hAnsi="Times New Roman"/>
          <w:sz w:val="20"/>
        </w:rPr>
        <w:t>7.3 </w:t>
      </w:r>
      <w:r>
        <w:rPr>
          <w:rFonts w:ascii="Times New Roman" w:hAnsi="Times New Roman"/>
          <w:sz w:val="20"/>
          <w:u w:val="single"/>
        </w:rPr>
        <w:t>Additional Conditions to the Obligations of Acquiror</w:t>
      </w:r>
      <w:r>
        <w:rPr>
          <w:rFonts w:ascii="Times New Roman" w:hAnsi="Times New Roman"/>
          <w:sz w:val="20"/>
        </w:rPr>
        <w:t xml:space="preserve">. The obligations of Acquiror and Merger Sub to consummate the transactions contemplated hereby shall be subject to the satisfaction at or prior to the Effective Time of each of the following conditions (it being understood that each such condition is solely for the benefit of Acquiror and Merger Sub and may be waived by Acquiror and Merger Sub in writing in their sole discretion without notice, liability or obligation to any Person):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in this Agreement shall be true and correct on the date hereof and as of the Closing Date with the same force and effect as if made on the Closing Date (except that those representations and warranties which address matters only as of a particular date shall have been true and correct only on such date), except, in each case, or in the aggregate, as does not constitute a Material Adverse Effect on the Company at the Closing Date.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Covenants</w:t>
      </w:r>
      <w:r>
        <w:rPr>
          <w:rFonts w:ascii="Times New Roman" w:hAnsi="Times New Roman"/>
          <w:sz w:val="20"/>
        </w:rPr>
        <w:t xml:space="preserve">. The Company shall have performed and complied in all material respects with all covenants, obligations and agreements of this Agreement required to be performed and complied with by the Company at or prior to the Closing.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Receipt of Closing Deliveries</w:t>
      </w:r>
      <w:r>
        <w:rPr>
          <w:rFonts w:ascii="Times New Roman" w:hAnsi="Times New Roman"/>
          <w:sz w:val="20"/>
        </w:rPr>
        <w:t xml:space="preserve">. Acquiror shall have received each of the agreements, instruments and other documents set forth in </w:t>
      </w:r>
      <w:r>
        <w:rPr>
          <w:rFonts w:ascii="Times New Roman" w:hAnsi="Times New Roman"/>
          <w:sz w:val="20"/>
          <w:u w:val="single"/>
        </w:rPr>
        <w:t>Section 1.4(b)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No Material Adverse Effect</w:t>
      </w:r>
      <w:r>
        <w:rPr>
          <w:rFonts w:ascii="Times New Roman" w:hAnsi="Times New Roman"/>
          <w:sz w:val="20"/>
        </w:rPr>
        <w:t xml:space="preserve">. Since the Agreement Date, there shall not have occurred any event which, individually or in the aggregate, has caused a Material Adverse Effect with respect to the Company.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Shareholder Approval</w:t>
      </w:r>
      <w:r>
        <w:rPr>
          <w:rFonts w:ascii="Times New Roman" w:hAnsi="Times New Roman"/>
          <w:sz w:val="20"/>
        </w:rPr>
        <w:t xml:space="preserve">. The Company shall have obtained the Requisite Stockholder Approval.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TERMINATION </w:t>
      </w:r>
    </w:p>
    <w:p>
      <w:pPr>
        <w:pStyle w:val="TextBody"/>
        <w:bidi w:val="0"/>
        <w:spacing w:before="240" w:after="0"/>
        <w:jc w:val="left"/>
        <w:rPr>
          <w:rFonts w:ascii="Times New Roman" w:hAnsi="Times New Roman"/>
          <w:sz w:val="20"/>
        </w:rPr>
      </w:pPr>
      <w:bookmarkStart w:id="86" w:name="ex2_2rom152392_79"/>
      <w:bookmarkEnd w:id="86"/>
      <w:r>
        <w:rPr>
          <w:rFonts w:ascii="Times New Roman" w:hAnsi="Times New Roman"/>
          <w:sz w:val="20"/>
        </w:rPr>
        <w:t>8.1 </w:t>
      </w:r>
      <w:r>
        <w:rPr>
          <w:rFonts w:ascii="Times New Roman" w:hAnsi="Times New Roman"/>
          <w:sz w:val="20"/>
          <w:u w:val="single"/>
        </w:rPr>
        <w:t>Termination</w:t>
      </w:r>
      <w:r>
        <w:rPr>
          <w:rFonts w:ascii="Times New Roman" w:hAnsi="Times New Roman"/>
          <w:sz w:val="20"/>
        </w:rPr>
        <w:t xml:space="preserve">. At any time prior to the Effective Time, this Agreement may be terminated and the Merger abandoned by authorized action taken by the terminating party (notwithstanding approval and adoption of this Agreement by the Company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duly authorized by the Company Board and the board of directors of Acquiror; </w:t>
      </w:r>
    </w:p>
    <w:p>
      <w:pPr>
        <w:pStyle w:val="TextBody"/>
        <w:bidi w:val="0"/>
        <w:spacing w:before="240" w:after="0"/>
        <w:jc w:val="left"/>
        <w:rPr>
          <w:rFonts w:ascii="Times New Roman" w:hAnsi="Times New Roman"/>
          <w:sz w:val="20"/>
        </w:rPr>
      </w:pPr>
      <w:r>
        <w:rPr>
          <w:rFonts w:ascii="Times New Roman" w:hAnsi="Times New Roman"/>
          <w:sz w:val="20"/>
        </w:rPr>
        <w:t>(b) by either Acquiror or the Company, if the Merger shall not have occurred on or before the date that is thirty (30) days following the date of this Agreement (the “</w:t>
      </w:r>
      <w:r>
        <w:rPr>
          <w:rFonts w:ascii="Times New Roman" w:hAnsi="Times New Roman"/>
          <w:b/>
          <w:i/>
          <w:sz w:val="20"/>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right to terminate this Agreement under this </w:t>
      </w:r>
      <w:r>
        <w:rPr>
          <w:rFonts w:ascii="Times New Roman" w:hAnsi="Times New Roman"/>
          <w:sz w:val="20"/>
          <w:u w:val="single"/>
        </w:rPr>
        <w:t>Section 8.1(b)</w:t>
      </w:r>
      <w:r>
        <w:rPr>
          <w:rFonts w:ascii="Times New Roman" w:hAnsi="Times New Roman"/>
          <w:sz w:val="20"/>
        </w:rPr>
        <w:t xml:space="preserve"> shall not be available to any party whose breach of this Agreement has been the proximate cause of or resulted in the failure of the Merger to occur on or before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(c) by Acquiror, if the Company shall have breached any representation, warranty, covenant or agreement contained in this Agreement and such breach shall not have been cured within thirty (30) days after receipt by the Company of written notice of such breach and if not cured within the timeframe above and at or prior to the Closing, such breach would result in the failure of any of the conditions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 be satisfied (it being understood that Acquiror may not terminate this Agreement pursuant to this </w:t>
      </w:r>
      <w:r>
        <w:rPr>
          <w:rFonts w:ascii="Times New Roman" w:hAnsi="Times New Roman"/>
          <w:sz w:val="20"/>
          <w:u w:val="single"/>
        </w:rPr>
        <w:t>Section 8.1(c)</w:t>
      </w:r>
      <w:r>
        <w:rPr>
          <w:rFonts w:ascii="Times New Roman" w:hAnsi="Times New Roman"/>
          <w:sz w:val="20"/>
        </w:rPr>
        <w:t xml:space="preserve"> if at the time of such termination Acquiror shall be in material breach of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(d) by the Company, if Acquiror or Merger Sub shall have breached any representation, warranty, covenant or agreement contained in this Agreement and such breach shall not have been cured within thirty (30) days after receipt by Acquiror of written notice of such breach and if not cured within the timeframe above and at or prior to Closing, such breach would result in the failure of any of the conditions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to be satisfied (it being understood that the Company may not terminate this Agreement pursuant to this </w:t>
      </w:r>
      <w:r>
        <w:rPr>
          <w:rFonts w:ascii="Times New Roman" w:hAnsi="Times New Roman"/>
          <w:sz w:val="20"/>
          <w:u w:val="single"/>
        </w:rPr>
        <w:t>Section 8.1(d)</w:t>
      </w:r>
      <w:r>
        <w:rPr>
          <w:rFonts w:ascii="Times New Roman" w:hAnsi="Times New Roman"/>
          <w:sz w:val="20"/>
        </w:rPr>
        <w:t xml:space="preserve"> if at the time of such termination the Company shall be in material breach of the Agreement); or </w:t>
      </w:r>
    </w:p>
    <w:p>
      <w:pPr>
        <w:pStyle w:val="TextBody"/>
        <w:bidi w:val="0"/>
        <w:spacing w:before="240" w:after="0"/>
        <w:jc w:val="left"/>
        <w:rPr>
          <w:rFonts w:ascii="Times New Roman" w:hAnsi="Times New Roman"/>
          <w:sz w:val="20"/>
        </w:rPr>
      </w:pPr>
      <w:r>
        <w:rPr>
          <w:rFonts w:ascii="Times New Roman" w:hAnsi="Times New Roman"/>
          <w:sz w:val="20"/>
        </w:rPr>
        <w:t xml:space="preserve">(a) by Acquiror if the Requisite Stockholder Approval shall not have been obtained by the Company and delivered to Acquiror within twenty-four (24) hours after the execution and delivery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termination right shall no longer apply and shall expire if not invoked by Acquiror prior to actual delivery of the Stockholder Written Consents evidencing the Requisite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termination by Acquiror or the Company pursuant to this </w:t>
      </w:r>
      <w:r>
        <w:rPr>
          <w:rFonts w:ascii="Times New Roman" w:hAnsi="Times New Roman"/>
          <w:sz w:val="20"/>
          <w:u w:val="single"/>
        </w:rPr>
        <w:t>Section 8.1</w:t>
      </w:r>
      <w:r>
        <w:rPr>
          <w:rFonts w:ascii="Times New Roman" w:hAnsi="Times New Roman"/>
          <w:sz w:val="20"/>
        </w:rPr>
        <w:t xml:space="preserve"> (other than </w:t>
      </w:r>
      <w:r>
        <w:rPr>
          <w:rFonts w:ascii="Times New Roman" w:hAnsi="Times New Roman"/>
          <w:sz w:val="20"/>
          <w:u w:val="single"/>
        </w:rPr>
        <w:t>Section 8.1(a)</w:t>
      </w:r>
      <w:r>
        <w:rPr>
          <w:rFonts w:ascii="Times New Roman" w:hAnsi="Times New Roman"/>
          <w:sz w:val="20"/>
        </w:rPr>
        <w:t xml:space="preserve">), written notice thereof shall be given to other parties hereto. </w:t>
      </w:r>
    </w:p>
    <w:p>
      <w:pPr>
        <w:pStyle w:val="TextBody"/>
        <w:bidi w:val="0"/>
        <w:spacing w:before="240" w:after="0"/>
        <w:jc w:val="left"/>
        <w:rPr>
          <w:rFonts w:ascii="Times New Roman" w:hAnsi="Times New Roman"/>
          <w:sz w:val="20"/>
        </w:rPr>
      </w:pPr>
      <w:bookmarkStart w:id="87" w:name="ex2_2rom152392_80"/>
      <w:bookmarkEnd w:id="87"/>
      <w:r>
        <w:rPr>
          <w:rFonts w:ascii="Times New Roman" w:hAnsi="Times New Roman"/>
          <w:sz w:val="20"/>
        </w:rPr>
        <w:t>8.2 </w:t>
      </w:r>
      <w:r>
        <w:rPr>
          <w:rFonts w:ascii="Times New Roman" w:hAnsi="Times New Roman"/>
          <w:sz w:val="20"/>
          <w:u w:val="single"/>
        </w:rPr>
        <w:t>Effect of Termination</w:t>
      </w:r>
      <w:r>
        <w:rPr>
          <w:rFonts w:ascii="Times New Roman" w:hAnsi="Times New Roman"/>
          <w:sz w:val="20"/>
        </w:rPr>
        <w:t xml:space="preserve">. If this Agreement is terminated pursuant to this </w:t>
      </w:r>
      <w:r>
        <w:rPr>
          <w:rFonts w:ascii="Times New Roman" w:hAnsi="Times New Roman"/>
          <w:sz w:val="20"/>
          <w:u w:val="single"/>
        </w:rPr>
        <w:t>Article VIII</w:t>
      </w:r>
      <w:r>
        <w:rPr>
          <w:rFonts w:ascii="Times New Roman" w:hAnsi="Times New Roman"/>
          <w:sz w:val="20"/>
        </w:rPr>
        <w:t xml:space="preserve">, except as set forth in this </w:t>
      </w:r>
      <w:r>
        <w:rPr>
          <w:rFonts w:ascii="Times New Roman" w:hAnsi="Times New Roman"/>
          <w:sz w:val="20"/>
          <w:u w:val="single"/>
        </w:rPr>
        <w:t>Section 8.2</w:t>
      </w:r>
      <w:r>
        <w:rPr>
          <w:rFonts w:ascii="Times New Roman" w:hAnsi="Times New Roman"/>
          <w:sz w:val="20"/>
        </w:rPr>
        <w:t xml:space="preserve">, it shall become void and of no further force and effect, with no liability on the part of any party to this Agreement (or any of their respective officers, directors, stockholders, Affiliates, employees, agents, advisors, attorneys or representatives). The provisions of </w:t>
      </w:r>
      <w:r>
        <w:rPr>
          <w:rFonts w:ascii="Times New Roman" w:hAnsi="Times New Roman"/>
          <w:sz w:val="20"/>
          <w:u w:val="single"/>
        </w:rPr>
        <w:t>Section 6.2</w:t>
      </w:r>
      <w:r>
        <w:rPr>
          <w:rFonts w:ascii="Times New Roman" w:hAnsi="Times New Roman"/>
          <w:sz w:val="20"/>
        </w:rPr>
        <w:t xml:space="preserve"> (Confidentiality; Public Disclosure), </w:t>
      </w:r>
      <w:r>
        <w:rPr>
          <w:rFonts w:ascii="Times New Roman" w:hAnsi="Times New Roman"/>
          <w:sz w:val="20"/>
          <w:u w:val="single"/>
        </w:rPr>
        <w:t>Section 6.6</w:t>
      </w:r>
      <w:r>
        <w:rPr>
          <w:rFonts w:ascii="Times New Roman" w:hAnsi="Times New Roman"/>
          <w:sz w:val="20"/>
        </w:rPr>
        <w:t xml:space="preserve"> (Expenses), this </w:t>
      </w:r>
      <w:r>
        <w:rPr>
          <w:rFonts w:ascii="Times New Roman" w:hAnsi="Times New Roman"/>
          <w:sz w:val="20"/>
          <w:u w:val="single"/>
        </w:rPr>
        <w:t>Section 8.2</w:t>
      </w:r>
      <w:r>
        <w:rPr>
          <w:rFonts w:ascii="Times New Roman" w:hAnsi="Times New Roman"/>
          <w:sz w:val="20"/>
        </w:rPr>
        <w:t xml:space="preserve"> (Effect of Termination), </w:t>
      </w:r>
      <w:r>
        <w:rPr>
          <w:rFonts w:ascii="Times New Roman" w:hAnsi="Times New Roman"/>
          <w:sz w:val="20"/>
          <w:u w:val="single"/>
        </w:rPr>
        <w:t>Article X</w:t>
      </w:r>
      <w:r>
        <w:rPr>
          <w:rFonts w:ascii="Times New Roman" w:hAnsi="Times New Roman"/>
          <w:sz w:val="20"/>
        </w:rPr>
        <w:t xml:space="preserve"> (General Provisions) and the Confidentiality Agreement shall survive any termination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SURVIVAL; RELEASE </w:t>
      </w:r>
    </w:p>
    <w:p>
      <w:pPr>
        <w:pStyle w:val="TextBody"/>
        <w:bidi w:val="0"/>
        <w:spacing w:before="240" w:after="0"/>
        <w:jc w:val="left"/>
        <w:rPr>
          <w:rFonts w:ascii="Times New Roman" w:hAnsi="Times New Roman"/>
          <w:sz w:val="20"/>
        </w:rPr>
      </w:pPr>
      <w:bookmarkStart w:id="88" w:name="ex2_2rom152392_82"/>
      <w:bookmarkEnd w:id="88"/>
      <w:r>
        <w:rPr>
          <w:rFonts w:ascii="Times New Roman" w:hAnsi="Times New Roman"/>
          <w:sz w:val="20"/>
        </w:rPr>
        <w:t>9.1 </w:t>
      </w:r>
      <w:r>
        <w:rPr>
          <w:rFonts w:ascii="Times New Roman" w:hAnsi="Times New Roman"/>
          <w:sz w:val="20"/>
          <w:u w:val="single"/>
        </w:rPr>
        <w:t>Survival</w:t>
      </w:r>
      <w:r>
        <w:rPr>
          <w:rFonts w:ascii="Times New Roman" w:hAnsi="Times New Roman"/>
          <w:sz w:val="20"/>
        </w:rPr>
        <w:t>. If the Merger is consummated, (a) the representations and warranties of the Company contained herein or in any certificate expressly required to be delivered hereunder shall survive in full force and effect until the date that is [***] after the Closing Date (but without prejudice to the survival periods set forth in the R&amp;W Policy); </w:t>
      </w:r>
      <w:r>
        <w:rPr>
          <w:rFonts w:ascii="Times New Roman" w:hAnsi="Times New Roman"/>
          <w:i/>
          <w:sz w:val="20"/>
        </w:rPr>
        <w:t>provided</w:t>
      </w:r>
      <w:r>
        <w:rPr>
          <w:rFonts w:ascii="Times New Roman" w:hAnsi="Times New Roman"/>
          <w:sz w:val="20"/>
        </w:rPr>
        <w:t xml:space="preserve"> that (i) the representations and warranties of the Company contained in </w:t>
      </w: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3.4</w:t>
      </w:r>
      <w:r>
        <w:rPr>
          <w:rFonts w:ascii="Times New Roman" w:hAnsi="Times New Roman"/>
          <w:sz w:val="20"/>
        </w:rPr>
        <w:t xml:space="preserve"> (only with respect to subclause (a) and (b)(i) therein), </w:t>
      </w:r>
      <w:r>
        <w:rPr>
          <w:rFonts w:ascii="Times New Roman" w:hAnsi="Times New Roman"/>
          <w:sz w:val="20"/>
          <w:u w:val="single"/>
        </w:rPr>
        <w:t>Section 3.14</w:t>
      </w:r>
      <w:r>
        <w:rPr>
          <w:rFonts w:ascii="Times New Roman" w:hAnsi="Times New Roman"/>
          <w:sz w:val="20"/>
        </w:rPr>
        <w:t xml:space="preserve">, and </w:t>
      </w:r>
      <w:r>
        <w:rPr>
          <w:rFonts w:ascii="Times New Roman" w:hAnsi="Times New Roman"/>
          <w:sz w:val="20"/>
          <w:u w:val="single"/>
        </w:rPr>
        <w:t xml:space="preserve">Section 3.19 </w:t>
      </w:r>
      <w:r>
        <w:rPr>
          <w:rFonts w:ascii="Times New Roman" w:hAnsi="Times New Roman"/>
          <w:sz w:val="20"/>
        </w:rPr>
        <w:t>(collectively, the “</w:t>
      </w:r>
      <w:r>
        <w:rPr>
          <w:rFonts w:ascii="Times New Roman" w:hAnsi="Times New Roman"/>
          <w:b/>
          <w:i/>
          <w:sz w:val="20"/>
        </w:rPr>
        <w:t>Fundamental Representations</w:t>
      </w:r>
      <w:r>
        <w:rPr>
          <w:rFonts w:ascii="Times New Roman" w:hAnsi="Times New Roman"/>
          <w:sz w:val="20"/>
        </w:rPr>
        <w:t>”) shall survive until the date that is the [***] of the Closing Date (such date and time of expiration, the “</w:t>
      </w:r>
      <w:r>
        <w:rPr>
          <w:rFonts w:ascii="Times New Roman" w:hAnsi="Times New Roman"/>
          <w:b/>
          <w:i/>
          <w:sz w:val="20"/>
        </w:rPr>
        <w:t>Fundamental Survival Date</w:t>
      </w:r>
      <w:r>
        <w:rPr>
          <w:rFonts w:ascii="Times New Roman" w:hAnsi="Times New Roman"/>
          <w:sz w:val="20"/>
        </w:rPr>
        <w:t xml:space="preserve">”), and (ii) (A) the representations and warranties of the Company contained in </w:t>
      </w:r>
      <w:r>
        <w:rPr>
          <w:rFonts w:ascii="Times New Roman" w:hAnsi="Times New Roman"/>
          <w:sz w:val="20"/>
          <w:u w:val="single"/>
        </w:rPr>
        <w:t>Section 3.12(d)</w:t>
      </w:r>
      <w:r>
        <w:rPr>
          <w:rFonts w:ascii="Times New Roman" w:hAnsi="Times New Roman"/>
          <w:sz w:val="20"/>
        </w:rPr>
        <w:t xml:space="preserve"> and, solely to the extent related to [***] License Agreement, the representations and warranties of the Company contained in each of </w:t>
      </w:r>
      <w:r>
        <w:rPr>
          <w:rFonts w:ascii="Times New Roman" w:hAnsi="Times New Roman"/>
          <w:sz w:val="20"/>
          <w:u w:val="single"/>
        </w:rPr>
        <w:t>Section 3.12(k)</w:t>
      </w:r>
      <w:r>
        <w:rPr>
          <w:rFonts w:ascii="Times New Roman" w:hAnsi="Times New Roman"/>
          <w:sz w:val="20"/>
        </w:rPr>
        <w:t xml:space="preserve">, </w:t>
      </w:r>
      <w:r>
        <w:rPr>
          <w:rFonts w:ascii="Times New Roman" w:hAnsi="Times New Roman"/>
          <w:sz w:val="20"/>
          <w:u w:val="single"/>
        </w:rPr>
        <w:t>Section 3.12(l)</w:t>
      </w:r>
      <w:r>
        <w:rPr>
          <w:rFonts w:ascii="Times New Roman" w:hAnsi="Times New Roman"/>
          <w:sz w:val="20"/>
        </w:rPr>
        <w:t xml:space="preserve">, </w:t>
      </w:r>
      <w:r>
        <w:rPr>
          <w:rFonts w:ascii="Times New Roman" w:hAnsi="Times New Roman"/>
          <w:sz w:val="20"/>
          <w:u w:val="single"/>
        </w:rPr>
        <w:t>Section 3.12(m)</w:t>
      </w:r>
      <w:r>
        <w:rPr>
          <w:rFonts w:ascii="Times New Roman" w:hAnsi="Times New Roman"/>
          <w:sz w:val="20"/>
        </w:rPr>
        <w:t xml:space="preserve">, and </w:t>
      </w:r>
      <w:r>
        <w:rPr>
          <w:rFonts w:ascii="Times New Roman" w:hAnsi="Times New Roman"/>
          <w:sz w:val="20"/>
          <w:u w:val="single"/>
        </w:rPr>
        <w:t>Section 3.12(n)</w:t>
      </w:r>
      <w:r>
        <w:rPr>
          <w:rFonts w:ascii="Times New Roman" w:hAnsi="Times New Roman"/>
          <w:sz w:val="20"/>
        </w:rPr>
        <w:t xml:space="preserve"> (the “</w:t>
      </w:r>
      <w:r>
        <w:rPr>
          <w:rFonts w:ascii="Times New Roman" w:hAnsi="Times New Roman"/>
          <w:b/>
          <w:i/>
          <w:sz w:val="20"/>
        </w:rPr>
        <w:t>Limited Representations</w:t>
      </w:r>
      <w:r>
        <w:rPr>
          <w:rFonts w:ascii="Times New Roman" w:hAnsi="Times New Roman"/>
          <w:sz w:val="20"/>
        </w:rPr>
        <w:t xml:space="preserve">”) and (B) claims in respect of any matters subject to </w:t>
      </w:r>
      <w:r>
        <w:rPr>
          <w:rFonts w:ascii="Times New Roman" w:hAnsi="Times New Roman"/>
          <w:sz w:val="20"/>
          <w:u w:val="single"/>
        </w:rPr>
        <w:t>Section 9.2(a)(v)</w:t>
      </w:r>
      <w:r>
        <w:rPr>
          <w:rFonts w:ascii="Times New Roman" w:hAnsi="Times New Roman"/>
          <w:sz w:val="20"/>
        </w:rPr>
        <w:t xml:space="preserve"> shall survive until the date that is the [***] of the Closing Date; (b) claims in respect of any matter subject to clauses (ii)-(iv) under </w:t>
      </w:r>
      <w:r>
        <w:rPr>
          <w:rFonts w:ascii="Times New Roman" w:hAnsi="Times New Roman"/>
          <w:sz w:val="20"/>
          <w:u w:val="single"/>
        </w:rPr>
        <w:t>Section 9.2</w:t>
      </w:r>
      <w:r>
        <w:rPr>
          <w:rFonts w:ascii="Times New Roman" w:hAnsi="Times New Roman"/>
          <w:sz w:val="20"/>
        </w:rPr>
        <w:t xml:space="preserve"> shall survive until the Fundamental Survival Date, (c) none of the covenants or agreements contained in this Agreement shall survive the Closing other than those which by their terms contemplate performance after the Closing and such surviving covenants and agreements shall survive the Closing only until the expiration of the term of the undertaking set forth in such covenant or agreement, (d) other than the representations and warranties of Acquiror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and </w:t>
      </w:r>
      <w:r>
        <w:rPr>
          <w:rFonts w:ascii="Times New Roman" w:hAnsi="Times New Roman"/>
          <w:sz w:val="20"/>
          <w:u w:val="single"/>
        </w:rPr>
        <w:t>Section 4.8</w:t>
      </w:r>
      <w:r>
        <w:rPr>
          <w:rFonts w:ascii="Times New Roman" w:hAnsi="Times New Roman"/>
          <w:sz w:val="20"/>
        </w:rPr>
        <w:t>, which shall survive until the date that is [***] after the Closing, the representations and warranties of Acquiror hereto contained herein or in any certificate expressly required to be delivered hereunder shall not survive the Closing, and (e) anything to the contrary contained herein, claims for Fraud under this Agreement on the part of any particular Indemnifying Party shall survive indefinitely, in each case, solely against the Indemnifying Party that committed such Fraud; </w:t>
      </w:r>
      <w:r>
        <w:rPr>
          <w:rFonts w:ascii="Times New Roman" w:hAnsi="Times New Roman"/>
          <w:i/>
          <w:sz w:val="20"/>
        </w:rPr>
        <w:t>provided</w:t>
      </w:r>
      <w:r>
        <w:rPr>
          <w:rFonts w:ascii="Times New Roman" w:hAnsi="Times New Roman"/>
          <w:sz w:val="20"/>
        </w:rPr>
        <w:t>, </w:t>
      </w:r>
      <w:r>
        <w:rPr>
          <w:rFonts w:ascii="Times New Roman" w:hAnsi="Times New Roman"/>
          <w:i/>
          <w:sz w:val="20"/>
        </w:rPr>
        <w:t>further</w:t>
      </w:r>
      <w:r>
        <w:rPr>
          <w:rFonts w:ascii="Times New Roman" w:hAnsi="Times New Roman"/>
          <w:sz w:val="20"/>
        </w:rPr>
        <w:t xml:space="preserve">, that if a claim or notice with respect to recovery under the indemnification provisions hereof is given in accordance with the terms hereof with respect to any Indemnifiable Matter prior to the expiration of the survival period specified in this </w:t>
      </w:r>
      <w:r>
        <w:rPr>
          <w:rFonts w:ascii="Times New Roman" w:hAnsi="Times New Roman"/>
          <w:sz w:val="20"/>
          <w:u w:val="single"/>
        </w:rPr>
        <w:t>Section 9.1</w:t>
      </w:r>
      <w:r>
        <w:rPr>
          <w:rFonts w:ascii="Times New Roman" w:hAnsi="Times New Roman"/>
          <w:sz w:val="20"/>
        </w:rPr>
        <w:t xml:space="preserve">, if applicable, in each case, the claim shall survive until such claim is finally resolved pursuant to the terms of this </w:t>
      </w:r>
      <w:r>
        <w:rPr>
          <w:rFonts w:ascii="Times New Roman" w:hAnsi="Times New Roman"/>
          <w:sz w:val="20"/>
          <w:u w:val="single"/>
        </w:rPr>
        <w:t>Article IX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89" w:name="ex2_2rom152392_83"/>
      <w:bookmarkEnd w:id="89"/>
      <w:r>
        <w:rPr>
          <w:rFonts w:ascii="Times New Roman" w:hAnsi="Times New Roman"/>
          <w:sz w:val="20"/>
        </w:rPr>
        <w:t>9.2 </w:t>
      </w:r>
      <w:r>
        <w:rPr>
          <w:rFonts w:ascii="Times New Roman" w:hAnsi="Times New Roman"/>
          <w:sz w:val="20"/>
          <w:u w:val="single"/>
        </w:rPr>
        <w:t>Indemnification by the Indemnifying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Effective Time, by virtue of the Merger and subject to the terms, conditions and limitations of this </w:t>
      </w:r>
      <w:r>
        <w:rPr>
          <w:rFonts w:ascii="Times New Roman" w:hAnsi="Times New Roman"/>
          <w:sz w:val="20"/>
          <w:u w:val="single"/>
        </w:rPr>
        <w:t>Article IX</w:t>
      </w:r>
      <w:r>
        <w:rPr>
          <w:rFonts w:ascii="Times New Roman" w:hAnsi="Times New Roman"/>
          <w:sz w:val="20"/>
        </w:rPr>
        <w:t>, the Company Stockholders and holders of In-the-Money Options (collectively, the “</w:t>
      </w:r>
      <w:r>
        <w:rPr>
          <w:rFonts w:ascii="Times New Roman" w:hAnsi="Times New Roman"/>
          <w:b/>
          <w:i/>
          <w:sz w:val="20"/>
        </w:rPr>
        <w:t>Indemnifying Parties</w:t>
      </w:r>
      <w:r>
        <w:rPr>
          <w:rFonts w:ascii="Times New Roman" w:hAnsi="Times New Roman"/>
          <w:sz w:val="20"/>
        </w:rPr>
        <w:t>”) shall, severally (in accordance with each Indemnifying Party’s Pro Rata Portion), but not jointly, indemnify and hold harmless the Surviving Corporation, Acquiror, Merger Sub and their respective directors, officers, employees, Affiliates, agents, successors and assigns (collectively, the “</w:t>
      </w:r>
      <w:r>
        <w:rPr>
          <w:rFonts w:ascii="Times New Roman" w:hAnsi="Times New Roman"/>
          <w:b/>
          <w:i/>
          <w:sz w:val="20"/>
        </w:rPr>
        <w:t>Indemnified Parties</w:t>
      </w:r>
      <w:r>
        <w:rPr>
          <w:rFonts w:ascii="Times New Roman" w:hAnsi="Times New Roman"/>
          <w:sz w:val="20"/>
        </w:rPr>
        <w:t>”) from and against any and all Damages of such Person (such Damages, “</w:t>
      </w:r>
      <w:r>
        <w:rPr>
          <w:rFonts w:ascii="Times New Roman" w:hAnsi="Times New Roman"/>
          <w:b/>
          <w:i/>
          <w:sz w:val="20"/>
        </w:rPr>
        <w:t>Indemnifiable Damages</w:t>
      </w:r>
      <w:r>
        <w:rPr>
          <w:rFonts w:ascii="Times New Roman" w:hAnsi="Times New Roman"/>
          <w:sz w:val="20"/>
        </w:rPr>
        <w:t xml:space="preserve">”) incurred resulting or arising from: </w:t>
      </w:r>
    </w:p>
    <w:p>
      <w:pPr>
        <w:pStyle w:val="TextBody"/>
        <w:bidi w:val="0"/>
        <w:spacing w:before="120" w:after="0"/>
        <w:jc w:val="left"/>
        <w:rPr>
          <w:rFonts w:ascii="Times New Roman" w:hAnsi="Times New Roman"/>
          <w:sz w:val="20"/>
        </w:rPr>
      </w:pPr>
      <w:r>
        <w:rPr>
          <w:rFonts w:ascii="Times New Roman" w:hAnsi="Times New Roman"/>
          <w:sz w:val="20"/>
        </w:rPr>
        <w:t xml:space="preserve">(i) any inaccuracy in any of the representations and warranties of the Company contained herein or in any certificate expressly required to be delivered hereunder to be true and correct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(ii) any payments made with respect to Dissenting Shares to the extent that such payments, in the aggregate, exceed the value of the consideration that otherwise would have been payable pursuant to </w:t>
      </w:r>
      <w:r>
        <w:rPr>
          <w:rFonts w:ascii="Times New Roman" w:hAnsi="Times New Roman"/>
          <w:sz w:val="20"/>
          <w:u w:val="single"/>
        </w:rPr>
        <w:t>Section 2.1(a)(i)</w:t>
      </w:r>
      <w:r>
        <w:rPr>
          <w:rFonts w:ascii="Times New Roman" w:hAnsi="Times New Roman"/>
          <w:sz w:val="20"/>
        </w:rPr>
        <w:t xml:space="preserve"> upon the exchange of such Dissenting Shares; </w:t>
      </w:r>
    </w:p>
    <w:p>
      <w:pPr>
        <w:pStyle w:val="TextBody"/>
        <w:bidi w:val="0"/>
        <w:spacing w:before="120" w:after="0"/>
        <w:jc w:val="left"/>
        <w:rPr>
          <w:rFonts w:ascii="Times New Roman" w:hAnsi="Times New Roman"/>
          <w:sz w:val="20"/>
        </w:rPr>
      </w:pPr>
      <w:r>
        <w:rPr>
          <w:rFonts w:ascii="Times New Roman" w:hAnsi="Times New Roman"/>
          <w:sz w:val="20"/>
        </w:rPr>
        <w:t xml:space="preserve">(iii) any Indemnified Taxes, except for any such Taxes that were reflected in the calculation of the Merger Consideration, as finally determined; </w:t>
      </w:r>
    </w:p>
    <w:p>
      <w:pPr>
        <w:pStyle w:val="TextBody"/>
        <w:bidi w:val="0"/>
        <w:spacing w:before="120" w:after="0"/>
        <w:jc w:val="left"/>
        <w:rPr>
          <w:rFonts w:ascii="Times New Roman" w:hAnsi="Times New Roman"/>
          <w:sz w:val="20"/>
        </w:rPr>
      </w:pPr>
      <w:r>
        <w:rPr>
          <w:rFonts w:ascii="Times New Roman" w:hAnsi="Times New Roman"/>
          <w:sz w:val="20"/>
        </w:rPr>
        <w:t xml:space="preserve">(iv) any Fraud committed by or on behalf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(v) any breach of the [***] Agreement (including the [***] Amendment) by the Company as of or at any time prior to the Closing that (a) is not curable under the express terms of the [***] Agreement, or (b) has not actually been cured within the applicable cure period provided for therein, including any claim of breach made under the [***] Agreement (including the [***] Amendment) arising from or based on any acts or omissions occurring prior to the Closing (including any actual termination and/or program reversion in relation to or based upon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(b) For the purpose of this </w:t>
      </w:r>
      <w:r>
        <w:rPr>
          <w:rFonts w:ascii="Times New Roman" w:hAnsi="Times New Roman"/>
          <w:sz w:val="20"/>
          <w:u w:val="single"/>
        </w:rPr>
        <w:t>Article IX</w:t>
      </w:r>
      <w:r>
        <w:rPr>
          <w:rFonts w:ascii="Times New Roman" w:hAnsi="Times New Roman"/>
          <w:sz w:val="20"/>
        </w:rPr>
        <w:t xml:space="preserve">, except with respect to the representations and warranties set forth in the first sentence of </w:t>
      </w:r>
      <w:r>
        <w:rPr>
          <w:rFonts w:ascii="Times New Roman" w:hAnsi="Times New Roman"/>
          <w:sz w:val="20"/>
          <w:u w:val="single"/>
        </w:rPr>
        <w:t>Section 3.7</w:t>
      </w:r>
      <w:r>
        <w:rPr>
          <w:rFonts w:ascii="Times New Roman" w:hAnsi="Times New Roman"/>
          <w:sz w:val="20"/>
        </w:rPr>
        <w:t xml:space="preserve"> (with respect to the non-occurrence of a Material Adverse Effect), for purposes of both determining whether a breach of or inaccuracy in a representation or warranty has occurred and determining the amount of Damages paid, incurred, suffered or sustained by an Indemnified Party as a result of any breach of or inaccuracy in a representation or warranty that is qualified or limited in scope as to materiality, dollar amount or Material Adverse Effect, such representation and warranty shall be deemed to be made without such qualification or limitation. </w:t>
      </w:r>
    </w:p>
    <w:p>
      <w:pPr>
        <w:pStyle w:val="TextBody"/>
        <w:bidi w:val="0"/>
        <w:spacing w:before="240" w:after="0"/>
        <w:jc w:val="left"/>
        <w:rPr>
          <w:rFonts w:ascii="Times New Roman" w:hAnsi="Times New Roman"/>
          <w:sz w:val="20"/>
        </w:rPr>
      </w:pPr>
      <w:r>
        <w:rPr>
          <w:rFonts w:ascii="Times New Roman" w:hAnsi="Times New Roman"/>
          <w:sz w:val="20"/>
        </w:rPr>
        <w:t xml:space="preserve">(c) The Indemnifying Parties (including any officer or director of the Company) shall not have any right of contribution, indemnification or right of advancement from the Surviving Corporation or Acquiror with respect to any Damages claimed by an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(d) Any payments made to an Indemnified Party pursuant to any indemnification obligations under this </w:t>
      </w:r>
      <w:r>
        <w:rPr>
          <w:rFonts w:ascii="Times New Roman" w:hAnsi="Times New Roman"/>
          <w:sz w:val="20"/>
          <w:u w:val="single"/>
        </w:rPr>
        <w:t>Article IX</w:t>
      </w:r>
      <w:r>
        <w:rPr>
          <w:rFonts w:ascii="Times New Roman" w:hAnsi="Times New Roman"/>
          <w:sz w:val="20"/>
        </w:rPr>
        <w:t xml:space="preserve"> will be treated as adjustments to the Merger Consideration for Tax purposes and such agreed treatment will govern for purposes of this Agreement, unless otherwise required by applicable Legal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(e) Subject to </w:t>
      </w:r>
      <w:r>
        <w:rPr>
          <w:rFonts w:ascii="Times New Roman" w:hAnsi="Times New Roman"/>
          <w:sz w:val="20"/>
          <w:u w:val="single"/>
        </w:rPr>
        <w:t>Section 9.3(h)</w:t>
      </w:r>
      <w:r>
        <w:rPr>
          <w:rFonts w:ascii="Times New Roman" w:hAnsi="Times New Roman"/>
          <w:sz w:val="20"/>
        </w:rPr>
        <w:t xml:space="preserve">, the indemnification rights set forth in this </w:t>
      </w:r>
      <w:r>
        <w:rPr>
          <w:rFonts w:ascii="Times New Roman" w:hAnsi="Times New Roman"/>
          <w:sz w:val="20"/>
          <w:u w:val="single"/>
        </w:rPr>
        <w:t>Article IX</w:t>
      </w:r>
      <w:r>
        <w:rPr>
          <w:rFonts w:ascii="Times New Roman" w:hAnsi="Times New Roman"/>
          <w:sz w:val="20"/>
        </w:rPr>
        <w:t xml:space="preserve"> shall be the sole and exclusive remedy of the Indemnified Parties from and after the Effective Time for any claims arising out of the matters set forth in </w:t>
      </w:r>
      <w:r>
        <w:rPr>
          <w:rFonts w:ascii="Times New Roman" w:hAnsi="Times New Roman"/>
          <w:sz w:val="20"/>
          <w:u w:val="single"/>
        </w:rPr>
        <w:t>Article IX</w:t>
      </w:r>
      <w:r>
        <w:rPr>
          <w:rFonts w:ascii="Times New Roman" w:hAnsi="Times New Roman"/>
          <w:sz w:val="20"/>
        </w:rPr>
        <w:t xml:space="preserve">; provided, however, that (i) this </w:t>
      </w:r>
      <w:r>
        <w:rPr>
          <w:rFonts w:ascii="Times New Roman" w:hAnsi="Times New Roman"/>
          <w:sz w:val="20"/>
          <w:u w:val="single"/>
        </w:rPr>
        <w:t>Section 9.2(e)</w:t>
      </w:r>
      <w:r>
        <w:rPr>
          <w:rFonts w:ascii="Times New Roman" w:hAnsi="Times New Roman"/>
          <w:sz w:val="20"/>
        </w:rPr>
        <w:t xml:space="preserve"> shall not be deemed a waiver by any party of any right to specific performance, injunctive relief or other equitable remedy and (ii) nothing in this Agreement shall limit the liability of an Indemnifying Party pursuant to an indemnification claim under this </w:t>
      </w:r>
      <w:r>
        <w:rPr>
          <w:rFonts w:ascii="Times New Roman" w:hAnsi="Times New Roman"/>
          <w:sz w:val="20"/>
          <w:u w:val="single"/>
        </w:rPr>
        <w:t>Article IX</w:t>
      </w:r>
      <w:r>
        <w:rPr>
          <w:rFonts w:ascii="Times New Roman" w:hAnsi="Times New Roman"/>
          <w:sz w:val="20"/>
        </w:rPr>
        <w:t xml:space="preserve"> or otherwise (and this </w:t>
      </w:r>
      <w:r>
        <w:rPr>
          <w:rFonts w:ascii="Times New Roman" w:hAnsi="Times New Roman"/>
          <w:sz w:val="20"/>
          <w:u w:val="single"/>
        </w:rPr>
        <w:t>Article IX</w:t>
      </w:r>
      <w:r>
        <w:rPr>
          <w:rFonts w:ascii="Times New Roman" w:hAnsi="Times New Roman"/>
          <w:sz w:val="20"/>
        </w:rPr>
        <w:t xml:space="preserve"> shall not be the sole and exclusive remedy in respect of such Indemnifying Party) in connection with a claim based on Fraud, including any Fraud committed by, or with the actual knowledge of, an Indemnifying Party. For the avoidance of doubt, any post-Closing adjustments to the Merger Consideration shall be limited to the provisions and recourse set forth in </w:t>
      </w:r>
      <w:r>
        <w:rPr>
          <w:rFonts w:ascii="Times New Roman" w:hAnsi="Times New Roman"/>
          <w:sz w:val="20"/>
          <w:u w:val="single"/>
        </w:rPr>
        <w:t>Section 2.6</w:t>
      </w:r>
      <w:r>
        <w:rPr>
          <w:rFonts w:ascii="Times New Roman" w:hAnsi="Times New Roman"/>
          <w:sz w:val="20"/>
        </w:rPr>
        <w:t xml:space="preserve">, and Acquiror shall not be entitled to indemnification pursuant to this </w:t>
      </w:r>
      <w:r>
        <w:rPr>
          <w:rFonts w:ascii="Times New Roman" w:hAnsi="Times New Roman"/>
          <w:sz w:val="20"/>
          <w:u w:val="single"/>
        </w:rPr>
        <w:t xml:space="preserve">Article IX </w:t>
      </w:r>
      <w:r>
        <w:rPr>
          <w:rFonts w:ascii="Times New Roman" w:hAnsi="Times New Roman"/>
          <w:sz w:val="20"/>
        </w:rPr>
        <w:t xml:space="preserve">for any such adjustments.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Agreement shall limit the right of Acquiror or any other Indemnified Party to pursue remedies under any Ancillary Agreement against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(g) The indemnification obligations of the Indemnifying Parties in this </w:t>
      </w:r>
      <w:r>
        <w:rPr>
          <w:rFonts w:ascii="Times New Roman" w:hAnsi="Times New Roman"/>
          <w:sz w:val="20"/>
          <w:u w:val="single"/>
        </w:rPr>
        <w:t>Article IX</w:t>
      </w:r>
      <w:r>
        <w:rPr>
          <w:rFonts w:ascii="Times New Roman" w:hAnsi="Times New Roman"/>
          <w:sz w:val="20"/>
        </w:rPr>
        <w:t xml:space="preserve"> are, without limitation, (i) a specific element of the consideration that induced Acquiror to enter into this Agreement and to perform its obligations as contemplated hereby and (ii) intended to be fully enforceable on the terms provided in this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Offset Against Additional Consideration Payments</w:t>
      </w:r>
      <w:r>
        <w:rPr>
          <w:rFonts w:ascii="Times New Roman" w:hAnsi="Times New Roman"/>
          <w:sz w:val="20"/>
        </w:rPr>
        <w:t xml:space="preserve">. Notwithstanding anything to the contrary in this Agreement, Acquiror shall have the right to withhold and set off against any Additional Consideration Payments otherwise payable pursuant to </w:t>
      </w:r>
      <w:r>
        <w:rPr>
          <w:rFonts w:ascii="Times New Roman" w:hAnsi="Times New Roman"/>
          <w:sz w:val="20"/>
          <w:u w:val="single"/>
        </w:rPr>
        <w:t>Section 2.9</w:t>
      </w:r>
      <w:r>
        <w:rPr>
          <w:rFonts w:ascii="Times New Roman" w:hAnsi="Times New Roman"/>
          <w:sz w:val="20"/>
        </w:rPr>
        <w:t xml:space="preserve"> (each, a “</w:t>
      </w:r>
      <w:r>
        <w:rPr>
          <w:rFonts w:ascii="Times New Roman" w:hAnsi="Times New Roman"/>
          <w:b/>
          <w:i/>
          <w:sz w:val="20"/>
        </w:rPr>
        <w:t>Withheld Amount</w:t>
      </w:r>
      <w:r>
        <w:rPr>
          <w:rFonts w:ascii="Times New Roman" w:hAnsi="Times New Roman"/>
          <w:sz w:val="20"/>
        </w:rPr>
        <w:t xml:space="preserve">”) any amounts that Acquiror reasonably believes in good faith it is entitled to recover as Damages pursuant to this </w:t>
      </w:r>
      <w:r>
        <w:rPr>
          <w:rFonts w:ascii="Times New Roman" w:hAnsi="Times New Roman"/>
          <w:sz w:val="20"/>
          <w:u w:val="single"/>
        </w:rPr>
        <w:t>Article IX</w:t>
      </w:r>
      <w:r>
        <w:rPr>
          <w:rFonts w:ascii="Times New Roman" w:hAnsi="Times New Roman"/>
          <w:sz w:val="20"/>
        </w:rPr>
        <w:t xml:space="preserve"> (each, a “</w:t>
      </w:r>
      <w:r>
        <w:rPr>
          <w:rFonts w:ascii="Times New Roman" w:hAnsi="Times New Roman"/>
          <w:b/>
          <w:i/>
          <w:sz w:val="20"/>
        </w:rPr>
        <w:t>Claimed Amount</w:t>
      </w:r>
      <w:r>
        <w:rPr>
          <w:rFonts w:ascii="Times New Roman" w:hAnsi="Times New Roman"/>
          <w:sz w:val="20"/>
        </w:rPr>
        <w:t xml:space="preserve">”), subject to the following process: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Notice</w:t>
      </w:r>
      <w:r>
        <w:rPr>
          <w:rFonts w:ascii="Times New Roman" w:hAnsi="Times New Roman"/>
          <w:sz w:val="20"/>
        </w:rPr>
        <w:t xml:space="preserve">. Prior to withholding any Claimed Amount, Acquiror shall deliver to the Securityholders’ Representative an Indemnification Claim Notice with respect to such Claimed Amount in accordance with </w:t>
      </w:r>
      <w:r>
        <w:rPr>
          <w:rFonts w:ascii="Times New Roman" w:hAnsi="Times New Roman"/>
          <w:sz w:val="20"/>
          <w:u w:val="single"/>
        </w:rPr>
        <w:t>Section 9.4(a)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Agreed Amounts</w:t>
      </w:r>
      <w:r>
        <w:rPr>
          <w:rFonts w:ascii="Times New Roman" w:hAnsi="Times New Roman"/>
          <w:sz w:val="20"/>
        </w:rPr>
        <w:t>. If, within [***] following delivery of the applicable Indemnification Claim Notice (the “</w:t>
      </w:r>
      <w:r>
        <w:rPr>
          <w:rFonts w:ascii="Times New Roman" w:hAnsi="Times New Roman"/>
          <w:b/>
          <w:i/>
          <w:sz w:val="20"/>
        </w:rPr>
        <w:t>Negotiation Period</w:t>
      </w:r>
      <w:r>
        <w:rPr>
          <w:rFonts w:ascii="Times New Roman" w:hAnsi="Times New Roman"/>
          <w:sz w:val="20"/>
        </w:rPr>
        <w:t>”), Acquiror and the Securityholders’ Representative agree in writing as to any portion of the Claimed Amount (such agreed portion, an “</w:t>
      </w:r>
      <w:r>
        <w:rPr>
          <w:rFonts w:ascii="Times New Roman" w:hAnsi="Times New Roman"/>
          <w:b/>
          <w:i/>
          <w:sz w:val="20"/>
        </w:rPr>
        <w:t>Agreed Amount</w:t>
      </w:r>
      <w:r>
        <w:rPr>
          <w:rFonts w:ascii="Times New Roman" w:hAnsi="Times New Roman"/>
          <w:sz w:val="20"/>
        </w:rPr>
        <w:t xml:space="preserve">”), Acquiror shall be entitled to permanently set off the Agreed Amount against any Additional Consideration Payments then or thereafter due. Any such agreement shall be memorialized in an Indemnification Claim Memorandum pursuant to </w:t>
      </w:r>
      <w:r>
        <w:rPr>
          <w:rFonts w:ascii="Times New Roman" w:hAnsi="Times New Roman"/>
          <w:sz w:val="20"/>
          <w:u w:val="single"/>
        </w:rPr>
        <w:t>Section 9.4(c)</w:t>
      </w:r>
      <w:r>
        <w:rPr>
          <w:rFonts w:ascii="Times New Roman" w:hAnsi="Times New Roman"/>
          <w:sz w:val="20"/>
        </w:rPr>
        <w:t xml:space="preserve">, and the Agreed Amount shall be deemed a finally resolved Damage for purposes of this </w:t>
      </w:r>
      <w:r>
        <w:rPr>
          <w:rFonts w:ascii="Times New Roman" w:hAnsi="Times New Roman"/>
          <w:sz w:val="20"/>
          <w:u w:val="single"/>
        </w:rPr>
        <w:t>Article IX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Disputed Amounts - Setoff Determination</w:t>
      </w:r>
      <w:r>
        <w:rPr>
          <w:rFonts w:ascii="Times New Roman" w:hAnsi="Times New Roman"/>
          <w:sz w:val="20"/>
        </w:rPr>
        <w:t>. With respect to any portion of a Claimed Amount that remains disputed following the Negotiation Period (a “</w:t>
      </w:r>
      <w:r>
        <w:rPr>
          <w:rFonts w:ascii="Times New Roman" w:hAnsi="Times New Roman"/>
          <w:b/>
          <w:i/>
          <w:sz w:val="20"/>
        </w:rPr>
        <w:t>Disputed Amount</w:t>
      </w:r>
      <w:r>
        <w:rPr>
          <w:rFonts w:ascii="Times New Roman" w:hAnsi="Times New Roman"/>
          <w:sz w:val="20"/>
        </w:rPr>
        <w:t>”), Acquiror shall be entitled to continue to withhold such Disputed Amount from Additional Consideration Payments pending a Setoff Determination (as defined below). Either party may, at any time following the expiration of the Negotiation Period, demand an expedited interim proceeding (the “</w:t>
      </w:r>
      <w:r>
        <w:rPr>
          <w:rFonts w:ascii="Times New Roman" w:hAnsi="Times New Roman"/>
          <w:b/>
          <w:i/>
          <w:sz w:val="20"/>
        </w:rPr>
        <w:t>Expedited Setoff Proceeding</w:t>
      </w:r>
      <w:r>
        <w:rPr>
          <w:rFonts w:ascii="Times New Roman" w:hAnsi="Times New Roman"/>
          <w:sz w:val="20"/>
        </w:rPr>
        <w:t>”) before a single neutral arbitrator mutually selected by the parties (or, if the parties fail to agree on an arbitrator within [***] of a demand therefor, appointed by the American Arbitration Association in accordance with its then-current rules) (the “</w:t>
      </w:r>
      <w:r>
        <w:rPr>
          <w:rFonts w:ascii="Times New Roman" w:hAnsi="Times New Roman"/>
          <w:b/>
          <w:i/>
          <w:sz w:val="20"/>
        </w:rPr>
        <w:t>Setoff Arbitrator</w:t>
      </w:r>
      <w:r>
        <w:rPr>
          <w:rFonts w:ascii="Times New Roman" w:hAnsi="Times New Roman"/>
          <w:sz w:val="20"/>
        </w:rPr>
        <w:t xml:space="preserve">”). The sole question before the Setoff Arbitrator shall be whether Acquiror has a Reasonable Likelihood Of Recovery with respect to the Disputed Amount (or any portion thereof) under this </w:t>
      </w:r>
      <w:r>
        <w:rPr>
          <w:rFonts w:ascii="Times New Roman" w:hAnsi="Times New Roman"/>
          <w:sz w:val="20"/>
          <w:u w:val="single"/>
        </w:rPr>
        <w:t>Article IX</w:t>
      </w:r>
      <w:r>
        <w:rPr>
          <w:rFonts w:ascii="Times New Roman" w:hAnsi="Times New Roman"/>
          <w:sz w:val="20"/>
        </w:rPr>
        <w:t xml:space="preserve"> (the “</w:t>
      </w:r>
      <w:r>
        <w:rPr>
          <w:rFonts w:ascii="Times New Roman" w:hAnsi="Times New Roman"/>
          <w:b/>
          <w:i/>
          <w:sz w:val="20"/>
        </w:rPr>
        <w:t>Setoff Standard</w:t>
      </w:r>
      <w:r>
        <w:rPr>
          <w:rFonts w:ascii="Times New Roman" w:hAnsi="Times New Roman"/>
          <w:sz w:val="20"/>
        </w:rPr>
        <w:t>”). The Expedited Setoff Proceeding shall be conducted on an expedited basis, with each party submitting written submissions not to exceed [***] pages within [***] of the Setoff Arbitrator’s appointment, and the Setoff Arbitrator shall issue a written determination (the “</w:t>
      </w:r>
      <w:r>
        <w:rPr>
          <w:rFonts w:ascii="Times New Roman" w:hAnsi="Times New Roman"/>
          <w:b/>
          <w:i/>
          <w:sz w:val="20"/>
        </w:rPr>
        <w:t>Setoff Determination</w:t>
      </w:r>
      <w:r>
        <w:rPr>
          <w:rFonts w:ascii="Times New Roman" w:hAnsi="Times New Roman"/>
          <w:sz w:val="20"/>
        </w:rPr>
        <w:t xml:space="preserve">”) within [***] of receiving both parties’ submissions, and in any event no later than [***] following the demand for the Expedited Setoff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Effect of Setoff Determination</w:t>
      </w:r>
      <w:r>
        <w:rPr>
          <w:rFonts w:ascii="Times New Roman" w:hAnsi="Times New Roman"/>
          <w:sz w:val="20"/>
        </w:rPr>
        <w:t xml:space="preserve">. If the Setoff Arbitrator determines that Acquiror has a Reasonable Likelihood Of Recovery with respect to all or a portion of the Disputed Amount, Acquiror shall be entitled to withhold and set off such portion of the Disputed Amount against Additional Consideration Payments otherwise payable pending final resolution of the underlying indemnification claim pursuant to </w:t>
      </w:r>
      <w:r>
        <w:rPr>
          <w:rFonts w:ascii="Times New Roman" w:hAnsi="Times New Roman"/>
          <w:sz w:val="20"/>
          <w:u w:val="single"/>
        </w:rPr>
        <w:t>Section 9.4(d)</w:t>
      </w:r>
      <w:r>
        <w:rPr>
          <w:rFonts w:ascii="Times New Roman" w:hAnsi="Times New Roman"/>
          <w:sz w:val="20"/>
        </w:rPr>
        <w:t xml:space="preserve">. If the Setoff Arbitrator determines that Acquiror does not have a Reasonable Likelihood Of Recovery with respect to all or a portion of the Disputed Amount, Acquiror shall promptly release and pay to the Paying Agent (for distribution to the applicable Company Securityholders) and to the Company (for distribution to the applicable former holders of Employee Options) such portion of the previously withheld Disputed Amount. The Setoff Determination shall not be binding on, and shall not constitute or be deemed to be a determination of, the merits, validity or amount of any underlying indemnification claim under this </w:t>
      </w:r>
      <w:r>
        <w:rPr>
          <w:rFonts w:ascii="Times New Roman" w:hAnsi="Times New Roman"/>
          <w:sz w:val="20"/>
          <w:u w:val="single"/>
        </w:rPr>
        <w:t>Article IX</w:t>
      </w:r>
      <w:r>
        <w:rPr>
          <w:rFonts w:ascii="Times New Roman" w:hAnsi="Times New Roman"/>
          <w:sz w:val="20"/>
        </w:rPr>
        <w:t xml:space="preserve">. The final resolution of any indemnification claim shall be determined in accordance with </w:t>
      </w:r>
      <w:r>
        <w:rPr>
          <w:rFonts w:ascii="Times New Roman" w:hAnsi="Times New Roman"/>
          <w:sz w:val="20"/>
          <w:u w:val="single"/>
        </w:rPr>
        <w:t>Section 9.4(d)</w:t>
      </w:r>
      <w:r>
        <w:rPr>
          <w:rFonts w:ascii="Times New Roman" w:hAnsi="Times New Roman"/>
          <w:sz w:val="20"/>
        </w:rPr>
        <w:t xml:space="preserve">, and the Setoff Determination shall have no preclusive or res judicata effect with respect thereto.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Fees and Costs</w:t>
      </w:r>
      <w:r>
        <w:rPr>
          <w:rFonts w:ascii="Times New Roman" w:hAnsi="Times New Roman"/>
          <w:sz w:val="20"/>
        </w:rPr>
        <w:t xml:space="preserve">. The fees and expenses of the Setoff Arbitrator shall be borne solely by Acquiror.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Release Upon Final Resolution</w:t>
      </w:r>
      <w:r>
        <w:rPr>
          <w:rFonts w:ascii="Times New Roman" w:hAnsi="Times New Roman"/>
          <w:sz w:val="20"/>
        </w:rPr>
        <w:t xml:space="preserve">. Upon final resolution of any indemnification claim underlying a Withheld Amount (whether by agreement, pursuant to </w:t>
      </w:r>
      <w:r>
        <w:rPr>
          <w:rFonts w:ascii="Times New Roman" w:hAnsi="Times New Roman"/>
          <w:sz w:val="20"/>
          <w:u w:val="single"/>
        </w:rPr>
        <w:t>Section 9.4(d)</w:t>
      </w:r>
      <w:r>
        <w:rPr>
          <w:rFonts w:ascii="Times New Roman" w:hAnsi="Times New Roman"/>
          <w:sz w:val="20"/>
        </w:rPr>
        <w:t xml:space="preserve">, or otherwise), (A) to the extent any Withheld Amount exceeds the Damages finally determined to be owed to Acquiror, Acquiror shall promptly release and pay such excess to the Paying Agent (for distribution to the Company Securityholders) and to the Company (for distribution to the applicable former holders of Employee Options), and (B) to the extent the Damages finally determined to be owed to Acquiror exceed any Withheld Amount, Acquiror shall be entitled to pursue any additional remedies available under this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90" w:name="ex2_2rom152392_84"/>
      <w:bookmarkEnd w:id="90"/>
      <w:r>
        <w:rPr>
          <w:rFonts w:ascii="Times New Roman" w:hAnsi="Times New Roman"/>
          <w:sz w:val="20"/>
        </w:rPr>
        <w:t>9.3 </w:t>
      </w:r>
      <w:r>
        <w:rPr>
          <w:rFonts w:ascii="Times New Roman" w:hAnsi="Times New Roman"/>
          <w:sz w:val="20"/>
          <w:u w:val="single"/>
        </w:rPr>
        <w:t>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Deductible</w:t>
      </w:r>
      <w:r>
        <w:rPr>
          <w:rFonts w:ascii="Times New Roman" w:hAnsi="Times New Roman"/>
          <w:sz w:val="20"/>
        </w:rPr>
        <w:t xml:space="preserve">. Except in the case of (i) Indemnifiable Damages resulting or arising from </w:t>
      </w:r>
      <w:r>
        <w:rPr>
          <w:rFonts w:ascii="Times New Roman" w:hAnsi="Times New Roman"/>
          <w:sz w:val="20"/>
          <w:u w:val="single"/>
        </w:rPr>
        <w:t>Sections 9.2(a)(ii)</w:t>
      </w:r>
      <w:r>
        <w:rPr>
          <w:rFonts w:ascii="Times New Roman" w:hAnsi="Times New Roman"/>
          <w:sz w:val="20"/>
        </w:rPr>
        <w:t xml:space="preserve">, </w:t>
      </w:r>
      <w:r>
        <w:rPr>
          <w:rFonts w:ascii="Times New Roman" w:hAnsi="Times New Roman"/>
          <w:sz w:val="20"/>
          <w:u w:val="single"/>
        </w:rPr>
        <w:t>9.2(a)(iii)</w:t>
      </w:r>
      <w:r>
        <w:rPr>
          <w:rFonts w:ascii="Times New Roman" w:hAnsi="Times New Roman"/>
          <w:sz w:val="20"/>
        </w:rPr>
        <w:t xml:space="preserve">, and </w:t>
      </w:r>
      <w:r>
        <w:rPr>
          <w:rFonts w:ascii="Times New Roman" w:hAnsi="Times New Roman"/>
          <w:sz w:val="20"/>
          <w:u w:val="single"/>
        </w:rPr>
        <w:t>9.2(a)(iv)</w:t>
      </w:r>
      <w:r>
        <w:rPr>
          <w:rFonts w:ascii="Times New Roman" w:hAnsi="Times New Roman"/>
          <w:sz w:val="20"/>
        </w:rPr>
        <w:t xml:space="preserve">, and (ii) indemnification claims for breaches of or inaccuracies in the Fundamental Representations, the Indemnified Parties, as a group, may not recover any Damages pursuant to an indemnification claim under </w:t>
      </w:r>
      <w:r>
        <w:rPr>
          <w:rFonts w:ascii="Times New Roman" w:hAnsi="Times New Roman"/>
          <w:sz w:val="20"/>
          <w:u w:val="single"/>
        </w:rPr>
        <w:t>Section 9.2(a)(i)</w:t>
      </w:r>
      <w:r>
        <w:rPr>
          <w:rFonts w:ascii="Times New Roman" w:hAnsi="Times New Roman"/>
          <w:sz w:val="20"/>
        </w:rPr>
        <w:t xml:space="preserve"> and </w:t>
      </w:r>
      <w:r>
        <w:rPr>
          <w:rFonts w:ascii="Times New Roman" w:hAnsi="Times New Roman"/>
          <w:sz w:val="20"/>
          <w:u w:val="single"/>
        </w:rPr>
        <w:t>Section 9.2(a)(v)</w:t>
      </w:r>
      <w:r>
        <w:rPr>
          <w:rFonts w:ascii="Times New Roman" w:hAnsi="Times New Roman"/>
          <w:sz w:val="20"/>
        </w:rPr>
        <w:t xml:space="preserve"> unless and until the Indemnified Parties, as a group, shall have paid, incurred, suffered or sustained at least [***] in Damages (the “</w:t>
      </w:r>
      <w:r>
        <w:rPr>
          <w:rFonts w:ascii="Times New Roman" w:hAnsi="Times New Roman"/>
          <w:b/>
          <w:i/>
          <w:sz w:val="20"/>
        </w:rPr>
        <w:t>Deductible</w:t>
      </w:r>
      <w:r>
        <w:rPr>
          <w:rFonts w:ascii="Times New Roman" w:hAnsi="Times New Roman"/>
          <w:sz w:val="20"/>
        </w:rPr>
        <w:t xml:space="preserve">”) in the aggregate for all claims thereunder, in which event the Indemnified Parties shall be entitled to recover for all Damages in excess of the Deductible, paid, incurred, suffered or sustained by the Indemnified Parties as a group.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Recovery from Retention Escrow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in the case of Fraud by or on behalf of the Company, and indemnification claims for breaches of or inaccuracies in the Fundamental Representations or the Limited Representations, the Indemnified Parties’ sole and exclusive source of recovery for indemnification claims under </w:t>
      </w:r>
      <w:r>
        <w:rPr>
          <w:rFonts w:ascii="Times New Roman" w:hAnsi="Times New Roman"/>
          <w:sz w:val="20"/>
          <w:u w:val="single"/>
        </w:rPr>
        <w:t>Section 9.2(a)(i)</w:t>
      </w:r>
      <w:r>
        <w:rPr>
          <w:rFonts w:ascii="Times New Roman" w:hAnsi="Times New Roman"/>
          <w:sz w:val="20"/>
        </w:rPr>
        <w:t xml:space="preserve"> shall be recourse against the R&amp;W Policy and the cash, if any, held in the Retention Escrow Amount. For the avoidance of doubt, the limitations set forth in this </w:t>
      </w:r>
      <w:r>
        <w:rPr>
          <w:rFonts w:ascii="Times New Roman" w:hAnsi="Times New Roman"/>
          <w:sz w:val="20"/>
          <w:u w:val="single"/>
        </w:rPr>
        <w:t>Section 9.3(b)(i)</w:t>
      </w:r>
      <w:r>
        <w:rPr>
          <w:rFonts w:ascii="Times New Roman" w:hAnsi="Times New Roman"/>
          <w:sz w:val="20"/>
        </w:rPr>
        <w:t xml:space="preserve"> shall not apply to any Indemnifiable Damages resulting or arising from </w:t>
      </w:r>
      <w:r>
        <w:rPr>
          <w:rFonts w:ascii="Times New Roman" w:hAnsi="Times New Roman"/>
          <w:sz w:val="20"/>
          <w:u w:val="single"/>
        </w:rPr>
        <w:t>Sections 9.2(a)(ii)</w:t>
      </w:r>
      <w:r>
        <w:rPr>
          <w:rFonts w:ascii="Times New Roman" w:hAnsi="Times New Roman"/>
          <w:sz w:val="20"/>
        </w:rPr>
        <w:t xml:space="preserve"> through </w:t>
      </w:r>
      <w:r>
        <w:rPr>
          <w:rFonts w:ascii="Times New Roman" w:hAnsi="Times New Roman"/>
          <w:sz w:val="20"/>
          <w:u w:val="single"/>
        </w:rPr>
        <w:t>(v)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to the terms of </w:t>
      </w:r>
      <w:r>
        <w:rPr>
          <w:rFonts w:ascii="Times New Roman" w:hAnsi="Times New Roman"/>
          <w:sz w:val="20"/>
          <w:u w:val="single"/>
        </w:rPr>
        <w:t>Section 9.3(h)</w:t>
      </w:r>
      <w:r>
        <w:rPr>
          <w:rFonts w:ascii="Times New Roman" w:hAnsi="Times New Roman"/>
          <w:sz w:val="20"/>
        </w:rPr>
        <w:t xml:space="preserve">, in no event shall any Indemnifying Party be liable for aggregate Damages with respect to any breach or inaccuracy of any Limited Representation in excess of such Indemnifying Party’s Pro Rata Portion of the amount equal to fifty percent (50%) of the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the terms of </w:t>
      </w:r>
      <w:r>
        <w:rPr>
          <w:rFonts w:ascii="Times New Roman" w:hAnsi="Times New Roman"/>
          <w:sz w:val="20"/>
          <w:u w:val="single"/>
        </w:rPr>
        <w:t>Section 9.3(h)</w:t>
      </w:r>
      <w:r>
        <w:rPr>
          <w:rFonts w:ascii="Times New Roman" w:hAnsi="Times New Roman"/>
          <w:sz w:val="20"/>
        </w:rPr>
        <w:t xml:space="preserve">, in no event shall any Indemnifying Party be liable for aggregate Damages under </w:t>
      </w:r>
      <w:r>
        <w:rPr>
          <w:rFonts w:ascii="Times New Roman" w:hAnsi="Times New Roman"/>
          <w:sz w:val="20"/>
          <w:u w:val="single"/>
        </w:rPr>
        <w:t>Section 9.2</w:t>
      </w:r>
      <w:r>
        <w:rPr>
          <w:rFonts w:ascii="Times New Roman" w:hAnsi="Times New Roman"/>
          <w:sz w:val="20"/>
        </w:rPr>
        <w:t xml:space="preserve"> in excess of such Indemnifying Party’s Pro Rata Portion of the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(iv) Subject to the terms of </w:t>
      </w:r>
      <w:r>
        <w:rPr>
          <w:rFonts w:ascii="Times New Roman" w:hAnsi="Times New Roman"/>
          <w:sz w:val="20"/>
          <w:u w:val="single"/>
        </w:rPr>
        <w:t>Section 9.3(h)</w:t>
      </w:r>
      <w:r>
        <w:rPr>
          <w:rFonts w:ascii="Times New Roman" w:hAnsi="Times New Roman"/>
          <w:sz w:val="20"/>
        </w:rPr>
        <w:t xml:space="preserve">, in no event shall any Indemnifying Party be liable for aggregate Damages under </w:t>
      </w:r>
      <w:r>
        <w:rPr>
          <w:rFonts w:ascii="Times New Roman" w:hAnsi="Times New Roman"/>
          <w:sz w:val="20"/>
          <w:u w:val="single"/>
        </w:rPr>
        <w:t>Section 9.2</w:t>
      </w:r>
      <w:r>
        <w:rPr>
          <w:rFonts w:ascii="Times New Roman" w:hAnsi="Times New Roman"/>
          <w:sz w:val="20"/>
        </w:rPr>
        <w:t xml:space="preserve"> in excess of the amount of the Merger Consideration actually received by such Indemnifying Party. </w:t>
      </w:r>
    </w:p>
    <w:p>
      <w:pPr>
        <w:pStyle w:val="TextBody"/>
        <w:bidi w:val="0"/>
        <w:spacing w:before="120" w:after="0"/>
        <w:jc w:val="left"/>
        <w:rPr>
          <w:rFonts w:ascii="Times New Roman" w:hAnsi="Times New Roman"/>
          <w:sz w:val="20"/>
        </w:rPr>
      </w:pPr>
      <w:r>
        <w:rPr>
          <w:rFonts w:ascii="Times New Roman" w:hAnsi="Times New Roman"/>
          <w:sz w:val="20"/>
        </w:rPr>
        <w:t xml:space="preserve">(v) The Indemnified Parties’ order of recovery for indemnification claims under </w:t>
      </w:r>
      <w:r>
        <w:rPr>
          <w:rFonts w:ascii="Times New Roman" w:hAnsi="Times New Roman"/>
          <w:sz w:val="20"/>
          <w:u w:val="single"/>
        </w:rPr>
        <w:t>Section 9.2(a)</w:t>
      </w:r>
      <w:r>
        <w:rPr>
          <w:rFonts w:ascii="Times New Roman" w:hAnsi="Times New Roman"/>
          <w:sz w:val="20"/>
        </w:rPr>
        <w:t xml:space="preserve">, subject to the terms and limitations set forth in this Agreement, shall be: (A) first, recourse against the Retention Escrow Amount with respect to any claim for Damages until such time as the Retention Escrow Amount has been fully exhausted or has been released for distribution to the Paying Agent and/or the Company or its designated payroll service provider as applicable for further distribution to the Escrow Participants in accordance with the terms of the Escrow Agreement, and (B) second, from the R&amp;W Policy;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Retention Escrow Amount is insufficient to satisfy any portion of Damages for which (x) an indemnification claim has been made under </w:t>
      </w:r>
      <w:r>
        <w:rPr>
          <w:rFonts w:ascii="Times New Roman" w:hAnsi="Times New Roman"/>
          <w:sz w:val="20"/>
          <w:u w:val="single"/>
        </w:rPr>
        <w:t>Section 9.2(a)(i)</w:t>
      </w:r>
      <w:r>
        <w:rPr>
          <w:rFonts w:ascii="Times New Roman" w:hAnsi="Times New Roman"/>
          <w:sz w:val="20"/>
        </w:rPr>
        <w:t xml:space="preserve"> for breaches of or inaccuracies in the Fundamental Representations or Limited Representations which are not otherwise covered by the R&amp;W Policy, or (y) an indemnification claim has been made under </w:t>
      </w:r>
      <w:r>
        <w:rPr>
          <w:rFonts w:ascii="Times New Roman" w:hAnsi="Times New Roman"/>
          <w:sz w:val="20"/>
          <w:u w:val="single"/>
        </w:rPr>
        <w:t>Sections 9.2(a)(ii)</w:t>
      </w:r>
      <w:r>
        <w:rPr>
          <w:rFonts w:ascii="Times New Roman" w:hAnsi="Times New Roman"/>
          <w:sz w:val="20"/>
        </w:rPr>
        <w:t xml:space="preserve"> through </w:t>
      </w:r>
      <w:r>
        <w:rPr>
          <w:rFonts w:ascii="Times New Roman" w:hAnsi="Times New Roman"/>
          <w:sz w:val="20"/>
          <w:u w:val="single"/>
        </w:rPr>
        <w:t>9.2(a)(v)</w:t>
      </w:r>
      <w:r>
        <w:rPr>
          <w:rFonts w:ascii="Times New Roman" w:hAnsi="Times New Roman"/>
          <w:sz w:val="20"/>
        </w:rPr>
        <w:t>, the Indemnified Parties shall be entitled to recover such portion of such Damages in respect of such indemnification claims directly from the Indemnifying Parties in accordance with each Indemnifying Party’s Pro Rata Portion (the portion of any Damages for which indemnification is not satisfied by the Retention Escrow Amount or the R&amp;W Policy, as applicable, is referred to as “</w:t>
      </w:r>
      <w:r>
        <w:rPr>
          <w:rFonts w:ascii="Times New Roman" w:hAnsi="Times New Roman"/>
          <w:b/>
          <w:i/>
          <w:sz w:val="20"/>
        </w:rPr>
        <w:t>Excess Damages</w:t>
      </w:r>
      <w:r>
        <w:rPr>
          <w:rFonts w:ascii="Times New Roman" w:hAnsi="Times New Roman"/>
          <w:sz w:val="20"/>
        </w:rPr>
        <w:t xml:space="preserve">”). Such claims for Excess Damages shall be subject to the terms and limitations set forth in this Agreement, and the Indemnified Parties shall be entitled to bring indemnification claims under </w:t>
      </w:r>
      <w:r>
        <w:rPr>
          <w:rFonts w:ascii="Times New Roman" w:hAnsi="Times New Roman"/>
          <w:sz w:val="20"/>
          <w:u w:val="single"/>
        </w:rPr>
        <w:t>Sections 9.2(a)(i)</w:t>
      </w:r>
      <w:r>
        <w:rPr>
          <w:rFonts w:ascii="Times New Roman" w:hAnsi="Times New Roman"/>
          <w:sz w:val="20"/>
        </w:rPr>
        <w:t xml:space="preserve"> </w:t>
      </w:r>
      <w:r>
        <w:rPr>
          <w:rFonts w:ascii="Times New Roman" w:hAnsi="Times New Roman"/>
          <w:sz w:val="20"/>
          <w:u w:val="single"/>
        </w:rPr>
        <w:t>(</w:t>
      </w:r>
      <w:r>
        <w:rPr>
          <w:rFonts w:ascii="Times New Roman" w:hAnsi="Times New Roman"/>
          <w:sz w:val="20"/>
        </w:rPr>
        <w:t xml:space="preserve">for breaches of or inaccuracies in the Fundamental Representations or Limited Representations) through </w:t>
      </w:r>
      <w:r>
        <w:rPr>
          <w:rFonts w:ascii="Times New Roman" w:hAnsi="Times New Roman"/>
          <w:sz w:val="20"/>
          <w:u w:val="single"/>
        </w:rPr>
        <w:t>(v)</w:t>
      </w:r>
      <w:r>
        <w:rPr>
          <w:rFonts w:ascii="Times New Roman" w:hAnsi="Times New Roman"/>
          <w:sz w:val="20"/>
        </w:rPr>
        <w:t xml:space="preserve"> as applicable against the Indemnifying Parties for the Excess Damages as set forth in this </w:t>
      </w:r>
      <w:r>
        <w:rPr>
          <w:rFonts w:ascii="Times New Roman" w:hAnsi="Times New Roman"/>
          <w:sz w:val="20"/>
          <w:u w:val="single"/>
        </w:rPr>
        <w:t>Section (v)</w:t>
      </w:r>
      <w:r>
        <w:rPr>
          <w:rFonts w:ascii="Times New Roman" w:hAnsi="Times New Roman"/>
          <w:sz w:val="20"/>
        </w:rPr>
        <w:t xml:space="preserve">, and each Indemnifying Party shall be liable for only its, his or her Pro Rata Portion of such Excess Damages in respect of such indemnification claim. Each Indemnifying Party may elect to satisfy his, her or its Pro Rata Portion of the Excess Damages by (1) payment of cash, (2) shares of Acquiror Common Stock or (3) any combination thereof. To the extent shares of Acquiror Common Stock are used to satisfy any Excess Damages, the shares of Acquiror Common Stock shall be valued at the Acquiror Common Price. Notwithstanding anything to the contrary contained herein, the amounts that an Indemnified Party recovers from the Retention Escrow Account pursuant to claims that are not limited to the Retention Escrow Amount shall not reduce the amount that an Indemnified Party may recover with respect to claims that are limited to the Retention Escrow Amount. By way of illustration and not limitation, assuming there are no other claims for indemnification, compensation or reimbursement, in the event that Damages resulting from a claim that is not limited to the Retention Escrow Amount are first satisfied from the Retention Escrow Account and such recovery fully depletes the Retention Escrow Amount, the amount recoverable by an Indemnified Party pursuant to a subsequent claim that is limited to the Retention Escrow Amount shall continue to be the full dollar value of the Retention Escrow Amount irrespective of the fact that the Retention Escrow Amount was used to satisfy such first claim, such that the amount recoverable for such two claims would be the same regardless of the chronological order in which they were made. Thereafter, upon the final determination of any such pending claims, the remaining balance of the Retention Escrow Amount (if any) shall be distributed to the Paying Agent (for further distribution to the Escrow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(vi) Except with respect to amounts that have been previously paid from the Retention Escrow Account or subject to pending claims for indemnification made in good faith, in each case in accordance with the terms of the Escrow Agreement and this Agreement, before the twelve (12)-month anniversary of the Closing Date, all amounts in the Retention Escrow Account (with any earnings thereon) shall be distributed to the Paying Agent (for further distribution to the Escrow Participants) within two (2) Business Days following the 12-month anniversary of the Closing Date in accordance with the Escrow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amount of any Damages recoverable by any Indemnified Party against any Indemnifying Party under </w:t>
      </w:r>
      <w:r>
        <w:rPr>
          <w:rFonts w:ascii="Times New Roman" w:hAnsi="Times New Roman"/>
          <w:sz w:val="20"/>
          <w:u w:val="single"/>
        </w:rPr>
        <w:t>Section 9.2(a)</w:t>
      </w:r>
      <w:r>
        <w:rPr>
          <w:rFonts w:ascii="Times New Roman" w:hAnsi="Times New Roman"/>
          <w:sz w:val="20"/>
        </w:rPr>
        <w:t xml:space="preserve"> shall be calculated net of any insurance proceeds actually received by, and/or any indemnification or contribution payments actually paid by any third party to, such Indemnified Party in respect of such Damages, in each case net of all reasonable costs of recovery, including reasonably anticipated increases in insurance premiums; </w:t>
      </w:r>
      <w:r>
        <w:rPr>
          <w:rFonts w:ascii="Times New Roman" w:hAnsi="Times New Roman"/>
          <w:i/>
          <w:sz w:val="20"/>
        </w:rPr>
        <w:t>provided</w:t>
      </w:r>
      <w:r>
        <w:rPr>
          <w:rFonts w:ascii="Times New Roman" w:hAnsi="Times New Roman"/>
          <w:sz w:val="20"/>
        </w:rPr>
        <w:t xml:space="preserve">, in no event shall any Indemnified Party be required to seek or obtain any such insurance proceeds or third-party indemnification or contribution, except with respect to the R&amp;W Policy as set forth in </w:t>
      </w:r>
      <w:r>
        <w:rPr>
          <w:rFonts w:ascii="Times New Roman" w:hAnsi="Times New Roman"/>
          <w:sz w:val="20"/>
          <w:u w:val="single"/>
        </w:rPr>
        <w:t>Section 9.3(b)(i)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waiver of any condition based on the accuracy of any such representation or warranty will not affect the right to indemnification, compensation or reimbursement, payment of Damages, or any other remedy based on any such representation and warranty. Except in the case of claims for Fraud (to the extent required under applicable Legal Requirements), no Indemnified Party shall be required to show reliance on any representation and warranty in order for such Indemnified Party to be entitled to indemnification, compensation or reimbursement hereunder; provided, however, that this shall not limit or otherwise reduce Acquiror’s obligation to (i) pursue claims under the R&amp;W Policy or (ii) mitigate Damages, in each case, to the extent set forth in </w:t>
      </w:r>
      <w:r>
        <w:rPr>
          <w:rFonts w:ascii="Times New Roman" w:hAnsi="Times New Roman"/>
          <w:sz w:val="20"/>
          <w:u w:val="single"/>
        </w:rPr>
        <w:t>Section 9.3(e)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Indemnified Parties shall use their commercially reasonable efforts to make and pursue (or cause its Affiliates to make and pursue) under the R&amp;W Policy claims relating to any Damages for which it is seeking indemnification under this </w:t>
      </w:r>
      <w:r>
        <w:rPr>
          <w:rFonts w:ascii="Times New Roman" w:hAnsi="Times New Roman"/>
          <w:sz w:val="20"/>
          <w:u w:val="single"/>
        </w:rPr>
        <w:t>Article IX</w:t>
      </w:r>
      <w:r>
        <w:rPr>
          <w:rFonts w:ascii="Times New Roman" w:hAnsi="Times New Roman"/>
          <w:sz w:val="20"/>
        </w:rPr>
        <w:t xml:space="preserve"> (including for the avoidance of doubt Indemnified Taxes) and that Acquiror reasonably determines in good faith may be recoverable under the R&amp;W Policy (taking into account the pre-closing tax indemnity contained therein). The Indemnified Parties shall use commercially reasonable efforts to mitigate Damages. </w:t>
      </w:r>
    </w:p>
    <w:p>
      <w:pPr>
        <w:pStyle w:val="TextBody"/>
        <w:bidi w:val="0"/>
        <w:spacing w:before="240" w:after="0"/>
        <w:jc w:val="left"/>
        <w:rPr>
          <w:rFonts w:ascii="Times New Roman" w:hAnsi="Times New Roman"/>
          <w:sz w:val="20"/>
        </w:rPr>
      </w:pPr>
      <w:r>
        <w:rPr>
          <w:rFonts w:ascii="Times New Roman" w:hAnsi="Times New Roman"/>
          <w:sz w:val="20"/>
        </w:rPr>
        <w:t xml:space="preserve">(f) Any liability for indemnification under this </w:t>
      </w:r>
      <w:r>
        <w:rPr>
          <w:rFonts w:ascii="Times New Roman" w:hAnsi="Times New Roman"/>
          <w:sz w:val="20"/>
          <w:u w:val="single"/>
        </w:rPr>
        <w:t>Article IX</w:t>
      </w:r>
      <w:r>
        <w:rPr>
          <w:rFonts w:ascii="Times New Roman" w:hAnsi="Times New Roman"/>
          <w:sz w:val="20"/>
        </w:rPr>
        <w:t xml:space="preserve"> shall be determined without duplication of recovery by reason of the state of facts giving rise to such liability constituting a breach of more than one representation, warranty, covenant or agreement; provided, however, that if an Indemnified Party’s claim under this </w:t>
      </w:r>
      <w:r>
        <w:rPr>
          <w:rFonts w:ascii="Times New Roman" w:hAnsi="Times New Roman"/>
          <w:sz w:val="20"/>
          <w:u w:val="single"/>
        </w:rPr>
        <w:t>Article IX</w:t>
      </w:r>
      <w:r>
        <w:rPr>
          <w:rFonts w:ascii="Times New Roman" w:hAnsi="Times New Roman"/>
          <w:sz w:val="20"/>
        </w:rPr>
        <w:t xml:space="preserve"> may be properly characterized in multiple ways in accordance with this </w:t>
      </w:r>
      <w:r>
        <w:rPr>
          <w:rFonts w:ascii="Times New Roman" w:hAnsi="Times New Roman"/>
          <w:sz w:val="20"/>
          <w:u w:val="single"/>
        </w:rPr>
        <w:t>Article IX</w:t>
      </w:r>
      <w:r>
        <w:rPr>
          <w:rFonts w:ascii="Times New Roman" w:hAnsi="Times New Roman"/>
          <w:sz w:val="20"/>
        </w:rPr>
        <w:t xml:space="preserve"> such that such claim may or may not be subject to different limitations depending on such characterization, then such Indemnified Party shall have the right to characterize such claim in a manner that maximizes the recovery and time to assert such claim permitted in accordance with this </w:t>
      </w:r>
      <w:r>
        <w:rPr>
          <w:rFonts w:ascii="Times New Roman" w:hAnsi="Times New Roman"/>
          <w:sz w:val="20"/>
          <w:u w:val="single"/>
        </w:rPr>
        <w:t>Article IX</w:t>
      </w:r>
      <w:r>
        <w:rPr>
          <w:rFonts w:ascii="Times New Roman" w:hAnsi="Times New Roman"/>
          <w:sz w:val="20"/>
        </w:rPr>
        <w:t xml:space="preserve">. In addition, if and solely to the extent that in connection with an indemnifiable matter that was already taken into account as a liability in connection with calculation of the Merger Consideration, as finally determined pursuant to </w:t>
      </w:r>
      <w:r>
        <w:rPr>
          <w:rFonts w:ascii="Times New Roman" w:hAnsi="Times New Roman"/>
          <w:sz w:val="20"/>
          <w:u w:val="single"/>
        </w:rPr>
        <w:t>Section 2.6</w:t>
      </w:r>
      <w:r>
        <w:rPr>
          <w:rFonts w:ascii="Times New Roman" w:hAnsi="Times New Roman"/>
          <w:sz w:val="20"/>
        </w:rPr>
        <w:t xml:space="preserve">, the same amount of such Damages may not be recovered under this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(g) No Indemnified Party shall be entitled to indemnification for (i) punitive damages, unless such damages are actually awarded to an unaffiliated third party as determined by a Governmental Entity in respect of a Third Party Claim for which such Indemnified Party is entitled to indemnification under this </w:t>
      </w:r>
      <w:r>
        <w:rPr>
          <w:rFonts w:ascii="Times New Roman" w:hAnsi="Times New Roman"/>
          <w:sz w:val="20"/>
          <w:u w:val="single"/>
        </w:rPr>
        <w:t>Article IX</w:t>
      </w:r>
      <w:r>
        <w:rPr>
          <w:rFonts w:ascii="Times New Roman" w:hAnsi="Times New Roman"/>
          <w:sz w:val="20"/>
        </w:rPr>
        <w:t xml:space="preserve">; or (ii) Damages arising out of, in connection with or with respect to such Taxes to the extent (x) resulting from or arising out of any transaction or event taken by or at the direction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Indemnified Party (A) on the Closing Date after the Closing that is not expressly contemplated and permitted by this Agreement or (B) in breach of </w:t>
      </w:r>
      <w:r>
        <w:rPr>
          <w:rFonts w:ascii="Times New Roman" w:hAnsi="Times New Roman"/>
          <w:sz w:val="20"/>
          <w:u w:val="single"/>
        </w:rPr>
        <w:t>Section 6.8(h)</w:t>
      </w:r>
      <w:r>
        <w:rPr>
          <w:rFonts w:ascii="Times New Roman" w:hAnsi="Times New Roman"/>
          <w:sz w:val="20"/>
        </w:rPr>
        <w:t xml:space="preserve">, or (y) due to the unavailability in any Tax period (or portion thereof) beginning after the Closing Date, of any net operating loss, net operating loss carryforward, Tax credit or Tax credit carryforward of the Company that was generated in a Tax period ending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herein, nothing in this Agreement shall limit the liability of an Indemnifying Party in connection with a claim based on Fraud, including any Fraud committed by, or with the actual knowledge of, an Indemnifying Party. For the avoidance of doubt, no Indemnifying Party shall be liable for Fraud of any other Indemnifying Party, unless such Indemnifying Party had actual knowledge of such Fraud. </w:t>
      </w:r>
    </w:p>
    <w:p>
      <w:pPr>
        <w:pStyle w:val="TextBody"/>
        <w:bidi w:val="0"/>
        <w:spacing w:before="240" w:after="0"/>
        <w:jc w:val="left"/>
        <w:rPr>
          <w:rFonts w:ascii="Times New Roman" w:hAnsi="Times New Roman"/>
          <w:sz w:val="20"/>
        </w:rPr>
      </w:pPr>
      <w:bookmarkStart w:id="91" w:name="ex2_2rom152392_85"/>
      <w:bookmarkEnd w:id="91"/>
      <w:r>
        <w:rPr>
          <w:rFonts w:ascii="Times New Roman" w:hAnsi="Times New Roman"/>
          <w:sz w:val="20"/>
        </w:rPr>
        <w:t>9.4 </w:t>
      </w:r>
      <w:r>
        <w:rPr>
          <w:rFonts w:ascii="Times New Roman" w:hAnsi="Times New Roman"/>
          <w:sz w:val="20"/>
          <w:u w:val="single"/>
        </w:rPr>
        <w:t>Indemnification Claim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limitations set forth in </w:t>
      </w:r>
      <w:r>
        <w:rPr>
          <w:rFonts w:ascii="Times New Roman" w:hAnsi="Times New Roman"/>
          <w:sz w:val="20"/>
          <w:u w:val="single"/>
        </w:rPr>
        <w:t>Section 9.1</w:t>
      </w:r>
      <w:r>
        <w:rPr>
          <w:rFonts w:ascii="Times New Roman" w:hAnsi="Times New Roman"/>
          <w:sz w:val="20"/>
        </w:rPr>
        <w:t xml:space="preserve">, if an Indemnified Party wishes to make an indemnification claim under this </w:t>
      </w:r>
      <w:r>
        <w:rPr>
          <w:rFonts w:ascii="Times New Roman" w:hAnsi="Times New Roman"/>
          <w:sz w:val="20"/>
          <w:u w:val="single"/>
        </w:rPr>
        <w:t>Article IX</w:t>
      </w:r>
      <w:r>
        <w:rPr>
          <w:rFonts w:ascii="Times New Roman" w:hAnsi="Times New Roman"/>
          <w:sz w:val="20"/>
        </w:rPr>
        <w:t>, such Indemnified Party shall deliver a written notice (an “</w:t>
      </w:r>
      <w:r>
        <w:rPr>
          <w:rFonts w:ascii="Times New Roman" w:hAnsi="Times New Roman"/>
          <w:b/>
          <w:i/>
          <w:sz w:val="20"/>
        </w:rPr>
        <w:t>Indemnification Claim Notice</w:t>
      </w:r>
      <w:r>
        <w:rPr>
          <w:rFonts w:ascii="Times New Roman" w:hAnsi="Times New Roman"/>
          <w:sz w:val="20"/>
        </w:rPr>
        <w:t xml:space="preserve">”) to the Securityholders’ Representative (i) stating that an Indemnified Party has paid or incurred, suffered or sustained, or reasonably anticipates that it may pay, incur, suffer or sustain Damages, and (ii) specifying in reasonable detail the nature, circumstances, and to the extent reasonably known, the amounts of such Damages subject to such indemnification claim, the date each such item was paid, incurred, suffered or sustained, or the basis for such anticipated liability, and the provision or provisions that gives rise to indemnification to which such item is related. Acquiror may update an Indemnification Claim Notice from time to time to reflect any new information discovered with respect to the claim set forth in such Indemnification Claim Notice. </w:t>
      </w:r>
    </w:p>
    <w:p>
      <w:pPr>
        <w:pStyle w:val="TextBody"/>
        <w:bidi w:val="0"/>
        <w:spacing w:before="240" w:after="0"/>
        <w:jc w:val="left"/>
        <w:rPr>
          <w:rFonts w:ascii="Times New Roman" w:hAnsi="Times New Roman"/>
          <w:sz w:val="20"/>
        </w:rPr>
      </w:pPr>
      <w:r>
        <w:rPr>
          <w:rFonts w:ascii="Times New Roman" w:hAnsi="Times New Roman"/>
          <w:sz w:val="20"/>
        </w:rPr>
        <w:t xml:space="preserve">(b) If the Indemnified Parties deliver an Indemnification Claim Notice in accordance with the terms in </w:t>
      </w:r>
      <w:r>
        <w:rPr>
          <w:rFonts w:ascii="Times New Roman" w:hAnsi="Times New Roman"/>
          <w:sz w:val="20"/>
          <w:u w:val="single"/>
        </w:rPr>
        <w:t>Section 9.4(a)</w:t>
      </w:r>
      <w:r>
        <w:rPr>
          <w:rFonts w:ascii="Times New Roman" w:hAnsi="Times New Roman"/>
          <w:sz w:val="20"/>
        </w:rPr>
        <w:t xml:space="preserve"> and the Securityholders’ Representative on behalf of the Indemnifying Parties does not object in writing within the [***] period after receipt of an Indemnification Claim Notice by delivery of a written notice of objection containing a reasonably detailed description of the facts and circumstances supporting an objection to the applicable indemnification claim (an “</w:t>
      </w:r>
      <w:r>
        <w:rPr>
          <w:rFonts w:ascii="Times New Roman" w:hAnsi="Times New Roman"/>
          <w:b/>
          <w:i/>
          <w:sz w:val="20"/>
        </w:rPr>
        <w:t>Indemnification Claim Objection Notice</w:t>
      </w:r>
      <w:r>
        <w:rPr>
          <w:rFonts w:ascii="Times New Roman" w:hAnsi="Times New Roman"/>
          <w:sz w:val="20"/>
        </w:rPr>
        <w:t xml:space="preserve">”), such failure to so object shall be an irrevocable acknowledgment by the Securityholders’ Representative on behalf of the Indemnifying Parties that the Indemnified Party is entitled to the full amount of the claim for Damages set forth in such Indemnification Claim Notice, subject to the terms and conditions of this </w:t>
      </w:r>
      <w:r>
        <w:rPr>
          <w:rFonts w:ascii="Times New Roman" w:hAnsi="Times New Roman"/>
          <w:sz w:val="20"/>
          <w:u w:val="single"/>
        </w:rPr>
        <w:t>Article IX</w:t>
      </w:r>
      <w:r>
        <w:rPr>
          <w:rFonts w:ascii="Times New Roman" w:hAnsi="Times New Roman"/>
          <w:sz w:val="20"/>
        </w:rPr>
        <w:t xml:space="preserve">. In such event, Acquiror and the Securityholders’ Representative shall promptly execute and deliver joint written instructions to the Escrow Agent to release to the applicable Indemnified Party from the Retention Escrow Amount the amount of Damages set forth in such Indemnification Claim Notice that are subject to recovery from the Retention Escrow Amount. Should the Retention Escrow Amount be insufficient to satisfy in whole the amount to be paid to an Indemnified Party by the Indemnifying Parties in accordance with the terms and conditions in this </w:t>
      </w:r>
      <w:r>
        <w:rPr>
          <w:rFonts w:ascii="Times New Roman" w:hAnsi="Times New Roman"/>
          <w:sz w:val="20"/>
          <w:u w:val="single"/>
        </w:rPr>
        <w:t>Article IX</w:t>
      </w:r>
      <w:r>
        <w:rPr>
          <w:rFonts w:ascii="Times New Roman" w:hAnsi="Times New Roman"/>
          <w:sz w:val="20"/>
        </w:rPr>
        <w:t xml:space="preserve">, then, subject to the terms and limitations set forth in this </w:t>
      </w:r>
      <w:r>
        <w:rPr>
          <w:rFonts w:ascii="Times New Roman" w:hAnsi="Times New Roman"/>
          <w:sz w:val="20"/>
          <w:u w:val="single"/>
        </w:rPr>
        <w:t>Article IX</w:t>
      </w:r>
      <w:r>
        <w:rPr>
          <w:rFonts w:ascii="Times New Roman" w:hAnsi="Times New Roman"/>
          <w:sz w:val="20"/>
        </w:rPr>
        <w:t xml:space="preserve">, each Indemnifying Party shall, within [***] following the expiration date of the right of the Securityholders’ Representative on behalf of the Indemnifying Parties to make an Indemnification Claim Objection Notice without the Securityholders’ Representative having delivered any such Indemnification Claim Objection Notice prior to such expiration date, pay to the Indemnified Party such Indemnifying Party’s Pro Rata Portion of such shortfall.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Securityholders’ Representative shall deliver an Indemnification Claim Objection Notice in accordance with </w:t>
      </w:r>
      <w:r>
        <w:rPr>
          <w:rFonts w:ascii="Times New Roman" w:hAnsi="Times New Roman"/>
          <w:sz w:val="20"/>
          <w:u w:val="single"/>
        </w:rPr>
        <w:t>Section 9.4(b)</w:t>
      </w:r>
      <w:r>
        <w:rPr>
          <w:rFonts w:ascii="Times New Roman" w:hAnsi="Times New Roman"/>
          <w:sz w:val="20"/>
        </w:rPr>
        <w:t xml:space="preserve"> within thirty (30) days after delivery of such Indemnification Claim Notice, the Securityholders’ Representative and Acquiror shall attempt in good faith to agree upon the rights of the respective parties with respect to each of such claims. In the event the Securityholders’ Representative and Acquiror agree upon the rights of the respective parties with respect to each such claims pursuant to such good faith discussions, Acquiror and the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Representative shall promptly set forth their agreement as to the rights of the parties with respect to each such claims in a memorandum (the “</w:t>
      </w:r>
      <w:r>
        <w:rPr>
          <w:rFonts w:ascii="Times New Roman" w:hAnsi="Times New Roman"/>
          <w:b/>
          <w:i/>
          <w:sz w:val="20"/>
        </w:rPr>
        <w:t>Indemnification Claim Memorandum</w:t>
      </w:r>
      <w:r>
        <w:rPr>
          <w:rFonts w:ascii="Times New Roman" w:hAnsi="Times New Roman"/>
          <w:sz w:val="20"/>
        </w:rPr>
        <w:t xml:space="preserve">”), and execute and deliver joint written instructions to the Escrow Agent to release from the Retention Escrow Amount the amount of Damages set forth in such Indemnification Claim Memorandum that are subject to recovery by the Indemnified Parties from the Retention Escrow Amount. Should the Retention Escrow Amount be insufficient to satisfy in whole the amount owed to an Indemnified Party in accordance with such memorandum and this Agreement or if the Retention Escrow Amount is unavailable to satisfy such Damages hereunder, then, subject to the terms and limitations set forth in this </w:t>
      </w:r>
      <w:r>
        <w:rPr>
          <w:rFonts w:ascii="Times New Roman" w:hAnsi="Times New Roman"/>
          <w:sz w:val="20"/>
          <w:u w:val="single"/>
        </w:rPr>
        <w:t>Article IX</w:t>
      </w:r>
      <w:r>
        <w:rPr>
          <w:rFonts w:ascii="Times New Roman" w:hAnsi="Times New Roman"/>
          <w:sz w:val="20"/>
        </w:rPr>
        <w:t xml:space="preserve">, each Indemnifying Party shall, within [***] following the date of the Indemnification Claim Memorandum, pay to the Indemnified Party such Indemnifying Party’s Pro Rata Portion of such shortfall. </w:t>
      </w:r>
    </w:p>
    <w:p>
      <w:pPr>
        <w:pStyle w:val="TextBody"/>
        <w:bidi w:val="0"/>
        <w:spacing w:before="240" w:after="0"/>
        <w:jc w:val="left"/>
        <w:rPr>
          <w:rFonts w:ascii="Times New Roman" w:hAnsi="Times New Roman"/>
          <w:sz w:val="20"/>
        </w:rPr>
      </w:pPr>
      <w:r>
        <w:rPr>
          <w:rFonts w:ascii="Times New Roman" w:hAnsi="Times New Roman"/>
          <w:sz w:val="20"/>
        </w:rPr>
        <w:t>(d) If no such agreement can be reached after good faith negotiation and prior to [***] after delivery of an Indemnification Claim Objection Notice, either Acquiror or the Securityholders’ Representative may demand arbitration of the matter, unless the amount of the Damages that is at issue is the subject of a pending litigation with a third party, in which event arbitration shall not be commenced until such amount is ascertained or both parties agree to arbitration, and in either such event the matter shall be settled by arbitration conducted in Irvine, California, under the rules then in effect of the American Arbitration Association. The parties shall mutually select a single impartial arbitrator to conduct a final and binding arbitration with respect to the dispute. The Securityholders’ Representative and the Acquiror shall instruct the arbitrator to, and the arbitrator shall, (i) make a final determination of all such matters (but only such matters) that remain in dispute and that were included as disputed items in the Indemnification Claim Objection Notice and (ii) not assign a value to any item in dispute greater than the greatest value for such item assigned by Acquiror, on the one hand, or the Securityholders’ Representative, on the other hand, or less than the smallest value for such item assigned by Acquiror, on the one hand, or the Securityholders’ Representative, on the other hand. All written submissions to the arbitrator by the Acquiror or the Securityholders’ Representative shall be delivered to the other party following written confirmation from the arbitrator that it has received both the Acquiror and Securityholders’ Representative submissions, and the Acquiror and Securityholders’ Representative shall each be present at any in-person or other presentation (including internet based) made to the arbitrator by either of them. The fees and expenses of the arbitrator and the administrative fee of the American Arbitration Association shall be borne by (i) the Securityholders’ Representative, on behalf of the Company Securityholders, on the one hand, and (ii) the Acquiror, on the other hand, in inverse proportion to the extent that Acquiror and the Securityholders’ Representative, in each case as applicable, prevail with respect to the aggregate disputed amounts submitted to and resolved by the arbitrator. For example, should the total amounts in dispute total $1,000 and the arbitrator awards $600 in favor of the Securityholders’ Representative on behalf of the Company Securityholders, 60% of the accountant’s fees and expenses would be borne by Acquiror and 40% by the Securityholders’ Representative (on behalf of the Company Securityholders), and such allocation of fees and expenses shall be calculated by the arbitrator and shall be final and binding on the parties. The arbitrator shall set a limited time period and establish procedures designed to reduce the cost and time for discovery while allowing the parties an opportunity, adequate in the sole judgment of the arbitrator, to discover relevant information from the opposing parties about the subject matter of the dispute.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 justification. The decision of the arbitrator as to the validity and amount of any claim shall be final, conclusive and binding upon the parties to this Agreement and the Indemnifying Parties. Such decision shall be written and shall be supported by written findings of fact and conclusions which shall set forth the award, judgment, decree or order awarded by the arbitrator (the “</w:t>
      </w:r>
      <w:r>
        <w:rPr>
          <w:rFonts w:ascii="Times New Roman" w:hAnsi="Times New Roman"/>
          <w:b/>
          <w:i/>
          <w:sz w:val="20"/>
        </w:rPr>
        <w:t>Indemnification Arbitration Judgment</w:t>
      </w:r>
      <w:r>
        <w:rPr>
          <w:rFonts w:ascii="Times New Roman" w:hAnsi="Times New Roman"/>
          <w:sz w:val="20"/>
        </w:rPr>
        <w:t xml:space="preserve">”). In such event, the Escrow Agent shall be entitled to rely on, and make distributions from the Retention Escrow Amount in accordance with, the terms of such Indemnification Arbitration Judgment. Following written receipt of the Indemnification Arbitration Judgment, Acquiror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Securityholders’ Representative shall promptly execute and deliver joint written instructions to the Escrow Agent to release from the Retention Escrow Amount to the Indemnified Parties the amount of Damages determined indemnifiable by the arbitrator that are subject to recovery from the Retention Escrow Amount. Should the Retention Escrow Amount be insufficient to satisfy in whole the amount owed to an Indemnified Party in accordance with such decision and the terms and conditions in this </w:t>
      </w:r>
      <w:r>
        <w:rPr>
          <w:rFonts w:ascii="Times New Roman" w:hAnsi="Times New Roman"/>
          <w:sz w:val="20"/>
          <w:u w:val="single"/>
        </w:rPr>
        <w:t>Article IX</w:t>
      </w:r>
      <w:r>
        <w:rPr>
          <w:rFonts w:ascii="Times New Roman" w:hAnsi="Times New Roman"/>
          <w:sz w:val="20"/>
        </w:rPr>
        <w:t xml:space="preserve">, then, subject to the terms and limitations set forth in this </w:t>
      </w:r>
      <w:r>
        <w:rPr>
          <w:rFonts w:ascii="Times New Roman" w:hAnsi="Times New Roman"/>
          <w:sz w:val="20"/>
          <w:u w:val="single"/>
        </w:rPr>
        <w:t>Article IX</w:t>
      </w:r>
      <w:r>
        <w:rPr>
          <w:rFonts w:ascii="Times New Roman" w:hAnsi="Times New Roman"/>
          <w:sz w:val="20"/>
        </w:rPr>
        <w:t xml:space="preserve">, each Indemnifying Party shall, within [***] following the date of such decision and subject to the terms and conditions of this </w:t>
      </w:r>
      <w:r>
        <w:rPr>
          <w:rFonts w:ascii="Times New Roman" w:hAnsi="Times New Roman"/>
          <w:sz w:val="20"/>
          <w:u w:val="single"/>
        </w:rPr>
        <w:t>Article IX</w:t>
      </w:r>
      <w:r>
        <w:rPr>
          <w:rFonts w:ascii="Times New Roman" w:hAnsi="Times New Roman"/>
          <w:sz w:val="20"/>
        </w:rPr>
        <w:t xml:space="preserve">, pay to the Indemnified Party such Indemnifying Party’s Pro Rata Portion of such shortfall. </w:t>
      </w:r>
    </w:p>
    <w:p>
      <w:pPr>
        <w:pStyle w:val="TextBody"/>
        <w:bidi w:val="0"/>
        <w:spacing w:before="240" w:after="0"/>
        <w:jc w:val="left"/>
        <w:rPr>
          <w:rFonts w:ascii="Times New Roman" w:hAnsi="Times New Roman"/>
          <w:sz w:val="20"/>
        </w:rPr>
      </w:pPr>
      <w:bookmarkStart w:id="92" w:name="ex2_2rom152392_86"/>
      <w:bookmarkEnd w:id="92"/>
      <w:r>
        <w:rPr>
          <w:rFonts w:ascii="Times New Roman" w:hAnsi="Times New Roman"/>
          <w:sz w:val="20"/>
        </w:rPr>
        <w:t>9.5 </w:t>
      </w:r>
      <w:r>
        <w:rPr>
          <w:rFonts w:ascii="Times New Roman" w:hAnsi="Times New Roman"/>
          <w:sz w:val="20"/>
          <w:u w:val="single"/>
        </w:rPr>
        <w:t>Third 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Acquiror becomes aware of a third party claim (a “</w:t>
      </w:r>
      <w:r>
        <w:rPr>
          <w:rFonts w:ascii="Times New Roman" w:hAnsi="Times New Roman"/>
          <w:b/>
          <w:i/>
          <w:sz w:val="20"/>
        </w:rPr>
        <w:t>Third Party Claim</w:t>
      </w:r>
      <w:r>
        <w:rPr>
          <w:rFonts w:ascii="Times New Roman" w:hAnsi="Times New Roman"/>
          <w:sz w:val="20"/>
        </w:rPr>
        <w:t xml:space="preserve">”) which Acquiror reasonably believes may result in a demand against the Retention Escrow Amount or for other indemnification pursuant to this </w:t>
      </w:r>
      <w:r>
        <w:rPr>
          <w:rFonts w:ascii="Times New Roman" w:hAnsi="Times New Roman"/>
          <w:sz w:val="20"/>
          <w:u w:val="single"/>
        </w:rPr>
        <w:t>Article IX</w:t>
      </w:r>
      <w:r>
        <w:rPr>
          <w:rFonts w:ascii="Times New Roman" w:hAnsi="Times New Roman"/>
          <w:sz w:val="20"/>
        </w:rPr>
        <w:t xml:space="preserve">, Acquiror shall promptly notify the Securityholders’ Representative of such Third Party Claim (it being understood that no delay in providing such notice shall prejudice Acquiror’s rights under this </w:t>
      </w:r>
      <w:r>
        <w:rPr>
          <w:rFonts w:ascii="Times New Roman" w:hAnsi="Times New Roman"/>
          <w:sz w:val="20"/>
          <w:u w:val="single"/>
        </w:rPr>
        <w:t>Article IX</w:t>
      </w:r>
      <w:r>
        <w:rPr>
          <w:rFonts w:ascii="Times New Roman" w:hAnsi="Times New Roman"/>
          <w:sz w:val="20"/>
        </w:rPr>
        <w:t xml:space="preserve">), and the Securityholders’ Representative shall be entitled on behalf of the Indemnifying Parties, at its expense on behalf of the Indemnifying Parties, and only to the extent it does not affect any privilege relating to any Indemnified Party, to consult with Acquiror with respect to, but not to determine or conduct, the defense of such Third Party Claim. Acquiror shall have the right in its sole discretion to conduct the defense of, and to settle, any such Third Party Claim;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with the consent of the Securityholders’ Representative (such consent not to be unreasonably withheld, conditioned or delayed), no settlement or resolution of any such Third Party Claim shall be determinative of the existence or the amount of Damages resulting from, arising out of or relating to such Third Party Claim. The Indemnified Parties’ reasonable attorneys’ and consultants’ fees and expenses incurred in connection with investigating, defending (including expenses of offensive actions taken in connection with any defensive strategy) against or settling such Third Party Claims shall be included in the Damages for which the Indemnified Parties may seek indemnification hereunder and such costs and expenses shall constitute Damages subject to indemnification under </w:t>
      </w:r>
      <w:r>
        <w:rPr>
          <w:rFonts w:ascii="Times New Roman" w:hAnsi="Times New Roman"/>
          <w:sz w:val="20"/>
          <w:u w:val="single"/>
        </w:rPr>
        <w:t>Section 9.2(a)</w:t>
      </w:r>
      <w:r>
        <w:rPr>
          <w:rFonts w:ascii="Times New Roman" w:hAnsi="Times New Roman"/>
          <w:sz w:val="20"/>
        </w:rPr>
        <w:t xml:space="preserve"> (but subject to the other limitations under this </w:t>
      </w:r>
      <w:r>
        <w:rPr>
          <w:rFonts w:ascii="Times New Roman" w:hAnsi="Times New Roman"/>
          <w:sz w:val="20"/>
          <w:u w:val="single"/>
        </w:rPr>
        <w:t>Article IX</w:t>
      </w:r>
      <w:r>
        <w:rPr>
          <w:rFonts w:ascii="Times New Roman" w:hAnsi="Times New Roman"/>
          <w:sz w:val="20"/>
        </w:rPr>
        <w:t xml:space="preserve">) but only if and to the extent it is ultimately determined that such Third Party Claim is properly indemnifiable under </w:t>
      </w:r>
      <w:r>
        <w:rPr>
          <w:rFonts w:ascii="Times New Roman" w:hAnsi="Times New Roman"/>
          <w:sz w:val="20"/>
          <w:u w:val="single"/>
        </w:rPr>
        <w:t>Section 9.2(a)</w:t>
      </w:r>
      <w:r>
        <w:rPr>
          <w:rFonts w:ascii="Times New Roman" w:hAnsi="Times New Roman"/>
          <w:sz w:val="20"/>
        </w:rPr>
        <w:t xml:space="preserve"> and (i) the Securityholders’ Representative agrees in writing that such Third Party Claim is properly indemnifiable under </w:t>
      </w:r>
      <w:r>
        <w:rPr>
          <w:rFonts w:ascii="Times New Roman" w:hAnsi="Times New Roman"/>
          <w:sz w:val="20"/>
          <w:u w:val="single"/>
        </w:rPr>
        <w:t>Section 9.2(a)</w:t>
      </w:r>
      <w:r>
        <w:rPr>
          <w:rFonts w:ascii="Times New Roman" w:hAnsi="Times New Roman"/>
          <w:sz w:val="20"/>
        </w:rPr>
        <w:t xml:space="preserve">, or (ii) if an Indemnified Party has delivered an Indemnification Claim Notice to the Securityholders’ Representative as provided in Section 9.4(a) with respect to a Third Party Claim, Securityholders’ Representative fails to timely provide an Indemnification Claim Objection Notice as provided in </w:t>
      </w:r>
      <w:r>
        <w:rPr>
          <w:rFonts w:ascii="Times New Roman" w:hAnsi="Times New Roman"/>
          <w:sz w:val="20"/>
          <w:u w:val="single"/>
        </w:rPr>
        <w:t>Section 9.4(b)</w:t>
      </w:r>
      <w:r>
        <w:rPr>
          <w:rFonts w:ascii="Times New Roman" w:hAnsi="Times New Roman"/>
          <w:sz w:val="20"/>
        </w:rPr>
        <w:t xml:space="preserve"> with respect to such Third Party Claim.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Securityholders’ Representative has consented to any settlement or resolution of a Third Party Claim, the Indemnifying Parties shall have no power or authority to object under any provision of this </w:t>
      </w:r>
      <w:r>
        <w:rPr>
          <w:rFonts w:ascii="Times New Roman" w:hAnsi="Times New Roman"/>
          <w:sz w:val="20"/>
          <w:u w:val="single"/>
        </w:rPr>
        <w:t>Article IX</w:t>
      </w:r>
      <w:r>
        <w:rPr>
          <w:rFonts w:ascii="Times New Roman" w:hAnsi="Times New Roman"/>
          <w:sz w:val="20"/>
        </w:rPr>
        <w:t xml:space="preserve"> to the amount of Damages resulting from, arising out of or relating to such Third Party Claim, and the Indemnified Parties shall be entitled to indemnification for the entire amount of such Damages, subject to the applicable limitations contained in </w:t>
      </w:r>
      <w:r>
        <w:rPr>
          <w:rFonts w:ascii="Times New Roman" w:hAnsi="Times New Roman"/>
          <w:sz w:val="20"/>
          <w:u w:val="single"/>
        </w:rPr>
        <w:t>Section 9.3(a)</w:t>
      </w:r>
      <w:r>
        <w:rPr>
          <w:rFonts w:ascii="Times New Roman" w:hAnsi="Times New Roman"/>
          <w:sz w:val="20"/>
        </w:rPr>
        <w:t xml:space="preserve"> through </w:t>
      </w:r>
      <w:r>
        <w:rPr>
          <w:rFonts w:ascii="Times New Roman" w:hAnsi="Times New Roman"/>
          <w:sz w:val="20"/>
          <w:u w:val="single"/>
        </w:rPr>
        <w:t>Section 9.3(h)</w:t>
      </w:r>
      <w:r>
        <w:rPr>
          <w:rFonts w:ascii="Times New Roman" w:hAnsi="Times New Roman"/>
          <w:sz w:val="20"/>
        </w:rPr>
        <w:t xml:space="preserve">. In the event that the Securityholders’ Representative does not, in accordance with the terms of this </w:t>
      </w:r>
      <w:r>
        <w:rPr>
          <w:rFonts w:ascii="Times New Roman" w:hAnsi="Times New Roman"/>
          <w:sz w:val="20"/>
          <w:u w:val="single"/>
        </w:rPr>
        <w:t>Section 9.5</w:t>
      </w:r>
      <w:r>
        <w:rPr>
          <w:rFonts w:ascii="Times New Roman" w:hAnsi="Times New Roman"/>
          <w:sz w:val="20"/>
        </w:rPr>
        <w:t xml:space="preserve">, consent to any such settlement or resolution, then the Indemnified Parties shall be entitled to submit the dispute with the Securityholders’ Representative with respect to the existence or amount of Damages resulting from, arising out of or relating to such Third Party Claim to an arbitrator pursuant to the procedures set forth in </w:t>
      </w:r>
      <w:r>
        <w:rPr>
          <w:rFonts w:ascii="Times New Roman" w:hAnsi="Times New Roman"/>
          <w:sz w:val="20"/>
          <w:u w:val="single"/>
        </w:rPr>
        <w:t xml:space="preserve">Section 9.4 </w:t>
      </w:r>
      <w:r>
        <w:rPr>
          <w:rFonts w:ascii="Times New Roman" w:hAnsi="Times New Roman"/>
          <w:sz w:val="20"/>
        </w:rPr>
        <w:t xml:space="preserve">with the arbitrator determining how all costs and expenses relating to the arbitration shall be paid, including the respective costs and expenses of each party, the fees of the arbitrator and the administrative fee of the American Arbitration Association. For the avoidance of doubt, in any such arbitration, the amounts paid by any Indemnified Party pursuant to the settlement or resolution of any such Third Party Claim shall not be determinative of the existence or the amount of Damages resulting from, arising out of or relating to such Third Party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the avoidance of doubt and subject to the other terms of this Agreement, the Securityholders’ Representative and the Indemnifying Parties shall keep any information obtained in connection with any Third Party Claim confidential in accordance with </w:t>
      </w:r>
      <w:r>
        <w:rPr>
          <w:rFonts w:ascii="Times New Roman" w:hAnsi="Times New Roman"/>
          <w:sz w:val="20"/>
          <w:u w:val="single"/>
        </w:rPr>
        <w:t>Section 6.2</w:t>
      </w:r>
      <w:r>
        <w:rPr>
          <w:rFonts w:ascii="Times New Roman" w:hAnsi="Times New Roman"/>
          <w:sz w:val="20"/>
        </w:rPr>
        <w:t xml:space="preserve"> hereof as though such information was subject to the terms of the Confidentiality Agreement, and in no event shall the Securityholders’ Representative or any Indemnifying Party disclose such information, except to his, her, or its legal counsel and by the Securityholders’ Representative to the Securityholders’ Representative Group, to any third party unless and until such party has executed a confidentiality agreement with respect to such information, or is otherwise subject to applicable confidentiality obligations, containing confidentiality terms no less favorable to the Company than those contained in the Confidentiality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GENERAL PROVISIONS </w:t>
      </w:r>
    </w:p>
    <w:p>
      <w:pPr>
        <w:pStyle w:val="TextBody"/>
        <w:bidi w:val="0"/>
        <w:spacing w:before="240" w:after="0"/>
        <w:jc w:val="left"/>
        <w:rPr>
          <w:rFonts w:ascii="Times New Roman" w:hAnsi="Times New Roman"/>
          <w:sz w:val="20"/>
        </w:rPr>
      </w:pPr>
      <w:bookmarkStart w:id="93" w:name="ex2_2rom152392_88"/>
      <w:bookmarkEnd w:id="93"/>
      <w:r>
        <w:rPr>
          <w:rFonts w:ascii="Times New Roman" w:hAnsi="Times New Roman"/>
          <w:sz w:val="20"/>
        </w:rPr>
        <w:t>10.1 </w:t>
      </w:r>
      <w:r>
        <w:rPr>
          <w:rFonts w:ascii="Times New Roman" w:hAnsi="Times New Roman"/>
          <w:sz w:val="20"/>
          <w:u w:val="single"/>
        </w:rPr>
        <w:t>Notices</w:t>
      </w:r>
      <w:r>
        <w:rPr>
          <w:rFonts w:ascii="Times New Roman" w:hAnsi="Times New Roman"/>
          <w:sz w:val="20"/>
        </w:rPr>
        <w:t xml:space="preserve">. Any notices and other communications hereunder shall be in writing and shall be deemed given (a) when delivered personally, (b) the day following the day (except if not a Business Day then the next Business Day) on which the same has been delivered by a nationally recognized overnight courier service (providing written proof of delivery), such as Federal Express, (c) the third Business Day following the day on which the same is sent by registered or certified mail (return receipt requested and first-class postage prepaid) or (d) when sent via electronic mail (with confirmation of receipt) to the parties hereto at the following address (or at such other address for a party as shall be specified by like notice, </w:t>
      </w:r>
      <w:r>
        <w:rPr>
          <w:rFonts w:ascii="Times New Roman" w:hAnsi="Times New Roman"/>
          <w:sz w:val="20"/>
          <w:u w:val="single"/>
        </w:rPr>
        <w:t>provided</w:t>
      </w:r>
      <w:r>
        <w:rPr>
          <w:rFonts w:ascii="Times New Roman" w:hAnsi="Times New Roman"/>
          <w:sz w:val="20"/>
        </w:rPr>
        <w:t xml:space="preserve"> that a notice of change in address shall not be deemed to have been given until received by the addressee), and provided further that any notices and other communications to the Securityholders’ Representative must be delivered solely by email: </w:t>
      </w:r>
    </w:p>
    <w:p>
      <w:pPr>
        <w:pStyle w:val="TextBody"/>
        <w:bidi w:val="0"/>
        <w:spacing w:before="240" w:after="0"/>
        <w:jc w:val="left"/>
        <w:rPr>
          <w:rFonts w:ascii="Times New Roman" w:hAnsi="Times New Roman"/>
          <w:sz w:val="20"/>
        </w:rPr>
      </w:pPr>
      <w:r>
        <w:rPr>
          <w:rFonts w:ascii="Times New Roman" w:hAnsi="Times New Roman"/>
          <w:sz w:val="20"/>
        </w:rPr>
        <w:t xml:space="preserve">if to Acquiror or Merger Sub, to: </w:t>
      </w:r>
    </w:p>
    <w:p>
      <w:pPr>
        <w:pStyle w:val="TextBody"/>
        <w:bidi w:val="0"/>
        <w:spacing w:before="120" w:after="0"/>
        <w:jc w:val="left"/>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1770 Laguna Canyon Rd., Floor 4, </w:t>
      </w:r>
    </w:p>
    <w:p>
      <w:pPr>
        <w:pStyle w:val="TextBody"/>
        <w:bidi w:val="0"/>
        <w:spacing w:before="0" w:after="0"/>
        <w:jc w:val="left"/>
        <w:rPr>
          <w:rFonts w:ascii="Times New Roman" w:hAnsi="Times New Roman"/>
          <w:sz w:val="20"/>
        </w:rPr>
      </w:pPr>
      <w:r>
        <w:rPr>
          <w:rFonts w:ascii="Times New Roman" w:hAnsi="Times New Roman"/>
          <w:sz w:val="20"/>
        </w:rPr>
        <w:t xml:space="preserve">Irvine, CA 92618 </w:t>
      </w:r>
    </w:p>
    <w:p>
      <w:pPr>
        <w:pStyle w:val="TextBody"/>
        <w:bidi w:val="0"/>
        <w:spacing w:before="0" w:after="0"/>
        <w:jc w:val="left"/>
        <w:rPr>
          <w:rFonts w:ascii="Times New Roman" w:hAnsi="Times New Roman"/>
          <w:sz w:val="20"/>
        </w:rPr>
      </w:pPr>
      <w:r>
        <w:rPr>
          <w:rFonts w:ascii="Times New Roman" w:hAnsi="Times New Roman"/>
          <w:sz w:val="20"/>
        </w:rPr>
        <w:t xml:space="preserve">Attention: Bryan Wahl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Gunderson Dettmer Stough Villeneuve Franklin &amp; Hachigian, LLP </w:t>
      </w:r>
    </w:p>
    <w:p>
      <w:pPr>
        <w:pStyle w:val="TextBody"/>
        <w:bidi w:val="0"/>
        <w:spacing w:before="0" w:after="0"/>
        <w:jc w:val="left"/>
        <w:rPr>
          <w:rFonts w:ascii="Times New Roman" w:hAnsi="Times New Roman"/>
          <w:sz w:val="20"/>
        </w:rPr>
      </w:pPr>
      <w:r>
        <w:rPr>
          <w:rFonts w:ascii="Times New Roman" w:hAnsi="Times New Roman"/>
          <w:sz w:val="20"/>
        </w:rPr>
        <w:t xml:space="preserve">3570 Carmel Mountain Road, Suite 200 </w:t>
      </w:r>
    </w:p>
    <w:p>
      <w:pPr>
        <w:pStyle w:val="TextBody"/>
        <w:bidi w:val="0"/>
        <w:spacing w:before="0" w:after="0"/>
        <w:jc w:val="left"/>
        <w:rPr>
          <w:rFonts w:ascii="Times New Roman" w:hAnsi="Times New Roman"/>
          <w:sz w:val="20"/>
        </w:rPr>
      </w:pPr>
      <w:r>
        <w:rPr>
          <w:rFonts w:ascii="Times New Roman" w:hAnsi="Times New Roman"/>
          <w:sz w:val="20"/>
        </w:rPr>
        <w:t xml:space="preserve">San Diego, CA 92130 </w:t>
      </w:r>
    </w:p>
    <w:p>
      <w:pPr>
        <w:pStyle w:val="TextBody"/>
        <w:bidi w:val="0"/>
        <w:spacing w:before="0" w:after="0"/>
        <w:jc w:val="left"/>
        <w:rPr>
          <w:rFonts w:ascii="Times New Roman" w:hAnsi="Times New Roman"/>
          <w:sz w:val="20"/>
        </w:rPr>
      </w:pPr>
      <w:r>
        <w:rPr>
          <w:rFonts w:ascii="Times New Roman" w:hAnsi="Times New Roman"/>
          <w:sz w:val="20"/>
        </w:rPr>
        <w:t xml:space="preserve">Attention: Ryan Gunderson </w:t>
      </w:r>
    </w:p>
    <w:p>
      <w:pPr>
        <w:pStyle w:val="TextBody"/>
        <w:bidi w:val="0"/>
        <w:spacing w:before="0" w:after="0"/>
        <w:jc w:val="left"/>
        <w:rPr>
          <w:rFonts w:ascii="Times New Roman" w:hAnsi="Times New Roman"/>
          <w:sz w:val="20"/>
        </w:rPr>
      </w:pPr>
      <w:r>
        <w:rPr>
          <w:rFonts w:ascii="Times New Roman" w:hAnsi="Times New Roman"/>
          <w:sz w:val="20"/>
        </w:rPr>
        <w:t xml:space="preserve">Email: ryangunderson@gunder.com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3"/>
        <w:gridCol w:w="407"/>
        <w:gridCol w:w="7655"/>
      </w:tblGrid>
      <w:tr>
        <w:trPr/>
        <w:tc>
          <w:tcPr>
            <w:tcW w:w="2143"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7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iRenix Medical, Inc.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3203 Hanover Street, Suite 100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Josh Seidenfeld and Philipp Tsukanov </w:t>
      </w:r>
    </w:p>
    <w:p>
      <w:pPr>
        <w:pStyle w:val="TextBody"/>
        <w:bidi w:val="0"/>
        <w:spacing w:before="0" w:after="0"/>
        <w:jc w:val="left"/>
        <w:rPr>
          <w:rFonts w:ascii="Times New Roman" w:hAnsi="Times New Roman"/>
          <w:sz w:val="20"/>
        </w:rPr>
      </w:pPr>
      <w:r>
        <w:rPr>
          <w:rFonts w:ascii="Times New Roman" w:hAnsi="Times New Roman"/>
          <w:sz w:val="20"/>
        </w:rPr>
        <w:t xml:space="preserve">E-mail: josh.seidenfeld@us.dlapiper.com; </w:t>
      </w:r>
    </w:p>
    <w:p>
      <w:pPr>
        <w:pStyle w:val="TextBody"/>
        <w:bidi w:val="0"/>
        <w:spacing w:before="0" w:after="0"/>
        <w:jc w:val="left"/>
        <w:rPr>
          <w:rFonts w:ascii="Times New Roman" w:hAnsi="Times New Roman"/>
          <w:sz w:val="20"/>
        </w:rPr>
      </w:pPr>
      <w:r>
        <w:rPr>
          <w:rFonts w:ascii="Times New Roman" w:hAnsi="Times New Roman"/>
          <w:sz w:val="20"/>
        </w:rPr>
        <w:t xml:space="preserve">Philipp.tsukanov@us.dlapiper.com </w:t>
      </w:r>
    </w:p>
    <w:p>
      <w:pPr>
        <w:pStyle w:val="TextBody"/>
        <w:bidi w:val="0"/>
        <w:spacing w:before="120" w:after="0"/>
        <w:jc w:val="left"/>
        <w:rPr>
          <w:rFonts w:ascii="Times New Roman" w:hAnsi="Times New Roman"/>
          <w:sz w:val="20"/>
        </w:rPr>
      </w:pPr>
      <w:r>
        <w:rPr>
          <w:rFonts w:ascii="Times New Roman" w:hAnsi="Times New Roman"/>
          <w:sz w:val="20"/>
        </w:rPr>
        <w:t xml:space="preserve">If to the Securityholders’ Representative, to: </w:t>
      </w:r>
    </w:p>
    <w:p>
      <w:pPr>
        <w:pStyle w:val="TextBody"/>
        <w:bidi w:val="0"/>
        <w:spacing w:before="120" w:after="0"/>
        <w:jc w:val="left"/>
        <w:rPr>
          <w:rFonts w:ascii="Times New Roman" w:hAnsi="Times New Roman"/>
          <w:sz w:val="20"/>
        </w:rPr>
      </w:pPr>
      <w:r>
        <w:rPr>
          <w:rFonts w:ascii="Times New Roman" w:hAnsi="Times New Roman"/>
          <w:sz w:val="20"/>
        </w:rPr>
        <w:t xml:space="preserve">Fortis Advisors LLC </w:t>
      </w:r>
    </w:p>
    <w:p>
      <w:pPr>
        <w:pStyle w:val="TextBody"/>
        <w:bidi w:val="0"/>
        <w:spacing w:before="0" w:after="0"/>
        <w:jc w:val="left"/>
        <w:rPr>
          <w:rFonts w:ascii="Times New Roman" w:hAnsi="Times New Roman"/>
          <w:sz w:val="20"/>
        </w:rPr>
      </w:pPr>
      <w:r>
        <w:rPr>
          <w:rFonts w:ascii="Times New Roman" w:hAnsi="Times New Roman"/>
          <w:sz w:val="20"/>
        </w:rPr>
        <w:t xml:space="preserve">Attention: Notices Department (Project Icon)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DLA Piper LLP (US) </w:t>
      </w:r>
    </w:p>
    <w:p>
      <w:pPr>
        <w:pStyle w:val="TextBody"/>
        <w:bidi w:val="0"/>
        <w:spacing w:before="0" w:after="0"/>
        <w:jc w:val="left"/>
        <w:rPr>
          <w:rFonts w:ascii="Times New Roman" w:hAnsi="Times New Roman"/>
          <w:sz w:val="20"/>
        </w:rPr>
      </w:pPr>
      <w:r>
        <w:rPr>
          <w:rFonts w:ascii="Times New Roman" w:hAnsi="Times New Roman"/>
          <w:sz w:val="20"/>
        </w:rPr>
        <w:t xml:space="preserve">3203 Hanover Street, Suite 100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94303 </w:t>
      </w:r>
    </w:p>
    <w:p>
      <w:pPr>
        <w:pStyle w:val="TextBody"/>
        <w:bidi w:val="0"/>
        <w:spacing w:before="0" w:after="0"/>
        <w:jc w:val="left"/>
        <w:rPr>
          <w:rFonts w:ascii="Times New Roman" w:hAnsi="Times New Roman"/>
          <w:sz w:val="20"/>
        </w:rPr>
      </w:pPr>
      <w:r>
        <w:rPr>
          <w:rFonts w:ascii="Times New Roman" w:hAnsi="Times New Roman"/>
          <w:sz w:val="20"/>
        </w:rPr>
        <w:t xml:space="preserve">Attention: Josh Seidenfeld and Philipp Tsukanov </w:t>
      </w:r>
    </w:p>
    <w:p>
      <w:pPr>
        <w:pStyle w:val="TextBody"/>
        <w:bidi w:val="0"/>
        <w:spacing w:before="0" w:after="0"/>
        <w:jc w:val="left"/>
        <w:rPr>
          <w:rFonts w:ascii="Times New Roman" w:hAnsi="Times New Roman"/>
          <w:sz w:val="20"/>
        </w:rPr>
      </w:pPr>
      <w:r>
        <w:rPr>
          <w:rFonts w:ascii="Times New Roman" w:hAnsi="Times New Roman"/>
          <w:sz w:val="20"/>
        </w:rPr>
        <w:t xml:space="preserve">E-mail: josh.seidenfeld@us.dlapiper.com; </w:t>
      </w:r>
    </w:p>
    <w:p>
      <w:pPr>
        <w:pStyle w:val="TextBody"/>
        <w:bidi w:val="0"/>
        <w:spacing w:before="0" w:after="0"/>
        <w:jc w:val="left"/>
        <w:rPr>
          <w:rFonts w:ascii="Times New Roman" w:hAnsi="Times New Roman"/>
          <w:sz w:val="20"/>
        </w:rPr>
      </w:pPr>
      <w:r>
        <w:rPr>
          <w:rFonts w:ascii="Times New Roman" w:hAnsi="Times New Roman"/>
          <w:sz w:val="20"/>
        </w:rPr>
        <w:t xml:space="preserve">Philipp.tsukanov@us.dlapiper.com </w:t>
      </w:r>
    </w:p>
    <w:p>
      <w:pPr>
        <w:pStyle w:val="TextBody"/>
        <w:bidi w:val="0"/>
        <w:spacing w:before="240" w:after="0"/>
        <w:jc w:val="left"/>
        <w:rPr>
          <w:rFonts w:ascii="Times New Roman" w:hAnsi="Times New Roman"/>
          <w:sz w:val="20"/>
        </w:rPr>
      </w:pPr>
      <w:bookmarkStart w:id="94" w:name="ex2_2rom152392_89"/>
      <w:bookmarkEnd w:id="94"/>
      <w:r>
        <w:rPr>
          <w:rFonts w:ascii="Times New Roman" w:hAnsi="Times New Roman"/>
          <w:sz w:val="20"/>
        </w:rPr>
        <w:t>10.2 </w:t>
      </w:r>
      <w:r>
        <w:rPr>
          <w:rFonts w:ascii="Times New Roman" w:hAnsi="Times New Roman"/>
          <w:sz w:val="20"/>
          <w:u w:val="single"/>
        </w:rPr>
        <w:t>Counterparts</w:t>
      </w:r>
      <w:r>
        <w:rPr>
          <w:rFonts w:ascii="Times New Roman" w:hAnsi="Times New Roman"/>
          <w:sz w:val="20"/>
        </w:rPr>
        <w:t xml:space="preserve">. This Agreement may be executed in one or more counterparts, each of which will be deemed an original, but all of which together will constitute one and the same instrument. Counterparts to this Agreement may be executed by hand or by any electronic signature (including www.docusign.com) complying with the U.S. federal ESIGN Act of 2000, and executed counterparts may be delivered via facsimile, electronic mail or other similar transmission method, and any executed counterpart so delivered shall be valid and effective for all purposes, with the same effect as if the signatures thereto were upon a single instrument. </w:t>
      </w:r>
    </w:p>
    <w:p>
      <w:pPr>
        <w:pStyle w:val="TextBody"/>
        <w:bidi w:val="0"/>
        <w:spacing w:before="240" w:after="0"/>
        <w:jc w:val="left"/>
        <w:rPr>
          <w:rFonts w:ascii="Times New Roman" w:hAnsi="Times New Roman"/>
          <w:sz w:val="20"/>
        </w:rPr>
      </w:pPr>
      <w:bookmarkStart w:id="95" w:name="ex2_2rom152392_90"/>
      <w:bookmarkEnd w:id="95"/>
      <w:r>
        <w:rPr>
          <w:rFonts w:ascii="Times New Roman" w:hAnsi="Times New Roman"/>
          <w:sz w:val="20"/>
        </w:rPr>
        <w:t>10.3 </w:t>
      </w:r>
      <w:r>
        <w:rPr>
          <w:rFonts w:ascii="Times New Roman" w:hAnsi="Times New Roman"/>
          <w:sz w:val="20"/>
          <w:u w:val="single"/>
        </w:rPr>
        <w:t>Entire Agreement; Parties in Interest</w:t>
      </w:r>
      <w:r>
        <w:rPr>
          <w:rFonts w:ascii="Times New Roman" w:hAnsi="Times New Roman"/>
          <w:sz w:val="20"/>
        </w:rPr>
        <w:t xml:space="preserve">. This Agreement and the documents and instruments and other agreements specifically referred to in this Agreement or delivered pursuant hereto, including all the Exhibits attached hereto and the Schedules (a)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and the Letters of Transmittal, which shall continue in full force and effect, and shall survive any termination of this Agreement, in accordance with their respective terms and (b) are not intended to confer, and shall not be construed as conferring, upon any Person other than the parties hereto any rights or remedies hereunder (except that </w:t>
      </w:r>
      <w:r>
        <w:rPr>
          <w:rFonts w:ascii="Times New Roman" w:hAnsi="Times New Roman"/>
          <w:sz w:val="20"/>
          <w:u w:val="single"/>
        </w:rPr>
        <w:t>Section 6.8</w:t>
      </w:r>
      <w:r>
        <w:rPr>
          <w:rFonts w:ascii="Times New Roman" w:hAnsi="Times New Roman"/>
          <w:sz w:val="20"/>
        </w:rPr>
        <w:t xml:space="preserve"> is intended to benefit the former, current and future officers and directors of the Company). </w:t>
      </w:r>
    </w:p>
    <w:p>
      <w:pPr>
        <w:pStyle w:val="TextBody"/>
        <w:bidi w:val="0"/>
        <w:spacing w:before="240" w:after="0"/>
        <w:jc w:val="left"/>
        <w:rPr>
          <w:rFonts w:ascii="Times New Roman" w:hAnsi="Times New Roman"/>
          <w:sz w:val="20"/>
        </w:rPr>
      </w:pPr>
      <w:bookmarkStart w:id="96" w:name="ex2_2rom152392_91"/>
      <w:bookmarkEnd w:id="96"/>
      <w:r>
        <w:rPr>
          <w:rFonts w:ascii="Times New Roman" w:hAnsi="Times New Roman"/>
          <w:sz w:val="20"/>
        </w:rPr>
        <w:t>10.4 </w:t>
      </w:r>
      <w:r>
        <w:rPr>
          <w:rFonts w:ascii="Times New Roman" w:hAnsi="Times New Roman"/>
          <w:sz w:val="20"/>
          <w:u w:val="single"/>
        </w:rPr>
        <w:t>Amendment; Waiver</w:t>
      </w:r>
      <w:r>
        <w:rPr>
          <w:rFonts w:ascii="Times New Roman" w:hAnsi="Times New Roman"/>
          <w:sz w:val="20"/>
        </w:rPr>
        <w:t xml:space="preserve">. Subject to the provisions of applicable Legal Requirements, the parties hereto may amend this Agreement by authorized action at any time (notwithstanding approval and adoption of this Agreement by the Company Stockholders) pursuant to an instrument in writing signed on behalf of each of the parties hereto (provided that no amendment shall be made which by Legal Requirement requires further approval by the Company Stockholders without such further shareholder approval). To the extent permitted by applicable Legal Requirements, Acquiror and the Securityholders’ Representative may cause this Agreement to be amended at any time after the Effective Time by execution of an instrument in writing signed on behalf of Acquiror and the Securityholders’ Representative. The failure of any party to assert any rights or remedies shall not constitute a waiver of such rights or remedies; provided, however, that, notwithstanding the foregoing, time is of the essence with regard to all dates and time periods set forth or referred to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97" w:name="ex2_2rom152392_92"/>
      <w:bookmarkEnd w:id="97"/>
      <w:r>
        <w:rPr>
          <w:rFonts w:ascii="Times New Roman" w:hAnsi="Times New Roman"/>
          <w:sz w:val="20"/>
        </w:rPr>
        <w:t>10.5 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of the parties hereto without the prior written consent of the other parties hereto, and any such assignment without such prior written consent shall be null and void, except that Acquiror may assign this Agreement (a) to any direct or indirect Affiliate of Acquiror without the prior consent of the Company; provided, however, that Acquiror shall remain liable for all of its obligations under this Agreement and (b) in connection with the sale of all or substantially all of Acquiror’s business related to this Agreement, whether by sale of assets, sale of stock, merger or otherwise; provided, however, that in connection with such sale, if Acquiror’s obligations under this Agreement not assumed either by operation of law or contract, such acquiror or successor shall expressly agree to be bound by the obligations of Acquiror set forth in this Agreement. Subject to the preceding sentence, this Agreement shall be binding upon, inure to the benefit of, and be enforceable by, the parties hereto and their respective successors and assigns. </w:t>
      </w:r>
    </w:p>
    <w:p>
      <w:pPr>
        <w:pStyle w:val="TextBody"/>
        <w:bidi w:val="0"/>
        <w:spacing w:before="240" w:after="0"/>
        <w:jc w:val="left"/>
        <w:rPr>
          <w:rFonts w:ascii="Times New Roman" w:hAnsi="Times New Roman"/>
          <w:sz w:val="20"/>
        </w:rPr>
      </w:pPr>
      <w:bookmarkStart w:id="98" w:name="ex2_2rom152392_93"/>
      <w:bookmarkEnd w:id="98"/>
      <w:r>
        <w:rPr>
          <w:rFonts w:ascii="Times New Roman" w:hAnsi="Times New Roman"/>
          <w:sz w:val="20"/>
        </w:rPr>
        <w:t>10.6 </w:t>
      </w:r>
      <w:r>
        <w:rPr>
          <w:rFonts w:ascii="Times New Roman" w:hAnsi="Times New Roman"/>
          <w:sz w:val="20"/>
          <w:u w:val="single"/>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the remainder of this Agreement shall continue in full force and effect and shall be interpreted so as to reasonably effect the intent of the parties hereto. The parties hereto shall use all reasonable efforts to replace such void or unenforceable provision of this Agreement with a valid and enforceable provision that shall achieve, to the extent possible, the economic, business and other purposes of such void or unenforceable provision. </w:t>
      </w:r>
    </w:p>
    <w:p>
      <w:pPr>
        <w:pStyle w:val="TextBody"/>
        <w:bidi w:val="0"/>
        <w:spacing w:before="240" w:after="0"/>
        <w:jc w:val="left"/>
        <w:rPr>
          <w:rFonts w:ascii="Times New Roman" w:hAnsi="Times New Roman"/>
          <w:sz w:val="20"/>
        </w:rPr>
      </w:pPr>
      <w:bookmarkStart w:id="99" w:name="ex2_2rom152392_94"/>
      <w:bookmarkEnd w:id="99"/>
      <w:r>
        <w:rPr>
          <w:rFonts w:ascii="Times New Roman" w:hAnsi="Times New Roman"/>
          <w:sz w:val="20"/>
        </w:rPr>
        <w:t>10.7 </w:t>
      </w:r>
      <w:r>
        <w:rPr>
          <w:rFonts w:ascii="Times New Roman" w:hAnsi="Times New Roman"/>
          <w:sz w:val="20"/>
          <w:u w:val="single"/>
        </w:rPr>
        <w:t>Governing Law; Venue; Waiver of Jury Trial; 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(a) This Agreement shall be governed by and construed in accordance with the laws of the State of Delaware without reference to such state’s principles of conflicts of law. Each of the parties hereby expressly and irrevocably submits to the exclusive jurisdiction of the United States District Court for the District of Delaware and the jurisdiction of any other competent court in the State of Delaware (the “</w:t>
      </w:r>
      <w:r>
        <w:rPr>
          <w:rFonts w:ascii="Times New Roman" w:hAnsi="Times New Roman"/>
          <w:b/>
          <w:i/>
          <w:sz w:val="20"/>
        </w:rPr>
        <w:t>Delaware Courts</w:t>
      </w:r>
      <w:r>
        <w:rPr>
          <w:rFonts w:ascii="Times New Roman" w:hAnsi="Times New Roman"/>
          <w:sz w:val="20"/>
        </w:rPr>
        <w:t xml:space="preserve">”), preserving, however, all rights of removal to such federal court under 28 U.S.C. 1441, in respect of all disputes arising out of or in connection with this Agreement and the documents referred to in this Agreement or the transactions contemplated hereby and thereby, and hereby waives, and agrees not to assert, as a defense in any Proceeding arising out of or in connection with this Agreement and the documents referred to in this Agreement or the transactions contemplated hereby and thereby, that it is not subject thereto or that such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Proceeding shall be heard and determined in the Delaware Courts. The parties hereby consent to and grant any such court jurisdiction over the person of such parties and over the subject matter of such dispute and agree that mailing of process or other papers in connection with any such Proceeding in the manner provided in </w:t>
      </w:r>
      <w:r>
        <w:rPr>
          <w:rFonts w:ascii="Times New Roman" w:hAnsi="Times New Roman"/>
          <w:sz w:val="20"/>
          <w:u w:val="single"/>
        </w:rPr>
        <w:t>Section 10.1</w:t>
      </w:r>
      <w:r>
        <w:rPr>
          <w:rFonts w:ascii="Times New Roman" w:hAnsi="Times New Roman"/>
          <w:sz w:val="20"/>
        </w:rPr>
        <w:t xml:space="preserve"> or in such other manner as may be permitted by applicable Legal Requirements, shall be valid and sufficient service thereof. Notwithstanding the foregoing, each party agrees that each of the other parties shall have the right to bring any Proceeding for enforcement of any Order entered by a Delaware Court in any other court having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HEREBY KNOWINGLY, INTENTIONALLY AND VOLUNTARILY WITH AND UPON THE ADVICE OF COMPETENT COUNSEL IRREVOCABLY WAIVES ANY AND ALL RIGHT TO TRIAL BY JURY IN ANY LEGAL PROCEEDING BETWEEN THE PARTIES HERETO ARISING OUT OF OR RELATING TO THIS AGREEMENT, THE TRANSACTIONS CONTEMPLATED BY THIS AGREEMENT OR THE ACTIONS OF ANY PARTY HERETO IN THE NEGOTIATION, ADMINISTRATION, PERFORMANCE OR ENFORCEMENT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the parties hereto agrees that this Agreement is intended to be legally binding and specifically enforceable pursuant to its terms and that Acquiror and the Company may be irreparably harmed if any of the provisions of this Agreement are not performed in accordance with their specific terms and that monetary damages may not provide adequate remedy in such event. Accordingly, in addition to any other remedy to which a non-breaching party may be entitled under Article IX, a non-breaching party shall be entitled to seek injunctive relief to prevent breaches of this Agreement and to specifically enforce the terms and provisions hereof. For the avoidance of doubt, nothing in this </w:t>
      </w:r>
      <w:r>
        <w:rPr>
          <w:rFonts w:ascii="Times New Roman" w:hAnsi="Times New Roman"/>
          <w:sz w:val="20"/>
          <w:u w:val="single"/>
        </w:rPr>
        <w:t>Section 10.7(c)</w:t>
      </w:r>
      <w:r>
        <w:rPr>
          <w:rFonts w:ascii="Times New Roman" w:hAnsi="Times New Roman"/>
          <w:sz w:val="20"/>
        </w:rPr>
        <w:t xml:space="preserve"> shall be construed to limit the rights of any Indemnified Party to pursue claims based on Fraud. </w:t>
      </w:r>
    </w:p>
    <w:p>
      <w:pPr>
        <w:pStyle w:val="TextBody"/>
        <w:bidi w:val="0"/>
        <w:spacing w:before="240" w:after="0"/>
        <w:jc w:val="left"/>
        <w:rPr>
          <w:rFonts w:ascii="Times New Roman" w:hAnsi="Times New Roman"/>
          <w:sz w:val="20"/>
        </w:rPr>
      </w:pPr>
      <w:bookmarkStart w:id="100" w:name="ex2_2rom152392_95"/>
      <w:bookmarkEnd w:id="100"/>
      <w:r>
        <w:rPr>
          <w:rFonts w:ascii="Times New Roman" w:hAnsi="Times New Roman"/>
          <w:sz w:val="20"/>
        </w:rPr>
        <w:t>10.8 </w:t>
      </w:r>
      <w:r>
        <w:rPr>
          <w:rFonts w:ascii="Times New Roman" w:hAnsi="Times New Roman"/>
          <w:sz w:val="20"/>
          <w:u w:val="single"/>
        </w:rPr>
        <w:t>Interpretation; 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Interpretation</w:t>
      </w:r>
      <w:r>
        <w:rPr>
          <w:rFonts w:ascii="Times New Roman" w:hAnsi="Times New Roman"/>
          <w:sz w:val="20"/>
        </w:rPr>
        <w:t xml:space="preserve">. When a reference is made in this Agreement to Articles, Sections or Exhibits, such reference shall be to an Article or Section of, or an Exhibit to this Agreement unless otherwise indicated. The headings contained in this Agreement are for reference purposes only and shall not affect in any way the meaning or interpretation of this Agreement. The words “include,” “includes” and “including” when used in this Agreement shall be deemed in each case to be followed by the words “without limitation.” The phrases “provided to,” “delivered to,” “made available to,” “furnished to,” and phrases of similar import when used in this Agreement, unless the context otherwise requires, means that a copy of the information or material referred to has been provided to the party to whom such information or material is to be provided, including by means of being provided for review in the virtual data room set up by the Company in connection with this Agreement located at “[***].” Unless the context of this Agreement otherwise requires: (a) words of any gender include each other gender; (b) words using the singular or plural number also include the plural or singular number, respectively; (c) the terms “hereof,” “herein,” “hereunder” and derivative or similar words refer to this entire Agreement; (d) all references to “$” shall mean U.S. dollars, all payments made pursuant to this Agreement shall be in U.S. dollars; and (e) the terms “day” and “days” mean and refer to calendar day(s).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hereto have been represented by counsel during the negotiation, preparation and execution of this Agreement and, therefore, hereby waive, with respect to this Agreement, each Schedule and each Exhibit attached hereto, the application of any Legal Requirement, regulation, holding or rule of construction providing that ambiguities in an agreement or other document shall be construed against the party drafting such agreement or document. </w:t>
      </w:r>
    </w:p>
    <w:p>
      <w:pPr>
        <w:pStyle w:val="TextBody"/>
        <w:bidi w:val="0"/>
        <w:spacing w:before="240" w:after="0"/>
        <w:jc w:val="left"/>
        <w:rPr>
          <w:rFonts w:ascii="Times New Roman" w:hAnsi="Times New Roman"/>
          <w:sz w:val="20"/>
        </w:rPr>
      </w:pPr>
      <w:bookmarkStart w:id="101" w:name="ex2_2rom152392_96"/>
      <w:bookmarkEnd w:id="101"/>
      <w:r>
        <w:rPr>
          <w:rFonts w:ascii="Times New Roman" w:hAnsi="Times New Roman"/>
          <w:sz w:val="20"/>
        </w:rPr>
        <w:t>10.9 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2" w:name="ex2_2rom152392_97"/>
      <w:bookmarkEnd w:id="102"/>
      <w:r>
        <w:rPr>
          <w:rFonts w:ascii="Times New Roman" w:hAnsi="Times New Roman"/>
          <w:sz w:val="20"/>
        </w:rPr>
        <w:t>10.10 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3" w:name="ex2_2rom152392_98"/>
      <w:bookmarkEnd w:id="103"/>
      <w:r>
        <w:rPr>
          <w:rFonts w:ascii="Times New Roman" w:hAnsi="Times New Roman"/>
          <w:sz w:val="20"/>
        </w:rPr>
        <w:t>10.11 </w:t>
      </w:r>
      <w:r>
        <w:rPr>
          <w:rFonts w:ascii="Times New Roman" w:hAnsi="Times New Roman"/>
          <w:sz w:val="20"/>
          <w:u w:val="single"/>
        </w:rPr>
        <w:t>Securityholders’ Representative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Company Securityholder by virtue of the approval and adoption of this Agreement or other appointment authorization documentation (other than such Company Stockholders, if any, who have perfected appraisal rights under the Delaware Code) or by accepting any consideration payable hereunder, and without any further action of any of the Escrow Participants or the Company, shall be deemed to have agreed to appoint and hereby appoints Fortis Advisors LLC, a Delaware limited liability company, as its exclusive agent and true and lawful attorney-in-fact (the “</w:t>
      </w:r>
      <w:r>
        <w:rPr>
          <w:rFonts w:ascii="Times New Roman" w:hAnsi="Times New Roman"/>
          <w:b/>
          <w:i/>
          <w:sz w:val="20"/>
        </w:rPr>
        <w:t>Securityholders</w:t>
      </w:r>
      <w:r>
        <w:rPr>
          <w:rFonts w:ascii="Times New Roman" w:hAnsi="Times New Roman"/>
          <w:sz w:val="20"/>
        </w:rPr>
        <w:t xml:space="preserve">’ </w:t>
      </w:r>
      <w:r>
        <w:rPr>
          <w:rFonts w:ascii="Times New Roman" w:hAnsi="Times New Roman"/>
          <w:b/>
          <w:i/>
          <w:sz w:val="20"/>
        </w:rPr>
        <w:t>Representative</w:t>
      </w:r>
      <w:r>
        <w:rPr>
          <w:rFonts w:ascii="Times New Roman" w:hAnsi="Times New Roman"/>
          <w:sz w:val="20"/>
        </w:rPr>
        <w:t xml:space="preserve">”) under this Agreement and the Escrow Agreement, including with all power and authority for and on behalf of the Escrow Participants to act for the Escrow Participants with regard to matters pertaining to </w:t>
      </w:r>
      <w:r>
        <w:rPr>
          <w:rFonts w:ascii="Times New Roman" w:hAnsi="Times New Roman"/>
          <w:sz w:val="20"/>
          <w:u w:val="single"/>
        </w:rPr>
        <w:t>Sections 1.4, 2.3, 2.5, 2.6</w:t>
      </w:r>
      <w:r>
        <w:rPr>
          <w:rFonts w:ascii="Times New Roman" w:hAnsi="Times New Roman"/>
          <w:sz w:val="20"/>
        </w:rPr>
        <w:t xml:space="preserve">, 2.9, </w:t>
      </w:r>
      <w:r>
        <w:rPr>
          <w:rFonts w:ascii="Times New Roman" w:hAnsi="Times New Roman"/>
          <w:sz w:val="20"/>
          <w:u w:val="single"/>
        </w:rPr>
        <w:t>6.5</w:t>
      </w:r>
      <w:r>
        <w:rPr>
          <w:rFonts w:ascii="Times New Roman" w:hAnsi="Times New Roman"/>
          <w:sz w:val="20"/>
        </w:rPr>
        <w:t xml:space="preserve">, </w:t>
      </w:r>
      <w:r>
        <w:rPr>
          <w:rFonts w:ascii="Times New Roman" w:hAnsi="Times New Roman"/>
          <w:sz w:val="20"/>
          <w:u w:val="single"/>
        </w:rPr>
        <w:t>6.8</w:t>
      </w:r>
      <w:r>
        <w:rPr>
          <w:rFonts w:ascii="Times New Roman" w:hAnsi="Times New Roman"/>
          <w:sz w:val="20"/>
        </w:rPr>
        <w:t xml:space="preserve">, </w:t>
      </w:r>
      <w:r>
        <w:rPr>
          <w:rFonts w:ascii="Times New Roman" w:hAnsi="Times New Roman"/>
          <w:sz w:val="20"/>
          <w:u w:val="single"/>
        </w:rPr>
        <w:t>7.3</w:t>
      </w:r>
      <w:r>
        <w:rPr>
          <w:rFonts w:ascii="Times New Roman" w:hAnsi="Times New Roman"/>
          <w:sz w:val="20"/>
        </w:rPr>
        <w:t xml:space="preserve">, </w:t>
      </w:r>
      <w:r>
        <w:rPr>
          <w:rFonts w:ascii="Times New Roman" w:hAnsi="Times New Roman"/>
          <w:sz w:val="20"/>
          <w:u w:val="single"/>
        </w:rPr>
        <w:t>Article IX</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in each case relating to this Agreement or the transactions contemplated hereby and to take or refrain from taking as the Securityholders’ Representative deems appropriate the foregoing and all other actions that are either (i) necessary or appropriate in the judgment of the Securityholders’ Representative for the accomplishment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(ii) specifically mandated by the terms of this Agreement or the Escrow Agreement, or (iii) otherwise relating to the subject matter of this Agreement. Notwithstanding the foregoing, the Securityholders’ Representative shall have no obligation to act on behalf of the Escrow Participants, except as expressly provided herein, in the Escrow Agreement and in the Securityholders’ Representative Engagement Agreement, and for purposes of clarity, there are no obligations of the Securityholders’ Representative in any ancillary agreement, schedule, exhibit or the Company Disclosure Schedule. The Securityholders’ Representative shall act as a representative and agent only, and shall not owe any fiduciary duty to the Escrow Participants or any party/Person. For the avoidance of doubt, references in this </w:t>
      </w:r>
      <w:r>
        <w:rPr>
          <w:rFonts w:ascii="Times New Roman" w:hAnsi="Times New Roman"/>
          <w:sz w:val="20"/>
          <w:u w:val="single"/>
        </w:rPr>
        <w:t>Section 10.11</w:t>
      </w:r>
      <w:r>
        <w:rPr>
          <w:rFonts w:ascii="Times New Roman" w:hAnsi="Times New Roman"/>
          <w:sz w:val="20"/>
        </w:rPr>
        <w:t xml:space="preserve"> to the Escrow Participants includes all of the Company Securityholders. Each Escrow Participant agrees to receive correspondence from the Securityholders’ Representative, including in electronic form. Such agency may be changed by the Escrow Participants with the right to a majority of the Escrow Amount from time to time. Notwithstanding the foregoing or anything else herein, the Securityholders’ Representative may resign at any time by providing written notice of intent to resign to the Advisory Group, which resignation shall be effective upon the earlier of (A) thirty (30) calendar days following delivery of such written notice or (B) the appointment of a successor by the holders of a majority in interest of the Reserve Amount. If the Securityholders’ Representative shall be removed, resign or otherwise be unable to fulfill its responsibilities hereunder, Escrow Participants shall appoint a successor to the Securityholders’ Representative, and shall immediately thereafter notify Acquiror of the identity of such successor. Any such successor shall succeed the former Securityholders’ Representative as the Securityholders’ Representative hereunder. If for any reason there is no Securityholders’ Representative at any time, all references in this Agreement to the Securityholders’ Representative shall be deemed to refer to the Escrow Participants. No bond shall be required of the Securityholders’ Representative. A decision, act, consent or instruction of the Securityholders’ Representative, including an amendment, extension or waiver of this Agreement pursuant to its authority hereunder and all other actions taken by the Securityholders’ Representative under this Agreement, the Escrow Agreement or the Securityholders’ Representative Engagement Agreement, shall constitute a decision of the Escrow Participants and shall be final, binding and conclusive upon the Escrow Participants and each such Escrow Participant’s successors as if expressly confirmed and ratified in writing by such Escrow Participant, and all defenses which may be available to any Escrow Participant to contest, negate or disaffirm the action of the Securityholders’ Representative taken in good faith under this Agreement, the Escrow Agreement or the Securityholders’ Representative Engagement Agreement are waived. </w:t>
      </w:r>
    </w:p>
    <w:p>
      <w:pPr>
        <w:pStyle w:val="TextBody"/>
        <w:bidi w:val="0"/>
        <w:spacing w:before="240" w:after="0"/>
        <w:jc w:val="left"/>
        <w:rPr>
          <w:rFonts w:ascii="Times New Roman" w:hAnsi="Times New Roman"/>
          <w:sz w:val="20"/>
        </w:rPr>
      </w:pPr>
      <w:r>
        <w:rPr>
          <w:rFonts w:ascii="Times New Roman" w:hAnsi="Times New Roman"/>
          <w:sz w:val="20"/>
        </w:rPr>
        <w:t xml:space="preserve">(b) By executing this Agreement under the heading “Securityholders’ Representative,” Fortis Advisors LLC, a Delaware limited liability company hereby (i) accepts its appointment and authorization to act as Securityholders’ Representative as attorney-in-fact and agent on behalf of the Escrow Participants in accordance with the terms of this Agreement, and (ii) agrees to perform its obligations under, and otherwise comply with, this </w:t>
      </w:r>
      <w:r>
        <w:rPr>
          <w:rFonts w:ascii="Times New Roman" w:hAnsi="Times New Roman"/>
          <w:sz w:val="20"/>
          <w:u w:val="single"/>
        </w:rPr>
        <w:t>Section</w:t>
      </w:r>
      <w:r>
        <w:rPr>
          <w:rFonts w:ascii="Times New Roman" w:hAnsi="Times New Roman"/>
          <w:sz w:val="20"/>
        </w:rPr>
        <w:t xml:space="preserve"> 10.11. </w:t>
      </w:r>
    </w:p>
    <w:p>
      <w:pPr>
        <w:pStyle w:val="TextBody"/>
        <w:bidi w:val="0"/>
        <w:spacing w:before="240" w:after="0"/>
        <w:jc w:val="left"/>
        <w:rPr>
          <w:rFonts w:ascii="Times New Roman" w:hAnsi="Times New Roman"/>
          <w:sz w:val="20"/>
        </w:rPr>
      </w:pPr>
      <w:r>
        <w:rPr>
          <w:rFonts w:ascii="Times New Roman" w:hAnsi="Times New Roman"/>
          <w:sz w:val="20"/>
        </w:rPr>
        <w:t>(c) Certain Escrow Participants have entered into an engagement agreement (the “</w:t>
      </w:r>
      <w:r>
        <w:rPr>
          <w:rFonts w:ascii="Times New Roman" w:hAnsi="Times New Roman"/>
          <w:b/>
          <w:i/>
          <w:sz w:val="20"/>
        </w:rPr>
        <w:t>Securityholders</w:t>
      </w:r>
      <w:r>
        <w:rPr>
          <w:rFonts w:ascii="Times New Roman" w:hAnsi="Times New Roman"/>
          <w:sz w:val="20"/>
        </w:rPr>
        <w:t xml:space="preserve">’ </w:t>
      </w:r>
      <w:r>
        <w:rPr>
          <w:rFonts w:ascii="Times New Roman" w:hAnsi="Times New Roman"/>
          <w:b/>
          <w:i/>
          <w:sz w:val="20"/>
        </w:rPr>
        <w:t>Representative Engagement Agreement</w:t>
      </w:r>
      <w:r>
        <w:rPr>
          <w:rFonts w:ascii="Times New Roman" w:hAnsi="Times New Roman"/>
          <w:sz w:val="20"/>
        </w:rPr>
        <w:t>”) with the Securityholders’ Representative to provide direction to the Securityholders’ Representative in connection with its services under this Agreement, the Escrow Agreement and the Securityholders’ Representative Engagement Agreement (such Escrow Participants, including their individual representatives, collectively hereinafter referred to as the “</w:t>
      </w:r>
      <w:r>
        <w:rPr>
          <w:rFonts w:ascii="Times New Roman" w:hAnsi="Times New Roman"/>
          <w:b/>
          <w:i/>
          <w:sz w:val="20"/>
        </w:rPr>
        <w:t>Advisory Group</w:t>
      </w:r>
      <w:r>
        <w:rPr>
          <w:rFonts w:ascii="Times New Roman" w:hAnsi="Times New Roman"/>
          <w:sz w:val="20"/>
        </w:rPr>
        <w:t>”). Neither the Securityholders’ Representative nor its members, managers, directors, officers, contractors, agents and employees nor any member of the Advisory Group (collectively, the “</w:t>
      </w:r>
      <w:r>
        <w:rPr>
          <w:rFonts w:ascii="Times New Roman" w:hAnsi="Times New Roman"/>
          <w:b/>
          <w:i/>
          <w:sz w:val="20"/>
        </w:rPr>
        <w:t>Securityholders</w:t>
      </w:r>
      <w:r>
        <w:rPr>
          <w:rFonts w:ascii="Times New Roman" w:hAnsi="Times New Roman"/>
          <w:sz w:val="20"/>
        </w:rPr>
        <w:t xml:space="preserve">’ </w:t>
      </w:r>
      <w:r>
        <w:rPr>
          <w:rFonts w:ascii="Times New Roman" w:hAnsi="Times New Roman"/>
          <w:b/>
          <w:i/>
          <w:sz w:val="20"/>
        </w:rPr>
        <w:t>Representative Group</w:t>
      </w:r>
      <w:r>
        <w:rPr>
          <w:rFonts w:ascii="Times New Roman" w:hAnsi="Times New Roman"/>
          <w:sz w:val="20"/>
        </w:rPr>
        <w:t xml:space="preserve">”) shall be liable to any Escrow Participant for any act done or omitted in connection with the acceptance or administration of the Securityholders’ Representative’s responsibilities hereunder, under the Escrow Agreement or under the Securityholders’ Representative Engagement Agreement, including any hereunder as the Securityholders’ Representative, unless and only to the extent such act done or omitted constitutes gross negligence or willful misconduct or bad faith (and any act done or omitted pursuant to the bona fide good faith advice of counsel, accountants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professionals and experts retained by the Securityholders’ Representative shall be conclusive evidence of good faith). The Escrow Participants shall severally indemnify and defend the Securityholders’ Representative Group and hold the Securityholders’ Representative Group harmless against any loss, liability, claim, damage, fee, cost, judgment, fine, amount paid in settlement or expense (collectively, the “</w:t>
      </w:r>
      <w:r>
        <w:rPr>
          <w:rFonts w:ascii="Times New Roman" w:hAnsi="Times New Roman"/>
          <w:b/>
          <w:i/>
          <w:sz w:val="20"/>
        </w:rPr>
        <w:t>Securityholders</w:t>
      </w:r>
      <w:r>
        <w:rPr>
          <w:rFonts w:ascii="Times New Roman" w:hAnsi="Times New Roman"/>
          <w:sz w:val="20"/>
        </w:rPr>
        <w:t xml:space="preserve">’ </w:t>
      </w:r>
      <w:r>
        <w:rPr>
          <w:rFonts w:ascii="Times New Roman" w:hAnsi="Times New Roman"/>
          <w:b/>
          <w:i/>
          <w:sz w:val="20"/>
        </w:rPr>
        <w:t>Representative Expenses</w:t>
      </w:r>
      <w:r>
        <w:rPr>
          <w:rFonts w:ascii="Times New Roman" w:hAnsi="Times New Roman"/>
          <w:sz w:val="20"/>
        </w:rPr>
        <w:t xml:space="preserve">”) incurred without gross negligence, willful misconduct or bad faith on the part of the Securityholders’ Representative and arising out of or in connection with the acceptance or administration of its duties hereunder, under the Escrow Agreement or under the Securityholders’ Representative Engagement Agreement, including any out-of-pocket costs and expenses and legal fees and other legal costs reasonably incurred by the Securityholders’ Representative. If not paid directly to the Securityholders’ Representative by the Escrow Participants, such Securityholders’ Representative Expenses may be recovered by the Securityholders’ Representative first, from the Reserve Account, second, from any Additional Consideration Payments, the Escrow Account or any other funds otherwise distributable to the Escrow Participants at the time of distribution, and third, directly from the Escrow Participants, and such recovery will be made from the Escrow Participants according to their respective Pro Rata Portion. The Securityholders’ Representative shall only have the duties expressly stated in this Agreement and shall have no other duty, express or implied. Upon the Closing, Acquiror shall wire in accordance with </w:t>
      </w:r>
      <w:r>
        <w:rPr>
          <w:rFonts w:ascii="Times New Roman" w:hAnsi="Times New Roman"/>
          <w:sz w:val="20"/>
          <w:u w:val="single"/>
        </w:rPr>
        <w:t>Section 1.4(a)</w:t>
      </w:r>
      <w:r>
        <w:rPr>
          <w:rFonts w:ascii="Times New Roman" w:hAnsi="Times New Roman"/>
          <w:sz w:val="20"/>
        </w:rPr>
        <w:t xml:space="preserve"> to an account established by the Securityholders’ Representative $[***] (such account, the “</w:t>
      </w:r>
      <w:r>
        <w:rPr>
          <w:rFonts w:ascii="Times New Roman" w:hAnsi="Times New Roman"/>
          <w:b/>
          <w:i/>
          <w:sz w:val="20"/>
        </w:rPr>
        <w:t>Reserve Account</w:t>
      </w:r>
      <w:r>
        <w:rPr>
          <w:rFonts w:ascii="Times New Roman" w:hAnsi="Times New Roman"/>
          <w:sz w:val="20"/>
        </w:rPr>
        <w:t>” and such amount, the “</w:t>
      </w:r>
      <w:r>
        <w:rPr>
          <w:rFonts w:ascii="Times New Roman" w:hAnsi="Times New Roman"/>
          <w:b/>
          <w:i/>
          <w:sz w:val="20"/>
        </w:rPr>
        <w:t>Reserve Amount</w:t>
      </w:r>
      <w:r>
        <w:rPr>
          <w:rFonts w:ascii="Times New Roman" w:hAnsi="Times New Roman"/>
          <w:sz w:val="20"/>
        </w:rPr>
        <w:t xml:space="preserve">”), which amount shall be withheld from the Merger Consideration with respect to the Escrow Participants based upon their Pro Rata Portion. The Securityholders’ Representative may, without limiting the generality of its authority and other rights and remedies hereunder or otherwise, engage attorneys, accountants, and such other professional and expert assistance, and maintain such records, as the Securityholders’ Representative may deem necessary or desirable and incur other out-of-pocket expenses related to performing its services hereunder and paid out of the Reserve Account. The Securityholders’ Representative may in good faith rely conclusively upon information, reports, statements and opinions prepared or presented by such professionals, and any action taken by the Securityholders’ Representative based on such reliance shall be deemed conclusively to have been taken in good faith. The Securityholders’ Representative shall also be entitled to: (i) rely upon the Spreadsheet, (ii) rely upon any signature believed by it to be genuine, and (iii) reasonably assume that a signatory has proper authorization to sign on behalf of the applicable Escrow Participant or other party. The Reserve Amount shall be held by the Securityholders’ Representative in a segregated client account and shall be used (i) for the purposes of paying directly or reimbursing the Securityholders’ Representative for any Securityholders’ Representative Expenses incurred pursuant to this Agreement, the Escrow Agreement or the Securityholders’ Representative Engagement Agreement, or (ii) as otherwise determined by the Advisory Group. The Securityholders’ Representative is not providing any investment supervision, recommendations or advice and shall have no responsibility or liability for any loss of principal of the Reserve Amount other than as a result of its gross negligence or willful misconduct. The Securityholders’ Representative is not acting as a withholding agent or in any similar capacity in connection with the Reserve Amount and has no tax reporting or income distribution obligations. The Escrow Participants will not receive any interest on the Reserve Amount and assign to the Securityholders’ Representative any such interest. Subject to Advisory Group approval, the Securityholders’ Representative may contribute funds to the Reserve Amount from any consideration otherwise distributable to the Escrow Participants. As soon as reasonably determined by the Securityholders’ Representative that the Reserve Amount is no longer required to be withheld, the Securityholders’ Representative shall release all remaining funds, if any, held in the Reserve Account (and not distributed or distributable to the Securityholders’ Representative or otherwise used in accordance with this </w:t>
      </w:r>
      <w:r>
        <w:rPr>
          <w:rFonts w:ascii="Times New Roman" w:hAnsi="Times New Roman"/>
          <w:sz w:val="20"/>
          <w:u w:val="single"/>
        </w:rPr>
        <w:t>Section 10.11</w:t>
      </w:r>
      <w:r>
        <w:rPr>
          <w:rFonts w:ascii="Times New Roman" w:hAnsi="Times New Roman"/>
          <w:sz w:val="20"/>
        </w:rPr>
        <w:t xml:space="preserve">) to the Paying Agent (for further distribution to the Company Stockholders and former holders of Company Non-Employee Options in accordance with their Pro Rata Portion) or the Surviving Corporation (for further distribution to the former holders of Company Employee Options in accordance with their Pro Rata Portion). No provision of this Agreement, the Securityholders’ Representative Engagement Agreement or the Escrow Agreement shall require, and the Securityholders’ Representative shall not otherwise be required, to expend or risk its own funds or otherwise incur any financial liability in the exercise or performance of any of its powers, rights, duties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privileges under this Agreement or otherwise, or pursuant to this Agreement, the Escrow Agreement, the Securityholders’ Representative Engagement Agreement or the transactions contemplated hereby or thereby. Furthermore, the Securityholders’ Representative shall not be required to take any action unless the Securityholders’ Representative has been provided with funds, security or indemnities which, in its determination, are sufficient to protect the Securityholders’ Representative against the costs, expenses and liabilities which may be incurred by the Securityholders’ Representative in performing such actions. </w:t>
      </w:r>
    </w:p>
    <w:p>
      <w:pPr>
        <w:pStyle w:val="TextBody"/>
        <w:bidi w:val="0"/>
        <w:spacing w:before="240" w:after="0"/>
        <w:jc w:val="left"/>
        <w:rPr>
          <w:rFonts w:ascii="Times New Roman" w:hAnsi="Times New Roman"/>
          <w:sz w:val="20"/>
        </w:rPr>
      </w:pPr>
      <w:r>
        <w:rPr>
          <w:rFonts w:ascii="Times New Roman" w:hAnsi="Times New Roman"/>
          <w:sz w:val="20"/>
        </w:rPr>
        <w:t xml:space="preserve">(d) All of the indemnities and immunities granted to the Securityholders’ Representative Group under this Agreement shall survive the resignation or removal of the Securityholders’ Representative or any member of the Advisory Group and the Closing and/or any termination of this Agreement and the Escrow Agreement. The grant of authority provided for in this </w:t>
      </w:r>
      <w:r>
        <w:rPr>
          <w:rFonts w:ascii="Times New Roman" w:hAnsi="Times New Roman"/>
          <w:sz w:val="20"/>
          <w:u w:val="single"/>
        </w:rPr>
        <w:t>Section 10.11</w:t>
      </w:r>
      <w:r>
        <w:rPr>
          <w:rFonts w:ascii="Times New Roman" w:hAnsi="Times New Roman"/>
          <w:sz w:val="20"/>
        </w:rPr>
        <w:t xml:space="preserve"> together with the powers, immunities and rights to indemnification granted to the Securityholders’ Representative Group hereunder: (i) are coupled with an interest and shall be irrevocable and survive the death, incompetence, bankruptcy or liquidation of the respective Escrow Participants and shall be binding on any successor thereto and (ii) shall survive the delivery of an assignment by any Escrow Participant of the whole or any fraction of his, her or its interest in the Escrow Amounts, Additional Consideration Payments, Reserve Amount or other interest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deliver or cause to be delivered to the Securityholders’ Representative the applicable documents in accordance with the Securityholders’ Representative Engagement Agreement, including a copy of the following documents: (i) the Estimated Closing Statement, (ii) the calculation of the Merger Consideration, (iii) the Spreadsheet, (iv) the Closing Expenses Certificate, (v) the Company Indebtedness Certificate and (vi)  the Estimated Balance Sheet. </w:t>
      </w:r>
    </w:p>
    <w:p>
      <w:pPr>
        <w:pStyle w:val="TextBody"/>
        <w:bidi w:val="0"/>
        <w:spacing w:before="240" w:after="0"/>
        <w:jc w:val="left"/>
        <w:rPr>
          <w:rFonts w:ascii="Times New Roman" w:hAnsi="Times New Roman"/>
          <w:sz w:val="20"/>
        </w:rPr>
      </w:pPr>
      <w:bookmarkStart w:id="104" w:name="ex2_2rom152392_99"/>
      <w:bookmarkEnd w:id="104"/>
      <w:r>
        <w:rPr>
          <w:rFonts w:ascii="Times New Roman" w:hAnsi="Times New Roman"/>
          <w:sz w:val="20"/>
        </w:rPr>
        <w:t>10.12 </w:t>
      </w:r>
      <w:r>
        <w:rPr>
          <w:rFonts w:ascii="Times New Roman" w:hAnsi="Times New Roman"/>
          <w:sz w:val="20"/>
          <w:u w:val="single"/>
        </w:rPr>
        <w:t>Waiver of Conflicts</w:t>
      </w:r>
      <w:r>
        <w:rPr>
          <w:rFonts w:ascii="Times New Roman" w:hAnsi="Times New Roman"/>
          <w:sz w:val="20"/>
        </w:rPr>
        <w:t>. Each of the parties hereto acknowledges and agrees, on its own behalf and on behalf of its directors, stockholders, partners, officers, employees, and Affiliates that the Company is the client of DLA Piper LLP (US) (“</w:t>
      </w:r>
      <w:r>
        <w:rPr>
          <w:rFonts w:ascii="Times New Roman" w:hAnsi="Times New Roman"/>
          <w:b/>
          <w:i/>
          <w:sz w:val="20"/>
        </w:rPr>
        <w:t>Firm</w:t>
      </w:r>
      <w:r>
        <w:rPr>
          <w:rFonts w:ascii="Times New Roman" w:hAnsi="Times New Roman"/>
          <w:sz w:val="20"/>
        </w:rPr>
        <w:t>”), and not any of its individual Company Securityholders. After the Closing, it is possible that Firm will represent the Company Securityholders, the Securityholders’ Representative and their respective Affiliates (individually and collectively, the “</w:t>
      </w:r>
      <w:r>
        <w:rPr>
          <w:rFonts w:ascii="Times New Roman" w:hAnsi="Times New Roman"/>
          <w:b/>
          <w:i/>
          <w:sz w:val="20"/>
        </w:rPr>
        <w:t>Seller Group</w:t>
      </w:r>
      <w:r>
        <w:rPr>
          <w:rFonts w:ascii="Times New Roman" w:hAnsi="Times New Roman"/>
          <w:sz w:val="20"/>
        </w:rPr>
        <w:t xml:space="preserve">”) in connection with the transactions contemplated herein or in the Escrow Agreement, the Escrow Amounts and Reserve Amount and any claims made pursuant to this Agreement or the Escrow Agreement. Acquiror and the Company hereby agree that the Firm (or any successor) may represent the Seller Group in the future in connection with issues that may arise under this Agreement or the Escrow Agreement, the administration of the Reserve Amount and any claims that may be made thereunder pursuant to this Agreement or the Escrow Agreement. The Firm (or any successor) may serve as counsel to all or a portion of the Seller Group or any director, shareholder, partner, officer, employee, representative, or Affiliate of the Seller Group, in connection with any litigation, claim or obligation arising out of or relating to this Agreement, or the transactions contemplated by this Agreement. Each of the parties hereto consents thereto, and waives any conflict of interest arising therefrom, and each such party shall cause any Affiliate thereof to consent to waive any conflict of interest arising from such representation. Each of the parties hereto acknowledges that such consent and waiver is voluntary, that it has been carefully considered, and that the parties have consulted with counsel or have been advised they should do so in this connection. Communications between the Company and the Firm will become the property of the Securityholders’ Representative and the Company Securityholders following the Closing and will not be disclosed to Acquiror without the consent of the Securityholders’ Representative. </w:t>
      </w:r>
    </w:p>
    <w:p>
      <w:pPr>
        <w:pStyle w:val="TextBody"/>
        <w:bidi w:val="0"/>
        <w:spacing w:before="240" w:after="0"/>
        <w:jc w:val="left"/>
        <w:rPr>
          <w:rFonts w:ascii="Times New Roman" w:hAnsi="Times New Roman"/>
          <w:sz w:val="20"/>
        </w:rPr>
      </w:pPr>
      <w:bookmarkStart w:id="105" w:name="ex2_2rom152392_100"/>
      <w:bookmarkEnd w:id="105"/>
      <w:r>
        <w:rPr>
          <w:rFonts w:ascii="Times New Roman" w:hAnsi="Times New Roman"/>
          <w:sz w:val="20"/>
        </w:rPr>
        <w:t>10.13 </w:t>
      </w:r>
      <w:r>
        <w:rPr>
          <w:rFonts w:ascii="Times New Roman" w:hAnsi="Times New Roman"/>
          <w:sz w:val="20"/>
          <w:u w:val="single"/>
        </w:rPr>
        <w:t>Attorney-Client Privilege</w:t>
      </w:r>
      <w:r>
        <w:rPr>
          <w:rFonts w:ascii="Times New Roman" w:hAnsi="Times New Roman"/>
          <w:sz w:val="20"/>
        </w:rPr>
        <w:t xml:space="preserve">. Notwithstanding the Merger, Acquiror and the Company agree that, following the Closing, neither the Company nor Acquiror shall have the right to assert attorney-client privilege with respect to all pre-Closing and post-Closing communications between the Company (only with respect to pre-Closing communications) or the Company Securityholders, on one hand, and the Firm, on the other hand, to the extent such communications relate to this Agreement, any Ancillary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 transactions contemplated hereby or thereby. The parties agree that only the Company Securityholders shall be entitled to assert or waive such attorney-client privilege in connection with such communications following the Closing. All files generated and maintained by the Firm as a result of its representation of the Company in connection with this Agreement, any Ancillary Agreement, or the transactions contemplated hereby or thereby shall be and become the exclusive property of the Company Securityholders and shall be segregated from the Firm’s files related to all other elements of its representation of the Company prior to the Closing (which shall remain the property of the Company). The attorney-client privilege may be waived on behalf of the Company Securityholders only by the Securityholders’ Representative. The foregoing shall not extend to (i) any communication unrelated to this Agreement, any Ancillary Agreement or the transactions contemplated hereby or thereby, (ii) communications between the Company Securityholders or the Company, on the one hand, and any Person other than the Firm, on the other hand, or (iii) any post-Closing communications between the Surviving Corporation and the Firm or any other legal counsel. Notwithstanding the foregoing, in the event that a dispute arises between Acquiror or the Company, on the one hand, and a third party, on the other hand, Acquiror and the Company may assert the attorney-client privilege to prevent disclosure of confidential communications to such third party, but neither Acquiror nor the Company may waive the privilege without the prior written consent of the Securityholders’ Representative, which consent shall not be unreasonably withheld.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NEXT]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and delivered by their respective officers thereunto duly authorized, all as of the date first written above. </w:t>
      </w:r>
    </w:p>
    <w:p>
      <w:pPr>
        <w:pStyle w:val="TextBody"/>
        <w:bidi w:val="0"/>
        <w:spacing w:before="0" w:after="0"/>
        <w:jc w:val="left"/>
        <w:rPr/>
      </w:pPr>
      <w:r>
        <w:rPr/>
        <w:t> </w:t>
      </w:r>
    </w:p>
    <w:tbl>
      <w:tblPr>
        <w:tblW w:w="4755" w:type="dxa"/>
        <w:jc w:val="right"/>
        <w:tblInd w:w="0" w:type="dxa"/>
        <w:tblLayout w:type="fixed"/>
        <w:tblCellMar>
          <w:top w:w="0" w:type="dxa"/>
          <w:left w:w="0" w:type="dxa"/>
          <w:bottom w:w="0" w:type="dxa"/>
          <w:right w:w="0" w:type="dxa"/>
        </w:tblCellMar>
      </w:tblPr>
      <w:tblGrid>
        <w:gridCol w:w="305"/>
        <w:gridCol w:w="60"/>
        <w:gridCol w:w="650"/>
        <w:gridCol w:w="60"/>
        <w:gridCol w:w="36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4755" w:type="dxa"/>
            <w:gridSpan w:val="5"/>
            <w:tcBorders/>
          </w:tcPr>
          <w:p>
            <w:pPr>
              <w:pStyle w:val="TableContents"/>
              <w:bidi w:val="0"/>
              <w:spacing w:before="0" w:after="283"/>
              <w:jc w:val="left"/>
              <w:rPr>
                <w:b/>
              </w:rPr>
            </w:pPr>
            <w:r>
              <w:rPr>
                <w:b/>
              </w:rPr>
              <w:t>TARSUS PHARMACEUTICALS,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0" w:type="dxa"/>
            <w:tcBorders>
              <w:bottom w:val="single" w:sz="2" w:space="0" w:color="000000"/>
            </w:tcBorders>
            <w:tcMar>
              <w:bottom w:w="28" w:type="dxa"/>
            </w:tcMar>
            <w:vAlign w:val="bottom"/>
          </w:tcPr>
          <w:p>
            <w:pPr>
              <w:pStyle w:val="TableContents"/>
              <w:bidi w:val="0"/>
              <w:spacing w:before="0" w:after="283"/>
              <w:jc w:val="left"/>
              <w:rPr/>
            </w:pPr>
            <w:r>
              <w:rPr/>
              <w:t>/s/ Bobak Azamian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Bobak Azamian</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Chairman and Chief Executive Officer</w:t>
            </w:r>
          </w:p>
        </w:tc>
      </w:tr>
      <w:tr>
        <w:trPr>
          <w:trHeight w:val="240" w:hRule="atLeast"/>
        </w:trPr>
        <w:tc>
          <w:tcPr>
            <w:tcW w:w="4755" w:type="dxa"/>
            <w:gridSpan w:val="5"/>
            <w:tcBorders/>
            <w:vAlign w:val="center"/>
          </w:tcPr>
          <w:p>
            <w:pPr>
              <w:pStyle w:val="TableContents"/>
              <w:bidi w:val="0"/>
              <w:spacing w:before="0" w:after="283"/>
              <w:jc w:val="left"/>
              <w:rPr>
                <w:sz w:val="4"/>
                <w:szCs w:val="4"/>
              </w:rPr>
            </w:pPr>
            <w:r>
              <w:rPr>
                <w:sz w:val="4"/>
                <w:szCs w:val="4"/>
              </w:rPr>
            </w:r>
          </w:p>
        </w:tc>
      </w:tr>
      <w:tr>
        <w:trPr/>
        <w:tc>
          <w:tcPr>
            <w:tcW w:w="4755" w:type="dxa"/>
            <w:gridSpan w:val="5"/>
            <w:tcBorders/>
          </w:tcPr>
          <w:p>
            <w:pPr>
              <w:pStyle w:val="TableContents"/>
              <w:bidi w:val="0"/>
              <w:spacing w:before="0" w:after="283"/>
              <w:jc w:val="left"/>
              <w:rPr>
                <w:b/>
              </w:rPr>
            </w:pPr>
            <w:r>
              <w:rPr>
                <w:b/>
              </w:rPr>
              <w:t>DOLORES MERGER SUB,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0" w:type="dxa"/>
            <w:tcBorders>
              <w:bottom w:val="single" w:sz="2" w:space="0" w:color="000000"/>
            </w:tcBorders>
            <w:tcMar>
              <w:bottom w:w="28" w:type="dxa"/>
            </w:tcMar>
            <w:vAlign w:val="bottom"/>
          </w:tcPr>
          <w:p>
            <w:pPr>
              <w:pStyle w:val="TableContents"/>
              <w:bidi w:val="0"/>
              <w:spacing w:before="0" w:after="283"/>
              <w:jc w:val="left"/>
              <w:rPr/>
            </w:pPr>
            <w:r>
              <w:rPr/>
              <w:t>/s/ Bryan Wahl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Bryan Wahl</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Director</w:t>
            </w:r>
          </w:p>
        </w:tc>
      </w:tr>
      <w:tr>
        <w:trPr>
          <w:trHeight w:val="240" w:hRule="atLeast"/>
        </w:trPr>
        <w:tc>
          <w:tcPr>
            <w:tcW w:w="4755" w:type="dxa"/>
            <w:gridSpan w:val="5"/>
            <w:tcBorders/>
            <w:vAlign w:val="center"/>
          </w:tcPr>
          <w:p>
            <w:pPr>
              <w:pStyle w:val="TableContents"/>
              <w:bidi w:val="0"/>
              <w:spacing w:before="0" w:after="283"/>
              <w:jc w:val="left"/>
              <w:rPr>
                <w:sz w:val="4"/>
                <w:szCs w:val="4"/>
              </w:rPr>
            </w:pPr>
            <w:r>
              <w:rPr>
                <w:sz w:val="4"/>
                <w:szCs w:val="4"/>
              </w:rPr>
            </w:r>
          </w:p>
        </w:tc>
      </w:tr>
      <w:tr>
        <w:trPr/>
        <w:tc>
          <w:tcPr>
            <w:tcW w:w="4755" w:type="dxa"/>
            <w:gridSpan w:val="5"/>
            <w:tcBorders/>
          </w:tcPr>
          <w:p>
            <w:pPr>
              <w:pStyle w:val="TableContents"/>
              <w:bidi w:val="0"/>
              <w:spacing w:before="0" w:after="283"/>
              <w:jc w:val="left"/>
              <w:rPr>
                <w:b/>
              </w:rPr>
            </w:pPr>
            <w:r>
              <w:rPr>
                <w:b/>
              </w:rPr>
              <w:t>IRENIX MEDICAL,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74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80" w:type="dxa"/>
            <w:tcBorders>
              <w:bottom w:val="single" w:sz="2" w:space="0" w:color="000000"/>
            </w:tcBorders>
            <w:tcMar>
              <w:bottom w:w="28" w:type="dxa"/>
            </w:tcMar>
            <w:vAlign w:val="bottom"/>
          </w:tcPr>
          <w:p>
            <w:pPr>
              <w:pStyle w:val="TableContents"/>
              <w:bidi w:val="0"/>
              <w:spacing w:before="0" w:after="283"/>
              <w:jc w:val="left"/>
              <w:rPr/>
            </w:pPr>
            <w:r>
              <w:rPr/>
              <w:t>/s/ Stephen Smith</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Stephen Smith</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680" w:type="dxa"/>
            <w:tcBorders/>
            <w:vAlign w:val="bottom"/>
          </w:tcPr>
          <w:p>
            <w:pPr>
              <w:pStyle w:val="TableContents"/>
              <w:bidi w:val="0"/>
              <w:spacing w:before="0" w:after="283"/>
              <w:jc w:val="left"/>
              <w:rPr/>
            </w:pPr>
            <w:r>
              <w:rPr/>
              <w:t>Chief Executive Officer</w:t>
            </w:r>
          </w:p>
        </w:tc>
      </w:tr>
    </w:tbl>
    <w:tbl>
      <w:tblPr>
        <w:tblW w:w="2000" w:type="pct"/>
        <w:jc w:val="right"/>
        <w:tblInd w:w="0" w:type="dxa"/>
        <w:tblLayout w:type="fixed"/>
        <w:tblCellMar>
          <w:top w:w="0" w:type="dxa"/>
          <w:left w:w="0" w:type="dxa"/>
          <w:bottom w:w="0" w:type="dxa"/>
          <w:right w:w="0" w:type="dxa"/>
        </w:tblCellMar>
      </w:tblPr>
      <w:tblGrid>
        <w:gridCol w:w="648"/>
        <w:gridCol w:w="60"/>
        <w:gridCol w:w="3374"/>
      </w:tblGrid>
      <w:tr>
        <w:trPr/>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Securityholders’ Representative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(solely in its capacity as the Securityholders’ Representative)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FORTIS ADVISORS LLC</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4" w:type="dxa"/>
            <w:tcBorders>
              <w:bottom w:val="single" w:sz="2" w:space="0" w:color="000000"/>
            </w:tcBorders>
            <w:tcMar>
              <w:bottom w:w="28" w:type="dxa"/>
            </w:tcMar>
            <w:vAlign w:val="bottom"/>
          </w:tcPr>
          <w:p>
            <w:pPr>
              <w:pStyle w:val="TableContents"/>
              <w:bidi w:val="0"/>
              <w:spacing w:before="0" w:after="283"/>
              <w:jc w:val="left"/>
              <w:rPr/>
            </w:pPr>
            <w:r>
              <w:rPr/>
              <w:t>/s/ Ryan Simkin</w:t>
            </w:r>
          </w:p>
        </w:tc>
      </w:tr>
      <w:tr>
        <w:trPr/>
        <w:tc>
          <w:tcPr>
            <w:tcW w:w="64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Ryan Simkin</w:t>
            </w:r>
          </w:p>
        </w:tc>
      </w:tr>
      <w:tr>
        <w:trPr/>
        <w:tc>
          <w:tcPr>
            <w:tcW w:w="64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pPr>
      <w:r>
        <w:rPr/>
        <w:t>“</w:t>
      </w:r>
      <w:r>
        <w:rPr>
          <w:rFonts w:ascii="Times New Roman" w:hAnsi="Times New Roman"/>
          <w:b/>
          <w:i/>
          <w:sz w:val="20"/>
        </w:rPr>
        <w:t>Accredited Investor</w:t>
      </w:r>
      <w:r>
        <w:rPr>
          <w:rFonts w:ascii="Times New Roman" w:hAnsi="Times New Roman"/>
          <w:sz w:val="20"/>
        </w:rPr>
        <w:t xml:space="preserve">” means an “accredited investor” as defined in Rule 501(a) of Regulation D promulgated under the Securities Act of 1933, as amended. </w:t>
      </w:r>
    </w:p>
    <w:p>
      <w:pPr>
        <w:pStyle w:val="TextBody"/>
        <w:bidi w:val="0"/>
        <w:spacing w:before="240" w:after="0"/>
        <w:jc w:val="left"/>
        <w:rPr/>
      </w:pPr>
      <w:r>
        <w:rPr/>
        <w:t>“</w:t>
      </w:r>
      <w:r>
        <w:rPr>
          <w:rFonts w:ascii="Times New Roman" w:hAnsi="Times New Roman"/>
          <w:b/>
          <w:i/>
          <w:sz w:val="20"/>
        </w:rPr>
        <w:t>Acquired Patents</w:t>
      </w:r>
      <w:r>
        <w:rPr>
          <w:rFonts w:ascii="Times New Roman" w:hAnsi="Times New Roman"/>
          <w:sz w:val="20"/>
        </w:rPr>
        <w:t xml:space="preserve">” means (a) any patents or patent applications Controlled by Company immediately prior to Closing; (b) patent applications that claim priority to the patents and patent applications described in clause (a), including all divisionals, continuations and continuations-in-part (but only to the extent such claims are entitled to claim priority to the patent or patent applications described in clause (a)); (c) patents issuing on the patent applications described in clauses (a) and/or (b); (d) reissues, reexaminations, extensions and supplementary protection certificates referencing any of the foregoing clauses; and (e) all foreign equivalents of any of the foregoing. </w:t>
      </w:r>
    </w:p>
    <w:p>
      <w:pPr>
        <w:pStyle w:val="TextBody"/>
        <w:bidi w:val="0"/>
        <w:spacing w:before="240" w:after="0"/>
        <w:jc w:val="left"/>
        <w:rPr/>
      </w:pPr>
      <w:r>
        <w:rPr/>
        <w:t>“</w:t>
      </w:r>
      <w:r>
        <w:rPr>
          <w:rFonts w:ascii="Times New Roman" w:hAnsi="Times New Roman"/>
          <w:b/>
          <w:i/>
          <w:sz w:val="20"/>
        </w:rPr>
        <w:t>Acquiror</w:t>
      </w:r>
      <w:r>
        <w:rPr>
          <w:rFonts w:ascii="Times New Roman" w:hAnsi="Times New Roman"/>
          <w:sz w:val="20"/>
        </w:rPr>
        <w:t xml:space="preserve">” has the meaning given to it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Acquiror Common Price</w:t>
      </w:r>
      <w:r>
        <w:rPr>
          <w:rFonts w:ascii="Times New Roman" w:hAnsi="Times New Roman"/>
          <w:sz w:val="20"/>
        </w:rPr>
        <w:t xml:space="preserve">” means the volume-weighted average closing price of a share of Acquiror Common Stock as reported on NASDAQ Global Select Market for the period of thirty (30) consecutive Trading Days ending on (and including) the second Trading Day prior to the Closing Date. </w:t>
      </w:r>
    </w:p>
    <w:p>
      <w:pPr>
        <w:pStyle w:val="TextBody"/>
        <w:bidi w:val="0"/>
        <w:spacing w:before="240" w:after="0"/>
        <w:jc w:val="left"/>
        <w:rPr/>
      </w:pPr>
      <w:r>
        <w:rPr/>
        <w:t>“</w:t>
      </w:r>
      <w:r>
        <w:rPr>
          <w:rFonts w:ascii="Times New Roman" w:hAnsi="Times New Roman"/>
          <w:b/>
          <w:i/>
          <w:sz w:val="20"/>
        </w:rPr>
        <w:t>Acquiror Common Stock</w:t>
      </w:r>
      <w:r>
        <w:rPr>
          <w:rFonts w:ascii="Times New Roman" w:hAnsi="Times New Roman"/>
          <w:sz w:val="20"/>
        </w:rPr>
        <w:t xml:space="preserve">” means the common stock, par value $0.0001 per share, of Acquiror. </w:t>
      </w:r>
    </w:p>
    <w:p>
      <w:pPr>
        <w:pStyle w:val="TextBody"/>
        <w:bidi w:val="0"/>
        <w:spacing w:before="240" w:after="0"/>
        <w:jc w:val="left"/>
        <w:rPr/>
      </w:pPr>
      <w:r>
        <w:rPr/>
        <w:t>“</w:t>
      </w:r>
      <w:r>
        <w:rPr>
          <w:rFonts w:ascii="Times New Roman" w:hAnsi="Times New Roman"/>
          <w:b/>
          <w:i/>
          <w:sz w:val="20"/>
        </w:rPr>
        <w:t>Actual Assumed Expenses</w:t>
      </w:r>
      <w:r>
        <w:rPr>
          <w:rFonts w:ascii="Times New Roman" w:hAnsi="Times New Roman"/>
          <w:sz w:val="20"/>
        </w:rPr>
        <w:t xml:space="preserve">” has the meaning given to it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Actual Cash</w:t>
      </w:r>
      <w:r>
        <w:rPr>
          <w:rFonts w:ascii="Times New Roman" w:hAnsi="Times New Roman"/>
          <w:sz w:val="20"/>
        </w:rPr>
        <w:t xml:space="preserve">” has the meaning given to it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Actual Indebtedness</w:t>
      </w:r>
      <w:r>
        <w:rPr>
          <w:rFonts w:ascii="Times New Roman" w:hAnsi="Times New Roman"/>
          <w:sz w:val="20"/>
        </w:rPr>
        <w:t xml:space="preserve">” has the meaning given to it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Actual Transaction Expenses</w:t>
      </w:r>
      <w:r>
        <w:rPr>
          <w:rFonts w:ascii="Times New Roman" w:hAnsi="Times New Roman"/>
          <w:sz w:val="20"/>
        </w:rPr>
        <w:t xml:space="preserve">” has the meaning given to it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Actual Working Capital</w:t>
      </w:r>
      <w:r>
        <w:rPr>
          <w:rFonts w:ascii="Times New Roman" w:hAnsi="Times New Roman"/>
          <w:sz w:val="20"/>
        </w:rPr>
        <w:t xml:space="preserve">” has the meaning given to it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Additional Consideration Payment</w:t>
      </w:r>
      <w:r>
        <w:rPr>
          <w:rFonts w:ascii="Times New Roman" w:hAnsi="Times New Roman"/>
          <w:sz w:val="20"/>
        </w:rPr>
        <w:t xml:space="preserve">” has the meaning given to it in </w:t>
      </w:r>
      <w:r>
        <w:rPr>
          <w:rFonts w:ascii="Times New Roman" w:hAnsi="Times New Roman"/>
          <w:sz w:val="20"/>
          <w:u w:val="single"/>
        </w:rPr>
        <w:t>Section 2.9(a)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Adjustment Documents</w:t>
      </w:r>
      <w:r>
        <w:rPr>
          <w:rFonts w:ascii="Times New Roman" w:hAnsi="Times New Roman"/>
          <w:sz w:val="20"/>
        </w:rPr>
        <w:t xml:space="preserve">” has the meaning given to it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Adjustment Escrow Amount</w:t>
      </w:r>
      <w:r>
        <w:rPr>
          <w:rFonts w:ascii="Times New Roman" w:hAnsi="Times New Roman"/>
          <w:sz w:val="20"/>
        </w:rPr>
        <w:t xml:space="preserve">” means $[***].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other Person which directly or indirectly controls, is controlled by or is under common control with such Person. </w:t>
      </w:r>
    </w:p>
    <w:p>
      <w:pPr>
        <w:pStyle w:val="TextBody"/>
        <w:bidi w:val="0"/>
        <w:spacing w:before="240" w:after="0"/>
        <w:jc w:val="left"/>
        <w:rPr/>
      </w:pPr>
      <w:r>
        <w:rPr/>
        <w:t>“</w:t>
      </w:r>
      <w:r>
        <w:rPr>
          <w:rFonts w:ascii="Times New Roman" w:hAnsi="Times New Roman"/>
          <w:b/>
          <w:i/>
          <w:sz w:val="20"/>
        </w:rPr>
        <w:t>Aggregate Additional Unaccredited Cash Consideration Amount</w:t>
      </w:r>
      <w:r>
        <w:rPr>
          <w:rFonts w:ascii="Times New Roman" w:hAnsi="Times New Roman"/>
          <w:sz w:val="20"/>
        </w:rPr>
        <w:t xml:space="preserve">” means an amount equal to (i) the Per Share Stock Closing Amount, multiplied by (ii) the Acquiror Common Price, multiplied by (iii) the Total Unaccredited Outstanding Shares. </w:t>
      </w:r>
    </w:p>
    <w:p>
      <w:pPr>
        <w:pStyle w:val="TextBody"/>
        <w:bidi w:val="0"/>
        <w:spacing w:before="240" w:after="0"/>
        <w:jc w:val="left"/>
        <w:rPr/>
      </w:pPr>
      <w:r>
        <w:rPr/>
        <w:t>“</w:t>
      </w:r>
      <w:r>
        <w:rPr>
          <w:rFonts w:ascii="Times New Roman" w:hAnsi="Times New Roman"/>
          <w:b/>
          <w:i/>
          <w:sz w:val="20"/>
        </w:rPr>
        <w:t>Aggregate Exercise Amount</w:t>
      </w:r>
      <w:r>
        <w:rPr>
          <w:rFonts w:ascii="Times New Roman" w:hAnsi="Times New Roman"/>
          <w:sz w:val="20"/>
        </w:rPr>
        <w:t xml:space="preserve">” means the amount represented by the aggregate exercise prices of all In-the-Money Options outstanding immediately prior to the Effective Time, which aggregate exercise price for each such In-the-Money Option shall be equal to the product of (a) the number of shares of Company Capital Stock represented by such In-the-Money Option </w:t>
      </w:r>
      <w:r>
        <w:rPr>
          <w:rFonts w:ascii="Times New Roman" w:hAnsi="Times New Roman"/>
          <w:i/>
          <w:sz w:val="20"/>
        </w:rPr>
        <w:t>multiplied by</w:t>
      </w:r>
      <w:r>
        <w:rPr>
          <w:rFonts w:ascii="Times New Roman" w:hAnsi="Times New Roman"/>
          <w:sz w:val="20"/>
        </w:rPr>
        <w:t xml:space="preserve"> (b) the exercise price per share for such In-the-Money Option, and which amounts shall have been used in computing the Company Option-Based Merger Consideration pursuant to </w:t>
      </w:r>
      <w:r>
        <w:rPr>
          <w:rFonts w:ascii="Times New Roman" w:hAnsi="Times New Roman"/>
          <w:sz w:val="20"/>
          <w:u w:val="single"/>
        </w:rPr>
        <w:t>Section 2.1(b)(ii)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Aggregate Liquidation Preference</w:t>
      </w:r>
      <w:r>
        <w:rPr>
          <w:rFonts w:ascii="Times New Roman" w:hAnsi="Times New Roman"/>
          <w:sz w:val="20"/>
        </w:rPr>
        <w:t xml:space="preserve">” means an amount equal to the sum of: </w:t>
      </w:r>
    </w:p>
    <w:p>
      <w:pPr>
        <w:pStyle w:val="TextBody"/>
        <w:bidi w:val="0"/>
        <w:spacing w:before="240" w:after="0"/>
        <w:jc w:val="left"/>
        <w:rPr>
          <w:rFonts w:ascii="Times New Roman" w:hAnsi="Times New Roman"/>
          <w:sz w:val="20"/>
        </w:rPr>
      </w:pPr>
      <w:r>
        <w:rPr>
          <w:rFonts w:ascii="Times New Roman" w:hAnsi="Times New Roman"/>
          <w:sz w:val="20"/>
        </w:rPr>
        <w:t xml:space="preserve">(a) the Series Seed II-B Liquidation Preference </w:t>
      </w:r>
      <w:r>
        <w:rPr>
          <w:rFonts w:ascii="Times New Roman" w:hAnsi="Times New Roman"/>
          <w:i/>
          <w:sz w:val="20"/>
        </w:rPr>
        <w:t>multiplied by</w:t>
      </w:r>
      <w:r>
        <w:rPr>
          <w:rFonts w:ascii="Times New Roman" w:hAnsi="Times New Roman"/>
          <w:sz w:val="20"/>
        </w:rPr>
        <w:t xml:space="preserve"> the number of shares of Series Seed II-B Preferred Stock that are issued and outstanding immediately prior to the Effective Time (including, for the avoidance of doubt, all such Dissenting Shares); </w:t>
      </w:r>
      <w:r>
        <w:rPr>
          <w:rFonts w:ascii="Times New Roman" w:hAnsi="Times New Roman"/>
          <w:i/>
          <w:sz w:val="20"/>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Series Seed II-A Liquidation Preference </w:t>
      </w:r>
      <w:r>
        <w:rPr>
          <w:rFonts w:ascii="Times New Roman" w:hAnsi="Times New Roman"/>
          <w:i/>
          <w:sz w:val="20"/>
        </w:rPr>
        <w:t>multiplied by</w:t>
      </w:r>
      <w:r>
        <w:rPr>
          <w:rFonts w:ascii="Times New Roman" w:hAnsi="Times New Roman"/>
          <w:sz w:val="20"/>
        </w:rPr>
        <w:t xml:space="preserve"> the number of shares of Series Seed II-A Preferred Stock that are issued and outstanding immediately prior to the Effective Time (including, for the avoidance of doubt, all such Dissenting Shares); </w:t>
      </w:r>
      <w:r>
        <w:rPr>
          <w:rFonts w:ascii="Times New Roman" w:hAnsi="Times New Roman"/>
          <w:i/>
          <w:sz w:val="20"/>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Series Seed II Liquidation Preference </w:t>
      </w:r>
      <w:r>
        <w:rPr>
          <w:rFonts w:ascii="Times New Roman" w:hAnsi="Times New Roman"/>
          <w:i/>
          <w:sz w:val="20"/>
        </w:rPr>
        <w:t>multiplied by</w:t>
      </w:r>
      <w:r>
        <w:rPr>
          <w:rFonts w:ascii="Times New Roman" w:hAnsi="Times New Roman"/>
          <w:sz w:val="20"/>
        </w:rPr>
        <w:t xml:space="preserve"> the number of shares of Series Seed II Preferred Stock that are issued and outstanding immediately prior to the Effective Time (including, for the avoidance of doubt, all such Dissenting Shares); </w:t>
      </w:r>
      <w:r>
        <w:rPr>
          <w:rFonts w:ascii="Times New Roman" w:hAnsi="Times New Roman"/>
          <w:i/>
          <w:sz w:val="20"/>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Series Seed Liquidation Preference multiplied by the number of shares of Series Seed Preferred Stock that are issued and outstanding immediately prior to the Effective Time (including, for the avoidance of doubt, all such Dissenting Shares). </w:t>
      </w:r>
    </w:p>
    <w:p>
      <w:pPr>
        <w:pStyle w:val="TextBody"/>
        <w:bidi w:val="0"/>
        <w:spacing w:before="240" w:after="0"/>
        <w:jc w:val="left"/>
        <w:rPr/>
      </w:pPr>
      <w:r>
        <w:rPr/>
        <w:t>“</w:t>
      </w:r>
      <w:r>
        <w:rPr>
          <w:rFonts w:ascii="Times New Roman" w:hAnsi="Times New Roman"/>
          <w:b/>
          <w:i/>
          <w:sz w:val="20"/>
        </w:rPr>
        <w:t>Agreed Amount</w:t>
      </w:r>
      <w:r>
        <w:rPr>
          <w:rFonts w:ascii="Times New Roman" w:hAnsi="Times New Roman"/>
          <w:sz w:val="20"/>
        </w:rPr>
        <w:t xml:space="preserve">” has the meaning given to it in </w:t>
      </w:r>
      <w:r>
        <w:rPr>
          <w:rFonts w:ascii="Times New Roman" w:hAnsi="Times New Roman"/>
          <w:sz w:val="20"/>
          <w:u w:val="single"/>
        </w:rPr>
        <w:t>Section 9.2(h)(ii)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means this Agreement and Plan of Merger as the same may be amended or supplemented from time to time in accordance with its terms. </w:t>
      </w:r>
    </w:p>
    <w:p>
      <w:pPr>
        <w:pStyle w:val="TextBody"/>
        <w:bidi w:val="0"/>
        <w:spacing w:before="240" w:after="0"/>
        <w:jc w:val="left"/>
        <w:rPr/>
      </w:pPr>
      <w:r>
        <w:rPr/>
        <w:t>“</w:t>
      </w:r>
      <w:r>
        <w:rPr>
          <w:rFonts w:ascii="Times New Roman" w:hAnsi="Times New Roman"/>
          <w:b/>
          <w:i/>
          <w:sz w:val="20"/>
        </w:rPr>
        <w:t>Agreement Date</w:t>
      </w:r>
      <w:r>
        <w:rPr>
          <w:rFonts w:ascii="Times New Roman" w:hAnsi="Times New Roman"/>
          <w:sz w:val="20"/>
        </w:rPr>
        <w:t xml:space="preserve">” has the meaning given to it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 Amendment</w:t>
      </w:r>
      <w:r>
        <w:rPr>
          <w:rFonts w:ascii="Times New Roman" w:hAnsi="Times New Roman"/>
          <w:sz w:val="20"/>
        </w:rPr>
        <w:t xml:space="preserve">” has the meaning given to it in </w:t>
      </w:r>
      <w:r>
        <w:rPr>
          <w:rFonts w:ascii="Times New Roman" w:hAnsi="Times New Roman"/>
          <w:sz w:val="20"/>
          <w:u w:val="single"/>
        </w:rPr>
        <w:t>Section 1.4(b)(xii)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 Letter of Satisfaction</w:t>
      </w:r>
      <w:r>
        <w:rPr>
          <w:rFonts w:ascii="Times New Roman" w:hAnsi="Times New Roman"/>
          <w:sz w:val="20"/>
        </w:rPr>
        <w:t xml:space="preserve">” has the meaning given to it in </w:t>
      </w:r>
      <w:r>
        <w:rPr>
          <w:rFonts w:ascii="Times New Roman" w:hAnsi="Times New Roman"/>
          <w:sz w:val="20"/>
          <w:u w:val="single"/>
        </w:rPr>
        <w:t>Section 1.4(b)(xii)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 License Agreement</w:t>
      </w:r>
      <w:r>
        <w:rPr>
          <w:rFonts w:ascii="Times New Roman" w:hAnsi="Times New Roman"/>
          <w:sz w:val="20"/>
        </w:rPr>
        <w:t>” means the License Agreement by and between [***] and [***] on the one hand (collectively, “</w:t>
      </w:r>
      <w:r>
        <w:rPr>
          <w:rFonts w:ascii="Times New Roman" w:hAnsi="Times New Roman"/>
          <w:b/>
          <w:i/>
          <w:sz w:val="20"/>
        </w:rPr>
        <w:t>[***]</w:t>
      </w:r>
      <w:r>
        <w:rPr>
          <w:rFonts w:ascii="Times New Roman" w:hAnsi="Times New Roman"/>
          <w:sz w:val="20"/>
        </w:rPr>
        <w:t xml:space="preserve">”), and iRenix Medical, Inc., on the other hand, dated as of September 12, 2019, as amended by the First Amendment to License Agreement, dated June 25, 2026, and as amended by the Non-Royalty Income Apportionment Agreement, dated July 1, 2026, by and among [***], [***], and the Company. </w:t>
      </w:r>
    </w:p>
    <w:p>
      <w:pPr>
        <w:pStyle w:val="TextBody"/>
        <w:bidi w:val="0"/>
        <w:spacing w:before="240" w:after="0"/>
        <w:jc w:val="left"/>
        <w:rPr/>
      </w:pPr>
      <w:r>
        <w:rPr/>
        <w:t>“</w:t>
      </w:r>
      <w:r>
        <w:rPr>
          <w:rFonts w:ascii="Times New Roman" w:hAnsi="Times New Roman"/>
          <w:b/>
          <w:i/>
          <w:sz w:val="20"/>
        </w:rPr>
        <w:t>[***] Party</w:t>
      </w:r>
      <w:r>
        <w:rPr>
          <w:rFonts w:ascii="Times New Roman" w:hAnsi="Times New Roman"/>
          <w:sz w:val="20"/>
        </w:rPr>
        <w:t xml:space="preserve">” has the meaning given to it in </w:t>
      </w:r>
      <w:r>
        <w:rPr>
          <w:rFonts w:ascii="Times New Roman" w:hAnsi="Times New Roman"/>
          <w:sz w:val="20"/>
          <w:u w:val="single"/>
        </w:rPr>
        <w:t>Section 1.4(b)(xii)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 Payments</w:t>
      </w:r>
      <w:r>
        <w:rPr>
          <w:rFonts w:ascii="Times New Roman" w:hAnsi="Times New Roman"/>
          <w:sz w:val="20"/>
        </w:rPr>
        <w:t xml:space="preserve">” has the meaning given to it in </w:t>
      </w:r>
      <w:r>
        <w:rPr>
          <w:rFonts w:ascii="Times New Roman" w:hAnsi="Times New Roman"/>
          <w:sz w:val="20"/>
          <w:u w:val="single"/>
        </w:rPr>
        <w:t>Section 6.12(a)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Ancillary Agreements</w:t>
      </w:r>
      <w:r>
        <w:rPr>
          <w:rFonts w:ascii="Times New Roman" w:hAnsi="Times New Roman"/>
          <w:sz w:val="20"/>
        </w:rPr>
        <w:t xml:space="preserve">” means the Escrow Agreement, the Paying Agent Agreement, and each other agreement, certificate, instrument or other document contemplated by this Agreement. </w:t>
      </w:r>
    </w:p>
    <w:p>
      <w:pPr>
        <w:pStyle w:val="TextBody"/>
        <w:bidi w:val="0"/>
        <w:spacing w:before="240" w:after="0"/>
        <w:jc w:val="left"/>
        <w:rPr/>
      </w:pPr>
      <w:r>
        <w:rPr/>
        <w:t>“</w:t>
      </w:r>
      <w:r>
        <w:rPr>
          <w:rFonts w:ascii="Times New Roman" w:hAnsi="Times New Roman"/>
          <w:b/>
          <w:i/>
          <w:sz w:val="20"/>
        </w:rPr>
        <w:t>Antitrust Law</w:t>
      </w:r>
      <w:r>
        <w:rPr>
          <w:rFonts w:ascii="Times New Roman" w:hAnsi="Times New Roman"/>
          <w:sz w:val="20"/>
        </w:rPr>
        <w:t xml:space="preserve">” means HSR Act, the Sherman Antitrust Act of 1890, as amended, the Clayton Antitrust Act of 1914, as amended, the Federal Trade Commission Act of 1914, as amended, and any other Legal Requirement that is designed to prohibit, restrict or regulate actions having the purpose or effect of monopolization, restraint of trade, or substantial lessening of competition.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Assumed Expenses</w:t>
      </w:r>
      <w:r>
        <w:rPr>
          <w:rFonts w:ascii="Times New Roman" w:hAnsi="Times New Roman"/>
          <w:sz w:val="20"/>
        </w:rPr>
        <w:t xml:space="preserve">” means those expenses of the Company set forth on </w:t>
      </w:r>
      <w:r>
        <w:rPr>
          <w:rFonts w:ascii="Times New Roman" w:hAnsi="Times New Roman"/>
          <w:sz w:val="20"/>
          <w:u w:val="single"/>
        </w:rPr>
        <w:t>Schedule 1.2</w:t>
      </w:r>
      <w:r>
        <w:rPr>
          <w:rFonts w:ascii="Times New Roman" w:hAnsi="Times New Roman"/>
          <w:sz w:val="20"/>
        </w:rPr>
        <w:t xml:space="preserve">, in each case to the extent actually paid prior to the Closing. </w:t>
      </w:r>
    </w:p>
    <w:p>
      <w:pPr>
        <w:pStyle w:val="TextBody"/>
        <w:bidi w:val="0"/>
        <w:spacing w:before="240" w:after="0"/>
        <w:jc w:val="left"/>
        <w:rPr/>
      </w:pPr>
      <w:r>
        <w:rPr/>
        <w:t>“</w:t>
      </w:r>
      <w:r>
        <w:rPr>
          <w:rFonts w:ascii="Times New Roman" w:hAnsi="Times New Roman"/>
          <w:b/>
          <w:i/>
          <w:sz w:val="20"/>
        </w:rPr>
        <w:t>Base Cash Purchase Price</w:t>
      </w:r>
      <w:r>
        <w:rPr>
          <w:rFonts w:ascii="Times New Roman" w:hAnsi="Times New Roman"/>
          <w:sz w:val="20"/>
        </w:rPr>
        <w:t xml:space="preserve">” means $37,500,000.00.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other than Saturday, Sunday, or a day on which commercial banks in San Francisco, California are permitted or required by any Legal Requirement to be closed for the conduct of regular banking business. </w:t>
      </w:r>
    </w:p>
    <w:p>
      <w:pPr>
        <w:pStyle w:val="TextBody"/>
        <w:bidi w:val="0"/>
        <w:spacing w:before="240" w:after="0"/>
        <w:jc w:val="left"/>
        <w:rPr/>
      </w:pPr>
      <w:r>
        <w:rPr/>
        <w:t>“</w:t>
      </w:r>
      <w:r>
        <w:rPr>
          <w:rFonts w:ascii="Times New Roman" w:hAnsi="Times New Roman"/>
          <w:b/>
          <w:i/>
          <w:sz w:val="20"/>
        </w:rPr>
        <w:t>Certificate of Merger</w:t>
      </w:r>
      <w:r>
        <w:rPr>
          <w:rFonts w:ascii="Times New Roman" w:hAnsi="Times New Roman"/>
          <w:sz w:val="20"/>
        </w:rPr>
        <w:t xml:space="preserve">” has the meaning given to it in </w:t>
      </w:r>
      <w:r>
        <w:rPr>
          <w:rFonts w:ascii="Times New Roman" w:hAnsi="Times New Roman"/>
          <w:sz w:val="20"/>
          <w:u w:val="single"/>
        </w:rPr>
        <w:t>Section 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Certificates</w:t>
      </w:r>
      <w:r>
        <w:rPr>
          <w:rFonts w:ascii="Times New Roman" w:hAnsi="Times New Roman"/>
          <w:sz w:val="20"/>
        </w:rPr>
        <w:t xml:space="preserve">” has the meaning given to it in </w:t>
      </w:r>
      <w:r>
        <w:rPr>
          <w:rFonts w:ascii="Times New Roman" w:hAnsi="Times New Roman"/>
          <w:sz w:val="20"/>
          <w:u w:val="single"/>
        </w:rPr>
        <w:t>Section 2.2(a)(i)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Change of Control</w:t>
      </w:r>
      <w:r>
        <w:rPr>
          <w:rFonts w:ascii="Times New Roman" w:hAnsi="Times New Roman"/>
          <w:sz w:val="20"/>
        </w:rPr>
        <w:t xml:space="preserve">” means (a) the acquisition, directly or indirectly, in one transaction or a series of related transactions, by any Person or group (within the meaning of Section 13(d)(3) of the Securities Exchange Act of 1934) (other than Acquiror or any of its Affiliates) of the securities of Acquiror or the Surviving Corporation possessing more than 50% of the total combined voting power of all outstanding securities of Acquiror or the Surviving Corporation (provided, however, that a Change of Control will not result upon such acquisition of ownership if such acquisition occurs as a result of: (i) a public offering of Acquiror’s or the Surviving Corporation’s securities or any financing transaction or series of financing transactions, including any private placement of equity or convertible securities, in each case primarily for bona fide financing, (ii) a merger or consolidation involving Acquiror or the Surviving Corporation where the holders of the outstanding voting securities of Acquiror or the Surviving Corporation immediately prior to such merger or consolidation (taken in the aggregate) possess beneficial ownership of 50% or more of the total combined voting power of all outstanding voting securities of Acquiror or the Surviving Corporation, respectively, the surviving entity, the acquiring entity or a parent or holding company of the acquiring entity, immediately after such merger or consolidation, or (iii) any internal reorganization, restructuring, recapitalization or reclassification of the equity securities of Acquiror or the Surviving Corporation that does not result in a third party unaffiliated with Acquiror possessing more than 50% of the total combined voting power described above); or (b) the sale, transfer or other disposition (in one transaction or a series of related transactions) of all or substantially all of the assets of Acquiror or the Surviving Corporation to a Person other than Acquiror or any Affiliate of Acquiror; provided, however, that none of the following shall constitute a Change of Control: (x) any sale, transfer, assignment, exclusive license or other disposition of any of the Products or assets of the Surviving Corporation to Acquiror or any Affiliate of Acquiror (so long as Acquiror remains bound by its obligations under </w:t>
      </w:r>
      <w:r>
        <w:rPr>
          <w:rFonts w:ascii="Times New Roman" w:hAnsi="Times New Roman"/>
          <w:sz w:val="20"/>
          <w:u w:val="single"/>
        </w:rPr>
        <w:t>Section 2.9</w:t>
      </w:r>
      <w:r>
        <w:rPr>
          <w:rFonts w:ascii="Times New Roman" w:hAnsi="Times New Roman"/>
          <w:sz w:val="20"/>
        </w:rPr>
        <w:t xml:space="preserve">), (y) any disposition of a Product required by a Governmental Entity in connection with a regulatory action or proceeding 2.9), or (z) any exclusive license of one or more of the Products to a third party. </w:t>
      </w:r>
    </w:p>
    <w:p>
      <w:pPr>
        <w:pStyle w:val="TextBody"/>
        <w:bidi w:val="0"/>
        <w:spacing w:before="240" w:after="0"/>
        <w:jc w:val="left"/>
        <w:rPr/>
      </w:pPr>
      <w:r>
        <w:rPr/>
        <w:t>“</w:t>
      </w:r>
      <w:r>
        <w:rPr>
          <w:rFonts w:ascii="Times New Roman" w:hAnsi="Times New Roman"/>
          <w:b/>
          <w:i/>
          <w:sz w:val="20"/>
        </w:rPr>
        <w:t>Claimed Amount</w:t>
      </w:r>
      <w:r>
        <w:rPr>
          <w:rFonts w:ascii="Times New Roman" w:hAnsi="Times New Roman"/>
          <w:sz w:val="20"/>
        </w:rPr>
        <w:t xml:space="preserve">” has the meaning given to it in </w:t>
      </w:r>
      <w:r>
        <w:rPr>
          <w:rFonts w:ascii="Times New Roman" w:hAnsi="Times New Roman"/>
          <w:sz w:val="20"/>
          <w:u w:val="single"/>
        </w:rPr>
        <w:t>Section 9.2(h)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w:t>
      </w:r>
      <w:r>
        <w:rPr>
          <w:rFonts w:ascii="Times New Roman" w:hAnsi="Times New Roman"/>
          <w:sz w:val="20"/>
        </w:rPr>
        <w:t xml:space="preserve">” has the meaning given to it in </w:t>
      </w:r>
      <w:r>
        <w:rPr>
          <w:rFonts w:ascii="Times New Roman" w:hAnsi="Times New Roman"/>
          <w:sz w:val="20"/>
          <w:u w:val="single"/>
        </w:rPr>
        <w:t>Section 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has the meaning given to it in </w:t>
      </w:r>
      <w:r>
        <w:rPr>
          <w:rFonts w:ascii="Times New Roman" w:hAnsi="Times New Roman"/>
          <w:sz w:val="20"/>
          <w:u w:val="single"/>
        </w:rPr>
        <w:t>Section 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Expenses Certificate</w:t>
      </w:r>
      <w:r>
        <w:rPr>
          <w:rFonts w:ascii="Times New Roman" w:hAnsi="Times New Roman"/>
          <w:sz w:val="20"/>
        </w:rPr>
        <w:t xml:space="preserve">” means a certificate executed by the Chief Executive Officer of the Company, certifying the amount of Transaction Expenses not paid immediately as of the Adjustment Time (including an itemized list of each such Transaction Expense, invoices therefor and wire instructions for the payment thereof). </w:t>
      </w:r>
    </w:p>
    <w:p>
      <w:pPr>
        <w:pStyle w:val="TextBody"/>
        <w:bidi w:val="0"/>
        <w:spacing w:before="240" w:after="0"/>
        <w:jc w:val="left"/>
        <w:rPr/>
      </w:pPr>
      <w:r>
        <w:rPr/>
        <w:t>“</w:t>
      </w:r>
      <w:r>
        <w:rPr>
          <w:rFonts w:ascii="Times New Roman" w:hAnsi="Times New Roman"/>
          <w:b/>
          <w:i/>
          <w:sz w:val="20"/>
        </w:rPr>
        <w:t>Closing Option Consideration</w:t>
      </w:r>
      <w:r>
        <w:rPr>
          <w:rFonts w:ascii="Times New Roman" w:hAnsi="Times New Roman"/>
          <w:sz w:val="20"/>
        </w:rPr>
        <w:t xml:space="preserve">” shall mean the sum of (i) the Per Share Closing Cash Amount and (ii) the Per Share Stock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Closing Stock Consideration</w:t>
      </w:r>
      <w:r>
        <w:rPr>
          <w:rFonts w:ascii="Times New Roman" w:hAnsi="Times New Roman"/>
          <w:sz w:val="20"/>
        </w:rPr>
        <w:t xml:space="preserve">” means a number of shares of Acquiror Common Stock equal to (i) Closing Stock Consideration Value, </w:t>
      </w:r>
      <w:r>
        <w:rPr>
          <w:rFonts w:ascii="Times New Roman" w:hAnsi="Times New Roman"/>
          <w:i/>
          <w:sz w:val="20"/>
        </w:rPr>
        <w:t>divided by</w:t>
      </w:r>
      <w:r>
        <w:rPr>
          <w:rFonts w:ascii="Times New Roman" w:hAnsi="Times New Roman"/>
          <w:sz w:val="20"/>
        </w:rPr>
        <w:t xml:space="preserve"> (ii) the Acquiror Common Price.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i/>
          <w:sz w:val="20"/>
        </w:rPr>
        <w:t>Commercial Milestone</w:t>
      </w:r>
      <w:r>
        <w:rPr>
          <w:rFonts w:ascii="Times New Roman" w:hAnsi="Times New Roman"/>
          <w:sz w:val="20"/>
        </w:rPr>
        <w:t xml:space="preserve">” means any of the particular sales-based Commercial Milestone Events set forth on </w:t>
      </w:r>
      <w:r>
        <w:rPr>
          <w:rFonts w:ascii="Times New Roman" w:hAnsi="Times New Roman"/>
          <w:sz w:val="20"/>
          <w:u w:val="single"/>
        </w:rPr>
        <w:t>Schedule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Commercial Milestone Event</w:t>
      </w:r>
      <w:r>
        <w:rPr>
          <w:rFonts w:ascii="Times New Roman" w:hAnsi="Times New Roman"/>
          <w:sz w:val="20"/>
        </w:rPr>
        <w:t xml:space="preserve">” has the meaning given to it in </w:t>
      </w:r>
      <w:r>
        <w:rPr>
          <w:rFonts w:ascii="Times New Roman" w:hAnsi="Times New Roman"/>
          <w:sz w:val="20"/>
          <w:u w:val="single"/>
        </w:rPr>
        <w:t>Schedule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Commercially Reasonable Efforts</w:t>
      </w:r>
      <w:r>
        <w:rPr>
          <w:rFonts w:ascii="Times New Roman" w:hAnsi="Times New Roman"/>
          <w:sz w:val="20"/>
        </w:rPr>
        <w:t xml:space="preserve">” has the meaning given to it in </w:t>
      </w:r>
      <w:r>
        <w:rPr>
          <w:rFonts w:ascii="Times New Roman" w:hAnsi="Times New Roman"/>
          <w:sz w:val="20"/>
          <w:u w:val="single"/>
        </w:rPr>
        <w:t>Section 2.9(e)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has the meaning given to it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Active Ingredient</w:t>
      </w:r>
      <w:r>
        <w:rPr>
          <w:rFonts w:ascii="Times New Roman" w:hAnsi="Times New Roman"/>
          <w:sz w:val="20"/>
        </w:rPr>
        <w:t xml:space="preserve">” means a composition, including without limitation, the composition referred to by Company as IRX-101, that contains: (a) a stabilized solution of sodium chlorite or of any base form, metabolite, ester, salt form, racemate, stereoisomer, crystalline polymorph, hydrate, solvate of sodium chlorite; or (b) is either (i) claimed as a composition of matter in any Acquired Patent or (ii) the subject of a claim or any Acquired Patent directed to the method of using such composition. </w:t>
      </w:r>
    </w:p>
    <w:p>
      <w:pPr>
        <w:pStyle w:val="TextBody"/>
        <w:bidi w:val="0"/>
        <w:spacing w:before="240" w:after="0"/>
        <w:jc w:val="left"/>
        <w:rPr/>
      </w:pPr>
      <w:r>
        <w:rPr/>
        <w:t>“</w:t>
      </w:r>
      <w:r>
        <w:rPr>
          <w:rFonts w:ascii="Times New Roman" w:hAnsi="Times New Roman"/>
          <w:b/>
          <w:i/>
          <w:sz w:val="20"/>
        </w:rPr>
        <w:t>Company Authorizations</w:t>
      </w:r>
      <w:r>
        <w:rPr>
          <w:rFonts w:ascii="Times New Roman" w:hAnsi="Times New Roman"/>
          <w:sz w:val="20"/>
        </w:rPr>
        <w:t xml:space="preserve">” has the meaning given to it in </w:t>
      </w:r>
      <w:r>
        <w:rPr>
          <w:rFonts w:ascii="Times New Roman" w:hAnsi="Times New Roman"/>
          <w:sz w:val="20"/>
          <w:u w:val="single"/>
        </w:rPr>
        <w:t>Section 3.9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Balance Sheet</w:t>
      </w:r>
      <w:r>
        <w:rPr>
          <w:rFonts w:ascii="Times New Roman" w:hAnsi="Times New Roman"/>
          <w:sz w:val="20"/>
        </w:rPr>
        <w:t xml:space="preserve">” has the meaning given to it in </w:t>
      </w:r>
      <w:r>
        <w:rPr>
          <w:rFonts w:ascii="Times New Roman" w:hAnsi="Times New Roman"/>
          <w:sz w:val="20"/>
          <w:u w:val="single"/>
        </w:rPr>
        <w:t>Section 3.5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Balance Sheet Date</w:t>
      </w:r>
      <w:r>
        <w:rPr>
          <w:rFonts w:ascii="Times New Roman" w:hAnsi="Times New Roman"/>
          <w:sz w:val="20"/>
        </w:rPr>
        <w:t xml:space="preserve">” has the meaning given to it in </w:t>
      </w:r>
      <w:r>
        <w:rPr>
          <w:rFonts w:ascii="Times New Roman" w:hAnsi="Times New Roman"/>
          <w:sz w:val="20"/>
          <w:u w:val="single"/>
        </w:rPr>
        <w:t>Section 3.6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Board</w:t>
      </w:r>
      <w:r>
        <w:rPr>
          <w:rFonts w:ascii="Times New Roman" w:hAnsi="Times New Roman"/>
          <w:sz w:val="20"/>
        </w:rPr>
        <w:t xml:space="preserve">” has the meaning given to in </w:t>
      </w:r>
      <w:r>
        <w:rPr>
          <w:rFonts w:ascii="Times New Roman" w:hAnsi="Times New Roman"/>
          <w:sz w:val="20"/>
          <w:u w:val="single"/>
        </w:rPr>
        <w:t>Recital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Capital Stock</w:t>
      </w:r>
      <w:r>
        <w:rPr>
          <w:rFonts w:ascii="Times New Roman" w:hAnsi="Times New Roman"/>
          <w:sz w:val="20"/>
        </w:rPr>
        <w:t xml:space="preserve">” means (a) the Company Common Stock and (b) the Company Preferred Stock. </w:t>
      </w:r>
    </w:p>
    <w:p>
      <w:pPr>
        <w:pStyle w:val="TextBody"/>
        <w:bidi w:val="0"/>
        <w:spacing w:before="240" w:after="0"/>
        <w:jc w:val="left"/>
        <w:rPr/>
      </w:pPr>
      <w:r>
        <w:rPr/>
        <w:t>“</w:t>
      </w:r>
      <w:r>
        <w:rPr>
          <w:rFonts w:ascii="Times New Roman" w:hAnsi="Times New Roman"/>
          <w:b/>
          <w:i/>
          <w:sz w:val="20"/>
        </w:rPr>
        <w:t>Company Cash</w:t>
      </w:r>
      <w:r>
        <w:rPr>
          <w:rFonts w:ascii="Times New Roman" w:hAnsi="Times New Roman"/>
          <w:sz w:val="20"/>
        </w:rPr>
        <w:t xml:space="preserve">” means an amount equal to the Company’s and its Subsidiaries’ total cash, cash equivalents and marketable securities as reflected on the Company’s and its Subsidiaries’ balance sheets prepared in accordance with GAAP, which shall include checks, deposits in transit and drafts deposited for the account of the Company but not yet posted, but excluding issued but uncleared checks, wires, transfers and drafts, and Restricted Cash. </w:t>
      </w:r>
    </w:p>
    <w:p>
      <w:pPr>
        <w:pStyle w:val="TextBody"/>
        <w:bidi w:val="0"/>
        <w:spacing w:before="240" w:after="0"/>
        <w:jc w:val="left"/>
        <w:rPr/>
      </w:pPr>
      <w:r>
        <w:rPr/>
        <w:t>“</w:t>
      </w:r>
      <w:r>
        <w:rPr>
          <w:rFonts w:ascii="Times New Roman" w:hAnsi="Times New Roman"/>
          <w:b/>
          <w:i/>
          <w:sz w:val="20"/>
        </w:rPr>
        <w:t>Company Certificate of Incorporation</w:t>
      </w:r>
      <w:r>
        <w:rPr>
          <w:rFonts w:ascii="Times New Roman" w:hAnsi="Times New Roman"/>
          <w:sz w:val="20"/>
        </w:rPr>
        <w:t xml:space="preserve">” means the Amended and Restated Certificate of Incorporation of the Company as currently on file with the Delaware Secretary of State. </w:t>
      </w:r>
    </w:p>
    <w:p>
      <w:pPr>
        <w:pStyle w:val="TextBody"/>
        <w:bidi w:val="0"/>
        <w:spacing w:before="240" w:after="0"/>
        <w:jc w:val="left"/>
        <w:rPr/>
      </w:pPr>
      <w:r>
        <w:rPr/>
        <w:t>“</w:t>
      </w:r>
      <w:r>
        <w:rPr>
          <w:rFonts w:ascii="Times New Roman" w:hAnsi="Times New Roman"/>
          <w:b/>
          <w:i/>
          <w:sz w:val="20"/>
        </w:rPr>
        <w:t>Company Common Stock</w:t>
      </w:r>
      <w:r>
        <w:rPr>
          <w:rFonts w:ascii="Times New Roman" w:hAnsi="Times New Roman"/>
          <w:sz w:val="20"/>
        </w:rPr>
        <w:t xml:space="preserve">” means the Common Stock of the Company, par value $0.0001 per share. </w:t>
      </w:r>
    </w:p>
    <w:p>
      <w:pPr>
        <w:pStyle w:val="TextBody"/>
        <w:bidi w:val="0"/>
        <w:spacing w:before="240" w:after="0"/>
        <w:jc w:val="left"/>
        <w:rPr/>
      </w:pPr>
      <w:r>
        <w:rPr/>
        <w:t>“</w:t>
      </w:r>
      <w:r>
        <w:rPr>
          <w:rFonts w:ascii="Times New Roman" w:hAnsi="Times New Roman"/>
          <w:b/>
          <w:i/>
          <w:sz w:val="20"/>
        </w:rPr>
        <w:t>Company Disclosure Schedule</w:t>
      </w:r>
      <w:r>
        <w:rPr>
          <w:rFonts w:ascii="Times New Roman" w:hAnsi="Times New Roman"/>
          <w:sz w:val="20"/>
        </w:rPr>
        <w:t xml:space="preserve">” has the meaning given to it in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Employee Options</w:t>
      </w:r>
      <w:r>
        <w:rPr>
          <w:rFonts w:ascii="Times New Roman" w:hAnsi="Times New Roman"/>
          <w:sz w:val="20"/>
        </w:rPr>
        <w:t xml:space="preserve">” means the Company Options held by Persons who were employees of the Company at the time of grant of such Company Options. </w:t>
      </w:r>
    </w:p>
    <w:p>
      <w:pPr>
        <w:pStyle w:val="TextBody"/>
        <w:bidi w:val="0"/>
        <w:spacing w:before="240" w:after="0"/>
        <w:jc w:val="left"/>
        <w:rPr/>
      </w:pPr>
      <w:r>
        <w:rPr/>
        <w:t>“</w:t>
      </w:r>
      <w:r>
        <w:rPr>
          <w:rFonts w:ascii="Times New Roman" w:hAnsi="Times New Roman"/>
          <w:b/>
          <w:i/>
          <w:sz w:val="20"/>
        </w:rPr>
        <w:t>Company Employee Plans</w:t>
      </w:r>
      <w:r>
        <w:rPr>
          <w:rFonts w:ascii="Times New Roman" w:hAnsi="Times New Roman"/>
          <w:sz w:val="20"/>
        </w:rPr>
        <w:t xml:space="preserve">” has the meaning given to it in </w:t>
      </w:r>
      <w:r>
        <w:rPr>
          <w:rFonts w:ascii="Times New Roman" w:hAnsi="Times New Roman"/>
          <w:sz w:val="20"/>
          <w:u w:val="single"/>
        </w:rPr>
        <w:t>Section 3.15(a)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Equity Plan</w:t>
      </w:r>
      <w:r>
        <w:rPr>
          <w:rFonts w:ascii="Times New Roman" w:hAnsi="Times New Roman"/>
          <w:sz w:val="20"/>
        </w:rPr>
        <w:t xml:space="preserve">” means the Company’s 2017 Equity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 Indebtedness Certificate</w:t>
      </w:r>
      <w:r>
        <w:rPr>
          <w:rFonts w:ascii="Times New Roman" w:hAnsi="Times New Roman"/>
          <w:sz w:val="20"/>
        </w:rPr>
        <w:t xml:space="preserve">” means a certificate executed by the Chief Executive Officer of the Company, certifying on behalf of the Company an itemized list of all outstanding Indebtedness for borrowed money as of the Adjustment Time and the Person to whom such outstanding Indebtedness is owed and an aggregate total of such outstanding Indebtedness for borrowed money together with customary payoff letters relating thereto and wire instructions for the payment thereof. </w:t>
      </w:r>
    </w:p>
    <w:p>
      <w:pPr>
        <w:pStyle w:val="TextBody"/>
        <w:bidi w:val="0"/>
        <w:spacing w:before="240" w:after="0"/>
        <w:jc w:val="left"/>
        <w:rPr/>
      </w:pPr>
      <w:r>
        <w:rPr/>
        <w:t>“</w:t>
      </w:r>
      <w:r>
        <w:rPr>
          <w:rFonts w:ascii="Times New Roman" w:hAnsi="Times New Roman"/>
          <w:b/>
          <w:i/>
          <w:sz w:val="20"/>
        </w:rPr>
        <w:t>Company Intellectual Property</w:t>
      </w:r>
      <w:r>
        <w:rPr>
          <w:rFonts w:ascii="Times New Roman" w:hAnsi="Times New Roman"/>
          <w:sz w:val="20"/>
        </w:rPr>
        <w:t xml:space="preserve">” means any and all (i) Owned Company IP, and (ii) any other Intellectual Property incorporated into, used in, held for use in, or necessary for the conduct of the business of the Company and its Subsidiaries as currently conducted and as currently proposed to be conducted. </w:t>
      </w:r>
    </w:p>
    <w:p>
      <w:pPr>
        <w:pStyle w:val="TextBody"/>
        <w:bidi w:val="0"/>
        <w:spacing w:before="240" w:after="0"/>
        <w:jc w:val="left"/>
        <w:rPr/>
      </w:pPr>
      <w:r>
        <w:rPr/>
        <w:t>“</w:t>
      </w:r>
      <w:r>
        <w:rPr>
          <w:rFonts w:ascii="Times New Roman" w:hAnsi="Times New Roman"/>
          <w:b/>
          <w:i/>
          <w:sz w:val="20"/>
        </w:rPr>
        <w:t>Company Net Working Capital</w:t>
      </w:r>
      <w:r>
        <w:rPr>
          <w:rFonts w:ascii="Times New Roman" w:hAnsi="Times New Roman"/>
          <w:sz w:val="20"/>
        </w:rPr>
        <w:t xml:space="preserve">” means an amount equal to the difference of Current Assets minus Current Liabilities. By way of illustration, a calculation of Company Net Working Capital as of June 30, 2026 is set forth on </w:t>
      </w:r>
      <w:r>
        <w:rPr>
          <w:rFonts w:ascii="Times New Roman" w:hAnsi="Times New Roman"/>
          <w:sz w:val="20"/>
          <w:u w:val="single"/>
        </w:rPr>
        <w:t>Schedule 1.1</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i/>
          <w:sz w:val="20"/>
        </w:rPr>
        <w:t>Company Non-Employee Options</w:t>
      </w:r>
      <w:r>
        <w:rPr>
          <w:rFonts w:ascii="Times New Roman" w:hAnsi="Times New Roman"/>
          <w:sz w:val="20"/>
        </w:rPr>
        <w:t xml:space="preserve">” means the Company Options held by Persons who were not employees of the Company at the time of grant of such Company Options. </w:t>
      </w:r>
    </w:p>
    <w:p>
      <w:pPr>
        <w:pStyle w:val="TextBody"/>
        <w:bidi w:val="0"/>
        <w:spacing w:before="240" w:after="0"/>
        <w:jc w:val="left"/>
        <w:rPr/>
      </w:pPr>
      <w:r>
        <w:rPr/>
        <w:t>“</w:t>
      </w:r>
      <w:r>
        <w:rPr>
          <w:rFonts w:ascii="Times New Roman" w:hAnsi="Times New Roman"/>
          <w:b/>
          <w:i/>
          <w:sz w:val="20"/>
        </w:rPr>
        <w:t>Company Optionholders</w:t>
      </w:r>
      <w:r>
        <w:rPr>
          <w:rFonts w:ascii="Times New Roman" w:hAnsi="Times New Roman"/>
          <w:sz w:val="20"/>
        </w:rPr>
        <w:t xml:space="preserve">” means the holders of Company Options. </w:t>
      </w:r>
    </w:p>
    <w:p>
      <w:pPr>
        <w:pStyle w:val="TextBody"/>
        <w:bidi w:val="0"/>
        <w:spacing w:before="240" w:after="0"/>
        <w:jc w:val="left"/>
        <w:rPr/>
      </w:pPr>
      <w:r>
        <w:rPr/>
        <w:t>“</w:t>
      </w:r>
      <w:r>
        <w:rPr>
          <w:rFonts w:ascii="Times New Roman" w:hAnsi="Times New Roman"/>
          <w:b/>
          <w:i/>
          <w:sz w:val="20"/>
        </w:rPr>
        <w:t>Company Option-Based Merger Consideration</w:t>
      </w:r>
      <w:r>
        <w:rPr>
          <w:rFonts w:ascii="Times New Roman" w:hAnsi="Times New Roman"/>
          <w:sz w:val="20"/>
        </w:rPr>
        <w:t xml:space="preserve">” has the meaning given to it in </w:t>
      </w:r>
      <w:r>
        <w:rPr>
          <w:rFonts w:ascii="Times New Roman" w:hAnsi="Times New Roman"/>
          <w:sz w:val="20"/>
          <w:u w:val="single"/>
        </w:rPr>
        <w:t>Section 2.1(b)(ii)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Options</w:t>
      </w:r>
      <w:r>
        <w:rPr>
          <w:rFonts w:ascii="Times New Roman" w:hAnsi="Times New Roman"/>
          <w:sz w:val="20"/>
        </w:rPr>
        <w:t xml:space="preserve">” means options to purchase shares of Company Common Stock. </w:t>
      </w:r>
    </w:p>
    <w:p>
      <w:pPr>
        <w:pStyle w:val="TextBody"/>
        <w:bidi w:val="0"/>
        <w:spacing w:before="240" w:after="0"/>
        <w:jc w:val="left"/>
        <w:rPr/>
      </w:pPr>
      <w:r>
        <w:rPr/>
        <w:t>“</w:t>
      </w:r>
      <w:r>
        <w:rPr>
          <w:rFonts w:ascii="Times New Roman" w:hAnsi="Times New Roman"/>
          <w:b/>
          <w:i/>
          <w:sz w:val="20"/>
        </w:rPr>
        <w:t>Company Preferred Stock</w:t>
      </w:r>
      <w:r>
        <w:rPr>
          <w:rFonts w:ascii="Times New Roman" w:hAnsi="Times New Roman"/>
          <w:sz w:val="20"/>
        </w:rPr>
        <w:t xml:space="preserve">” means (a) the Series Seed Preferred Stock, (b) the Series Seed II Preferred Stock, (c) the Series Seed II-A Preferred Stock, and (d) the Series Seed II-B Preferred Stock. </w:t>
      </w:r>
    </w:p>
    <w:p>
      <w:pPr>
        <w:pStyle w:val="TextBody"/>
        <w:bidi w:val="0"/>
        <w:spacing w:before="240" w:after="0"/>
        <w:jc w:val="left"/>
        <w:rPr/>
      </w:pPr>
      <w:r>
        <w:rPr/>
        <w:t>“</w:t>
      </w:r>
      <w:r>
        <w:rPr>
          <w:rFonts w:ascii="Times New Roman" w:hAnsi="Times New Roman"/>
          <w:b/>
          <w:i/>
          <w:sz w:val="20"/>
        </w:rPr>
        <w:t>Company Product</w:t>
      </w:r>
      <w:r>
        <w:rPr>
          <w:rFonts w:ascii="Times New Roman" w:hAnsi="Times New Roman"/>
          <w:sz w:val="20"/>
        </w:rPr>
        <w:t xml:space="preserve">” means and includes all products and service offerings of Company, including those products identified on </w:t>
      </w:r>
      <w:r>
        <w:rPr>
          <w:rFonts w:ascii="Times New Roman" w:hAnsi="Times New Roman"/>
          <w:sz w:val="20"/>
          <w:u w:val="single"/>
        </w:rPr>
        <w:t>Schedule 1.3</w:t>
      </w:r>
      <w:r>
        <w:rPr>
          <w:rFonts w:ascii="Times New Roman" w:hAnsi="Times New Roman"/>
          <w:sz w:val="20"/>
        </w:rPr>
        <w:t xml:space="preserve"> and any other products or service offerings of the Company which, prior to the Effective Time, were being researched or developed by Company for potential use in the treatment of and/or amelioration of the symptoms of diseases or disorders in humans or animals. </w:t>
      </w:r>
    </w:p>
    <w:p>
      <w:pPr>
        <w:pStyle w:val="TextBody"/>
        <w:bidi w:val="0"/>
        <w:spacing w:before="240" w:after="0"/>
        <w:jc w:val="left"/>
        <w:rPr/>
      </w:pPr>
      <w:r>
        <w:rPr/>
        <w:t>“</w:t>
      </w:r>
      <w:r>
        <w:rPr>
          <w:rFonts w:ascii="Times New Roman" w:hAnsi="Times New Roman"/>
          <w:b/>
          <w:i/>
          <w:sz w:val="20"/>
        </w:rPr>
        <w:t>Company Securityholders</w:t>
      </w:r>
      <w:r>
        <w:rPr>
          <w:rFonts w:ascii="Times New Roman" w:hAnsi="Times New Roman"/>
          <w:sz w:val="20"/>
        </w:rPr>
        <w:t xml:space="preserve">” means (a) the Company Stockholders and (b) the Company Optionholders, collectively. </w:t>
      </w:r>
    </w:p>
    <w:p>
      <w:pPr>
        <w:pStyle w:val="TextBody"/>
        <w:bidi w:val="0"/>
        <w:spacing w:before="240" w:after="0"/>
        <w:jc w:val="left"/>
        <w:rPr/>
      </w:pPr>
      <w:r>
        <w:rPr/>
        <w:t>“</w:t>
      </w:r>
      <w:r>
        <w:rPr>
          <w:rFonts w:ascii="Times New Roman" w:hAnsi="Times New Roman"/>
          <w:b/>
          <w:i/>
          <w:sz w:val="20"/>
        </w:rPr>
        <w:t>Company Stockholders</w:t>
      </w:r>
      <w:r>
        <w:rPr>
          <w:rFonts w:ascii="Times New Roman" w:hAnsi="Times New Roman"/>
          <w:sz w:val="20"/>
        </w:rPr>
        <w:t xml:space="preserve">” means the holders of shares of outstanding Company Capital Stock. </w:t>
      </w:r>
    </w:p>
    <w:p>
      <w:pPr>
        <w:pStyle w:val="TextBody"/>
        <w:bidi w:val="0"/>
        <w:spacing w:before="240" w:after="0"/>
        <w:jc w:val="left"/>
        <w:rPr/>
      </w:pPr>
      <w:r>
        <w:rPr/>
        <w:t>“</w:t>
      </w:r>
      <w:r>
        <w:rPr>
          <w:rFonts w:ascii="Times New Roman" w:hAnsi="Times New Roman"/>
          <w:b/>
          <w:i/>
          <w:sz w:val="20"/>
        </w:rPr>
        <w:t>Company Systems</w:t>
      </w:r>
      <w:r>
        <w:rPr>
          <w:rFonts w:ascii="Times New Roman" w:hAnsi="Times New Roman"/>
          <w:sz w:val="20"/>
        </w:rPr>
        <w:t xml:space="preserve">” means all of the following used by or for, or otherwise relied on, by, the Company (whether owned by any of them or a third party) and used in the operation of the Company’s business: computers, computer systems, servers, hardware, software, firmware, middleware, websites, databases, networks, servers, workstations, routers, hubs, switches, data communication equipment and lines, telecommunications equipment and lines, co-location facilities and equipment, and all other information technology equipment and related items of automated, computerized or software systems, including any outsourced systems or processes (e.g., hosting locations). </w:t>
      </w:r>
    </w:p>
    <w:p>
      <w:pPr>
        <w:pStyle w:val="TextBody"/>
        <w:bidi w:val="0"/>
        <w:spacing w:before="240" w:after="0"/>
        <w:jc w:val="left"/>
        <w:rPr/>
      </w:pPr>
      <w:r>
        <w:rPr/>
        <w:t>“</w:t>
      </w:r>
      <w:r>
        <w:rPr>
          <w:rFonts w:ascii="Times New Roman" w:hAnsi="Times New Roman"/>
          <w:b/>
          <w:i/>
          <w:sz w:val="20"/>
        </w:rPr>
        <w:t>Confidentiality Agreement</w:t>
      </w:r>
      <w:r>
        <w:rPr>
          <w:rFonts w:ascii="Times New Roman" w:hAnsi="Times New Roman"/>
          <w:sz w:val="20"/>
        </w:rPr>
        <w:t xml:space="preserve">” has the meaning given to it in </w:t>
      </w:r>
      <w:r>
        <w:rPr>
          <w:rFonts w:ascii="Times New Roman" w:hAnsi="Times New Roman"/>
          <w:sz w:val="20"/>
          <w:u w:val="single"/>
        </w:rPr>
        <w:t>Section 6.2(a)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Consent</w:t>
      </w:r>
      <w:r>
        <w:rPr>
          <w:rFonts w:ascii="Times New Roman" w:hAnsi="Times New Roman"/>
          <w:sz w:val="20"/>
        </w:rPr>
        <w:t>” or “</w:t>
      </w:r>
      <w:r>
        <w:rPr>
          <w:rFonts w:ascii="Times New Roman" w:hAnsi="Times New Roman"/>
          <w:b/>
          <w:i/>
          <w:sz w:val="20"/>
        </w:rPr>
        <w:t>Consents</w:t>
      </w:r>
      <w:r>
        <w:rPr>
          <w:rFonts w:ascii="Times New Roman" w:hAnsi="Times New Roman"/>
          <w:sz w:val="20"/>
        </w:rPr>
        <w:t xml:space="preserve">” means any consent, waiver, approval, authorization, exemption, registration or declaration.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Contract</w:t>
      </w:r>
      <w:r>
        <w:rPr>
          <w:rFonts w:ascii="Times New Roman" w:hAnsi="Times New Roman"/>
          <w:sz w:val="20"/>
        </w:rPr>
        <w:t xml:space="preserve">” means any contract, agreement, instrument, lease, sublease, license, commitment, undertaking or arrangement. </w:t>
      </w:r>
    </w:p>
    <w:p>
      <w:pPr>
        <w:pStyle w:val="TextBody"/>
        <w:bidi w:val="0"/>
        <w:spacing w:before="240" w:after="0"/>
        <w:jc w:val="left"/>
        <w:rPr/>
      </w:pPr>
      <w:r>
        <w:rPr/>
        <w:t>“</w:t>
      </w:r>
      <w:r>
        <w:rPr>
          <w:rFonts w:ascii="Times New Roman" w:hAnsi="Times New Roman"/>
          <w:b/>
          <w:i/>
          <w:sz w:val="20"/>
        </w:rPr>
        <w:t>Control</w:t>
      </w:r>
      <w:r>
        <w:rPr>
          <w:rFonts w:ascii="Times New Roman" w:hAnsi="Times New Roman"/>
          <w:sz w:val="20"/>
        </w:rPr>
        <w:t>” or “</w:t>
      </w:r>
      <w:r>
        <w:rPr>
          <w:rFonts w:ascii="Times New Roman" w:hAnsi="Times New Roman"/>
          <w:b/>
          <w:i/>
          <w:sz w:val="20"/>
        </w:rPr>
        <w:t>Controlled</w:t>
      </w:r>
      <w:r>
        <w:rPr>
          <w:rFonts w:ascii="Times New Roman" w:hAnsi="Times New Roman"/>
          <w:sz w:val="20"/>
        </w:rPr>
        <w:t xml:space="preserve">” means, with respect to any patent, patent application or other patent right, that a Person (a) owns such Patent or other intellectual property right, or (b) holds an exclusive license or other exclusive right (whether or not such license or other right is field limited) to such patent, patent application or other patent right, in each case without breaching the terms of any agreement with a third party. </w:t>
      </w:r>
    </w:p>
    <w:p>
      <w:pPr>
        <w:pStyle w:val="TextBody"/>
        <w:bidi w:val="0"/>
        <w:spacing w:before="240" w:after="0"/>
        <w:jc w:val="left"/>
        <w:rPr/>
      </w:pPr>
      <w:r>
        <w:rPr/>
        <w:t>“</w:t>
      </w:r>
      <w:r>
        <w:rPr>
          <w:rFonts w:ascii="Times New Roman" w:hAnsi="Times New Roman"/>
          <w:b/>
          <w:i/>
          <w:sz w:val="20"/>
        </w:rPr>
        <w:t>Covered</w:t>
      </w:r>
      <w:r>
        <w:rPr>
          <w:rFonts w:ascii="Times New Roman" w:hAnsi="Times New Roman"/>
          <w:sz w:val="20"/>
        </w:rPr>
        <w:t xml:space="preserve">” by a patent or patent application means that a Valid Claim (absent a license thereunder or ownership thereof) of such patent or patent application would be infringed by the development, making, using, offering for sale, selling, or importing of a Product; provided that if a Valid Claim is a pending claim, then such pending claim shall be treated as if it were issued as such claim is then pending for the purposes of determining infringement at the time coverage is assessed. </w:t>
      </w:r>
    </w:p>
    <w:p>
      <w:pPr>
        <w:pStyle w:val="TextBody"/>
        <w:bidi w:val="0"/>
        <w:spacing w:before="240" w:after="0"/>
        <w:jc w:val="left"/>
        <w:rPr/>
      </w:pPr>
      <w:r>
        <w:rPr/>
        <w:t>“</w:t>
      </w:r>
      <w:r>
        <w:rPr>
          <w:rFonts w:ascii="Times New Roman" w:hAnsi="Times New Roman"/>
          <w:b/>
          <w:i/>
          <w:sz w:val="20"/>
        </w:rPr>
        <w:t>Current Assets</w:t>
      </w:r>
      <w:r>
        <w:rPr>
          <w:rFonts w:ascii="Times New Roman" w:hAnsi="Times New Roman"/>
          <w:sz w:val="20"/>
        </w:rPr>
        <w:t xml:space="preserve">” means the current assets included in the line items under “Current Assets” set forth on </w:t>
      </w:r>
      <w:r>
        <w:rPr>
          <w:rFonts w:ascii="Times New Roman" w:hAnsi="Times New Roman"/>
          <w:sz w:val="20"/>
          <w:u w:val="single"/>
        </w:rPr>
        <w:t>Schedule 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Current Liabilities</w:t>
      </w:r>
      <w:r>
        <w:rPr>
          <w:rFonts w:ascii="Times New Roman" w:hAnsi="Times New Roman"/>
          <w:sz w:val="20"/>
        </w:rPr>
        <w:t xml:space="preserve">” means the current liabilities included in the line items under “Current Liabilities” set forth on </w:t>
      </w:r>
      <w:r>
        <w:rPr>
          <w:rFonts w:ascii="Times New Roman" w:hAnsi="Times New Roman"/>
          <w:sz w:val="20"/>
          <w:u w:val="single"/>
        </w:rPr>
        <w:t>Schedule 1.1</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“Current Liabilities” shall exclude Indebtedness and Transaction Expenses. </w:t>
      </w:r>
    </w:p>
    <w:p>
      <w:pPr>
        <w:pStyle w:val="TextBody"/>
        <w:bidi w:val="0"/>
        <w:spacing w:before="240" w:after="0"/>
        <w:jc w:val="left"/>
        <w:rPr/>
      </w:pPr>
      <w:r>
        <w:rPr/>
        <w:t>“</w:t>
      </w:r>
      <w:r>
        <w:rPr>
          <w:rFonts w:ascii="Times New Roman" w:hAnsi="Times New Roman"/>
          <w:b/>
          <w:i/>
          <w:sz w:val="20"/>
        </w:rPr>
        <w:t>Damages</w:t>
      </w:r>
      <w:r>
        <w:rPr>
          <w:rFonts w:ascii="Times New Roman" w:hAnsi="Times New Roman"/>
          <w:sz w:val="20"/>
        </w:rPr>
        <w:t xml:space="preserve">” means all reasonable out-of-pocket costs and any and all judgments, actions, causes of action, losses, Orders, Taxes, fines, amounts paid in settlement, costs (including the costs of defense and enforcement of this Agreement), liabilities, fees, interest obligations, deficiencies or damages, but specifically excluding punitive damages unless such damages are actually awarded or payable to an unaffiliated third party as determined by a Governmental Entity. </w:t>
      </w:r>
    </w:p>
    <w:p>
      <w:pPr>
        <w:pStyle w:val="TextBody"/>
        <w:bidi w:val="0"/>
        <w:spacing w:before="240" w:after="0"/>
        <w:jc w:val="left"/>
        <w:rPr/>
      </w:pPr>
      <w:r>
        <w:rPr/>
        <w:t>“</w:t>
      </w:r>
      <w:r>
        <w:rPr>
          <w:rFonts w:ascii="Times New Roman" w:hAnsi="Times New Roman"/>
          <w:b/>
          <w:i/>
          <w:sz w:val="20"/>
        </w:rPr>
        <w:t>Data Protection Laws</w:t>
      </w:r>
      <w:r>
        <w:rPr>
          <w:rFonts w:ascii="Times New Roman" w:hAnsi="Times New Roman"/>
          <w:sz w:val="20"/>
        </w:rPr>
        <w:t xml:space="preserve">” means all applicable Legal Requirements concerning data privacy, data security, or the protection or processing of Personal Data and privacy (including any security breach notification requirements), including Regulation (EU) 2016/679 (the General Data Protection Regulation), the European Union’s Directive 95/46/EC, as amended, the California Consumer Privacy Act, the Children’s Online Privacy Protection Act, the Telephone Consumer Protection Act, the Health Insurance Portability and Accountability Act of 1996, as amended, and the regulations promulgated thereunder, or any other legislation which implements any other current or future legal act, regulation, or law concerning the privacy, security, protection or processing of Personal Data (including any national implementing legislation), as applicable. </w:t>
      </w:r>
    </w:p>
    <w:p>
      <w:pPr>
        <w:pStyle w:val="TextBody"/>
        <w:bidi w:val="0"/>
        <w:spacing w:before="240" w:after="0"/>
        <w:jc w:val="left"/>
        <w:rPr/>
      </w:pPr>
      <w:r>
        <w:rPr/>
        <w:t>“</w:t>
      </w:r>
      <w:r>
        <w:rPr>
          <w:rFonts w:ascii="Times New Roman" w:hAnsi="Times New Roman"/>
          <w:b/>
          <w:i/>
          <w:sz w:val="20"/>
        </w:rPr>
        <w:t>Data Security Requirements</w:t>
      </w:r>
      <w:r>
        <w:rPr>
          <w:rFonts w:ascii="Times New Roman" w:hAnsi="Times New Roman"/>
          <w:sz w:val="20"/>
        </w:rPr>
        <w:t xml:space="preserve">” means, collectively, all of the following to the extent relating to confidential or sensitive information, payment card data, personally identifiable information, or other protected information relating to individuals or otherwise relating to privacy, security, or security breach notification requirements and applicable to the businesses of the Company: (i) the Company’s own rules, policies, and procedures (whether physical or technical in nature, or otherwise), (ii) all applicable Legal Requirements and all industry standards applicable to the Company’s industry (including Data Protection Laws), and (iii) all agreements the Company has entered into or by which it is bound. </w:t>
      </w:r>
    </w:p>
    <w:p>
      <w:pPr>
        <w:pStyle w:val="TextBody"/>
        <w:bidi w:val="0"/>
        <w:spacing w:before="240" w:after="0"/>
        <w:jc w:val="left"/>
        <w:rPr/>
      </w:pPr>
      <w:r>
        <w:rPr/>
        <w:t>“</w:t>
      </w:r>
      <w:r>
        <w:rPr>
          <w:rFonts w:ascii="Times New Roman" w:hAnsi="Times New Roman"/>
          <w:b/>
          <w:i/>
          <w:sz w:val="20"/>
        </w:rPr>
        <w:t>Delaware Code</w:t>
      </w:r>
      <w:r>
        <w:rPr>
          <w:rFonts w:ascii="Times New Roman" w:hAnsi="Times New Roman"/>
          <w:sz w:val="20"/>
        </w:rPr>
        <w:t xml:space="preserve">” means the Delaware General Corporations Law. </w:t>
      </w:r>
    </w:p>
    <w:p>
      <w:pPr>
        <w:pStyle w:val="TextBody"/>
        <w:bidi w:val="0"/>
        <w:spacing w:before="240" w:after="0"/>
        <w:jc w:val="left"/>
        <w:rPr/>
      </w:pPr>
      <w:r>
        <w:rPr/>
        <w:t>“</w:t>
      </w:r>
      <w:r>
        <w:rPr>
          <w:rFonts w:ascii="Times New Roman" w:hAnsi="Times New Roman"/>
          <w:b/>
          <w:i/>
          <w:sz w:val="20"/>
        </w:rPr>
        <w:t>Delaware Courts</w:t>
      </w:r>
      <w:r>
        <w:rPr>
          <w:rFonts w:ascii="Times New Roman" w:hAnsi="Times New Roman"/>
          <w:sz w:val="20"/>
        </w:rPr>
        <w:t xml:space="preserve">” has the meaning given to it in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Delivery Date</w:t>
      </w:r>
      <w:r>
        <w:rPr>
          <w:rFonts w:ascii="Times New Roman" w:hAnsi="Times New Roman"/>
          <w:sz w:val="20"/>
        </w:rPr>
        <w:t xml:space="preserve">” has the meaning given to it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Diligence Period</w:t>
      </w:r>
      <w:r>
        <w:rPr>
          <w:rFonts w:ascii="Times New Roman" w:hAnsi="Times New Roman"/>
          <w:sz w:val="20"/>
        </w:rPr>
        <w:t xml:space="preserve">” has the meaning given to it in </w:t>
      </w:r>
      <w:r>
        <w:rPr>
          <w:rFonts w:ascii="Times New Roman" w:hAnsi="Times New Roman"/>
          <w:sz w:val="20"/>
          <w:u w:val="single"/>
        </w:rPr>
        <w:t>Section 2.9(e)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Disputed Amount</w:t>
      </w:r>
      <w:r>
        <w:rPr>
          <w:rFonts w:ascii="Times New Roman" w:hAnsi="Times New Roman"/>
          <w:sz w:val="20"/>
        </w:rPr>
        <w:t xml:space="preserve">” has the meaning given to it in </w:t>
      </w:r>
      <w:r>
        <w:rPr>
          <w:rFonts w:ascii="Times New Roman" w:hAnsi="Times New Roman"/>
          <w:sz w:val="20"/>
          <w:u w:val="single"/>
        </w:rPr>
        <w:t>Section 2.9(h)(iii)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Dissenting Shares</w:t>
      </w:r>
      <w:r>
        <w:rPr>
          <w:rFonts w:ascii="Times New Roman" w:hAnsi="Times New Roman"/>
          <w:sz w:val="20"/>
        </w:rPr>
        <w:t xml:space="preserve">” mean any shares of Company Capital Stock that are issued and outstanding immediately prior to the Effective Time and in respect of which appraisal or dissenter rights have been perfected in accordance with the Delaware Code or other applicable Legal Requirements in connection with the Merger. </w:t>
      </w:r>
    </w:p>
    <w:p>
      <w:pPr>
        <w:pStyle w:val="TextBody"/>
        <w:bidi w:val="0"/>
        <w:spacing w:before="240" w:after="0"/>
        <w:jc w:val="left"/>
        <w:rPr/>
      </w:pPr>
      <w:r>
        <w:rPr/>
        <w:t>“</w:t>
      </w:r>
      <w:r>
        <w:rPr>
          <w:rFonts w:ascii="Times New Roman" w:hAnsi="Times New Roman"/>
          <w:b/>
          <w:i/>
          <w:sz w:val="20"/>
        </w:rPr>
        <w:t>Effective Time</w:t>
      </w:r>
      <w:r>
        <w:rPr>
          <w:rFonts w:ascii="Times New Roman" w:hAnsi="Times New Roman"/>
          <w:sz w:val="20"/>
        </w:rPr>
        <w:t xml:space="preserve">” has the meaning given to it in </w:t>
      </w:r>
      <w:r>
        <w:rPr>
          <w:rFonts w:ascii="Times New Roman" w:hAnsi="Times New Roman"/>
          <w:sz w:val="20"/>
          <w:u w:val="single"/>
        </w:rPr>
        <w:t>Section 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Encumbrance</w:t>
      </w:r>
      <w:r>
        <w:rPr>
          <w:rFonts w:ascii="Times New Roman" w:hAnsi="Times New Roman"/>
          <w:sz w:val="20"/>
        </w:rPr>
        <w:t xml:space="preserve">” means, with respect to any asset, any mortgage, deed of trust, lien, pledge, or charge, except for restrictions on transfer generally arising under any applicable federal or state or foreign securities laws. </w:t>
      </w:r>
    </w:p>
    <w:p>
      <w:pPr>
        <w:pStyle w:val="TextBody"/>
        <w:bidi w:val="0"/>
        <w:spacing w:before="240" w:after="0"/>
        <w:jc w:val="left"/>
        <w:rPr/>
      </w:pPr>
      <w:r>
        <w:rPr/>
        <w:t>“</w:t>
      </w:r>
      <w:r>
        <w:rPr>
          <w:rFonts w:ascii="Times New Roman" w:hAnsi="Times New Roman"/>
          <w:b/>
          <w:i/>
          <w:sz w:val="20"/>
        </w:rPr>
        <w:t>Environmental Claim</w:t>
      </w:r>
      <w:r>
        <w:rPr>
          <w:rFonts w:ascii="Times New Roman" w:hAnsi="Times New Roman"/>
          <w:sz w:val="20"/>
        </w:rPr>
        <w:t xml:space="preserve">” means any claim, action, cause of action, investigation or notice (written or oral) by any Person alleging potential liability (including potential liability for investigatory costs, governmental response costs, natural resources damages, property damages, personal injuries, or penalties) arising out of, based on or resulting from (a) the presence, Release or threatened Release of any Hazardous Materials, or (b) circumstances forming the basis of any violation, or alleged violation, of any Environmental Law. </w:t>
      </w:r>
    </w:p>
    <w:p>
      <w:pPr>
        <w:pStyle w:val="TextBody"/>
        <w:bidi w:val="0"/>
        <w:spacing w:before="240" w:after="0"/>
        <w:jc w:val="left"/>
        <w:rPr/>
      </w:pPr>
      <w:r>
        <w:rPr/>
        <w:t>“</w:t>
      </w:r>
      <w:r>
        <w:rPr>
          <w:rFonts w:ascii="Times New Roman" w:hAnsi="Times New Roman"/>
          <w:b/>
          <w:i/>
          <w:sz w:val="20"/>
        </w:rPr>
        <w:t>Environmental Laws</w:t>
      </w:r>
      <w:r>
        <w:rPr>
          <w:rFonts w:ascii="Times New Roman" w:hAnsi="Times New Roman"/>
          <w:sz w:val="20"/>
        </w:rPr>
        <w:t xml:space="preserve">” mean any federal, state, local and common Legal Requirements, ordinances, codes, regulations, rules and orders relating to pollution or protection of human health or the environment, including without limitation, laws relating to the exposure to, or Releases or threatened Releases of, Hazardous Materials or otherwise relating to the manufacture, processing, distribution, use, treatment, storage, Release, transport or handling of Hazardous Materials and all laws and regulations with regard to recordkeeping, notification, disclosure and reporting requirements respecting Hazardous Materials. </w:t>
      </w:r>
    </w:p>
    <w:p>
      <w:pPr>
        <w:pStyle w:val="TextBody"/>
        <w:bidi w:val="0"/>
        <w:spacing w:before="240" w:after="0"/>
        <w:jc w:val="left"/>
        <w:rPr/>
      </w:pPr>
      <w:r>
        <w:rPr/>
        <w:t>“</w:t>
      </w:r>
      <w:r>
        <w:rPr>
          <w:rFonts w:ascii="Times New Roman" w:hAnsi="Times New Roman"/>
          <w:b/>
          <w:i/>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i/>
          <w:sz w:val="20"/>
        </w:rPr>
        <w:t>ERISA Affiliate</w:t>
      </w:r>
      <w:r>
        <w:rPr>
          <w:rFonts w:ascii="Times New Roman" w:hAnsi="Times New Roman"/>
          <w:sz w:val="20"/>
        </w:rPr>
        <w:t xml:space="preserve">” is any entity that is considered a single employer with the Company under Sections 414 (b), (c), (m), or (o) of the Code. </w:t>
      </w:r>
    </w:p>
    <w:p>
      <w:pPr>
        <w:pStyle w:val="TextBody"/>
        <w:bidi w:val="0"/>
        <w:spacing w:before="240" w:after="0"/>
        <w:jc w:val="left"/>
        <w:rPr/>
      </w:pPr>
      <w:r>
        <w:rPr/>
        <w:t>“</w:t>
      </w:r>
      <w:r>
        <w:rPr>
          <w:rFonts w:ascii="Times New Roman" w:hAnsi="Times New Roman"/>
          <w:b/>
          <w:i/>
          <w:sz w:val="20"/>
        </w:rPr>
        <w:t>Escrow Account</w:t>
      </w:r>
      <w:r>
        <w:rPr>
          <w:rFonts w:ascii="Times New Roman" w:hAnsi="Times New Roman"/>
          <w:sz w:val="20"/>
        </w:rPr>
        <w:t xml:space="preserve">” means the escrow account established pursuant to the Escrow Agreement. </w:t>
      </w:r>
    </w:p>
    <w:p>
      <w:pPr>
        <w:pStyle w:val="TextBody"/>
        <w:bidi w:val="0"/>
        <w:spacing w:before="240" w:after="0"/>
        <w:jc w:val="left"/>
        <w:rPr/>
      </w:pPr>
      <w:r>
        <w:rPr/>
        <w:t>“</w:t>
      </w:r>
      <w:r>
        <w:rPr>
          <w:rFonts w:ascii="Times New Roman" w:hAnsi="Times New Roman"/>
          <w:b/>
          <w:i/>
          <w:sz w:val="20"/>
        </w:rPr>
        <w:t>Escrow Agent</w:t>
      </w:r>
      <w:r>
        <w:rPr>
          <w:rFonts w:ascii="Times New Roman" w:hAnsi="Times New Roman"/>
          <w:sz w:val="20"/>
        </w:rPr>
        <w:t xml:space="preserve">” means PNC Bank, National Association </w:t>
      </w:r>
    </w:p>
    <w:p>
      <w:pPr>
        <w:pStyle w:val="TextBody"/>
        <w:bidi w:val="0"/>
        <w:spacing w:before="240" w:after="0"/>
        <w:jc w:val="left"/>
        <w:rPr/>
      </w:pPr>
      <w:r>
        <w:rPr/>
        <w:t>“</w:t>
      </w:r>
      <w:r>
        <w:rPr>
          <w:rFonts w:ascii="Times New Roman" w:hAnsi="Times New Roman"/>
          <w:b/>
          <w:i/>
          <w:sz w:val="20"/>
        </w:rPr>
        <w:t>Escrow Agreement</w:t>
      </w:r>
      <w:r>
        <w:rPr>
          <w:rFonts w:ascii="Times New Roman" w:hAnsi="Times New Roman"/>
          <w:sz w:val="20"/>
        </w:rPr>
        <w:t xml:space="preserve">” has the meaning set forth in </w:t>
      </w:r>
      <w:r>
        <w:rPr>
          <w:rFonts w:ascii="Times New Roman" w:hAnsi="Times New Roman"/>
          <w:sz w:val="20"/>
          <w:u w:val="single"/>
        </w:rPr>
        <w:t>Section 1.4(a)(ii)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Escrow Amounts</w:t>
      </w:r>
      <w:r>
        <w:rPr>
          <w:rFonts w:ascii="Times New Roman" w:hAnsi="Times New Roman"/>
          <w:sz w:val="20"/>
        </w:rPr>
        <w:t xml:space="preserve">” means the Adjustment Escrow Amount and the Retention Escrow Amount, as applicable. </w:t>
      </w:r>
    </w:p>
    <w:p>
      <w:pPr>
        <w:pStyle w:val="TextBody"/>
        <w:bidi w:val="0"/>
        <w:spacing w:before="240" w:after="0"/>
        <w:jc w:val="left"/>
        <w:rPr/>
      </w:pPr>
      <w:r>
        <w:rPr/>
        <w:t>“</w:t>
      </w:r>
      <w:r>
        <w:rPr>
          <w:rFonts w:ascii="Times New Roman" w:hAnsi="Times New Roman"/>
          <w:b/>
          <w:i/>
          <w:sz w:val="20"/>
        </w:rPr>
        <w:t>Escrow Participants</w:t>
      </w:r>
      <w:r>
        <w:rPr>
          <w:rFonts w:ascii="Times New Roman" w:hAnsi="Times New Roman"/>
          <w:sz w:val="20"/>
        </w:rPr>
        <w:t xml:space="preserve">” means each of the Company Securityholders. </w:t>
      </w:r>
    </w:p>
    <w:p>
      <w:pPr>
        <w:pStyle w:val="TextBody"/>
        <w:bidi w:val="0"/>
        <w:spacing w:before="240" w:after="0"/>
        <w:jc w:val="left"/>
        <w:rPr/>
      </w:pPr>
      <w:r>
        <w:rPr/>
        <w:t>“</w:t>
      </w:r>
      <w:r>
        <w:rPr>
          <w:rFonts w:ascii="Times New Roman" w:hAnsi="Times New Roman"/>
          <w:b/>
          <w:i/>
          <w:sz w:val="20"/>
        </w:rPr>
        <w:t>Estimated Balance Sheet</w:t>
      </w:r>
      <w:r>
        <w:rPr>
          <w:rFonts w:ascii="Times New Roman" w:hAnsi="Times New Roman"/>
          <w:sz w:val="20"/>
        </w:rPr>
        <w:t xml:space="preserve">” has the meaning given to it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Estimated Cash</w:t>
      </w:r>
      <w:r>
        <w:rPr>
          <w:rFonts w:ascii="Times New Roman" w:hAnsi="Times New Roman"/>
          <w:sz w:val="20"/>
        </w:rPr>
        <w:t xml:space="preserve">” has the meaning given to it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Estimated Net Working Capital</w:t>
      </w:r>
      <w:r>
        <w:rPr>
          <w:rFonts w:ascii="Times New Roman" w:hAnsi="Times New Roman"/>
          <w:sz w:val="20"/>
        </w:rPr>
        <w:t xml:space="preserve">” has the meaning given to it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Exclusively Licensed Company IP</w:t>
      </w:r>
      <w:r>
        <w:rPr>
          <w:rFonts w:ascii="Times New Roman" w:hAnsi="Times New Roman"/>
          <w:sz w:val="20"/>
        </w:rPr>
        <w:t xml:space="preserve">” means all Company Intellectual Property that is exclusively licensed or sublicensed to the Company. </w:t>
      </w:r>
    </w:p>
    <w:p>
      <w:pPr>
        <w:pStyle w:val="TextBody"/>
        <w:bidi w:val="0"/>
        <w:spacing w:before="240" w:after="0"/>
        <w:jc w:val="left"/>
        <w:rPr/>
      </w:pPr>
      <w:r>
        <w:rPr/>
        <w:t>“</w:t>
      </w:r>
      <w:r>
        <w:rPr>
          <w:rFonts w:ascii="Times New Roman" w:hAnsi="Times New Roman"/>
          <w:b/>
          <w:i/>
          <w:sz w:val="20"/>
        </w:rPr>
        <w:t>Expedited Setoff Proceeding</w:t>
      </w:r>
      <w:r>
        <w:rPr>
          <w:rFonts w:ascii="Times New Roman" w:hAnsi="Times New Roman"/>
          <w:sz w:val="20"/>
        </w:rPr>
        <w:t xml:space="preserve">” has the meaning given to it in </w:t>
      </w:r>
      <w:r>
        <w:rPr>
          <w:rFonts w:ascii="Times New Roman" w:hAnsi="Times New Roman"/>
          <w:sz w:val="20"/>
          <w:u w:val="single"/>
        </w:rPr>
        <w:t>Section 9.2(h)(iii)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Facilities</w:t>
      </w:r>
      <w:r>
        <w:rPr>
          <w:rFonts w:ascii="Times New Roman" w:hAnsi="Times New Roman"/>
          <w:sz w:val="20"/>
        </w:rPr>
        <w:t xml:space="preserve">” mean all buildings and improvements on the Property. </w:t>
      </w:r>
    </w:p>
    <w:p>
      <w:pPr>
        <w:pStyle w:val="TextBody"/>
        <w:bidi w:val="0"/>
        <w:spacing w:before="240" w:after="0"/>
        <w:jc w:val="left"/>
        <w:rPr/>
      </w:pPr>
      <w:r>
        <w:rPr/>
        <w:t>“</w:t>
      </w:r>
      <w:r>
        <w:rPr>
          <w:rFonts w:ascii="Times New Roman" w:hAnsi="Times New Roman"/>
          <w:b/>
          <w:i/>
          <w:sz w:val="20"/>
        </w:rPr>
        <w:t>FDA</w:t>
      </w:r>
      <w:r>
        <w:rPr>
          <w:rFonts w:ascii="Times New Roman" w:hAnsi="Times New Roman"/>
          <w:sz w:val="20"/>
        </w:rPr>
        <w:t xml:space="preserve">” means the U.S. Food and Drug Administration, or any successor agency. </w:t>
      </w:r>
    </w:p>
    <w:p>
      <w:pPr>
        <w:pStyle w:val="TextBody"/>
        <w:bidi w:val="0"/>
        <w:spacing w:before="240" w:after="0"/>
        <w:jc w:val="left"/>
        <w:rPr/>
      </w:pPr>
      <w:r>
        <w:rPr/>
        <w:t>“</w:t>
      </w:r>
      <w:r>
        <w:rPr>
          <w:rFonts w:ascii="Times New Roman" w:hAnsi="Times New Roman"/>
          <w:b/>
          <w:i/>
          <w:sz w:val="20"/>
        </w:rPr>
        <w:t>FDA Regulatory Laws</w:t>
      </w:r>
      <w:r>
        <w:rPr>
          <w:rFonts w:ascii="Times New Roman" w:hAnsi="Times New Roman"/>
          <w:sz w:val="20"/>
        </w:rPr>
        <w:t xml:space="preserve">” means applicable provisions of the (i) United States Federal Food, Drug, and Cosmetic Act, as amended (21 U.S.C. § 301 et seq.); (ii) any regulations, rules, and policies promulgated pursuant to such laws, including, without limitation, Good Clinical Practice (21 C.F.R. Parts 50, 54, 56, 58), ICH Guidelines E6, Good Laboratory Practice (21 C.F.R. Part 58), Good Manufacturing Practice (21 C.F.R. Part 211 and 820), Investigational New Drug Application (21 C.F.R. Part 312), Investigational Device Exemptions (21 C.F.R. Part 812) and electronic signature and records requirements (21 C.F.R. Part 11); and (iii) all similar U.S. state and foreign laws, regulations, and guidance, applicable to the research, development, manufacturing, testing, storage, import, export, distribution, promotion, sale, labeling, advertising, or use of products regulated by the FDA or similar Governmental Entities. </w:t>
      </w:r>
    </w:p>
    <w:p>
      <w:pPr>
        <w:pStyle w:val="TextBody"/>
        <w:bidi w:val="0"/>
        <w:spacing w:before="240" w:after="0"/>
        <w:jc w:val="left"/>
        <w:rPr/>
      </w:pPr>
      <w:r>
        <w:rPr/>
        <w:t>“</w:t>
      </w:r>
      <w:r>
        <w:rPr>
          <w:rFonts w:ascii="Times New Roman" w:hAnsi="Times New Roman"/>
          <w:b/>
          <w:i/>
          <w:sz w:val="20"/>
        </w:rPr>
        <w:t>Final Adjustment Statement</w:t>
      </w:r>
      <w:r>
        <w:rPr>
          <w:rFonts w:ascii="Times New Roman" w:hAnsi="Times New Roman"/>
          <w:sz w:val="20"/>
        </w:rPr>
        <w:t xml:space="preserve">” has the meaning given to it in </w:t>
      </w:r>
      <w:r>
        <w:rPr>
          <w:rFonts w:ascii="Times New Roman" w:hAnsi="Times New Roman"/>
          <w:sz w:val="20"/>
          <w:u w:val="single"/>
        </w:rPr>
        <w:t>Section 2.5(c)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Final Balance Sheet</w:t>
      </w:r>
      <w:r>
        <w:rPr>
          <w:rFonts w:ascii="Times New Roman" w:hAnsi="Times New Roman"/>
          <w:sz w:val="20"/>
        </w:rPr>
        <w:t xml:space="preserve">” has the meaning given to it in </w:t>
      </w:r>
      <w:r>
        <w:rPr>
          <w:rFonts w:ascii="Times New Roman" w:hAnsi="Times New Roman"/>
          <w:sz w:val="20"/>
          <w:u w:val="single"/>
        </w:rPr>
        <w:t>Section 2.5(a)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Financial Statements</w:t>
      </w:r>
      <w:r>
        <w:rPr>
          <w:rFonts w:ascii="Times New Roman" w:hAnsi="Times New Roman"/>
          <w:sz w:val="20"/>
        </w:rPr>
        <w:t xml:space="preserve">” has the meaning given to it in </w:t>
      </w:r>
      <w:r>
        <w:rPr>
          <w:rFonts w:ascii="Times New Roman" w:hAnsi="Times New Roman"/>
          <w:sz w:val="20"/>
          <w:u w:val="single"/>
        </w:rPr>
        <w:t>Section 3.5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Firm</w:t>
      </w:r>
      <w:r>
        <w:rPr>
          <w:rFonts w:ascii="Times New Roman" w:hAnsi="Times New Roman"/>
          <w:sz w:val="20"/>
        </w:rPr>
        <w:t xml:space="preserve">” has the meaning given to it in </w:t>
      </w:r>
      <w:r>
        <w:rPr>
          <w:rFonts w:ascii="Times New Roman" w:hAnsi="Times New Roman"/>
          <w:sz w:val="20"/>
          <w:u w:val="single"/>
        </w:rPr>
        <w:t>Section 10.12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First Commercial Sale”</w:t>
      </w:r>
      <w:r>
        <w:rPr>
          <w:rFonts w:ascii="Times New Roman" w:hAnsi="Times New Roman"/>
          <w:sz w:val="20"/>
        </w:rPr>
        <w:t xml:space="preserve"> means, subject to clause (d) of the definition of Net Sales, (a) with respect to any Product sold in the United States, the first sale by any Selling Person to a third party (other than another Selling Person) of such Product for value in the United States after receipt of Regulatory Approval required for and permitting the commercial marketing and sale of such Product in the United States, and (b) with respect to any Product sold in a country other than the United States, the first sale by any Selling Person to a third party (other than another Selling Person) of such Product for value in such country after receipt of Regulatory Approval required for and permitting the commercial marketing and sale of such Product in such country. </w:t>
      </w:r>
    </w:p>
    <w:p>
      <w:pPr>
        <w:pStyle w:val="TextBody"/>
        <w:bidi w:val="0"/>
        <w:spacing w:before="240" w:after="0"/>
        <w:jc w:val="left"/>
        <w:rPr/>
      </w:pPr>
      <w:r>
        <w:rPr/>
        <w:t>“</w:t>
      </w:r>
      <w:r>
        <w:rPr>
          <w:rFonts w:ascii="Times New Roman" w:hAnsi="Times New Roman"/>
          <w:b/>
          <w:i/>
          <w:sz w:val="20"/>
        </w:rPr>
        <w:t>Fraud</w:t>
      </w:r>
      <w:r>
        <w:rPr>
          <w:rFonts w:ascii="Times New Roman" w:hAnsi="Times New Roman"/>
          <w:sz w:val="20"/>
        </w:rPr>
        <w:t xml:space="preserve">” means, with respect to any party, common law fraud under the Law of the State of Delaware with respect to the making of representations and warranties contained in this Agreement. For the avoidance of doubt, “Fraud” does not include constructive fraud, or any torts based on negligence or recklessness. </w:t>
      </w:r>
    </w:p>
    <w:p>
      <w:pPr>
        <w:pStyle w:val="TextBody"/>
        <w:bidi w:val="0"/>
        <w:spacing w:before="240" w:after="0"/>
        <w:jc w:val="left"/>
        <w:rPr/>
      </w:pPr>
      <w:r>
        <w:rPr/>
        <w:t>“</w:t>
      </w:r>
      <w:r>
        <w:rPr>
          <w:rFonts w:ascii="Times New Roman" w:hAnsi="Times New Roman"/>
          <w:b/>
          <w:i/>
          <w:sz w:val="20"/>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b/>
          <w:i/>
          <w:sz w:val="20"/>
        </w:rPr>
        <w:t>Governmental Entity</w:t>
      </w:r>
      <w:r>
        <w:rPr>
          <w:rFonts w:ascii="Times New Roman" w:hAnsi="Times New Roman"/>
          <w:sz w:val="20"/>
        </w:rPr>
        <w:t xml:space="preserve">” means any national, supra-national, federal, state, municipal, local or foreign government, or any court, tribunal, arbitrator, administrative agency, commission or other governmental or quasi-Governmental Entity or instrumentality, in each case whether domestic or foreign, any stock exchange or similar self-regulatory organization or any quasi-governmental body exercising any regulatory or other governmental or quasi-Governmental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Governmental Measure</w:t>
      </w:r>
      <w:r>
        <w:rPr>
          <w:rFonts w:ascii="Times New Roman" w:hAnsi="Times New Roman"/>
          <w:sz w:val="20"/>
        </w:rPr>
        <w:t xml:space="preserve">” means any Legal Requirement, Order, guideline or recommendation issued, approved or adopted by any Governmental Entity (including the Centers for Disease Control and Prevention and the World Health Organization) or industry group providing for business closures, “sheltering-in-place”, workforce reduction, social distancing, masking, testing, shut down, closure, sequester or other restrictions that relate to any pandemic, epidemic or disease outbreak (including COVID-19 and any future resurgence or evolutions or mutations thereof) or any escalation or worsening thereof. </w:t>
      </w:r>
    </w:p>
    <w:p>
      <w:pPr>
        <w:pStyle w:val="TextBody"/>
        <w:bidi w:val="0"/>
        <w:spacing w:before="240" w:after="0"/>
        <w:jc w:val="left"/>
        <w:rPr/>
      </w:pPr>
      <w:r>
        <w:rPr/>
        <w:t>“</w:t>
      </w:r>
      <w:r>
        <w:rPr>
          <w:rFonts w:ascii="Times New Roman" w:hAnsi="Times New Roman"/>
          <w:b/>
          <w:i/>
          <w:sz w:val="20"/>
        </w:rPr>
        <w:t>Hazardous Materials</w:t>
      </w:r>
      <w:r>
        <w:rPr>
          <w:rFonts w:ascii="Times New Roman" w:hAnsi="Times New Roman"/>
          <w:sz w:val="20"/>
        </w:rPr>
        <w:t xml:space="preserve">” mean any toxic or hazardous substance, material or waste or any pollutant or contaminant, or infectious or radioactive substance, material or waste defined in or regulated under any Environmental Laws. </w:t>
      </w:r>
    </w:p>
    <w:p>
      <w:pPr>
        <w:pStyle w:val="TextBody"/>
        <w:bidi w:val="0"/>
        <w:spacing w:before="240" w:after="0"/>
        <w:jc w:val="left"/>
        <w:rPr/>
      </w:pPr>
      <w:r>
        <w:rPr/>
        <w:t>“</w:t>
      </w:r>
      <w:r>
        <w:rPr>
          <w:rFonts w:ascii="Times New Roman" w:hAnsi="Times New Roman"/>
          <w:b/>
          <w:i/>
          <w:sz w:val="20"/>
        </w:rPr>
        <w:t>Healthcare Laws</w:t>
      </w:r>
      <w:r>
        <w:rPr>
          <w:rFonts w:ascii="Times New Roman" w:hAnsi="Times New Roman"/>
          <w:sz w:val="20"/>
        </w:rPr>
        <w:t xml:space="preserve">” means all applicable Legal Requirements relating to the research, development, testing, manufacture, import, export, storage, labeling, promotion, marketing, distribution, sale, reimbursement, pricing, or regulatory status of Company Products, including FDA Regulatory Laws and other comparable state, federal, and foreign Legal Requirements. </w:t>
      </w:r>
    </w:p>
    <w:p>
      <w:pPr>
        <w:pStyle w:val="TextBody"/>
        <w:bidi w:val="0"/>
        <w:spacing w:before="240" w:after="0"/>
        <w:jc w:val="left"/>
        <w:rPr/>
      </w:pPr>
      <w:r>
        <w:rPr/>
        <w:t>“</w:t>
      </w:r>
      <w:r>
        <w:rPr>
          <w:rFonts w:ascii="Times New Roman" w:hAnsi="Times New Roman"/>
          <w:b/>
          <w:i/>
          <w:sz w:val="20"/>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pPr>
      <w:r>
        <w:rPr/>
        <w:t>“</w:t>
      </w:r>
      <w:r>
        <w:rPr>
          <w:rFonts w:ascii="Times New Roman" w:hAnsi="Times New Roman"/>
          <w:b/>
          <w:i/>
          <w:sz w:val="20"/>
        </w:rPr>
        <w:t>In-the-Money Option</w:t>
      </w:r>
      <w:r>
        <w:rPr>
          <w:rFonts w:ascii="Times New Roman" w:hAnsi="Times New Roman"/>
          <w:sz w:val="20"/>
        </w:rPr>
        <w:t xml:space="preserve">” means each Company Option that has an exercise price per share of Company Common Stock subject to such Company Option that is less than the maximum potential amount of Company Option-Based Merger Consideration. </w:t>
      </w:r>
    </w:p>
    <w:p>
      <w:pPr>
        <w:pStyle w:val="TextBody"/>
        <w:bidi w:val="0"/>
        <w:spacing w:before="240" w:after="0"/>
        <w:jc w:val="left"/>
        <w:rPr/>
      </w:pPr>
      <w:r>
        <w:rPr/>
        <w:t>“</w:t>
      </w:r>
      <w:r>
        <w:rPr>
          <w:rFonts w:ascii="Times New Roman" w:hAnsi="Times New Roman"/>
          <w:b/>
          <w:i/>
          <w:sz w:val="20"/>
        </w:rPr>
        <w:t>Inbound IP License</w:t>
      </w:r>
      <w:r>
        <w:rPr>
          <w:rFonts w:ascii="Times New Roman" w:hAnsi="Times New Roman"/>
          <w:sz w:val="20"/>
        </w:rPr>
        <w:t xml:space="preserve">” means any Contract pursuant to which the Company or any of its Subsidiaries is granted any license, sublicense, option, covenant not to sue, immunity, or other right under any Intellectual Property of any Person, including any Contract covering any Exclusively Licensed Company IP (other than (A) confidentiality and non-disclosure agreements; (B) licenses to open source or commercially available, off-the-shelf software; (C) non-exclusive licenses granted by or to customers, suppliers, or vendors of the Company or any of its Subsidiaries in the ordinary course of business; and (D) invention assignment agreements entered into with officers, employees, consultants, independent contractors or service providers of the Company or any of its Subsidiaries). </w:t>
      </w:r>
    </w:p>
    <w:p>
      <w:pPr>
        <w:pStyle w:val="TextBody"/>
        <w:bidi w:val="0"/>
        <w:spacing w:before="240" w:after="0"/>
        <w:jc w:val="left"/>
        <w:rPr/>
      </w:pPr>
      <w:r>
        <w:rPr/>
        <w:t>“</w:t>
      </w:r>
      <w:r>
        <w:rPr>
          <w:rFonts w:ascii="Times New Roman" w:hAnsi="Times New Roman"/>
          <w:b/>
          <w:i/>
          <w:sz w:val="20"/>
        </w:rPr>
        <w:t>Indebtedness</w:t>
      </w:r>
      <w:r>
        <w:rPr>
          <w:rFonts w:ascii="Times New Roman" w:hAnsi="Times New Roman"/>
          <w:sz w:val="20"/>
        </w:rPr>
        <w:t xml:space="preserve">” means (i) all indebtedness of the Company for borrowed money (other than trade debt incurred in the ordinary course of business consistent with past practices), (ii) all long term debt obligations of the Company evidenced by notes, bonds, debentures or similar instruments, including any convertible notes. Indebtedness of the Company shall include the Indebtedness of any other entity (including any partnership in which the Company is a general partner) to the extent the Company is liable therefor as a result of its ownership interest in such entity, except to the extent the terms of such Indebtedness provide that it is not liable therefor, but shall exclude any liability for Taxes and any Assumed Expenses, and (iii) all accrued and unpaid Taxes attributable or allocatable to any Pre-Closing Tax Period. </w:t>
      </w:r>
    </w:p>
    <w:p>
      <w:pPr>
        <w:pStyle w:val="TextBody"/>
        <w:bidi w:val="0"/>
        <w:spacing w:before="240" w:after="0"/>
        <w:jc w:val="left"/>
        <w:rPr/>
      </w:pPr>
      <w:r>
        <w:rPr/>
        <w:t>“</w:t>
      </w:r>
      <w:r>
        <w:rPr>
          <w:rFonts w:ascii="Times New Roman" w:hAnsi="Times New Roman"/>
          <w:b/>
          <w:i/>
          <w:sz w:val="20"/>
        </w:rPr>
        <w:t>Indemnified Taxes</w:t>
      </w:r>
      <w:r>
        <w:rPr>
          <w:rFonts w:ascii="Times New Roman" w:hAnsi="Times New Roman"/>
          <w:sz w:val="20"/>
        </w:rPr>
        <w:t xml:space="preserve">” means, without duplication, (i) any Tax of the Company attributable or allocable to any Pre-Closing Tax Period; provided that amounts described in this definition shall be determined by treating any advance payments, deferred revenues or other prepaid amounts received or arising in any Pre-Closing Tax Period as subject to Tax in such period regardless of when actually recognized for income Tax purposes, (ii) any Tax of the Company arising as a result of the Company being (or ceasing to be), prior to the Closing, a member of an affiliated, combined, consolidated or unified group pursuant to Treasury Regulations Section 1.1502-6 (or any similar provision of applicable Legal Requirements), as transferee or successor, or as a result of any express or implied obligation existing on or prior to the Closing Date to indemnify, compensate, or reimburse any Person, by Contract or otherwise, in each case of this clause (ii), which Taxes relate to an event or transaction occurring before the Closing Date, (iii) any Tax of another Person for which the Company is liable as a result of being a successor or transferee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Person, or as a result of any express or implied obligation existing on or prior to the Closing Date to indemnify, compensate or reimburse any such Person, in each case, by Contract or otherwise in each case of this clause (iii), which Taxes relate to an event or transaction occurring before the Closing Date, (iv) any Tax resulting from any change in accounting method made prior to the Closing Date for a Pre-Closing Tax Period or any use of an improper accounting method prior to the Closing for a Pre-Closing Tax Period, (v) any Tax of any Company Securityholder or any of its Affiliates for which the Company is liable, whether by reason of any requirement to withhold or otherwise, with respect to amounts paid on or before the Closing Date, (vi) any Transfer Taxes allocable to the Company Securityholders under </w:t>
      </w:r>
      <w:r>
        <w:rPr>
          <w:rFonts w:ascii="Times New Roman" w:hAnsi="Times New Roman"/>
          <w:sz w:val="20"/>
          <w:u w:val="single"/>
        </w:rPr>
        <w:t>Section 6.8(b)</w:t>
      </w:r>
      <w:r>
        <w:rPr>
          <w:rFonts w:ascii="Times New Roman" w:hAnsi="Times New Roman"/>
          <w:sz w:val="20"/>
        </w:rPr>
        <w:t xml:space="preserve">, (vii) the employer portion of any Transaction Payroll Taxes with respect to any payments arising as a result of the transactions contemplated by this Agreement, and (viii) any reasonable out-of-pocket costs and expenses (including attorneys’ and other advisors’ fees) actually incurred by Acquiror to the extent arising directly from (A) the defense of any Tax matters described in clauses (i) through (vii) of this definition, and (B) with respect to the preparation of the portion of any Acquiror Prepared Returns described in </w:t>
      </w:r>
      <w:r>
        <w:rPr>
          <w:rFonts w:ascii="Times New Roman" w:hAnsi="Times New Roman"/>
          <w:sz w:val="20"/>
          <w:u w:val="single"/>
        </w:rPr>
        <w:t>Section 6.8(a)</w:t>
      </w:r>
      <w:r>
        <w:rPr>
          <w:rFonts w:ascii="Times New Roman" w:hAnsi="Times New Roman"/>
          <w:sz w:val="20"/>
        </w:rPr>
        <w:t xml:space="preserve"> attributable to the Pre-Closing Tax Period. For the avoidance of doubt, Indemnified Taxes shall be determined without regard to disclosures made in the Company Disclosure Schedule. </w:t>
      </w:r>
    </w:p>
    <w:p>
      <w:pPr>
        <w:pStyle w:val="TextBody"/>
        <w:bidi w:val="0"/>
        <w:spacing w:before="240" w:after="0"/>
        <w:jc w:val="left"/>
        <w:rPr/>
      </w:pPr>
      <w:r>
        <w:rPr/>
        <w:t>“</w:t>
      </w:r>
      <w:r>
        <w:rPr>
          <w:rFonts w:ascii="Times New Roman" w:hAnsi="Times New Roman"/>
          <w:b/>
          <w:i/>
          <w:sz w:val="20"/>
        </w:rPr>
        <w:t>Independent Accounting Firm</w:t>
      </w:r>
      <w:r>
        <w:rPr>
          <w:rFonts w:ascii="Times New Roman" w:hAnsi="Times New Roman"/>
          <w:sz w:val="20"/>
        </w:rPr>
        <w:t xml:space="preserve">” means KPMG LLP or such other independent accounting firm of national reputation as may be mutually acceptable to the Securityholders’ Representative and Acquiror. </w:t>
      </w:r>
    </w:p>
    <w:p>
      <w:pPr>
        <w:pStyle w:val="TextBody"/>
        <w:bidi w:val="0"/>
        <w:spacing w:before="240" w:after="0"/>
        <w:jc w:val="left"/>
        <w:rPr/>
      </w:pPr>
      <w:r>
        <w:rPr/>
        <w:t>“</w:t>
      </w:r>
      <w:r>
        <w:rPr>
          <w:rFonts w:ascii="Times New Roman" w:hAnsi="Times New Roman"/>
          <w:b/>
          <w:i/>
          <w:sz w:val="20"/>
        </w:rPr>
        <w:t>Intellectual Property</w:t>
      </w:r>
      <w:r>
        <w:rPr>
          <w:rFonts w:ascii="Times New Roman" w:hAnsi="Times New Roman"/>
          <w:sz w:val="20"/>
        </w:rPr>
        <w:t xml:space="preserve">” means any and all intellectual property and intellectual property rights, including all of the following and all rights of the following types, in any jurisdiction throughout the world: (i) trademarks and service marks, trade dress, service names, trade names, domain names, brand names, logo or business symbols, whether registered or unregistered, including all applications and registrations, all extensions and renewals thereof and common law trademarks and service marks, and the goodwill connected with the use of and symbolized by the foregoing; (ii) copyrights, including all applications and registrations related to the foregoing, and all works of authorship (published and unpublished); (iii) trade secrets and confidential know-how, inventions (whether patentable or unpatentable and whether or not reduced to practice), improvements, ideas, methods, processes, practices, apparatus, diagrams, protocols, schematics, specifications, techniques, algorithms, data platforms, databases and data collections, formulas and techniques; (iv) all Patent Rights, (v) computer programs, software and systems; (vi) internet domain names, domain name registrations, websites and website content; (vii) publicity and privacy rights, and all documentation and media (in whatever form) constituting, describing or relating to the foregoing; (viii) accounts with LinkedIn, Twitter, Facebook, YouTube, Instagram, and other social media companies and the content found thereon and related thereto; (ix) all other forms of technology (whether or not embodied in any tangible form) and including all tangible embodiments of the foregoing; and (x) other intellectual property and related proprietary rights, interests and protections. </w:t>
      </w:r>
    </w:p>
    <w:p>
      <w:pPr>
        <w:pStyle w:val="TextBody"/>
        <w:bidi w:val="0"/>
        <w:spacing w:before="240" w:after="0"/>
        <w:jc w:val="left"/>
        <w:rPr/>
      </w:pPr>
      <w:r>
        <w:rPr/>
        <w:t>“</w:t>
      </w:r>
      <w:r>
        <w:rPr>
          <w:rFonts w:ascii="Times New Roman" w:hAnsi="Times New Roman"/>
          <w:b/>
          <w:i/>
          <w:sz w:val="20"/>
        </w:rPr>
        <w:t>Investigational Device Exemption</w:t>
      </w:r>
      <w:r>
        <w:rPr>
          <w:rFonts w:ascii="Times New Roman" w:hAnsi="Times New Roman"/>
          <w:sz w:val="20"/>
        </w:rPr>
        <w:t xml:space="preserve">” or “IDE” means an application submitted to the United States Food and Drug Administration under the Federal Food, Drug, and Cosmetic Act, which is the formal regulatory submission by which a device sponsor requests approval to commence clinical investigation of the safety and/or effectiveness of a device in the United States. </w:t>
      </w:r>
    </w:p>
    <w:p>
      <w:pPr>
        <w:pStyle w:val="TextBody"/>
        <w:bidi w:val="0"/>
        <w:spacing w:before="240" w:after="0"/>
        <w:jc w:val="left"/>
        <w:rPr/>
      </w:pPr>
      <w:r>
        <w:rPr/>
        <w:t>“</w:t>
      </w:r>
      <w:r>
        <w:rPr>
          <w:rFonts w:ascii="Times New Roman" w:hAnsi="Times New Roman"/>
          <w:b/>
          <w:i/>
          <w:sz w:val="20"/>
        </w:rPr>
        <w:t>Investigational New Drug Application</w:t>
      </w:r>
      <w:r>
        <w:rPr>
          <w:rFonts w:ascii="Times New Roman" w:hAnsi="Times New Roman"/>
          <w:sz w:val="20"/>
        </w:rPr>
        <w:t xml:space="preserve">” or “IND” means an application submitted to the United States Food and Drug Administration pursuant to section 520(g) of the U.S. Federal Food, Drug, and Cosmetic Act, which is the formal regulatory submission by which a device sponsor requests approval to commence clinical investigation of the safety and/or effectiveness of a device in the United States and which includes the data and information required by the FDA to determine that the proposed investigation’s anticipated benefits outweigh the risk to study subjects.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Investor Suitability Documentation</w:t>
      </w:r>
      <w:r>
        <w:rPr>
          <w:rFonts w:ascii="Times New Roman" w:hAnsi="Times New Roman"/>
          <w:sz w:val="20"/>
        </w:rPr>
        <w:t xml:space="preserve">” means an investor questionnaire or accredited investor certification in the form attached hereto as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J-Code</w:t>
      </w:r>
      <w:r>
        <w:rPr>
          <w:rFonts w:ascii="Times New Roman" w:hAnsi="Times New Roman"/>
          <w:sz w:val="20"/>
        </w:rPr>
        <w:t xml:space="preserve">” has the meaning given to it in </w:t>
      </w:r>
      <w:r>
        <w:rPr>
          <w:rFonts w:ascii="Times New Roman" w:hAnsi="Times New Roman"/>
          <w:sz w:val="20"/>
          <w:u w:val="single"/>
        </w:rPr>
        <w:t>Schedule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knowledge of the Company</w:t>
      </w:r>
      <w:r>
        <w:rPr>
          <w:rFonts w:ascii="Times New Roman" w:hAnsi="Times New Roman"/>
          <w:sz w:val="20"/>
        </w:rPr>
        <w:t xml:space="preserve">”, (or similar words), means the actual knowledge of the following individuals: Stephen Smith and Thomas Chalberg, and knowledge of such facts or matters such Persons have after conducting a reasonable inquiry of his or her direct reports with operational responsibility for the fact or matter in question (including with respect to individual service providers). </w:t>
      </w:r>
    </w:p>
    <w:p>
      <w:pPr>
        <w:pStyle w:val="TextBody"/>
        <w:bidi w:val="0"/>
        <w:spacing w:before="240" w:after="0"/>
        <w:jc w:val="left"/>
        <w:rPr/>
      </w:pPr>
      <w:r>
        <w:rPr/>
        <w:t>“</w:t>
      </w:r>
      <w:r>
        <w:rPr>
          <w:rFonts w:ascii="Times New Roman" w:hAnsi="Times New Roman"/>
          <w:b/>
          <w:i/>
          <w:sz w:val="20"/>
        </w:rPr>
        <w:t>knowledge of the Acquiror</w:t>
      </w:r>
      <w:r>
        <w:rPr>
          <w:rFonts w:ascii="Times New Roman" w:hAnsi="Times New Roman"/>
          <w:sz w:val="20"/>
        </w:rPr>
        <w:t xml:space="preserve">”, (or similar words), means the actual knowledge of the following individuals: Bryan Wahl, Scott Sieckert, and Jeff Farrow, and knowledge of such facts or matters such Persons have after conducting a reasonable inquiry of his or her direct reports with operational responsibility for the fact or matter in question (including with respect to individual service providers). </w:t>
      </w:r>
    </w:p>
    <w:p>
      <w:pPr>
        <w:pStyle w:val="TextBody"/>
        <w:bidi w:val="0"/>
        <w:spacing w:before="240" w:after="0"/>
        <w:jc w:val="left"/>
        <w:rPr/>
      </w:pPr>
      <w:r>
        <w:rPr/>
        <w:t>“</w:t>
      </w:r>
      <w:r>
        <w:rPr>
          <w:rFonts w:ascii="Times New Roman" w:hAnsi="Times New Roman"/>
          <w:b/>
          <w:i/>
          <w:sz w:val="20"/>
        </w:rPr>
        <w:t>Lease</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Leased Real Property</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Legal Requirements</w:t>
      </w:r>
      <w:r>
        <w:rPr>
          <w:rFonts w:ascii="Times New Roman" w:hAnsi="Times New Roman"/>
          <w:sz w:val="20"/>
        </w:rPr>
        <w:t xml:space="preserve">” means all United States, or foreign federal, state, national, supra-national, provincial, or local laws, constitutions, statutes, codes, rules, common law, regulations, ordinances, executive orders, decrees or edicts by a Governmental Entity having the force of law. </w:t>
      </w:r>
    </w:p>
    <w:p>
      <w:pPr>
        <w:pStyle w:val="TextBody"/>
        <w:bidi w:val="0"/>
        <w:spacing w:before="240" w:after="0"/>
        <w:jc w:val="left"/>
        <w:rPr/>
      </w:pPr>
      <w:r>
        <w:rPr/>
        <w:t>“</w:t>
      </w:r>
      <w:r>
        <w:rPr>
          <w:rFonts w:ascii="Times New Roman" w:hAnsi="Times New Roman"/>
          <w:b/>
          <w:i/>
          <w:sz w:val="20"/>
        </w:rPr>
        <w:t>Letter of Transmittal</w:t>
      </w:r>
      <w:r>
        <w:rPr>
          <w:rFonts w:ascii="Times New Roman" w:hAnsi="Times New Roman"/>
          <w:sz w:val="20"/>
        </w:rPr>
        <w:t xml:space="preserve">” has the meaning given to it in </w:t>
      </w:r>
      <w:r>
        <w:rPr>
          <w:rFonts w:ascii="Times New Roman" w:hAnsi="Times New Roman"/>
          <w:sz w:val="20"/>
          <w:u w:val="single"/>
        </w:rPr>
        <w:t>Section 2.2(a)(i)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Licensed Company IP</w:t>
      </w:r>
      <w:r>
        <w:rPr>
          <w:rFonts w:ascii="Times New Roman" w:hAnsi="Times New Roman"/>
          <w:sz w:val="20"/>
        </w:rPr>
        <w:t xml:space="preserve">” means all Company Intellectual Property licensed or sublicensed to the Company. </w:t>
      </w:r>
    </w:p>
    <w:p>
      <w:pPr>
        <w:pStyle w:val="TextBody"/>
        <w:bidi w:val="0"/>
        <w:spacing w:before="240" w:after="0"/>
        <w:jc w:val="left"/>
        <w:rPr/>
      </w:pPr>
      <w:r>
        <w:rPr/>
        <w:t>“</w:t>
      </w:r>
      <w:r>
        <w:rPr>
          <w:rFonts w:ascii="Times New Roman" w:hAnsi="Times New Roman"/>
          <w:b/>
          <w:i/>
          <w:sz w:val="20"/>
        </w:rPr>
        <w:t>Lock-up Agreements</w:t>
      </w:r>
      <w:r>
        <w:rPr>
          <w:rFonts w:ascii="Times New Roman" w:hAnsi="Times New Roman"/>
          <w:sz w:val="20"/>
        </w:rPr>
        <w:t xml:space="preserve">” means a lock-up agreement entered into by the Company Stockholders who receive Closing Stock Consideration. </w:t>
      </w:r>
    </w:p>
    <w:p>
      <w:pPr>
        <w:pStyle w:val="TextBody"/>
        <w:bidi w:val="0"/>
        <w:spacing w:before="240" w:after="0"/>
        <w:jc w:val="left"/>
        <w:rPr/>
      </w:pPr>
      <w:r>
        <w:rPr/>
        <w:t>“</w:t>
      </w:r>
      <w:r>
        <w:rPr>
          <w:rFonts w:ascii="Times New Roman" w:hAnsi="Times New Roman"/>
          <w:b/>
          <w:i/>
          <w:sz w:val="20"/>
        </w:rPr>
        <w:t>Material Adverse Effect</w:t>
      </w:r>
      <w:r>
        <w:rPr>
          <w:rFonts w:ascii="Times New Roman" w:hAnsi="Times New Roman"/>
          <w:sz w:val="20"/>
        </w:rPr>
        <w:t xml:space="preserve">” means any change, event, development or effect with respect to the Company that, individually or in the aggregate, (A) has or would reasonably be likely to have a material adverse effect on the business, assets, results of operations or financial condition of the Company, taken as a whole, or (B) would be reasonably likely to materially impedes the ability of the Company to consummate the transactions contemplated by this Agreement, other than, solely with respect to clause (A), any change, event, development or effect to the extent that it results from the following: (i) changes in conditions in the industries or markets in which the Company operates, changes in the U.S. economy or financial markets or any non-U.S. economy or financial markets where the Company operates, in each case, after the date of this Agreement; (ii) the taking of, or failure to take, any action by Acquiror or any of its Affiliates in material violation of this Agreement, (iii) earthquakes, hurricanes, tsunamis, tornadoes, floods, mudslides, fires or other natural disasters, weather conditions, epidemics or pandemics or disease outbreak, or any Legal Requirement or Order issued by a Governmental Entity, the Centers for Disease Control and Prevention, the World Health Organization or industry group providing for business closures, “sheltering-in-place,” curfews or other restrictions that relate to, or arise out of, any epidemic, pandemic, or disease outbreak after the date of this Agreement or material worsening of such conditions existing as of the date of this Agreement; (iv) national or international political, social or economic conditions (or changes in such conditions, including as a result of the imposition of any Governmental Measure), whether or not pursuant to the declaration of a national emergency or war, or the occurrence of any military, cyber or terrorist attack; (v) any change in (including the adoption or addition of, or rescission, expiration or retirement of) any Legal Requirement, Order or Governmental Measure after the date of this Agreement; (vi) any change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hereof in GAAP (or interpretation or enforcement thereof) after the date of this Agreement; (vii) any actions taken or omitted at the request of or with the prior written consent of Acquiror hereinafter given pursuant to the terms of this Agreement or the failure to take any action prohibited by this Agreement and as for which Acquiror declined to consent; (viii) any action expressly required by this Agreement; (ix) the announcement or pendency of the Merger or any of the other transactions contemplated by this Agreement (including the impact thereof on the relationships, contractual or otherwise, of the Company with customers, suppliers, lenders, lessors, business partners, employees, regulators, Governmental Entities, vendors or any other Person); or (xi) any failure by the Company to meet any projections, forecasts or revenue or earnings projections; </w:t>
      </w:r>
      <w:r>
        <w:rPr>
          <w:rFonts w:ascii="Times New Roman" w:hAnsi="Times New Roman"/>
          <w:sz w:val="20"/>
          <w:u w:val="single"/>
        </w:rPr>
        <w:t>provided</w:t>
      </w:r>
      <w:r>
        <w:rPr>
          <w:rFonts w:ascii="Times New Roman" w:hAnsi="Times New Roman"/>
          <w:sz w:val="20"/>
        </w:rPr>
        <w:t xml:space="preserve"> that the underlying cause of the Company’s failure to meet such projections, forecasts or revenue or earnings projections may be taken into account to the extent not otherwise excluded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the foregoing clauses (i) and (iii) through (vi), such matters may be taken into account to the extent that any such matters disproportionately impact the Company, taken as a whole, relative to other similarly situated businesses operating in the industries and markets in which the Company operates. </w:t>
      </w:r>
    </w:p>
    <w:p>
      <w:pPr>
        <w:pStyle w:val="TextBody"/>
        <w:bidi w:val="0"/>
        <w:spacing w:before="240" w:after="0"/>
        <w:jc w:val="left"/>
        <w:rPr/>
      </w:pPr>
      <w:r>
        <w:rPr/>
        <w:t>“</w:t>
      </w:r>
      <w:r>
        <w:rPr>
          <w:rFonts w:ascii="Times New Roman" w:hAnsi="Times New Roman"/>
          <w:b/>
          <w:i/>
          <w:sz w:val="20"/>
        </w:rPr>
        <w:t>Material Contract</w:t>
      </w:r>
      <w:r>
        <w:rPr>
          <w:rFonts w:ascii="Times New Roman" w:hAnsi="Times New Roman"/>
          <w:sz w:val="20"/>
        </w:rPr>
        <w:t xml:space="preserve">” has the meaning given to it in </w:t>
      </w:r>
      <w:r>
        <w:rPr>
          <w:rFonts w:ascii="Times New Roman" w:hAnsi="Times New Roman"/>
          <w:sz w:val="20"/>
          <w:u w:val="single"/>
        </w:rPr>
        <w:t>Section 3.17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Merger</w:t>
      </w:r>
      <w:r>
        <w:rPr>
          <w:rFonts w:ascii="Times New Roman" w:hAnsi="Times New Roman"/>
          <w:sz w:val="20"/>
        </w:rPr>
        <w:t xml:space="preserve">” has the meaning given to it in </w:t>
      </w:r>
      <w:r>
        <w:rPr>
          <w:rFonts w:ascii="Times New Roman" w:hAnsi="Times New Roman"/>
          <w:sz w:val="20"/>
          <w:u w:val="single"/>
        </w:rPr>
        <w:t>Recital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Merger Consideration</w:t>
      </w:r>
      <w:r>
        <w:rPr>
          <w:rFonts w:ascii="Times New Roman" w:hAnsi="Times New Roman"/>
          <w:sz w:val="20"/>
        </w:rPr>
        <w:t>” means the sum, without duplication, of (a) the Closing Cash Consideration and (b) the Closing Stock Consideration Value, where “</w:t>
      </w:r>
      <w:r>
        <w:rPr>
          <w:rFonts w:ascii="Times New Roman" w:hAnsi="Times New Roman"/>
          <w:b/>
          <w:i/>
          <w:sz w:val="20"/>
        </w:rPr>
        <w:t>Closing Cash Consideration</w:t>
      </w:r>
      <w:r>
        <w:rPr>
          <w:rFonts w:ascii="Times New Roman" w:hAnsi="Times New Roman"/>
          <w:sz w:val="20"/>
        </w:rPr>
        <w:t xml:space="preserve">” means the amount (without duplication), as adjusted pursuant to </w:t>
      </w:r>
      <w:r>
        <w:rPr>
          <w:rFonts w:ascii="Times New Roman" w:hAnsi="Times New Roman"/>
          <w:sz w:val="20"/>
          <w:u w:val="single"/>
        </w:rPr>
        <w:t>Section 2.4(b)</w:t>
      </w:r>
      <w:r>
        <w:rPr>
          <w:rFonts w:ascii="Times New Roman" w:hAnsi="Times New Roman"/>
          <w:sz w:val="20"/>
        </w:rPr>
        <w:t xml:space="preserve"> and as may be further adjusted pursuant to </w:t>
      </w:r>
      <w:r>
        <w:rPr>
          <w:rFonts w:ascii="Times New Roman" w:hAnsi="Times New Roman"/>
          <w:sz w:val="20"/>
          <w:u w:val="single"/>
        </w:rPr>
        <w:t>Section 2.6</w:t>
      </w:r>
      <w:r>
        <w:rPr>
          <w:rFonts w:ascii="Times New Roman" w:hAnsi="Times New Roman"/>
          <w:sz w:val="20"/>
        </w:rPr>
        <w:t xml:space="preserve">, equal to: (a) the sum of (i) the Base Cash Purchase Price, (ii) the Aggregate Exercise Amount, (iii) the Estimated Cash, and (iv) the Estimated Assumed Expenses, </w:t>
      </w:r>
      <w:r>
        <w:rPr>
          <w:rFonts w:ascii="Times New Roman" w:hAnsi="Times New Roman"/>
          <w:i/>
          <w:sz w:val="20"/>
        </w:rPr>
        <w:t>minus</w:t>
      </w:r>
      <w:r>
        <w:rPr>
          <w:rFonts w:ascii="Times New Roman" w:hAnsi="Times New Roman"/>
          <w:sz w:val="20"/>
        </w:rPr>
        <w:t xml:space="preserve"> (b) the sum of (i) the Estimated Transaction Expenses, and (ii) the Estimated Indebtedness, and “</w:t>
      </w:r>
      <w:r>
        <w:rPr>
          <w:rFonts w:ascii="Times New Roman" w:hAnsi="Times New Roman"/>
          <w:b/>
          <w:i/>
          <w:sz w:val="20"/>
        </w:rPr>
        <w:t>Closing Stock Consideration Value</w:t>
      </w:r>
      <w:r>
        <w:rPr>
          <w:rFonts w:ascii="Times New Roman" w:hAnsi="Times New Roman"/>
          <w:sz w:val="20"/>
        </w:rPr>
        <w:t xml:space="preserve">” means $37,500,000.00. For the avoidance of doubt, the Closing Stock Consideration Value shall not be subject to adjustment pursuant to </w:t>
      </w:r>
      <w:r>
        <w:rPr>
          <w:rFonts w:ascii="Times New Roman" w:hAnsi="Times New Roman"/>
          <w:sz w:val="20"/>
          <w:u w:val="single"/>
        </w:rPr>
        <w:t>Section 2.4(b)</w:t>
      </w:r>
      <w:r>
        <w:rPr>
          <w:rFonts w:ascii="Times New Roman" w:hAnsi="Times New Roman"/>
          <w:sz w:val="20"/>
        </w:rPr>
        <w:t xml:space="preserve"> or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Merger Sub</w:t>
      </w:r>
      <w:r>
        <w:rPr>
          <w:rFonts w:ascii="Times New Roman" w:hAnsi="Times New Roman"/>
          <w:sz w:val="20"/>
        </w:rPr>
        <w:t xml:space="preserve">” has the meaning given to it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Milestone</w:t>
      </w:r>
      <w:r>
        <w:rPr>
          <w:rFonts w:ascii="Times New Roman" w:hAnsi="Times New Roman"/>
          <w:sz w:val="20"/>
        </w:rPr>
        <w:t xml:space="preserve">” has the meaning given to it in </w:t>
      </w:r>
      <w:r>
        <w:rPr>
          <w:rFonts w:ascii="Times New Roman" w:hAnsi="Times New Roman"/>
          <w:sz w:val="20"/>
          <w:u w:val="single"/>
        </w:rPr>
        <w:t>Section 2.9(a)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Negotiation Period</w:t>
      </w:r>
      <w:r>
        <w:rPr>
          <w:rFonts w:ascii="Times New Roman" w:hAnsi="Times New Roman"/>
          <w:sz w:val="20"/>
        </w:rPr>
        <w:t xml:space="preserve">” has the meaning given to it in </w:t>
      </w:r>
      <w:r>
        <w:rPr>
          <w:rFonts w:ascii="Times New Roman" w:hAnsi="Times New Roman"/>
          <w:sz w:val="20"/>
          <w:u w:val="single"/>
        </w:rPr>
        <w:t>Section 9.2(h)(ii)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Net Sales</w:t>
      </w:r>
      <w:r>
        <w:rPr>
          <w:rFonts w:ascii="Times New Roman" w:hAnsi="Times New Roman"/>
          <w:sz w:val="20"/>
        </w:rPr>
        <w:t>” means gross amounts invoiced for sales by or on behalf of Acquiror, its Affiliates (including, following the Closing, the Surviving Corporation and, if applicable, any joint venture formed by Acquiror, the Company or their Affiliates with each other or one or more third parties) and its or their licensees or sublicensees (each, a “</w:t>
      </w:r>
      <w:r>
        <w:rPr>
          <w:rFonts w:ascii="Times New Roman" w:hAnsi="Times New Roman"/>
          <w:b/>
          <w:i/>
          <w:sz w:val="20"/>
        </w:rPr>
        <w:t>Selling Person</w:t>
      </w:r>
      <w:r>
        <w:rPr>
          <w:rFonts w:ascii="Times New Roman" w:hAnsi="Times New Roman"/>
          <w:sz w:val="20"/>
        </w:rPr>
        <w:t xml:space="preserve">”) for arms-length commercial sales of Products to independent or unaffiliated third party purchasers of the Products, less ordinary and customary deductions, exclusions and similar adjustments with respect to such sales and in accordance with GAAP consistently applied, in each case, including the following, to the extent applicable: (i) bad debts or provisions for bad debts (provided that such amounts will be included in Net Sales when and if actually recovered), (ii) allowances or credits actually granted upon claims, returns or rejections of products, including recalls, regardless of the party requesting such recall, including sales returns and allowances actually paid, granted or accrued, (iii) trade discounts, including trade, quantity and cash discounts, rebates and other adjustments, credits or refunds (including discounts or credits), including those granted on account of price adjustments, billing errors, rejected, damaged or defective goods, recalls, returns, rebates, chargebacks, reimbursements, or similar payments granted or given to wholesalers, distributors, buying groups, health insurance carriers, chain pharmacies, mass merchandisers, staff model HMOs, pharmacy benefit managers or other institutions, (iv) rebates and chargebacks or retroactive price reductions made to federal, state or local governments (or their agencies or programs), or any third party payor,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contractor, including managed health organizations, including any other adjustments arising from consumer discount or rebate programs or other similar programs, (v) customs or excise duties, value-added taxes, sales taxes, consumption taxes and other taxes (except income taxes) or duties relating to sales provided such duties or taxes are recorded in the invoiced gross sales, and any other governmental charges (including value added tax) actually paid and economically borne by Acquiror and its Affiliates in connection with the transportation, distribution or sale of such Product, in each case, to the extent such Taxes are not paid or otherwise economically borne by a third party and are not otherwise offset or refunded (and thus separately accounted for within this Agreement); (vi) freight and insurance for such Products, including all charges included in the invoiced gross sales price for freight, insurance, transportation, postage, handling and any other charges relating to the sale, transportation, delivery or return of such Product; (vii) invoiced amounts that Acquiror or the applicable Selling Person reasonably deems to be uncollectable and is not actually collected or received by such Person; and (viii) customary distribution or wholesaler service fees actually paid to unaffiliated third parties, to the extent not otherwise deducted under clauses (iii)–(vi) (not promotion related). Net Sales shall be determined from books and records maintained in accordance with GAAP, as consistently applied by Acquiror. For purposes of the definition of Net Sales: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in any calendar quarter, a Product is sold in the form of a Combination Product (defined below) in a particular country, then Net Sales for such Combination Product sold in such country during such calendar quarter shall be adjusted to reflect the relative market value contributions of the Company Active Ingredient or Product and the other ingredient or component in the Combination Product, determined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If Products containing the Company Active Ingredient as the sole active ingredient therein (a “</w:t>
            </w:r>
            <w:r>
              <w:rPr>
                <w:rFonts w:ascii="Times New Roman" w:hAnsi="Times New Roman"/>
                <w:b/>
                <w:i/>
                <w:sz w:val="20"/>
              </w:rPr>
              <w:t>Compound Product</w:t>
            </w:r>
            <w:r>
              <w:rPr>
                <w:rFonts w:ascii="Times New Roman" w:hAnsi="Times New Roman"/>
                <w:sz w:val="20"/>
              </w:rPr>
              <w:t>”) and products containing the other active ingredients in such Combination Product as the sole active ingredients therein (the “</w:t>
            </w:r>
            <w:r>
              <w:rPr>
                <w:rFonts w:ascii="Times New Roman" w:hAnsi="Times New Roman"/>
                <w:b/>
                <w:i/>
                <w:sz w:val="20"/>
              </w:rPr>
              <w:t>Other Active Ingredient Products</w:t>
            </w:r>
            <w:r>
              <w:rPr>
                <w:rFonts w:ascii="Times New Roman" w:hAnsi="Times New Roman"/>
                <w:sz w:val="20"/>
              </w:rPr>
              <w:t xml:space="preserve">”) are each sold separately by any Selling Person in such country during such calendar quarter, the Net Sales of such Combination Product sold in such country during such calendar quarter will be calculated by multiplying the total Net Sales (determined as described above) obtained from the sale of such Combination Product in such country during such calendar quarter by the fraction A/(A+B), where A is the average gross selling price in such country during such calendar quarter of the Compound Product sold separately and B is the average gross selling price in such country of the Other Active Ingredient Products sold separately, during the applicable calendar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Compound Product is sold in such country during such calendar quarter, but no Other Active Ingredient Products are sold in such country during such calendar quarter or the average gross selling price of such Other Active Ingredient Products sold in such country during such calendar quarter, the Net Sales of such Combination Product sold in such country during such calendar quarter will be calculated by multiplying the total Net Sales (determined as described above) obtained from the sale of such Combination Product in such country during such calendar quarter by the fraction A/C, where A is the average gross selling price in such country during such calendar quarter of the Compound Product sold separately and C is the average gross selling price of such Combination Product in such country during such calendar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Other Active Ingredient Products are sold in such country during such calendar quarter, but there is no applicable Compound Product sold in such country during such calendar quarter, Net Sales of such Combination Product sold in such country during such calendar quarter will be calculated by multiplying the total Net Sales (determined as described above) obtained from the sale of such Combination Product in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country during such calendar quarter by the fraction (1-B/C), where B is the average gross selling price of such Other Active Ingredient Products sold in such country during such calendar quarter and C is the average gross selling price of such Combination Product in such country during such calendar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If only the Combination Product is sold and neither any Compound Product nor Other Active Ingredients Product is separately sold by a Selling Person in such country during such calendar quarter or the average gross selling price of neither such Compound Product nor Other Active Ingredients Product can be determined in such country for such calendar quarter, then Net Sales of the Combination Product will be as reasonably apportioned by Acquiror in good faith based on the relative market value of the Company Active Ingredient or Product of such Combination Product, compared to the relative market value of the other ingredient or components in the Combination Product. If Securityholders’ Representative does not agree with Acquiror’s apportionment, then Securityholders’ Representative shall notify Acquiror of such disagreement within [***] after receiving the first report showing such apportionment and, upon such notice, the parties shall negotiate in good faith to determine a proper apportionment. If the parties cannot reach agreement on proper apportionment within [***] after such notice then Securityholders’ Representative may submit the matter to a “baseball” arbitration proceeding where each party shall present to the arbitrator the apportionment such party believes to be correct and the arbitrator shall choose the presented apportionment it deems most accurate. Such arbitration shall be conducted in Irvine, CA by JAMS in accordance with the Streamlined Arbitration Rules and Procedures of JAMS then in effect. Securityholders’ Representative shall be deemed to accept and agree to the apportionment for any product for which Securityholders’ Representative does not: (1) notify Acquiror of disagreement within [***] after the first report showing such apportionment; or (2) submit to arbitration pursuant to this Agreement within [***] after such notification of disagreement. As used herein, “</w:t>
            </w:r>
            <w:r>
              <w:rPr>
                <w:rFonts w:ascii="Times New Roman" w:hAnsi="Times New Roman"/>
                <w:b/>
                <w:i/>
                <w:sz w:val="20"/>
              </w:rPr>
              <w:t>Combination Product</w:t>
            </w:r>
            <w:r>
              <w:rPr>
                <w:rFonts w:ascii="Times New Roman" w:hAnsi="Times New Roman"/>
                <w:sz w:val="20"/>
              </w:rPr>
              <w:t xml:space="preserve">” means a Product that includes one or more active ingredients in addition to a Company Active Ingredient where such Company Active Ingredient and such other active ingredients are combined in a single formulation or package, as applicable, or formulated separately but packaged under a single label approved by a Regulatory Authority and sold together for a single price. </w:t>
            </w:r>
          </w:p>
        </w:tc>
      </w:tr>
    </w:tbl>
    <w:p>
      <w:pPr>
        <w:pStyle w:val="TextBody"/>
        <w:bidi w:val="0"/>
        <w:spacing w:before="240" w:after="0"/>
        <w:jc w:val="left"/>
        <w:rPr>
          <w:rFonts w:ascii="Times New Roman" w:hAnsi="Times New Roman"/>
          <w:sz w:val="20"/>
        </w:rPr>
      </w:pPr>
      <w:r>
        <w:rPr>
          <w:rFonts w:ascii="Times New Roman" w:hAnsi="Times New Roman"/>
          <w:sz w:val="20"/>
        </w:rPr>
        <w:t>(b) In the event Product is “bundled” for sale together (other than as a Combination Product) with one or more other products in a country (a “</w:t>
      </w:r>
      <w:r>
        <w:rPr>
          <w:rFonts w:ascii="Times New Roman" w:hAnsi="Times New Roman"/>
          <w:b/>
          <w:i/>
          <w:sz w:val="20"/>
        </w:rPr>
        <w:t>Product Bundle</w:t>
      </w:r>
      <w:r>
        <w:rPr>
          <w:rFonts w:ascii="Times New Roman" w:hAnsi="Times New Roman"/>
          <w:sz w:val="20"/>
        </w:rPr>
        <w:t xml:space="preserve">”), then Net Sales for such Product sold under such arrangement shall be determined and apportioned on a country-by-country basis taking into account the relative value contributions of the Product and the other applicable products in the Product Bundle, as reflected in their individual sales prices, as apportioned by Acquiror in good faith across all products in the applicable bundle on a fair and reasonable basis, provided that the percentage rebate or discount apportioned to the Product in such bundle shall not exceed the percentage rebate or discount applied in total to the bundled products. If Securityholders’ Representative does not agree with Acquiror’s apportionment, then Securityholders’ Representative shall notify Acquiror of such disagreement within [***] after receiving the first report showing such apportionment and, upon such notice, the parties shall negotiate in good faith to determine a proper apportionment. If the parties cannot reach agreement on proper apportionment within [***] after such notice then Securityholders’ Representative may submit the matter for resolution according and subject to the process and procedures described above in subpart (a) of this definition, which shall thereupon apply here, as well.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(c) Sale of Product by Selling Persons to another Selling Person (including their respective Affiliates, licensees and sublicensees to the extent included among Selling Persons) for resale by such entity to a third party shall not be deemed a sale for purposes of this definition of “Net Sales”. </w:t>
      </w:r>
    </w:p>
    <w:p>
      <w:pPr>
        <w:pStyle w:val="TextBody"/>
        <w:bidi w:val="0"/>
        <w:spacing w:before="240" w:after="0"/>
        <w:jc w:val="left"/>
        <w:rPr>
          <w:rFonts w:ascii="Times New Roman" w:hAnsi="Times New Roman"/>
          <w:sz w:val="20"/>
        </w:rPr>
      </w:pPr>
      <w:r>
        <w:rPr>
          <w:rFonts w:ascii="Times New Roman" w:hAnsi="Times New Roman"/>
          <w:sz w:val="20"/>
        </w:rPr>
        <w:t xml:space="preserve">(d) Transfers or dispositions of Product (including those without charge or at or below the cost of manufacturing such Product): (1) in connection with patient assistance programs; (2) for charitable or promotional or advertising purposes; (3) for preclinical, clinical or regulatory or other governmental approval purposes, compassionate use or under so-called “named patient” or other limited access programs; or (4) for use in any tests or studies reasonably necessary to comply with any Legal Requirement, regulation or request by a Governmental Entity shall not, in each case of (1) through (4), be deemed sales of such Product for purposes of this definition of “Net Sales” or the definition of First Commercial Sale.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on a country by country basis, Net Sales with respect to sales in other non-arms-length transactions (not described or contemplated above) in such country will be computed at the average price of </w:t>
      </w:r>
      <w:r>
        <w:rPr>
          <w:rFonts w:ascii="Times New Roman" w:hAnsi="Times New Roman"/>
          <w:i/>
          <w:sz w:val="20"/>
        </w:rPr>
        <w:t>bona fide</w:t>
      </w:r>
      <w:r>
        <w:rPr>
          <w:rFonts w:ascii="Times New Roman" w:hAnsi="Times New Roman"/>
          <w:sz w:val="20"/>
        </w:rPr>
        <w:t xml:space="preserve">, arms-length sales by all Selling Persons to third parties in such country during the preceding three (3)-month period; or, if no </w:t>
      </w:r>
      <w:r>
        <w:rPr>
          <w:rFonts w:ascii="Times New Roman" w:hAnsi="Times New Roman"/>
          <w:i/>
          <w:sz w:val="20"/>
        </w:rPr>
        <w:t>bona fide</w:t>
      </w:r>
      <w:r>
        <w:rPr>
          <w:rFonts w:ascii="Times New Roman" w:hAnsi="Times New Roman"/>
          <w:sz w:val="20"/>
        </w:rPr>
        <w:t xml:space="preserve">, arms-length sale to a third party has yet occurred in such country, at the non-discounted list price for the Product sold directly by Selling Persons to end users. In the event that no list price has been established in such country, the price will be set at the fair market value of such Product. </w:t>
      </w:r>
    </w:p>
    <w:p>
      <w:pPr>
        <w:pStyle w:val="TextBody"/>
        <w:bidi w:val="0"/>
        <w:spacing w:before="240" w:after="0"/>
        <w:jc w:val="left"/>
        <w:rPr/>
      </w:pPr>
      <w:r>
        <w:rPr/>
        <w:t>“</w:t>
      </w:r>
      <w:r>
        <w:rPr>
          <w:rFonts w:ascii="Times New Roman" w:hAnsi="Times New Roman"/>
          <w:b/>
          <w:i/>
          <w:sz w:val="20"/>
        </w:rPr>
        <w:t>Net Sales Audit”</w:t>
      </w:r>
      <w:r>
        <w:rPr>
          <w:rFonts w:ascii="Times New Roman" w:hAnsi="Times New Roman"/>
          <w:sz w:val="20"/>
        </w:rPr>
        <w:t xml:space="preserve"> has the meaning given to it in </w:t>
      </w:r>
      <w:r>
        <w:rPr>
          <w:rFonts w:ascii="Times New Roman" w:hAnsi="Times New Roman"/>
          <w:sz w:val="20"/>
          <w:u w:val="single"/>
        </w:rPr>
        <w:t>Section 2.9(e)(iii)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Net Sales Report</w:t>
      </w:r>
      <w:r>
        <w:rPr>
          <w:rFonts w:ascii="Times New Roman" w:hAnsi="Times New Roman"/>
          <w:sz w:val="20"/>
        </w:rPr>
        <w:t xml:space="preserve">” has the meaning given to it in </w:t>
      </w:r>
      <w:r>
        <w:rPr>
          <w:rFonts w:ascii="Times New Roman" w:hAnsi="Times New Roman"/>
          <w:sz w:val="20"/>
          <w:u w:val="single"/>
        </w:rPr>
        <w:t>Section 2.9(e)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New Drug Application</w:t>
      </w:r>
      <w:r>
        <w:rPr>
          <w:rFonts w:ascii="Times New Roman" w:hAnsi="Times New Roman"/>
          <w:sz w:val="20"/>
        </w:rPr>
        <w:t>” or “</w:t>
      </w:r>
      <w:r>
        <w:rPr>
          <w:rFonts w:ascii="Times New Roman" w:hAnsi="Times New Roman"/>
          <w:b/>
          <w:i/>
          <w:sz w:val="20"/>
        </w:rPr>
        <w:t>NDA</w:t>
      </w:r>
      <w:r>
        <w:rPr>
          <w:rFonts w:ascii="Times New Roman" w:hAnsi="Times New Roman"/>
          <w:sz w:val="20"/>
        </w:rPr>
        <w:t xml:space="preserve">” means a new drug application submitted to the United States Food and Drug Administration pursuant to section 505(b) of the U.S. Federal Food, Drug, and Cosmetic Act, which is the formal regulatory submission by which a drug sponsor requests approval to market a new pharmaceutical product in the United States and which includes the data and information required by the FDA to determine whether such product is safe and effective for its proposed use and can be manufactured with appropriate quality, and for clarity, New Drug Application or NDA excludes any Abbreviated New Drug Application (ANDA) and any Biologics License Application (BLA). </w:t>
      </w:r>
    </w:p>
    <w:p>
      <w:pPr>
        <w:pStyle w:val="TextBody"/>
        <w:bidi w:val="0"/>
        <w:spacing w:before="240" w:after="0"/>
        <w:jc w:val="left"/>
        <w:rPr/>
      </w:pPr>
      <w:r>
        <w:rPr/>
        <w:t>“</w:t>
      </w:r>
      <w:r>
        <w:rPr>
          <w:rFonts w:ascii="Times New Roman" w:hAnsi="Times New Roman"/>
          <w:b/>
          <w:i/>
          <w:sz w:val="20"/>
        </w:rPr>
        <w:t>Option Shares</w:t>
      </w:r>
      <w:r>
        <w:rPr>
          <w:rFonts w:ascii="Times New Roman" w:hAnsi="Times New Roman"/>
          <w:sz w:val="20"/>
        </w:rPr>
        <w:t xml:space="preserve">” has the meaning given to it in </w:t>
      </w:r>
      <w:r>
        <w:rPr>
          <w:rFonts w:ascii="Times New Roman" w:hAnsi="Times New Roman"/>
          <w:sz w:val="20"/>
          <w:u w:val="single"/>
        </w:rPr>
        <w:t>Section 2.1(b)(ii)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Order</w:t>
      </w:r>
      <w:r>
        <w:rPr>
          <w:rFonts w:ascii="Times New Roman" w:hAnsi="Times New Roman"/>
          <w:sz w:val="20"/>
        </w:rPr>
        <w:t xml:space="preserve">” has the meaning given to it in </w:t>
      </w:r>
      <w:r>
        <w:rPr>
          <w:rFonts w:ascii="Times New Roman" w:hAnsi="Times New Roman"/>
          <w:sz w:val="20"/>
          <w:u w:val="single"/>
        </w:rPr>
        <w:t>Section 6.3(b)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Ordinary Contract</w:t>
      </w:r>
      <w:r>
        <w:rPr>
          <w:rFonts w:ascii="Times New Roman" w:hAnsi="Times New Roman"/>
          <w:sz w:val="20"/>
        </w:rPr>
        <w:t xml:space="preserve">” means any contract, agreement or arrangement entered into in the ordinary course of business, the primary purpose of which is unrelated to Taxes. </w:t>
      </w:r>
    </w:p>
    <w:p>
      <w:pPr>
        <w:pStyle w:val="TextBody"/>
        <w:bidi w:val="0"/>
        <w:spacing w:before="240" w:after="0"/>
        <w:jc w:val="left"/>
        <w:rPr/>
      </w:pPr>
      <w:r>
        <w:rPr/>
        <w:t>“</w:t>
      </w:r>
      <w:r>
        <w:rPr>
          <w:rFonts w:ascii="Times New Roman" w:hAnsi="Times New Roman"/>
          <w:b/>
          <w:i/>
          <w:sz w:val="20"/>
        </w:rPr>
        <w:t>Outbound IP License</w:t>
      </w:r>
      <w:r>
        <w:rPr>
          <w:rFonts w:ascii="Times New Roman" w:hAnsi="Times New Roman"/>
          <w:sz w:val="20"/>
        </w:rPr>
        <w:t xml:space="preserve">” means any Contract pursuant to which the Company or any of its Subsidiaries grants any license, sublicense, option, covenant not to sue, immunity, or other right under any Company Intellectual Property (other than (A) Contracts where the only licenses or rights granted by the Company or its Subsidiaries are non-exclusive rights granted to contractors or vendors to use Owned Company IP solely for the performance or provision of services for the Company or a Subsidiary of the Company, (B) non-disclosure agreements, (C) Contracts where the only licenses or grants of rights to Intellectual Property are with respect to feedback, suggestions, or trademark(s) for inclusion on customer lists (or similar promotional purposes), and (D) purchase orders, invoices, and similar confirmatory or administrative documents that are ancillary to the primary purpose of the Contract). </w:t>
      </w:r>
    </w:p>
    <w:p>
      <w:pPr>
        <w:pStyle w:val="TextBody"/>
        <w:bidi w:val="0"/>
        <w:spacing w:before="240" w:after="0"/>
        <w:jc w:val="left"/>
        <w:rPr/>
      </w:pPr>
      <w:r>
        <w:rPr/>
        <w:t>“</w:t>
      </w:r>
      <w:r>
        <w:rPr>
          <w:rFonts w:ascii="Times New Roman" w:hAnsi="Times New Roman"/>
          <w:b/>
          <w:i/>
          <w:sz w:val="20"/>
        </w:rPr>
        <w:t>Outside Date</w:t>
      </w:r>
      <w:r>
        <w:rPr>
          <w:rFonts w:ascii="Times New Roman" w:hAnsi="Times New Roman"/>
          <w:sz w:val="20"/>
        </w:rPr>
        <w:t xml:space="preserve">” has the meaning given to it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Owned Company IP</w:t>
      </w:r>
      <w:r>
        <w:rPr>
          <w:rFonts w:ascii="Times New Roman" w:hAnsi="Times New Roman"/>
          <w:sz w:val="20"/>
        </w:rPr>
        <w:t xml:space="preserve">” means all Company Intellectual Property owned or purported to be owned by the Company. </w:t>
      </w:r>
    </w:p>
    <w:p>
      <w:pPr>
        <w:pStyle w:val="TextBody"/>
        <w:bidi w:val="0"/>
        <w:spacing w:before="240" w:after="0"/>
        <w:jc w:val="left"/>
        <w:rPr/>
      </w:pPr>
      <w:r>
        <w:rPr/>
        <w:t>“</w:t>
      </w:r>
      <w:r>
        <w:rPr>
          <w:rFonts w:ascii="Times New Roman" w:hAnsi="Times New Roman"/>
          <w:b/>
          <w:i/>
          <w:sz w:val="20"/>
        </w:rPr>
        <w:t>Pass-Through Status</w:t>
      </w:r>
      <w:r>
        <w:rPr>
          <w:rFonts w:ascii="Times New Roman" w:hAnsi="Times New Roman"/>
          <w:sz w:val="20"/>
        </w:rPr>
        <w:t xml:space="preserve">” has the meaning given to it in </w:t>
      </w:r>
      <w:r>
        <w:rPr>
          <w:rFonts w:ascii="Times New Roman" w:hAnsi="Times New Roman"/>
          <w:sz w:val="20"/>
          <w:u w:val="single"/>
        </w:rPr>
        <w:t>Schedule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Patent Rights</w:t>
      </w:r>
      <w:r>
        <w:rPr>
          <w:rFonts w:ascii="Times New Roman" w:hAnsi="Times New Roman"/>
          <w:sz w:val="20"/>
        </w:rPr>
        <w:t xml:space="preserve">” means any and all (i) issued patents, (ii) patent applications, including all applications and filings made pursuant to the Patent Cooperation Treaty, provisional applications, substitutions, continuations, continuations-in-part, divisionals and renewals, and all letters of patent granted with respect to any of the foregoing, and (iii) patents of addition, restorations, extensions, supplementary protection certificates, registration or confirmation patents, patents resulting from post-grant proceedings, reissues and re-examinations. </w:t>
      </w:r>
    </w:p>
    <w:p>
      <w:pPr>
        <w:pStyle w:val="TextBody"/>
        <w:bidi w:val="0"/>
        <w:spacing w:before="240" w:after="0"/>
        <w:jc w:val="left"/>
        <w:rPr/>
      </w:pPr>
      <w:r>
        <w:rPr/>
        <w:t>“</w:t>
      </w:r>
      <w:r>
        <w:rPr>
          <w:rFonts w:ascii="Times New Roman" w:hAnsi="Times New Roman"/>
          <w:b/>
          <w:i/>
          <w:sz w:val="20"/>
        </w:rPr>
        <w:t>Paying Agent</w:t>
      </w:r>
      <w:r>
        <w:rPr>
          <w:rFonts w:ascii="Times New Roman" w:hAnsi="Times New Roman"/>
          <w:sz w:val="20"/>
        </w:rPr>
        <w:t xml:space="preserve">” means PNC Bank, National Association. </w:t>
      </w:r>
    </w:p>
    <w:p>
      <w:pPr>
        <w:pStyle w:val="TextBody"/>
        <w:bidi w:val="0"/>
        <w:spacing w:before="240" w:after="0"/>
        <w:jc w:val="left"/>
        <w:rPr/>
      </w:pPr>
      <w:r>
        <w:rPr/>
        <w:t>“</w:t>
      </w:r>
      <w:r>
        <w:rPr>
          <w:rFonts w:ascii="Times New Roman" w:hAnsi="Times New Roman"/>
          <w:b/>
          <w:i/>
          <w:sz w:val="20"/>
        </w:rPr>
        <w:t>Paying Agent Agreement</w:t>
      </w:r>
      <w:r>
        <w:rPr>
          <w:rFonts w:ascii="Times New Roman" w:hAnsi="Times New Roman"/>
          <w:sz w:val="20"/>
        </w:rPr>
        <w:t xml:space="preserve">” has the meaning set forth in </w:t>
      </w:r>
      <w:r>
        <w:rPr>
          <w:rFonts w:ascii="Times New Roman" w:hAnsi="Times New Roman"/>
          <w:sz w:val="20"/>
          <w:u w:val="single"/>
        </w:rPr>
        <w:t>Section 1.4(a)(iii)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 Share Additional Accredited Stock Consideration Amount</w:t>
      </w:r>
      <w:r>
        <w:rPr>
          <w:rFonts w:ascii="Times New Roman" w:hAnsi="Times New Roman"/>
          <w:sz w:val="20"/>
        </w:rPr>
        <w:t xml:space="preserve">” means an amount equal to (i) the Aggregate Additional Unaccredited Cash Consideration Amount, divided by (ii) the Total Accredited Outstanding Shares. </w:t>
      </w:r>
    </w:p>
    <w:p>
      <w:pPr>
        <w:pStyle w:val="TextBody"/>
        <w:bidi w:val="0"/>
        <w:spacing w:before="240" w:after="0"/>
        <w:jc w:val="left"/>
        <w:rPr/>
      </w:pPr>
      <w:r>
        <w:rPr/>
        <w:t>“</w:t>
      </w:r>
      <w:r>
        <w:rPr>
          <w:rFonts w:ascii="Times New Roman" w:hAnsi="Times New Roman"/>
          <w:b/>
          <w:i/>
          <w:sz w:val="20"/>
        </w:rPr>
        <w:t>Per Share Additional Accredited Stock Consideration</w:t>
      </w:r>
      <w:r>
        <w:rPr>
          <w:rFonts w:ascii="Times New Roman" w:hAnsi="Times New Roman"/>
          <w:sz w:val="20"/>
        </w:rPr>
        <w:t xml:space="preserve">” means a number of shares of Acquiror Common Stock equal to (i) the Per Share Additional Accredited Stock Consideration Amount, divided by (ii) the Acquiror Common Price. </w:t>
      </w:r>
    </w:p>
    <w:p>
      <w:pPr>
        <w:pStyle w:val="TextBody"/>
        <w:bidi w:val="0"/>
        <w:spacing w:before="240" w:after="0"/>
        <w:jc w:val="left"/>
        <w:rPr/>
      </w:pPr>
      <w:r>
        <w:rPr/>
        <w:t>“</w:t>
      </w:r>
      <w:r>
        <w:rPr>
          <w:rFonts w:ascii="Times New Roman" w:hAnsi="Times New Roman"/>
          <w:b/>
          <w:i/>
          <w:sz w:val="20"/>
        </w:rPr>
        <w:t>Per Share Closing Cash Amount</w:t>
      </w:r>
      <w:r>
        <w:rPr>
          <w:rFonts w:ascii="Times New Roman" w:hAnsi="Times New Roman"/>
          <w:sz w:val="20"/>
        </w:rPr>
        <w:t>” means, with respect to each share of Company Capital Stock (or share of Company Common Stock issuable upon exercise of a Company Option, as applicable), (i) the applicable Per Share Closing Amount for such share, </w:t>
      </w:r>
      <w:r>
        <w:rPr>
          <w:rFonts w:ascii="Times New Roman" w:hAnsi="Times New Roman"/>
          <w:i/>
          <w:sz w:val="20"/>
        </w:rPr>
        <w:t>minus</w:t>
      </w:r>
      <w:r>
        <w:rPr>
          <w:rFonts w:ascii="Times New Roman" w:hAnsi="Times New Roman"/>
          <w:sz w:val="20"/>
        </w:rPr>
        <w:t> (ii) the Per Share Stock Value; </w:t>
      </w:r>
      <w:r>
        <w:rPr>
          <w:rFonts w:ascii="Times New Roman" w:hAnsi="Times New Roman"/>
          <w:i/>
          <w:sz w:val="20"/>
        </w:rPr>
        <w:t>provided</w:t>
      </w:r>
      <w:r>
        <w:rPr>
          <w:rFonts w:ascii="Times New Roman" w:hAnsi="Times New Roman"/>
          <w:sz w:val="20"/>
        </w:rPr>
        <w:t xml:space="preserve"> that the Per Share Closing Cash Amount shall not be less than zero. </w:t>
      </w:r>
    </w:p>
    <w:p>
      <w:pPr>
        <w:pStyle w:val="TextBody"/>
        <w:bidi w:val="0"/>
        <w:spacing w:before="240" w:after="0"/>
        <w:jc w:val="left"/>
        <w:rPr/>
      </w:pPr>
      <w:r>
        <w:rPr/>
        <w:t>“</w:t>
      </w:r>
      <w:r>
        <w:rPr>
          <w:rFonts w:ascii="Times New Roman" w:hAnsi="Times New Roman"/>
          <w:b/>
          <w:i/>
          <w:sz w:val="20"/>
        </w:rPr>
        <w:t>Per Share Closing Amount</w:t>
      </w:r>
      <w:r>
        <w:rPr>
          <w:rFonts w:ascii="Times New Roman" w:hAnsi="Times New Roman"/>
          <w:sz w:val="20"/>
        </w:rPr>
        <w:t xml:space="preserve">” means for a share of Company Capital Stock: </w:t>
      </w:r>
    </w:p>
    <w:p>
      <w:pPr>
        <w:pStyle w:val="TextBody"/>
        <w:bidi w:val="0"/>
        <w:spacing w:before="120" w:after="0"/>
        <w:jc w:val="left"/>
        <w:rPr>
          <w:rFonts w:ascii="Times New Roman" w:hAnsi="Times New Roman"/>
          <w:sz w:val="20"/>
        </w:rPr>
      </w:pPr>
      <w:r>
        <w:rPr>
          <w:rFonts w:ascii="Times New Roman" w:hAnsi="Times New Roman"/>
          <w:sz w:val="20"/>
        </w:rPr>
        <w:t>(a) in the case of each share of Series Seed II-B Preferred Stock: (A) an amount equal to: (1) the greater of (aa) the Series Seed II-B Price Per Share; or (bb) the Residual Per Share Merger Consideration (such greater amount, the “</w:t>
      </w:r>
      <w:r>
        <w:rPr>
          <w:rFonts w:ascii="Times New Roman" w:hAnsi="Times New Roman"/>
          <w:b/>
          <w:i/>
          <w:sz w:val="20"/>
        </w:rPr>
        <w:t>Series Seed II-B Liquidation Preference</w:t>
      </w:r>
      <w:r>
        <w:rPr>
          <w:rFonts w:ascii="Times New Roman" w:hAnsi="Times New Roman"/>
          <w:sz w:val="20"/>
        </w:rPr>
        <w:t xml:space="preserve">”); </w:t>
      </w:r>
      <w:r>
        <w:rPr>
          <w:rFonts w:ascii="Times New Roman" w:hAnsi="Times New Roman"/>
          <w:i/>
          <w:sz w:val="20"/>
        </w:rPr>
        <w:t>minus</w:t>
      </w:r>
      <w:r>
        <w:rPr>
          <w:rFonts w:ascii="Times New Roman" w:hAnsi="Times New Roman"/>
          <w:sz w:val="20"/>
        </w:rPr>
        <w:t xml:space="preserve"> (2) the applicable Pro Rata Portion of the Adjustment Escrow Amount and the Retention Escrow Amount; </w:t>
      </w:r>
      <w:r>
        <w:rPr>
          <w:rFonts w:ascii="Times New Roman" w:hAnsi="Times New Roman"/>
          <w:i/>
          <w:sz w:val="20"/>
        </w:rPr>
        <w:t xml:space="preserve">minus </w:t>
      </w:r>
      <w:r>
        <w:rPr>
          <w:rFonts w:ascii="Times New Roman" w:hAnsi="Times New Roman"/>
          <w:sz w:val="20"/>
        </w:rPr>
        <w:t xml:space="preserve">(3) the applicable Pro Rata Portion of the Reserve Amount; provided, however, for any share of Series Seed II-B Preferred Stock, the foregoing amount will be multiplied by the number of shares of Series Seed II-B Preferred Stock into which such share of Series Seed II-B Preferred Stock is convertible; </w:t>
      </w:r>
    </w:p>
    <w:p>
      <w:pPr>
        <w:pStyle w:val="TextBody"/>
        <w:bidi w:val="0"/>
        <w:spacing w:before="120" w:after="0"/>
        <w:jc w:val="left"/>
        <w:rPr>
          <w:rFonts w:ascii="Times New Roman" w:hAnsi="Times New Roman"/>
          <w:sz w:val="20"/>
        </w:rPr>
      </w:pPr>
      <w:r>
        <w:rPr>
          <w:rFonts w:ascii="Times New Roman" w:hAnsi="Times New Roman"/>
          <w:sz w:val="20"/>
        </w:rPr>
        <w:t>(b) in the case of each share of Series Seed II-A Preferred Stock: (A) an amount equal to: (1) the greater of (aa) the Series Seed II-A Price Per Share; or (bb) the Residual Per Share Merger Consideration (such greater amount, the “</w:t>
      </w:r>
      <w:r>
        <w:rPr>
          <w:rFonts w:ascii="Times New Roman" w:hAnsi="Times New Roman"/>
          <w:b/>
          <w:i/>
          <w:sz w:val="20"/>
        </w:rPr>
        <w:t>Series Seed II-A Liquidation Preference</w:t>
      </w:r>
      <w:r>
        <w:rPr>
          <w:rFonts w:ascii="Times New Roman" w:hAnsi="Times New Roman"/>
          <w:sz w:val="20"/>
        </w:rPr>
        <w:t xml:space="preserve">”); </w:t>
      </w:r>
      <w:r>
        <w:rPr>
          <w:rFonts w:ascii="Times New Roman" w:hAnsi="Times New Roman"/>
          <w:i/>
          <w:sz w:val="20"/>
        </w:rPr>
        <w:t>minus</w:t>
      </w:r>
      <w:r>
        <w:rPr>
          <w:rFonts w:ascii="Times New Roman" w:hAnsi="Times New Roman"/>
          <w:sz w:val="20"/>
        </w:rPr>
        <w:t xml:space="preserve"> (2) the applicable Pro Rata Portion of the Adjustment Escrow Amount and the Retention Escrow Amount; </w:t>
      </w:r>
      <w:r>
        <w:rPr>
          <w:rFonts w:ascii="Times New Roman" w:hAnsi="Times New Roman"/>
          <w:i/>
          <w:sz w:val="20"/>
        </w:rPr>
        <w:t xml:space="preserve">minus </w:t>
      </w:r>
      <w:r>
        <w:rPr>
          <w:rFonts w:ascii="Times New Roman" w:hAnsi="Times New Roman"/>
          <w:sz w:val="20"/>
        </w:rPr>
        <w:t xml:space="preserve">(3) the applicable Pro Rata Portion of the Reserve Amount; provided, however, for any share of Series Seed II-A Preferred Stock, the foregoing amount will be multiplied by the number of shares of Series Seed II-A Preferred Stock into which such share of Series Seed II-A Preferred Stock is convertible;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each share of Series Seed II Preferred Stock: (A) an amount equal to: (1) the greater of (aa) the Series Seed II Price Per Share; or (bb) the Residual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Merger Consideration (such greater amount, the “</w:t>
      </w:r>
      <w:r>
        <w:rPr>
          <w:rFonts w:ascii="Times New Roman" w:hAnsi="Times New Roman"/>
          <w:b/>
          <w:i/>
          <w:sz w:val="20"/>
        </w:rPr>
        <w:t>Series Seed II Liquidation Preference</w:t>
      </w:r>
      <w:r>
        <w:rPr>
          <w:rFonts w:ascii="Times New Roman" w:hAnsi="Times New Roman"/>
          <w:sz w:val="20"/>
        </w:rPr>
        <w:t xml:space="preserve">”); </w:t>
      </w:r>
      <w:r>
        <w:rPr>
          <w:rFonts w:ascii="Times New Roman" w:hAnsi="Times New Roman"/>
          <w:i/>
          <w:sz w:val="20"/>
        </w:rPr>
        <w:t>minus</w:t>
      </w:r>
      <w:r>
        <w:rPr>
          <w:rFonts w:ascii="Times New Roman" w:hAnsi="Times New Roman"/>
          <w:sz w:val="20"/>
        </w:rPr>
        <w:t xml:space="preserve"> (2) the applicable Pro Rata Portion of the Adjustment Escrow Amount and the Retention Escrow Amount; </w:t>
      </w:r>
      <w:r>
        <w:rPr>
          <w:rFonts w:ascii="Times New Roman" w:hAnsi="Times New Roman"/>
          <w:i/>
          <w:sz w:val="20"/>
        </w:rPr>
        <w:t xml:space="preserve">minus </w:t>
      </w:r>
      <w:r>
        <w:rPr>
          <w:rFonts w:ascii="Times New Roman" w:hAnsi="Times New Roman"/>
          <w:sz w:val="20"/>
        </w:rPr>
        <w:t xml:space="preserve">(3) the applicable Pro Rata Portion of the Reserve Amount; provided, however, for any share of Series Seed II Preferred Stock, the foregoing amount will be multiplied by the number of shares of Series Seed II Preferred Stock into which such share of Series Seed II Preferred Stock is convertible; </w:t>
      </w:r>
    </w:p>
    <w:p>
      <w:pPr>
        <w:pStyle w:val="TextBody"/>
        <w:bidi w:val="0"/>
        <w:spacing w:before="120" w:after="0"/>
        <w:jc w:val="left"/>
        <w:rPr>
          <w:rFonts w:ascii="Times New Roman" w:hAnsi="Times New Roman"/>
          <w:sz w:val="20"/>
        </w:rPr>
      </w:pPr>
      <w:r>
        <w:rPr>
          <w:rFonts w:ascii="Times New Roman" w:hAnsi="Times New Roman"/>
          <w:sz w:val="20"/>
        </w:rPr>
        <w:t>(d) in the case of each share of Series Seed Preferred Stock: (A) an amount equal to: (1) the greater of (aa) the Series Seed Price Per Share; or (bb) the Residual Per Share Merger Consideration (such greater amount, the “</w:t>
      </w:r>
      <w:r>
        <w:rPr>
          <w:rFonts w:ascii="Times New Roman" w:hAnsi="Times New Roman"/>
          <w:b/>
          <w:i/>
          <w:sz w:val="20"/>
        </w:rPr>
        <w:t>Series Seed Liquidation Preference</w:t>
      </w:r>
      <w:r>
        <w:rPr>
          <w:rFonts w:ascii="Times New Roman" w:hAnsi="Times New Roman"/>
          <w:sz w:val="20"/>
        </w:rPr>
        <w:t xml:space="preserve">”); </w:t>
      </w:r>
      <w:r>
        <w:rPr>
          <w:rFonts w:ascii="Times New Roman" w:hAnsi="Times New Roman"/>
          <w:i/>
          <w:sz w:val="20"/>
        </w:rPr>
        <w:t>minus</w:t>
      </w:r>
      <w:r>
        <w:rPr>
          <w:rFonts w:ascii="Times New Roman" w:hAnsi="Times New Roman"/>
          <w:sz w:val="20"/>
        </w:rPr>
        <w:t xml:space="preserve"> (2) the applicable Pro Rata Portion of the Adjustment Escrow Amount and the Retention Escrow Amount; </w:t>
      </w:r>
      <w:r>
        <w:rPr>
          <w:rFonts w:ascii="Times New Roman" w:hAnsi="Times New Roman"/>
          <w:i/>
          <w:sz w:val="20"/>
        </w:rPr>
        <w:t xml:space="preserve">minus </w:t>
      </w:r>
      <w:r>
        <w:rPr>
          <w:rFonts w:ascii="Times New Roman" w:hAnsi="Times New Roman"/>
          <w:sz w:val="20"/>
        </w:rPr>
        <w:t xml:space="preserve">(3) the applicable Pro Rata Portion of the Reserve Amount; provided, however, for any share of Series Seed Preferred Stock, the foregoing amount will be multiplied by the number of shares of Series Seed Preferred Stock into which such share of Series Seed Preferred Stock is convertible; </w:t>
      </w:r>
    </w:p>
    <w:p>
      <w:pPr>
        <w:pStyle w:val="TextBody"/>
        <w:bidi w:val="0"/>
        <w:spacing w:before="120" w:after="0"/>
        <w:jc w:val="left"/>
        <w:rPr>
          <w:rFonts w:ascii="Times New Roman" w:hAnsi="Times New Roman"/>
          <w:sz w:val="20"/>
        </w:rPr>
      </w:pPr>
      <w:r>
        <w:rPr>
          <w:rFonts w:ascii="Times New Roman" w:hAnsi="Times New Roman"/>
          <w:sz w:val="20"/>
        </w:rPr>
        <w:t xml:space="preserve">(e) in the case of each share of Company Common Stock: (A) an amount equal to: (1) the Residual Per Share Merger Consideration; </w:t>
      </w:r>
      <w:r>
        <w:rPr>
          <w:rFonts w:ascii="Times New Roman" w:hAnsi="Times New Roman"/>
          <w:i/>
          <w:sz w:val="20"/>
        </w:rPr>
        <w:t>minus</w:t>
      </w:r>
      <w:r>
        <w:rPr>
          <w:rFonts w:ascii="Times New Roman" w:hAnsi="Times New Roman"/>
          <w:sz w:val="20"/>
        </w:rPr>
        <w:t xml:space="preserve"> (2) the applicable Pro Rata Portion of the Adjustment Escrow Amount and the Retention Escrow Amount; </w:t>
      </w:r>
      <w:r>
        <w:rPr>
          <w:rFonts w:ascii="Times New Roman" w:hAnsi="Times New Roman"/>
          <w:i/>
          <w:sz w:val="20"/>
        </w:rPr>
        <w:t xml:space="preserve">minus </w:t>
      </w:r>
      <w:r>
        <w:rPr>
          <w:rFonts w:ascii="Times New Roman" w:hAnsi="Times New Roman"/>
          <w:sz w:val="20"/>
        </w:rPr>
        <w:t xml:space="preserve">(3) the applicable Pro Rata Portion of the Reserve Amount; and </w:t>
      </w:r>
    </w:p>
    <w:p>
      <w:pPr>
        <w:pStyle w:val="TextBody"/>
        <w:bidi w:val="0"/>
        <w:spacing w:before="120" w:after="0"/>
        <w:jc w:val="left"/>
        <w:rPr>
          <w:rFonts w:ascii="Times New Roman" w:hAnsi="Times New Roman"/>
          <w:sz w:val="20"/>
        </w:rPr>
      </w:pPr>
      <w:r>
        <w:rPr>
          <w:rFonts w:ascii="Times New Roman" w:hAnsi="Times New Roman"/>
          <w:sz w:val="20"/>
        </w:rPr>
        <w:t xml:space="preserve">(f) in the case of each share of Company Common Stock issuable or deemed issued pursuant to an In-the-Money Option: (A) an amount equal to: (1) the Residual Per Share Merger Consideration; </w:t>
      </w:r>
      <w:r>
        <w:rPr>
          <w:rFonts w:ascii="Times New Roman" w:hAnsi="Times New Roman"/>
          <w:i/>
          <w:sz w:val="20"/>
        </w:rPr>
        <w:t>minus</w:t>
      </w:r>
      <w:r>
        <w:rPr>
          <w:rFonts w:ascii="Times New Roman" w:hAnsi="Times New Roman"/>
          <w:sz w:val="20"/>
        </w:rPr>
        <w:t xml:space="preserve"> (2) the applicable Pro Rata Portion of the Adjustment Escrow Amount and the Retention Escrow Amount; </w:t>
      </w:r>
      <w:r>
        <w:rPr>
          <w:rFonts w:ascii="Times New Roman" w:hAnsi="Times New Roman"/>
          <w:i/>
          <w:sz w:val="20"/>
        </w:rPr>
        <w:t xml:space="preserve">minus </w:t>
      </w:r>
      <w:r>
        <w:rPr>
          <w:rFonts w:ascii="Times New Roman" w:hAnsi="Times New Roman"/>
          <w:sz w:val="20"/>
        </w:rPr>
        <w:t xml:space="preserve">(3) the applicable Pro Rata Portion of the Reserve Amount. </w:t>
      </w:r>
    </w:p>
    <w:p>
      <w:pPr>
        <w:pStyle w:val="TextBody"/>
        <w:bidi w:val="0"/>
        <w:spacing w:before="240" w:after="0"/>
        <w:jc w:val="left"/>
        <w:rPr/>
      </w:pPr>
      <w:r>
        <w:rPr/>
        <w:t>“</w:t>
      </w:r>
      <w:r>
        <w:rPr>
          <w:rFonts w:ascii="Times New Roman" w:hAnsi="Times New Roman"/>
          <w:b/>
          <w:i/>
          <w:sz w:val="20"/>
        </w:rPr>
        <w:t>Per Share Reduced Accredited Cash Consideration Amount</w:t>
      </w:r>
      <w:r>
        <w:rPr>
          <w:rFonts w:ascii="Times New Roman" w:hAnsi="Times New Roman"/>
          <w:sz w:val="20"/>
        </w:rPr>
        <w:t>” means an amount equal to (i) the Aggregate Additional Unaccredited Cash Consideration Amount, </w:t>
      </w:r>
      <w:r>
        <w:rPr>
          <w:rFonts w:ascii="Times New Roman" w:hAnsi="Times New Roman"/>
          <w:i/>
          <w:sz w:val="20"/>
        </w:rPr>
        <w:t>divided by</w:t>
      </w:r>
      <w:r>
        <w:rPr>
          <w:rFonts w:ascii="Times New Roman" w:hAnsi="Times New Roman"/>
          <w:sz w:val="20"/>
        </w:rPr>
        <w:t xml:space="preserve"> (ii) the Total Accredited Outstanding Shares. </w:t>
      </w:r>
    </w:p>
    <w:p>
      <w:pPr>
        <w:pStyle w:val="TextBody"/>
        <w:bidi w:val="0"/>
        <w:spacing w:before="240" w:after="0"/>
        <w:jc w:val="left"/>
        <w:rPr/>
      </w:pPr>
      <w:r>
        <w:rPr/>
        <w:t>“</w:t>
      </w:r>
      <w:r>
        <w:rPr>
          <w:rFonts w:ascii="Times New Roman" w:hAnsi="Times New Roman"/>
          <w:b/>
          <w:i/>
          <w:sz w:val="20"/>
        </w:rPr>
        <w:t>Per Share Stock Closing Amount</w:t>
      </w:r>
      <w:r>
        <w:rPr>
          <w:rFonts w:ascii="Times New Roman" w:hAnsi="Times New Roman"/>
          <w:sz w:val="20"/>
        </w:rPr>
        <w:t xml:space="preserve">” means a number of shares of Acquiror Common Stock equal to (i) the Closing Stock Consideration, divided by (ii) the Total Stock. </w:t>
      </w:r>
    </w:p>
    <w:p>
      <w:pPr>
        <w:pStyle w:val="TextBody"/>
        <w:bidi w:val="0"/>
        <w:spacing w:before="240" w:after="0"/>
        <w:jc w:val="left"/>
        <w:rPr/>
      </w:pPr>
      <w:r>
        <w:rPr/>
        <w:t>“</w:t>
      </w:r>
      <w:r>
        <w:rPr>
          <w:rFonts w:ascii="Times New Roman" w:hAnsi="Times New Roman"/>
          <w:b/>
          <w:i/>
          <w:sz w:val="20"/>
        </w:rPr>
        <w:t>Per Share Stock Value</w:t>
      </w:r>
      <w:r>
        <w:rPr>
          <w:rFonts w:ascii="Times New Roman" w:hAnsi="Times New Roman"/>
          <w:sz w:val="20"/>
        </w:rPr>
        <w:t xml:space="preserve">” means an amount equal to (i) the Per Share Stock Closing Amount, multiplied by (ii) the Acquiror Common Price. </w:t>
      </w:r>
    </w:p>
    <w:p>
      <w:pPr>
        <w:pStyle w:val="TextBody"/>
        <w:bidi w:val="0"/>
        <w:spacing w:before="240" w:after="0"/>
        <w:jc w:val="left"/>
        <w:rPr/>
      </w:pPr>
      <w:r>
        <w:rPr/>
        <w:t>“</w:t>
      </w:r>
      <w:r>
        <w:rPr>
          <w:rFonts w:ascii="Times New Roman" w:hAnsi="Times New Roman"/>
          <w:b/>
          <w:i/>
          <w:sz w:val="20"/>
        </w:rPr>
        <w:t>Permitted Encumbrances</w:t>
      </w:r>
      <w:r>
        <w:rPr>
          <w:rFonts w:ascii="Times New Roman" w:hAnsi="Times New Roman"/>
          <w:sz w:val="20"/>
        </w:rPr>
        <w:t xml:space="preserve">” means: (a) Encumbrances for Taxes that are not yet due and payable or for Taxes being contested in good faith for which adequate reserves have been established in accordance with GAAP; (b) deposits or pledges made in connection with, or to secure payment of, workers’ compensation, unemployment insurance or similar programs mandated by applicable Legal Requirements; (c) statutory liens in favor of carriers, warehousemen, mechanics and materialmen, to secure claims for labor, materials or supplies and other like liens which are not yet due and payable or if due, which are being contested in good faith by appropriate proceedings diligently pursued and for which adequate reserves have been established; (d) liens in favor of customs and revenue authorities arising as a matter of Legal Requirements to secure payments of customs duties in connection with the importation of goods; (e) any Encumbrances against the interest of the landlord or sublandlord of any Leased Real Property that are not caused by the Company and do not adversely affect the Company’s leasehold interest in, or the Company’s use of, such Leased Real Property or otherwise materially impair the Company’s business operations at or relating to such Leased Real Property; (f) easements, rights of way, zoning ordinances and other similar encumbrances affecting Leased Real Property as do not and will not materially detract from or interfere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use of the properties subject thereto or affected thereby, or otherwise materially impair business operations involving such properties; (g) non-exclusive licenses to Intellectual Property granted by the Company to third parties in the ordinary course of business consistent with past practice, none of which are material to the business of the Company taken as a whole and (h) such imperfections of title and non-monetary Encumbrances that are not material in amount and that do not and will not materially detract from or interfere with the current use of the properties subject thereto or affected thereby, or otherwise materially impair business operations involving such properties.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natural person, company, corporation, limited liability company, general partnership, limited partnership, trust, proprietorship, joint venture, business organization or Governmental Entity. </w:t>
      </w:r>
    </w:p>
    <w:p>
      <w:pPr>
        <w:pStyle w:val="TextBody"/>
        <w:bidi w:val="0"/>
        <w:spacing w:before="240" w:after="0"/>
        <w:jc w:val="left"/>
        <w:rPr/>
      </w:pPr>
      <w:r>
        <w:rPr/>
        <w:t>“</w:t>
      </w:r>
      <w:r>
        <w:rPr>
          <w:rFonts w:ascii="Times New Roman" w:hAnsi="Times New Roman"/>
          <w:b/>
          <w:i/>
          <w:sz w:val="20"/>
        </w:rPr>
        <w:t>Personal Data</w:t>
      </w:r>
      <w:r>
        <w:rPr>
          <w:rFonts w:ascii="Times New Roman" w:hAnsi="Times New Roman"/>
          <w:sz w:val="20"/>
        </w:rPr>
        <w:t xml:space="preserve">” means: any data or other information about or from an individual, including personal health information and any personally identifiable information (including a person’s first name and last name or first initial and last initial in combination with any one or more of the following data elements that relate to the person), Social Security Number, driver’s license number or state-issued identification card number, or financial account number, or credit or debit card number, with or without the security code, access code, personal identification number or password, that would permit access to a person’s financial account;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“Personal Data” shall not include information that is lawfully obtained from publicly available information, or from federal, state, or local government records lawfully made available to the general public. </w:t>
      </w:r>
    </w:p>
    <w:p>
      <w:pPr>
        <w:pStyle w:val="TextBody"/>
        <w:bidi w:val="0"/>
        <w:spacing w:before="240" w:after="0"/>
        <w:jc w:val="left"/>
        <w:rPr/>
      </w:pPr>
      <w:r>
        <w:rPr/>
        <w:t>“</w:t>
      </w:r>
      <w:r>
        <w:rPr>
          <w:rFonts w:ascii="Times New Roman" w:hAnsi="Times New Roman"/>
          <w:b/>
          <w:i/>
          <w:sz w:val="20"/>
        </w:rPr>
        <w:t>Piper Sandler Engagement Letter</w:t>
      </w:r>
      <w:r>
        <w:rPr>
          <w:rFonts w:ascii="Times New Roman" w:hAnsi="Times New Roman"/>
          <w:sz w:val="20"/>
        </w:rPr>
        <w:t xml:space="preserve">” means that certain engagement letter, by and between the Company and Piper Sandler &amp; Co., dated as of February 4, 2026. </w:t>
      </w:r>
    </w:p>
    <w:p>
      <w:pPr>
        <w:pStyle w:val="TextBody"/>
        <w:bidi w:val="0"/>
        <w:spacing w:before="240" w:after="0"/>
        <w:jc w:val="left"/>
        <w:rPr/>
      </w:pPr>
      <w:r>
        <w:rPr/>
        <w:t>“</w:t>
      </w:r>
      <w:r>
        <w:rPr>
          <w:rFonts w:ascii="Times New Roman" w:hAnsi="Times New Roman"/>
          <w:b/>
          <w:i/>
          <w:sz w:val="20"/>
        </w:rPr>
        <w:t>Piper Sandler Payments</w:t>
      </w:r>
      <w:r>
        <w:rPr>
          <w:rFonts w:ascii="Times New Roman" w:hAnsi="Times New Roman"/>
          <w:sz w:val="20"/>
        </w:rPr>
        <w:t xml:space="preserve">” has the meaning given to it in </w:t>
      </w:r>
      <w:r>
        <w:rPr>
          <w:rFonts w:ascii="Times New Roman" w:hAnsi="Times New Roman"/>
          <w:sz w:val="20"/>
          <w:u w:val="single"/>
        </w:rPr>
        <w:t>Section 6.14(a)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Pre-Closing Tax Period</w:t>
      </w:r>
      <w:r>
        <w:rPr>
          <w:rFonts w:ascii="Times New Roman" w:hAnsi="Times New Roman"/>
          <w:sz w:val="20"/>
        </w:rPr>
        <w:t xml:space="preserve">” means any Tax period ending on or before the Closing Date, and the portion of any Straddle Period ending on and including the Closing Date. </w:t>
      </w:r>
    </w:p>
    <w:p>
      <w:pPr>
        <w:pStyle w:val="TextBody"/>
        <w:bidi w:val="0"/>
        <w:spacing w:before="240" w:after="0"/>
        <w:jc w:val="left"/>
        <w:rPr/>
      </w:pPr>
      <w:r>
        <w:rPr/>
        <w:t>“</w:t>
      </w:r>
      <w:r>
        <w:rPr>
          <w:rFonts w:ascii="Times New Roman" w:hAnsi="Times New Roman"/>
          <w:b/>
          <w:i/>
          <w:sz w:val="20"/>
        </w:rPr>
        <w:t>Preferred Stock</w:t>
      </w:r>
      <w:r>
        <w:rPr>
          <w:rFonts w:ascii="Times New Roman" w:hAnsi="Times New Roman"/>
          <w:sz w:val="20"/>
        </w:rPr>
        <w:t xml:space="preserve">” means the shares of Series Seed Preferred Stock, Series Seed II Preferred Stock, Series Seed II-A Preferred Stock, and Series Seed II-B Preferred Stock. </w:t>
      </w:r>
    </w:p>
    <w:p>
      <w:pPr>
        <w:pStyle w:val="TextBody"/>
        <w:bidi w:val="0"/>
        <w:spacing w:before="240" w:after="0"/>
        <w:jc w:val="left"/>
        <w:rPr/>
      </w:pPr>
      <w:r>
        <w:rPr/>
        <w:t>“</w:t>
      </w:r>
      <w:r>
        <w:rPr>
          <w:rFonts w:ascii="Times New Roman" w:hAnsi="Times New Roman"/>
          <w:b/>
          <w:i/>
          <w:sz w:val="20"/>
        </w:rPr>
        <w:t>Pro Rata Portion</w:t>
      </w:r>
      <w:r>
        <w:rPr>
          <w:rFonts w:ascii="Times New Roman" w:hAnsi="Times New Roman"/>
          <w:sz w:val="20"/>
        </w:rPr>
        <w:t xml:space="preserve">” means with respect to each Escrow Participant, the percentage represented by the quotient of (i) the amount of Merger Consideration payable to such Escrow Participant </w:t>
      </w:r>
      <w:r>
        <w:rPr>
          <w:rFonts w:ascii="Times New Roman" w:hAnsi="Times New Roman"/>
          <w:i/>
          <w:sz w:val="20"/>
        </w:rPr>
        <w:t>divided</w:t>
      </w:r>
      <w:r>
        <w:rPr>
          <w:rFonts w:ascii="Times New Roman" w:hAnsi="Times New Roman"/>
          <w:sz w:val="20"/>
        </w:rPr>
        <w:t xml:space="preserve"> </w:t>
      </w:r>
      <w:r>
        <w:rPr>
          <w:rFonts w:ascii="Times New Roman" w:hAnsi="Times New Roman"/>
          <w:i/>
          <w:sz w:val="20"/>
        </w:rPr>
        <w:t>by</w:t>
      </w:r>
      <w:r>
        <w:rPr>
          <w:rFonts w:ascii="Times New Roman" w:hAnsi="Times New Roman"/>
          <w:sz w:val="20"/>
        </w:rPr>
        <w:t xml:space="preserve"> (ii) the aggregate amount of Merger Consideration payable to all Escrow Participants. </w:t>
      </w:r>
    </w:p>
    <w:p>
      <w:pPr>
        <w:pStyle w:val="TextBody"/>
        <w:bidi w:val="0"/>
        <w:spacing w:before="240" w:after="0"/>
        <w:jc w:val="left"/>
        <w:rPr/>
      </w:pPr>
      <w:r>
        <w:rPr/>
        <w:t>“</w:t>
      </w:r>
      <w:r>
        <w:rPr>
          <w:rFonts w:ascii="Times New Roman" w:hAnsi="Times New Roman"/>
          <w:b/>
          <w:i/>
          <w:sz w:val="20"/>
        </w:rPr>
        <w:t>Proceeding</w:t>
      </w:r>
      <w:r>
        <w:rPr>
          <w:rFonts w:ascii="Times New Roman" w:hAnsi="Times New Roman"/>
          <w:sz w:val="20"/>
        </w:rPr>
        <w:t xml:space="preserve">” means any action, claim, suit, litigation, arbitration, mediation, audit, complaint, investigation, inquiry or other administrative or judicial action or proceeding. </w:t>
      </w:r>
    </w:p>
    <w:p>
      <w:pPr>
        <w:pStyle w:val="TextBody"/>
        <w:bidi w:val="0"/>
        <w:spacing w:before="240" w:after="0"/>
        <w:jc w:val="left"/>
        <w:rPr/>
      </w:pPr>
      <w:r>
        <w:rPr/>
        <w:t>“</w:t>
      </w:r>
      <w:r>
        <w:rPr>
          <w:rFonts w:ascii="Times New Roman" w:hAnsi="Times New Roman"/>
          <w:b/>
          <w:i/>
          <w:sz w:val="20"/>
        </w:rPr>
        <w:t>Product</w:t>
      </w:r>
      <w:r>
        <w:rPr>
          <w:rFonts w:ascii="Times New Roman" w:hAnsi="Times New Roman"/>
          <w:sz w:val="20"/>
        </w:rPr>
        <w:t xml:space="preserve">” means any pharmaceutical product, in any form, both: (a) that contains, as an active ingredient therein, one or more Company Active Ingredients, including combination products that contain active ingredients in addition to a Company Active Ingredient and (b) is Covered by a Valid Claim of an Acquired Patent. </w:t>
      </w:r>
    </w:p>
    <w:p>
      <w:pPr>
        <w:pStyle w:val="TextBody"/>
        <w:bidi w:val="0"/>
        <w:spacing w:before="240" w:after="0"/>
        <w:jc w:val="left"/>
        <w:rPr/>
      </w:pPr>
      <w:r>
        <w:rPr/>
        <w:t>“</w:t>
      </w:r>
      <w:r>
        <w:rPr>
          <w:rFonts w:ascii="Times New Roman" w:hAnsi="Times New Roman"/>
          <w:b/>
          <w:i/>
          <w:sz w:val="20"/>
        </w:rPr>
        <w:t>Property</w:t>
      </w:r>
      <w:r>
        <w:rPr>
          <w:rFonts w:ascii="Times New Roman" w:hAnsi="Times New Roman"/>
          <w:sz w:val="20"/>
        </w:rPr>
        <w:t xml:space="preserve">” means all real property leased or owned by the Company. </w:t>
      </w:r>
    </w:p>
    <w:p>
      <w:pPr>
        <w:pStyle w:val="TextBody"/>
        <w:bidi w:val="0"/>
        <w:spacing w:before="240" w:after="0"/>
        <w:jc w:val="left"/>
        <w:rPr/>
      </w:pPr>
      <w:r>
        <w:rPr/>
        <w:t>“</w:t>
      </w:r>
      <w:r>
        <w:rPr>
          <w:rFonts w:ascii="Times New Roman" w:hAnsi="Times New Roman"/>
          <w:b/>
          <w:i/>
          <w:sz w:val="20"/>
        </w:rPr>
        <w:t>Reasonable Likelihood of Recovery</w:t>
      </w:r>
      <w:r>
        <w:rPr>
          <w:rFonts w:ascii="Times New Roman" w:hAnsi="Times New Roman"/>
          <w:sz w:val="20"/>
        </w:rPr>
        <w:t xml:space="preserve">” means, with respect to any indemnification claim, that the facts and circumstances presented by the Indemnified Party, evaluated in light of the applicable provisions of this Agreement, establish that the Indemnified Party has a reasonable basis to believe it will recover the claimed Damages (in whole or in part) under </w:t>
      </w:r>
      <w:r>
        <w:rPr>
          <w:rFonts w:ascii="Times New Roman" w:hAnsi="Times New Roman"/>
          <w:sz w:val="20"/>
          <w:u w:val="single"/>
        </w:rPr>
        <w:t>Article IX</w:t>
      </w:r>
      <w:r>
        <w:rPr>
          <w:rFonts w:ascii="Times New Roman" w:hAnsi="Times New Roman"/>
          <w:sz w:val="20"/>
        </w:rPr>
        <w:t xml:space="preserve">, taking into account the nature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alleged breach or loss, the reasonably available evidence, and the terms and limitations of the indemnification obligations set forth under </w:t>
      </w:r>
      <w:r>
        <w:rPr>
          <w:rFonts w:ascii="Times New Roman" w:hAnsi="Times New Roman"/>
          <w:sz w:val="20"/>
          <w:u w:val="single"/>
        </w:rPr>
        <w:t>Article IX</w:t>
      </w:r>
      <w:r>
        <w:rPr>
          <w:rFonts w:ascii="Times New Roman" w:hAnsi="Times New Roman"/>
          <w:sz w:val="20"/>
        </w:rPr>
        <w:t xml:space="preserve">. For clarity, such standard is intended to be analogous to the standard for a preliminary injunction or attachment (i.e., a likelihood of success on the merits) and shall not require proof by a preponderance of the evidence or any higher standard. </w:t>
      </w:r>
    </w:p>
    <w:p>
      <w:pPr>
        <w:pStyle w:val="TextBody"/>
        <w:bidi w:val="0"/>
        <w:spacing w:before="240" w:after="0"/>
        <w:jc w:val="left"/>
        <w:rPr/>
      </w:pPr>
      <w:r>
        <w:rPr/>
        <w:t>“</w:t>
      </w:r>
      <w:r>
        <w:rPr>
          <w:rFonts w:ascii="Times New Roman" w:hAnsi="Times New Roman"/>
          <w:b/>
          <w:i/>
          <w:sz w:val="20"/>
        </w:rPr>
        <w:t>Registered Company IP</w:t>
      </w:r>
      <w:r>
        <w:rPr>
          <w:rFonts w:ascii="Times New Roman" w:hAnsi="Times New Roman"/>
          <w:sz w:val="20"/>
        </w:rPr>
        <w:t xml:space="preserve">” means all Company Intellectual Property that is the subject of any registration, filing, issuance, or application with the U.S. Patent and Trademark Office, the U.S. Copyright Office or any similar foreign office or agency, or, for domain names, an Internet domain name registrar, including all patents, registered marks, applications for marks, registered copyrights, applications for copyrights, and domain name registrations, in each case whether owned by, filed by, or exclusively licensed to the Company. </w:t>
      </w:r>
    </w:p>
    <w:p>
      <w:pPr>
        <w:pStyle w:val="TextBody"/>
        <w:bidi w:val="0"/>
        <w:spacing w:before="240" w:after="0"/>
        <w:jc w:val="left"/>
        <w:rPr/>
      </w:pPr>
      <w:r>
        <w:rPr/>
        <w:t>“</w:t>
      </w:r>
      <w:r>
        <w:rPr>
          <w:rFonts w:ascii="Times New Roman" w:hAnsi="Times New Roman"/>
          <w:b/>
          <w:i/>
          <w:sz w:val="20"/>
        </w:rPr>
        <w:t>Regulatory Approval</w:t>
      </w:r>
      <w:r>
        <w:rPr>
          <w:rFonts w:ascii="Times New Roman" w:hAnsi="Times New Roman"/>
          <w:sz w:val="20"/>
        </w:rPr>
        <w:t xml:space="preserve">” means any and all licenses, registrations, permits, certificates, authorizations (including marketing authorizations) and approvals (including approvals of NDAs, Device Approvals, INDs, IDE, supplements and amendments) of the relevant Regulatory Authority necessary for the development (including all pre-clinical and clinical development, including toxicology, pharmacology, test method development and stability testing, biocompatibility, process development, formulation development, quality control development, statistical analysis, clinical trials, manufacturing and regulatory activities, that are required to obtain Regulatory Approval of a Product), manufacture, use, storage, import, transport or commercialization (including marketing, promoting, distributing, importing or exporting for sale, offering for sale, and selling of the Product, and interacting with Regulatory Authorities regarding the foregoing) of Product in a particular country or jurisdiction. </w:t>
      </w:r>
    </w:p>
    <w:p>
      <w:pPr>
        <w:pStyle w:val="TextBody"/>
        <w:bidi w:val="0"/>
        <w:spacing w:before="240" w:after="0"/>
        <w:jc w:val="left"/>
        <w:rPr/>
      </w:pPr>
      <w:r>
        <w:rPr/>
        <w:t>“</w:t>
      </w:r>
      <w:r>
        <w:rPr>
          <w:rFonts w:ascii="Times New Roman" w:hAnsi="Times New Roman"/>
          <w:b/>
          <w:i/>
          <w:sz w:val="20"/>
        </w:rPr>
        <w:t>Regulatory Authority</w:t>
      </w:r>
      <w:r>
        <w:rPr>
          <w:rFonts w:ascii="Times New Roman" w:hAnsi="Times New Roman"/>
          <w:sz w:val="20"/>
        </w:rPr>
        <w:t xml:space="preserve">” means: (a) in the US, the FDA; (b) in the EU, the European Medicines Agency or the European Commission; or (c) in any other jurisdiction anywhere in the world, any regulatory body with similar regulatory authority over pharmaceutical or biotechnology products. </w:t>
      </w:r>
    </w:p>
    <w:p>
      <w:pPr>
        <w:pStyle w:val="TextBody"/>
        <w:bidi w:val="0"/>
        <w:spacing w:before="240" w:after="0"/>
        <w:jc w:val="left"/>
        <w:rPr/>
      </w:pPr>
      <w:r>
        <w:rPr/>
        <w:t>“</w:t>
      </w:r>
      <w:r>
        <w:rPr>
          <w:rFonts w:ascii="Times New Roman" w:hAnsi="Times New Roman"/>
          <w:b/>
          <w:i/>
          <w:sz w:val="20"/>
        </w:rPr>
        <w:t>Regulatory Milestone</w:t>
      </w:r>
      <w:r>
        <w:rPr>
          <w:rFonts w:ascii="Times New Roman" w:hAnsi="Times New Roman"/>
          <w:sz w:val="20"/>
        </w:rPr>
        <w:t xml:space="preserve">” means each particular Regulatory Milestone Event set forth on </w:t>
      </w:r>
      <w:r>
        <w:rPr>
          <w:rFonts w:ascii="Times New Roman" w:hAnsi="Times New Roman"/>
          <w:sz w:val="20"/>
          <w:u w:val="single"/>
        </w:rPr>
        <w:t>Schedule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Regulatory Milestone Event</w:t>
      </w:r>
      <w:r>
        <w:rPr>
          <w:rFonts w:ascii="Times New Roman" w:hAnsi="Times New Roman"/>
          <w:sz w:val="20"/>
        </w:rPr>
        <w:t xml:space="preserve">” has the meaning given to it in </w:t>
      </w:r>
      <w:r>
        <w:rPr>
          <w:rFonts w:ascii="Times New Roman" w:hAnsi="Times New Roman"/>
          <w:sz w:val="20"/>
          <w:u w:val="single"/>
        </w:rPr>
        <w:t>Schedule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Regulatory Milestone Update Report</w:t>
      </w:r>
      <w:r>
        <w:rPr>
          <w:rFonts w:ascii="Times New Roman" w:hAnsi="Times New Roman"/>
          <w:sz w:val="20"/>
        </w:rPr>
        <w:t xml:space="preserve">” has the meaning given to it in </w:t>
      </w:r>
      <w:r>
        <w:rPr>
          <w:rFonts w:ascii="Times New Roman" w:hAnsi="Times New Roman"/>
          <w:sz w:val="20"/>
          <w:u w:val="single"/>
        </w:rPr>
        <w:t>Section 2.9(h)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Release</w:t>
      </w:r>
      <w:r>
        <w:rPr>
          <w:rFonts w:ascii="Times New Roman" w:hAnsi="Times New Roman"/>
          <w:sz w:val="20"/>
        </w:rPr>
        <w:t xml:space="preserve">” means any release, spill, emission, discharge, leaking, pumping, injection, deposit, disposal, dispersal, leaching or migration into the indoor or outdoor environment (including ambient air, surface water, groundwater and surface land or subsurface soils) or into or out of any Facilities or Property, including the movement of Hazardous Materials through or in the air, land, soil, surface water, groundwater, Facilities or Property. </w:t>
      </w:r>
    </w:p>
    <w:p>
      <w:pPr>
        <w:pStyle w:val="TextBody"/>
        <w:bidi w:val="0"/>
        <w:spacing w:before="240" w:after="0"/>
        <w:jc w:val="left"/>
        <w:rPr/>
      </w:pPr>
      <w:r>
        <w:rPr/>
        <w:t>“</w:t>
      </w:r>
      <w:r>
        <w:rPr>
          <w:rFonts w:ascii="Times New Roman" w:hAnsi="Times New Roman"/>
          <w:b/>
          <w:i/>
          <w:sz w:val="20"/>
        </w:rPr>
        <w:t>Requisite Stockholder Approval</w:t>
      </w:r>
      <w:r>
        <w:rPr>
          <w:rFonts w:ascii="Times New Roman" w:hAnsi="Times New Roman"/>
          <w:sz w:val="20"/>
        </w:rPr>
        <w:t xml:space="preserve">” shall mean the approval of (i) the holders of at least a majority of the issued and outstanding shares of Preferred Stock of the Company, and (ii) the holders of at least a majority of the issued and outstanding shares of Company Capital Stock, voting together as a single class. </w:t>
      </w:r>
    </w:p>
    <w:p>
      <w:pPr>
        <w:pStyle w:val="TextBody"/>
        <w:bidi w:val="0"/>
        <w:spacing w:before="240" w:after="0"/>
        <w:jc w:val="left"/>
        <w:rPr/>
      </w:pPr>
      <w:r>
        <w:rPr/>
        <w:t>“</w:t>
      </w:r>
      <w:r>
        <w:rPr>
          <w:rFonts w:ascii="Times New Roman" w:hAnsi="Times New Roman"/>
          <w:b/>
          <w:i/>
          <w:sz w:val="20"/>
        </w:rPr>
        <w:t>Reserve Account</w:t>
      </w:r>
      <w:r>
        <w:rPr>
          <w:rFonts w:ascii="Times New Roman" w:hAnsi="Times New Roman"/>
          <w:sz w:val="20"/>
        </w:rPr>
        <w:t xml:space="preserve">” has the meaning given to in </w:t>
      </w:r>
      <w:r>
        <w:rPr>
          <w:rFonts w:ascii="Times New Roman" w:hAnsi="Times New Roman"/>
          <w:sz w:val="20"/>
          <w:u w:val="single"/>
        </w:rPr>
        <w:t>Section 10.11(c)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Reserve Amount</w:t>
      </w:r>
      <w:r>
        <w:rPr>
          <w:rFonts w:ascii="Times New Roman" w:hAnsi="Times New Roman"/>
          <w:sz w:val="20"/>
        </w:rPr>
        <w:t xml:space="preserve">” has the meaning given to in </w:t>
      </w:r>
      <w:r>
        <w:rPr>
          <w:rFonts w:ascii="Times New Roman" w:hAnsi="Times New Roman"/>
          <w:sz w:val="20"/>
          <w:u w:val="single"/>
        </w:rPr>
        <w:t>Section 10.11(c)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Residual Amount</w:t>
      </w:r>
      <w:r>
        <w:rPr>
          <w:rFonts w:ascii="Times New Roman" w:hAnsi="Times New Roman"/>
          <w:sz w:val="20"/>
        </w:rPr>
        <w:t xml:space="preserve">” means an amount equal to: (a) the Merger Consideration; </w:t>
      </w:r>
      <w:r>
        <w:rPr>
          <w:rFonts w:ascii="Times New Roman" w:hAnsi="Times New Roman"/>
          <w:i/>
          <w:sz w:val="20"/>
        </w:rPr>
        <w:t xml:space="preserve">minus </w:t>
      </w:r>
      <w:r>
        <w:rPr>
          <w:rFonts w:ascii="Times New Roman" w:hAnsi="Times New Roman"/>
          <w:sz w:val="20"/>
        </w:rPr>
        <w:t xml:space="preserve">(b) the Aggregate Liquidation Preference.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Residual Per Share Merger Consideration</w:t>
      </w:r>
      <w:r>
        <w:rPr>
          <w:rFonts w:ascii="Times New Roman" w:hAnsi="Times New Roman"/>
          <w:sz w:val="20"/>
        </w:rPr>
        <w:t xml:space="preserve">” means the dollar amount, rounded to four decimal places, equal to the quotient obtained by </w:t>
      </w:r>
      <w:r>
        <w:rPr>
          <w:rFonts w:ascii="Times New Roman" w:hAnsi="Times New Roman"/>
          <w:i/>
          <w:sz w:val="20"/>
        </w:rPr>
        <w:t>dividing</w:t>
      </w:r>
      <w:r>
        <w:rPr>
          <w:rFonts w:ascii="Times New Roman" w:hAnsi="Times New Roman"/>
          <w:sz w:val="20"/>
        </w:rPr>
        <w:t xml:space="preserve">: (a) the Residual Amount; by (b) the Total Stock. </w:t>
      </w:r>
    </w:p>
    <w:p>
      <w:pPr>
        <w:pStyle w:val="TextBody"/>
        <w:bidi w:val="0"/>
        <w:spacing w:before="240" w:after="0"/>
        <w:jc w:val="left"/>
        <w:rPr/>
      </w:pPr>
      <w:r>
        <w:rPr/>
        <w:t>“</w:t>
      </w:r>
      <w:r>
        <w:rPr>
          <w:rFonts w:ascii="Times New Roman" w:hAnsi="Times New Roman"/>
          <w:b/>
          <w:i/>
          <w:sz w:val="20"/>
        </w:rPr>
        <w:t>Resolution Period</w:t>
      </w:r>
      <w:r>
        <w:rPr>
          <w:rFonts w:ascii="Times New Roman" w:hAnsi="Times New Roman"/>
          <w:sz w:val="20"/>
        </w:rPr>
        <w:t xml:space="preserve">” has the meaning given to in </w:t>
      </w:r>
      <w:r>
        <w:rPr>
          <w:rFonts w:ascii="Times New Roman" w:hAnsi="Times New Roman"/>
          <w:sz w:val="20"/>
          <w:u w:val="single"/>
        </w:rPr>
        <w:t>Section 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Restricted Cash</w:t>
      </w:r>
      <w:r>
        <w:rPr>
          <w:rFonts w:ascii="Times New Roman" w:hAnsi="Times New Roman"/>
          <w:sz w:val="20"/>
        </w:rPr>
        <w:t xml:space="preserve">” means security deposits, escrows, legal retainers, supplier cash deposits, cash that cannot be distributed by the Company to its stockholders under any applicable Legal Requirement or Contract or that cannot be distributed by the Company to its stockholders without the Company incurring a Tax, penalty, offset or obligation to replenish, or other similar amounts. </w:t>
      </w:r>
    </w:p>
    <w:p>
      <w:pPr>
        <w:pStyle w:val="TextBody"/>
        <w:bidi w:val="0"/>
        <w:spacing w:before="240" w:after="0"/>
        <w:jc w:val="left"/>
        <w:rPr/>
      </w:pPr>
      <w:r>
        <w:rPr/>
        <w:t>“</w:t>
      </w:r>
      <w:r>
        <w:rPr>
          <w:rFonts w:ascii="Times New Roman" w:hAnsi="Times New Roman"/>
          <w:b/>
          <w:i/>
          <w:sz w:val="20"/>
        </w:rPr>
        <w:t>Retention Escrow Account</w:t>
      </w:r>
      <w:r>
        <w:rPr>
          <w:rFonts w:ascii="Times New Roman" w:hAnsi="Times New Roman"/>
          <w:sz w:val="20"/>
        </w:rPr>
        <w:t xml:space="preserve">” means the interest-bearing escrow account established by the Escrow Agent pursuant to the Escrow Agreement to hold the Retention Escrow Amount. </w:t>
      </w:r>
    </w:p>
    <w:p>
      <w:pPr>
        <w:pStyle w:val="TextBody"/>
        <w:bidi w:val="0"/>
        <w:spacing w:before="240" w:after="0"/>
        <w:jc w:val="left"/>
        <w:rPr/>
      </w:pPr>
      <w:r>
        <w:rPr/>
        <w:t>“</w:t>
      </w:r>
      <w:r>
        <w:rPr>
          <w:rFonts w:ascii="Times New Roman" w:hAnsi="Times New Roman"/>
          <w:b/>
          <w:i/>
          <w:sz w:val="20"/>
        </w:rPr>
        <w:t>Retention Escrow Amount</w:t>
      </w:r>
      <w:r>
        <w:rPr>
          <w:rFonts w:ascii="Times New Roman" w:hAnsi="Times New Roman"/>
          <w:sz w:val="20"/>
        </w:rPr>
        <w:t xml:space="preserve">” means $225,000. </w:t>
      </w:r>
    </w:p>
    <w:p>
      <w:pPr>
        <w:pStyle w:val="TextBody"/>
        <w:bidi w:val="0"/>
        <w:spacing w:before="240" w:after="0"/>
        <w:jc w:val="left"/>
        <w:rPr/>
      </w:pPr>
      <w:r>
        <w:rPr/>
        <w:t>“</w:t>
      </w:r>
      <w:r>
        <w:rPr>
          <w:rFonts w:ascii="Times New Roman" w:hAnsi="Times New Roman"/>
          <w:b/>
          <w:i/>
          <w:sz w:val="20"/>
        </w:rPr>
        <w:t>Royalty Payment</w:t>
      </w:r>
      <w:r>
        <w:rPr>
          <w:rFonts w:ascii="Times New Roman" w:hAnsi="Times New Roman"/>
          <w:sz w:val="20"/>
        </w:rPr>
        <w:t>” and “</w:t>
      </w:r>
      <w:r>
        <w:rPr>
          <w:rFonts w:ascii="Times New Roman" w:hAnsi="Times New Roman"/>
          <w:b/>
          <w:i/>
          <w:sz w:val="20"/>
        </w:rPr>
        <w:t>Royalty Payments</w:t>
      </w:r>
      <w:r>
        <w:rPr>
          <w:rFonts w:ascii="Times New Roman" w:hAnsi="Times New Roman"/>
          <w:sz w:val="20"/>
        </w:rPr>
        <w:t xml:space="preserve">” each have the meaning given to such terms in </w:t>
      </w:r>
      <w:r>
        <w:rPr>
          <w:rFonts w:ascii="Times New Roman" w:hAnsi="Times New Roman"/>
          <w:sz w:val="20"/>
          <w:u w:val="single"/>
        </w:rPr>
        <w:t>Section 2.9(d)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Royalty Payment Percentage</w:t>
      </w:r>
      <w:r>
        <w:rPr>
          <w:rFonts w:ascii="Times New Roman" w:hAnsi="Times New Roman"/>
          <w:sz w:val="20"/>
        </w:rPr>
        <w:t xml:space="preserve">” means the applicable percentage, as set forth in </w:t>
      </w:r>
      <w:r>
        <w:rPr>
          <w:rFonts w:ascii="Times New Roman" w:hAnsi="Times New Roman"/>
          <w:sz w:val="20"/>
          <w:u w:val="single"/>
        </w:rPr>
        <w:t>Schedule 2.9</w:t>
      </w:r>
      <w:r>
        <w:rPr>
          <w:rFonts w:ascii="Times New Roman" w:hAnsi="Times New Roman"/>
          <w:sz w:val="20"/>
        </w:rPr>
        <w:t xml:space="preserve">, of Net Sales of Products. </w:t>
      </w:r>
    </w:p>
    <w:p>
      <w:pPr>
        <w:pStyle w:val="TextBody"/>
        <w:bidi w:val="0"/>
        <w:spacing w:before="240" w:after="0"/>
        <w:jc w:val="left"/>
        <w:rPr/>
      </w:pPr>
      <w:r>
        <w:rPr/>
        <w:t>“</w:t>
      </w:r>
      <w:r>
        <w:rPr>
          <w:rFonts w:ascii="Times New Roman" w:hAnsi="Times New Roman"/>
          <w:b/>
          <w:i/>
          <w:sz w:val="20"/>
        </w:rPr>
        <w:t>Royalty Term</w:t>
      </w:r>
      <w:r>
        <w:rPr>
          <w:rFonts w:ascii="Times New Roman" w:hAnsi="Times New Roman"/>
          <w:sz w:val="20"/>
        </w:rPr>
        <w:t xml:space="preserve">” has the meaning given to it in Section 4.2 of </w:t>
      </w:r>
      <w:r>
        <w:rPr>
          <w:rFonts w:ascii="Times New Roman" w:hAnsi="Times New Roman"/>
          <w:sz w:val="20"/>
          <w:u w:val="single"/>
        </w:rPr>
        <w:t>Schedule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Securityholders’ Representative</w:t>
      </w:r>
      <w:r>
        <w:rPr>
          <w:rFonts w:ascii="Times New Roman" w:hAnsi="Times New Roman"/>
          <w:sz w:val="20"/>
        </w:rPr>
        <w:t xml:space="preserve">” has the meaning given to it in </w:t>
      </w:r>
      <w:r>
        <w:rPr>
          <w:rFonts w:ascii="Times New Roman" w:hAnsi="Times New Roman"/>
          <w:sz w:val="20"/>
          <w:u w:val="single"/>
        </w:rPr>
        <w:t>Section 10.11(a)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Seller Group</w:t>
      </w:r>
      <w:r>
        <w:rPr>
          <w:rFonts w:ascii="Times New Roman" w:hAnsi="Times New Roman"/>
          <w:sz w:val="20"/>
        </w:rPr>
        <w:t xml:space="preserve">” has the meaning given to it in </w:t>
      </w:r>
      <w:r>
        <w:rPr>
          <w:rFonts w:ascii="Times New Roman" w:hAnsi="Times New Roman"/>
          <w:sz w:val="20"/>
          <w:u w:val="single"/>
        </w:rPr>
        <w:t>Section 10.12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Series Seed Preferred Stock</w:t>
      </w:r>
      <w:r>
        <w:rPr>
          <w:rFonts w:ascii="Times New Roman" w:hAnsi="Times New Roman"/>
          <w:sz w:val="20"/>
        </w:rPr>
        <w:t xml:space="preserve">” means the Series Seed Preferred Stock of the Company. </w:t>
      </w:r>
    </w:p>
    <w:p>
      <w:pPr>
        <w:pStyle w:val="TextBody"/>
        <w:bidi w:val="0"/>
        <w:spacing w:before="240" w:after="0"/>
        <w:jc w:val="left"/>
        <w:rPr/>
      </w:pPr>
      <w:r>
        <w:rPr/>
        <w:t>“</w:t>
      </w:r>
      <w:r>
        <w:rPr>
          <w:rFonts w:ascii="Times New Roman" w:hAnsi="Times New Roman"/>
          <w:b/>
          <w:i/>
          <w:sz w:val="20"/>
        </w:rPr>
        <w:t>Series Seed Price Per Share</w:t>
      </w:r>
      <w:r>
        <w:rPr>
          <w:rFonts w:ascii="Times New Roman" w:hAnsi="Times New Roman"/>
          <w:sz w:val="20"/>
        </w:rPr>
        <w:t xml:space="preserve">” means $0.11 plus the amount of any and all dividends on shares of Series Seed Preferred Stock that are declared and unpaid prior to the Effective Time. </w:t>
      </w:r>
    </w:p>
    <w:p>
      <w:pPr>
        <w:pStyle w:val="TextBody"/>
        <w:bidi w:val="0"/>
        <w:spacing w:before="240" w:after="0"/>
        <w:jc w:val="left"/>
        <w:rPr/>
      </w:pPr>
      <w:r>
        <w:rPr/>
        <w:t>“</w:t>
      </w:r>
      <w:r>
        <w:rPr>
          <w:rFonts w:ascii="Times New Roman" w:hAnsi="Times New Roman"/>
          <w:b/>
          <w:i/>
          <w:sz w:val="20"/>
        </w:rPr>
        <w:t>Series Seed II Preferred Stock</w:t>
      </w:r>
      <w:r>
        <w:rPr>
          <w:rFonts w:ascii="Times New Roman" w:hAnsi="Times New Roman"/>
          <w:sz w:val="20"/>
        </w:rPr>
        <w:t xml:space="preserve">” means the Series Seed II Preferred Stock of the Company. </w:t>
      </w:r>
    </w:p>
    <w:p>
      <w:pPr>
        <w:pStyle w:val="TextBody"/>
        <w:bidi w:val="0"/>
        <w:spacing w:before="240" w:after="0"/>
        <w:jc w:val="left"/>
        <w:rPr/>
      </w:pPr>
      <w:r>
        <w:rPr/>
        <w:t>“</w:t>
      </w:r>
      <w:r>
        <w:rPr>
          <w:rFonts w:ascii="Times New Roman" w:hAnsi="Times New Roman"/>
          <w:b/>
          <w:i/>
          <w:sz w:val="20"/>
        </w:rPr>
        <w:t>Series Seed II Price Per Share</w:t>
      </w:r>
      <w:r>
        <w:rPr>
          <w:rFonts w:ascii="Times New Roman" w:hAnsi="Times New Roman"/>
          <w:sz w:val="20"/>
        </w:rPr>
        <w:t xml:space="preserve">” means $2.1332 plus the amount of any and all dividends on shares of Series Seed II Preferred Stock that are declared and unpaid prior to the Effective Time. </w:t>
      </w:r>
    </w:p>
    <w:p>
      <w:pPr>
        <w:pStyle w:val="TextBody"/>
        <w:bidi w:val="0"/>
        <w:spacing w:before="240" w:after="0"/>
        <w:jc w:val="left"/>
        <w:rPr/>
      </w:pPr>
      <w:r>
        <w:rPr/>
        <w:t>“</w:t>
      </w:r>
      <w:r>
        <w:rPr>
          <w:rFonts w:ascii="Times New Roman" w:hAnsi="Times New Roman"/>
          <w:b/>
          <w:i/>
          <w:sz w:val="20"/>
        </w:rPr>
        <w:t>Series Seed II-A Preferred Stock</w:t>
      </w:r>
      <w:r>
        <w:rPr>
          <w:rFonts w:ascii="Times New Roman" w:hAnsi="Times New Roman"/>
          <w:sz w:val="20"/>
        </w:rPr>
        <w:t xml:space="preserve">” means the Series Seed II-A Preferred Stock of the Company. </w:t>
      </w:r>
    </w:p>
    <w:p>
      <w:pPr>
        <w:pStyle w:val="TextBody"/>
        <w:bidi w:val="0"/>
        <w:spacing w:before="240" w:after="0"/>
        <w:jc w:val="left"/>
        <w:rPr/>
      </w:pPr>
      <w:r>
        <w:rPr/>
        <w:t>“</w:t>
      </w:r>
      <w:r>
        <w:rPr>
          <w:rFonts w:ascii="Times New Roman" w:hAnsi="Times New Roman"/>
          <w:b/>
          <w:i/>
          <w:sz w:val="20"/>
        </w:rPr>
        <w:t>Series Seed II-A Price Per Share</w:t>
      </w:r>
      <w:r>
        <w:rPr>
          <w:rFonts w:ascii="Times New Roman" w:hAnsi="Times New Roman"/>
          <w:sz w:val="20"/>
        </w:rPr>
        <w:t xml:space="preserve">” means $1.3594 plus the amount of any and all dividends on shares of Series Seed II-A Preferred Stock that are declared and unpaid prior to the Effective Time. </w:t>
      </w:r>
    </w:p>
    <w:p>
      <w:pPr>
        <w:pStyle w:val="TextBody"/>
        <w:bidi w:val="0"/>
        <w:spacing w:before="240" w:after="0"/>
        <w:jc w:val="left"/>
        <w:rPr/>
      </w:pPr>
      <w:r>
        <w:rPr/>
        <w:t>“</w:t>
      </w:r>
      <w:r>
        <w:rPr>
          <w:rFonts w:ascii="Times New Roman" w:hAnsi="Times New Roman"/>
          <w:b/>
          <w:i/>
          <w:sz w:val="20"/>
        </w:rPr>
        <w:t>Series Seed II-B Preferred Stock</w:t>
      </w:r>
      <w:r>
        <w:rPr>
          <w:rFonts w:ascii="Times New Roman" w:hAnsi="Times New Roman"/>
          <w:sz w:val="20"/>
        </w:rPr>
        <w:t xml:space="preserve">” means the Series Seed II-B Preferred Stock of the Company. </w:t>
      </w:r>
    </w:p>
    <w:p>
      <w:pPr>
        <w:pStyle w:val="TextBody"/>
        <w:bidi w:val="0"/>
        <w:spacing w:before="240" w:after="0"/>
        <w:jc w:val="left"/>
        <w:rPr/>
      </w:pPr>
      <w:r>
        <w:rPr/>
        <w:t>“</w:t>
      </w:r>
      <w:r>
        <w:rPr>
          <w:rFonts w:ascii="Times New Roman" w:hAnsi="Times New Roman"/>
          <w:b/>
          <w:i/>
          <w:sz w:val="20"/>
        </w:rPr>
        <w:t>Series Seed II-B Price Per Share</w:t>
      </w:r>
      <w:r>
        <w:rPr>
          <w:rFonts w:ascii="Times New Roman" w:hAnsi="Times New Roman"/>
          <w:sz w:val="20"/>
        </w:rPr>
        <w:t xml:space="preserve">” means $1.8126 plus the amount of any and all dividends on shares of Series Seed II-B Preferred Stock that are declared and unpaid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Setoff Arbitrator</w:t>
      </w:r>
      <w:r>
        <w:rPr>
          <w:rFonts w:ascii="Times New Roman" w:hAnsi="Times New Roman"/>
          <w:sz w:val="20"/>
        </w:rPr>
        <w:t xml:space="preserve">” has the meaning given to it in </w:t>
      </w:r>
      <w:r>
        <w:rPr>
          <w:rFonts w:ascii="Times New Roman" w:hAnsi="Times New Roman"/>
          <w:sz w:val="20"/>
          <w:u w:val="single"/>
        </w:rPr>
        <w:t>Section 9.2(h)(iii)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Setoff Determination</w:t>
      </w:r>
      <w:r>
        <w:rPr>
          <w:rFonts w:ascii="Times New Roman" w:hAnsi="Times New Roman"/>
          <w:sz w:val="20"/>
        </w:rPr>
        <w:t xml:space="preserve">” has the meaning given to it in </w:t>
      </w:r>
      <w:r>
        <w:rPr>
          <w:rFonts w:ascii="Times New Roman" w:hAnsi="Times New Roman"/>
          <w:sz w:val="20"/>
          <w:u w:val="single"/>
        </w:rPr>
        <w:t>Section 9.2(h)(iii)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Setoff Standard</w:t>
      </w:r>
      <w:r>
        <w:rPr>
          <w:rFonts w:ascii="Times New Roman" w:hAnsi="Times New Roman"/>
          <w:sz w:val="20"/>
        </w:rPr>
        <w:t>” has the meaning given to it in Section</w:t>
      </w:r>
      <w:r>
        <w:rPr>
          <w:rFonts w:ascii="Times New Roman" w:hAnsi="Times New Roman"/>
          <w:sz w:val="20"/>
          <w:u w:val="single"/>
        </w:rPr>
        <w:t> 9.2(h)(iii)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Spreadsheet</w:t>
      </w:r>
      <w:r>
        <w:rPr>
          <w:rFonts w:ascii="Times New Roman" w:hAnsi="Times New Roman"/>
          <w:sz w:val="20"/>
        </w:rPr>
        <w:t xml:space="preserve">” has the meaning given to it in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Straddle Period</w:t>
      </w:r>
      <w:r>
        <w:rPr>
          <w:rFonts w:ascii="Times New Roman" w:hAnsi="Times New Roman"/>
          <w:sz w:val="20"/>
        </w:rPr>
        <w:t xml:space="preserve">” means any Tax period that begins before and ends after the Closing Date.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any corporation, association, business entity, partnership, limited liability company or other Person of which the Company, either alone or together with one or more Subsidiaries or by one or more other Subsidiaries (a) directly or indirectly owns or controls securities or other interests representing more than 50% of the voting power of such Person, or (b) is entitled, by Contract or otherwise, to elect, appoint or designate directors constituting a majority of the members of such Person’s board of directors or other governing body. </w:t>
      </w:r>
    </w:p>
    <w:p>
      <w:pPr>
        <w:pStyle w:val="TextBody"/>
        <w:bidi w:val="0"/>
        <w:spacing w:before="240" w:after="0"/>
        <w:jc w:val="left"/>
        <w:rPr/>
      </w:pPr>
      <w:r>
        <w:rPr/>
        <w:t>“</w:t>
      </w:r>
      <w:r>
        <w:rPr>
          <w:rFonts w:ascii="Times New Roman" w:hAnsi="Times New Roman"/>
          <w:b/>
          <w:i/>
          <w:sz w:val="20"/>
        </w:rPr>
        <w:t>Successor Entity</w:t>
      </w:r>
      <w:r>
        <w:rPr>
          <w:rFonts w:ascii="Times New Roman" w:hAnsi="Times New Roman"/>
          <w:sz w:val="20"/>
        </w:rPr>
        <w:t xml:space="preserve">” has the meaning given to it in </w:t>
      </w:r>
      <w:r>
        <w:rPr>
          <w:rFonts w:ascii="Times New Roman" w:hAnsi="Times New Roman"/>
          <w:sz w:val="20"/>
          <w:u w:val="single"/>
        </w:rPr>
        <w:t>Section 2.9(j)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Surviving Corporation</w:t>
      </w:r>
      <w:r>
        <w:rPr>
          <w:rFonts w:ascii="Times New Roman" w:hAnsi="Times New Roman"/>
          <w:sz w:val="20"/>
        </w:rPr>
        <w:t xml:space="preserve">” has the meaning given to it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Tax</w:t>
      </w:r>
      <w:r>
        <w:rPr>
          <w:rFonts w:ascii="Times New Roman" w:hAnsi="Times New Roman"/>
          <w:sz w:val="20"/>
        </w:rPr>
        <w:t>” (and, with correlative meaning, “</w:t>
      </w:r>
      <w:r>
        <w:rPr>
          <w:rFonts w:ascii="Times New Roman" w:hAnsi="Times New Roman"/>
          <w:b/>
          <w:i/>
          <w:sz w:val="20"/>
        </w:rPr>
        <w:t>Taxes</w:t>
      </w:r>
      <w:r>
        <w:rPr>
          <w:rFonts w:ascii="Times New Roman" w:hAnsi="Times New Roman"/>
          <w:sz w:val="20"/>
        </w:rPr>
        <w:t>” and “</w:t>
      </w:r>
      <w:r>
        <w:rPr>
          <w:rFonts w:ascii="Times New Roman" w:hAnsi="Times New Roman"/>
          <w:b/>
          <w:i/>
          <w:sz w:val="20"/>
        </w:rPr>
        <w:t>taxable</w:t>
      </w:r>
      <w:r>
        <w:rPr>
          <w:rFonts w:ascii="Times New Roman" w:hAnsi="Times New Roman"/>
          <w:sz w:val="20"/>
        </w:rPr>
        <w:t>”) means, without duplication, (i) any net income, gross receipts, sales, use, ad valorem, value added, franchise, capital stock, profits, payroll, employment, fringe benefit, unemployment, disability, excise, severance, social security, transfer, stamp, registration, real or personal property, capital gains, alternative or add-on minimum, share capital, premium, occupation and franchise taxes, environmental, windfall profit tax, custom duty or other tax, governmental fee or other like assessment or charge, imposed by any Governmental Entity responsible for the imposition of any such tax (each, a “</w:t>
      </w:r>
      <w:r>
        <w:rPr>
          <w:rFonts w:ascii="Times New Roman" w:hAnsi="Times New Roman"/>
          <w:b/>
          <w:i/>
          <w:sz w:val="20"/>
        </w:rPr>
        <w:t>Tax Authority</w:t>
      </w:r>
      <w:r>
        <w:rPr>
          <w:rFonts w:ascii="Times New Roman" w:hAnsi="Times New Roman"/>
          <w:sz w:val="20"/>
        </w:rPr>
        <w:t xml:space="preserve">”), and including any interest, penalties, and additions attributable thereto, (ii) any liability for the payment of any amounts of the type described in clause (i) of this sentence as a result of being a member of an affiliated, consolidated, combined, unitary, aggregate or group (including any arrangement for group or consortium relief or similar arrangement) for any taxable period, and (iii) any liability for the payment of any amounts of the type described in clause (i) or (ii) of this sentence as a result of being a transferee of or successor to any Person or as a result of any express or implied obligation to assume such Taxes or to indemnify any other Person, by operation of law or otherwise. </w:t>
      </w:r>
    </w:p>
    <w:p>
      <w:pPr>
        <w:pStyle w:val="TextBody"/>
        <w:bidi w:val="0"/>
        <w:spacing w:before="240" w:after="0"/>
        <w:jc w:val="left"/>
        <w:rPr/>
      </w:pPr>
      <w:r>
        <w:rPr/>
        <w:t>“</w:t>
      </w:r>
      <w:r>
        <w:rPr>
          <w:rFonts w:ascii="Times New Roman" w:hAnsi="Times New Roman"/>
          <w:b/>
          <w:i/>
          <w:sz w:val="20"/>
        </w:rPr>
        <w:t>Tax Return</w:t>
      </w:r>
      <w:r>
        <w:rPr>
          <w:rFonts w:ascii="Times New Roman" w:hAnsi="Times New Roman"/>
          <w:sz w:val="20"/>
        </w:rPr>
        <w:t xml:space="preserve">” means any return, statement, declaration, claim for refund, report, document or form (including estimated Tax returns and reports, withholding Tax returns and reports, any schedule or attachment, and information returns and reports), filed or required to be filed with any Tax Authority with respect to Taxes, including any amendment thereof. </w:t>
      </w:r>
    </w:p>
    <w:p>
      <w:pPr>
        <w:pStyle w:val="TextBody"/>
        <w:bidi w:val="0"/>
        <w:spacing w:before="240" w:after="0"/>
        <w:jc w:val="left"/>
        <w:rPr/>
      </w:pPr>
      <w:r>
        <w:rPr/>
        <w:t>“</w:t>
      </w:r>
      <w:r>
        <w:rPr>
          <w:rFonts w:ascii="Times New Roman" w:hAnsi="Times New Roman"/>
          <w:b/>
          <w:i/>
          <w:sz w:val="20"/>
        </w:rPr>
        <w:t>Total Accredited Outstanding Shares</w:t>
      </w:r>
      <w:r>
        <w:rPr>
          <w:rFonts w:ascii="Times New Roman" w:hAnsi="Times New Roman"/>
          <w:sz w:val="20"/>
        </w:rPr>
        <w:t xml:space="preserve">” means (i) the Total Stock, minus (ii) the Total Unaccredited Outstanding Shares. </w:t>
      </w:r>
    </w:p>
    <w:p>
      <w:pPr>
        <w:pStyle w:val="TextBody"/>
        <w:bidi w:val="0"/>
        <w:spacing w:before="240" w:after="0"/>
        <w:jc w:val="left"/>
        <w:rPr/>
      </w:pPr>
      <w:r>
        <w:rPr/>
        <w:t>“</w:t>
      </w:r>
      <w:r>
        <w:rPr>
          <w:rFonts w:ascii="Times New Roman" w:hAnsi="Times New Roman"/>
          <w:b/>
          <w:i/>
          <w:sz w:val="20"/>
        </w:rPr>
        <w:t>Total Stock</w:t>
      </w:r>
      <w:r>
        <w:rPr>
          <w:rFonts w:ascii="Times New Roman" w:hAnsi="Times New Roman"/>
          <w:sz w:val="20"/>
        </w:rPr>
        <w:t xml:space="preserve">” means the sum, without duplication, of (i) the aggregate number of shares of Company Common Stock that are issued and outstanding immediately prior to the Effective Time (other than shares of Company Common Stock to be cancelled pursuant to </w:t>
      </w:r>
      <w:r>
        <w:rPr>
          <w:rFonts w:ascii="Times New Roman" w:hAnsi="Times New Roman"/>
          <w:sz w:val="20"/>
          <w:u w:val="single"/>
        </w:rPr>
        <w:t>Section 2.1(a)</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(ii) the aggregate number of shares of Company Preferred Stock that are issued and outstanding immediately prior to the Effective Time on an as-converted to Company Common Stock basis in accordance with the Company Certificate of Incorporation (other than shares of Company Common Stock to be cancelled pursuant to </w:t>
      </w:r>
      <w:r>
        <w:rPr>
          <w:rFonts w:ascii="Times New Roman" w:hAnsi="Times New Roman"/>
          <w:sz w:val="20"/>
          <w:u w:val="single"/>
        </w:rPr>
        <w:t>Section 2.1(a)</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(iii) the aggregate number of shares of Company Common Stock issuable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exercise of In-the-Money Options that are issued, outstanding and exercisable immediately prior to the Effective Time (or which become exercisable as a result of the consummation of the transactions contemplated hereby). </w:t>
      </w:r>
    </w:p>
    <w:p>
      <w:pPr>
        <w:pStyle w:val="TextBody"/>
        <w:bidi w:val="0"/>
        <w:spacing w:before="240" w:after="0"/>
        <w:jc w:val="left"/>
        <w:rPr/>
      </w:pPr>
      <w:r>
        <w:rPr/>
        <w:t>“</w:t>
      </w:r>
      <w:r>
        <w:rPr>
          <w:rFonts w:ascii="Times New Roman" w:hAnsi="Times New Roman"/>
          <w:b/>
          <w:i/>
          <w:sz w:val="20"/>
        </w:rPr>
        <w:t>Total Unaccredited Outstanding Shares</w:t>
      </w:r>
      <w:r>
        <w:rPr>
          <w:rFonts w:ascii="Times New Roman" w:hAnsi="Times New Roman"/>
          <w:sz w:val="20"/>
        </w:rPr>
        <w:t xml:space="preserve">” means the aggregate number of shares of Company Capital Stock (on an as-converted to Company Common Stock basis) held by all Unaccredited Investors immediately prior to the Effective Time.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 day on which the NASDAQ Global Select Market is open for trading. </w:t>
      </w:r>
    </w:p>
    <w:p>
      <w:pPr>
        <w:pStyle w:val="TextBody"/>
        <w:bidi w:val="0"/>
        <w:spacing w:before="240" w:after="0"/>
        <w:jc w:val="left"/>
        <w:rPr/>
      </w:pPr>
      <w:r>
        <w:rPr/>
        <w:t>“</w:t>
      </w:r>
      <w:r>
        <w:rPr>
          <w:rFonts w:ascii="Times New Roman" w:hAnsi="Times New Roman"/>
          <w:b/>
          <w:i/>
          <w:sz w:val="20"/>
        </w:rPr>
        <w:t>Transaction Expenses</w:t>
      </w:r>
      <w:r>
        <w:rPr>
          <w:rFonts w:ascii="Times New Roman" w:hAnsi="Times New Roman"/>
          <w:sz w:val="20"/>
        </w:rPr>
        <w:t xml:space="preserve">” means, without duplication (i) all third party fees and expenses incurred by the Company to execute this Agreement and consummate the transactions contemplated hereby, including fees and expenses of the Company’s financial advisors, legal counsel, investment bankers, accountants and auditors, (ii) any bonus, severance, change-in-control payments or similar payment obligations that becomes due or payable in connection with the consummation of the Merger and the other transactions contemplated by this Agreement (alone or in connection with any other event), (iii) all Transaction Payroll Taxes and the Company Stockholders’ allocable share of any Transfer Taxes pursuant to </w:t>
      </w:r>
      <w:r>
        <w:rPr>
          <w:rFonts w:ascii="Times New Roman" w:hAnsi="Times New Roman"/>
          <w:sz w:val="20"/>
          <w:u w:val="single"/>
        </w:rPr>
        <w:t>Section 6.8(b)</w:t>
      </w:r>
      <w:r>
        <w:rPr>
          <w:rFonts w:ascii="Times New Roman" w:hAnsi="Times New Roman"/>
          <w:sz w:val="20"/>
        </w:rPr>
        <w:t xml:space="preserve">, (iv) the costs and expenses of the tail policy procured under </w:t>
      </w:r>
      <w:r>
        <w:rPr>
          <w:rFonts w:ascii="Times New Roman" w:hAnsi="Times New Roman"/>
          <w:sz w:val="20"/>
          <w:u w:val="single"/>
        </w:rPr>
        <w:t>Section 6.9</w:t>
      </w:r>
      <w:r>
        <w:rPr>
          <w:rFonts w:ascii="Times New Roman" w:hAnsi="Times New Roman"/>
          <w:sz w:val="20"/>
        </w:rPr>
        <w:t>, and (v) any amounts that become payable to [***] pursuant to Section 5.3.2(b) of the [***] License Agreement in connection with the transactions contemplated under this Agreement and due upon the Closing; provided, however, that any payments, costs, fees and expenses in respect of the Escrow Agreement and the Paying Agent Agreement shall be the obligation of Acquiror and shall not be considered a “</w:t>
      </w:r>
      <w:r>
        <w:rPr>
          <w:rFonts w:ascii="Times New Roman" w:hAnsi="Times New Roman"/>
          <w:b/>
          <w:i/>
          <w:sz w:val="20"/>
        </w:rPr>
        <w:t>Transaction Expense</w:t>
      </w:r>
      <w:r>
        <w:rPr>
          <w:rFonts w:ascii="Times New Roman" w:hAnsi="Times New Roman"/>
          <w:sz w:val="20"/>
        </w:rPr>
        <w:t xml:space="preserve">”. For clarity, any post-Closing payments payable to investment bankers and brokers set forth in Section 3.19 of the Company Disclosure Schedule that are based on any Milestone Payments or Royalties shall be deducted from such Milestone Payments or Royalties payable to the Company Securityholders under this Agreement and paid by Acquiror to such investment bankers and brokers. </w:t>
      </w:r>
    </w:p>
    <w:p>
      <w:pPr>
        <w:pStyle w:val="TextBody"/>
        <w:bidi w:val="0"/>
        <w:spacing w:before="240" w:after="0"/>
        <w:jc w:val="left"/>
        <w:rPr/>
      </w:pPr>
      <w:r>
        <w:rPr/>
        <w:t>“</w:t>
      </w:r>
      <w:r>
        <w:rPr>
          <w:rFonts w:ascii="Times New Roman" w:hAnsi="Times New Roman"/>
          <w:b/>
          <w:i/>
          <w:sz w:val="20"/>
        </w:rPr>
        <w:t>Transaction Payroll Taxes</w:t>
      </w:r>
      <w:r>
        <w:rPr>
          <w:rFonts w:ascii="Times New Roman" w:hAnsi="Times New Roman"/>
          <w:sz w:val="20"/>
        </w:rPr>
        <w:t xml:space="preserve">” shall mean all employer portion payroll or employment Taxes incurred in connection with any bonuses, option cash-outs or other compensatory payments in connection with the transactions contemplated by this Agreement. </w:t>
      </w:r>
    </w:p>
    <w:p>
      <w:pPr>
        <w:pStyle w:val="TextBody"/>
        <w:bidi w:val="0"/>
        <w:spacing w:before="240" w:after="0"/>
        <w:jc w:val="left"/>
        <w:rPr/>
      </w:pPr>
      <w:r>
        <w:rPr/>
        <w:t>“</w:t>
      </w:r>
      <w:r>
        <w:rPr>
          <w:rFonts w:ascii="Times New Roman" w:hAnsi="Times New Roman"/>
          <w:b/>
          <w:i/>
          <w:sz w:val="20"/>
        </w:rPr>
        <w:t>Transaction Tax Deductions</w:t>
      </w:r>
      <w:r>
        <w:rPr>
          <w:rFonts w:ascii="Times New Roman" w:hAnsi="Times New Roman"/>
          <w:sz w:val="20"/>
        </w:rPr>
        <w:t xml:space="preserve">” means any Tax deductions resulting from or relating to the transactions contemplated hereby, including but not limited to, without duplication, Tax deductions arising in connection with (i) the payment of Transaction Expenses paid on or prior to the Closing Date and deductible under applicable Legal Requirements, (ii) any debt repayment costs and the payment of, or reduction for, Indebtedness (including, for this purpose, any interest, premium, prepayment costs and accelerated deferred or capitalized financing costs, including any unamortized deferred financing fees in connection with the Indebtedness), (iii) any portion of the Merger Consideration paid through payroll, (iv) any payments relating to the cancellation or exercise of any Company Options, and (v) the employer portion of any social security, employment, payroll or similar Taxes with respect to the amounts set forth in the foregoing; provided that the calculation of “Transaction Tax Deductions” shall be made assuming the Company has made an election under Revenue Procedure 2011-29 to deduct seventy percent (70%) of any Transaction Tax Deductions that are success-based fees as defined in Treasury Regulations Section 1.263(a)-5(f). </w:t>
      </w:r>
    </w:p>
    <w:p>
      <w:pPr>
        <w:pStyle w:val="TextBody"/>
        <w:bidi w:val="0"/>
        <w:spacing w:before="240" w:after="0"/>
        <w:jc w:val="left"/>
        <w:rPr/>
      </w:pPr>
      <w:r>
        <w:rPr/>
        <w:t>“</w:t>
      </w:r>
      <w:r>
        <w:rPr>
          <w:rFonts w:ascii="Times New Roman" w:hAnsi="Times New Roman"/>
          <w:b/>
          <w:i/>
          <w:sz w:val="20"/>
        </w:rPr>
        <w:t>Transfer Taxes</w:t>
      </w:r>
      <w:r>
        <w:rPr>
          <w:rFonts w:ascii="Times New Roman" w:hAnsi="Times New Roman"/>
          <w:sz w:val="20"/>
        </w:rPr>
        <w:t xml:space="preserve">” has the meaning given to it in </w:t>
      </w:r>
      <w:r>
        <w:rPr>
          <w:rFonts w:ascii="Times New Roman" w:hAnsi="Times New Roman"/>
          <w:sz w:val="20"/>
          <w:u w:val="single"/>
        </w:rPr>
        <w:t>Section 6.8(a)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Unaccredited Investor</w:t>
      </w:r>
      <w:r>
        <w:rPr>
          <w:rFonts w:ascii="Times New Roman" w:hAnsi="Times New Roman"/>
          <w:sz w:val="20"/>
        </w:rPr>
        <w:t xml:space="preserve">” means any Company Securityholder (a) who fails to deliver duly completed and validly executed Investor Suitability Documentation to the Company at least three (3) Business Days prior to the Closing Date demonstrating that such holder is an Accredited Investor, or (b) who, notwithstanding the delivery of Investor Suitability Documentation, is deemed by Acquiror in its reasonable discretion not to be an Accredited Investor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Valid Claim</w:t>
      </w:r>
      <w:r>
        <w:rPr>
          <w:rFonts w:ascii="Times New Roman" w:hAnsi="Times New Roman"/>
          <w:sz w:val="20"/>
        </w:rPr>
        <w:t xml:space="preserve">” means (a) a claim of an issued and unexpired patent that has not been revoked or held unenforceable, unpatentable, or invalid by a decision of a court or other Governmental Entity of competent jurisdiction, and that has not been abandoned, disclaimed, denied, or admitted to be invalid or unenforceable through reissue, re-examination, disclaimer, or otherwise, or (b) a claim of a pending patent application that has not been cancelled, withdrawn, abandoned, or finally rejected or expired from which no appeal can be taken and that has not been pending for more than seven (7) years. </w:t>
      </w:r>
    </w:p>
    <w:p>
      <w:pPr>
        <w:pStyle w:val="TextBody"/>
        <w:bidi w:val="0"/>
        <w:spacing w:before="240" w:after="0"/>
        <w:jc w:val="left"/>
        <w:rPr/>
      </w:pPr>
      <w:r>
        <w:rPr/>
        <w:t>“</w:t>
      </w:r>
      <w:r>
        <w:rPr>
          <w:rFonts w:ascii="Times New Roman" w:hAnsi="Times New Roman"/>
          <w:b/>
          <w:i/>
          <w:sz w:val="20"/>
        </w:rPr>
        <w:t>Withheld Amount</w:t>
      </w:r>
      <w:r>
        <w:rPr>
          <w:rFonts w:ascii="Times New Roman" w:hAnsi="Times New Roman"/>
          <w:sz w:val="20"/>
        </w:rPr>
        <w:t xml:space="preserve">” has the meaning given to it in </w:t>
      </w:r>
      <w:r>
        <w:rPr>
          <w:rFonts w:ascii="Times New Roman" w:hAnsi="Times New Roman"/>
          <w:sz w:val="20"/>
          <w:u w:val="single"/>
        </w:rPr>
        <w:t>Section 9.2(h)</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STOCKHOLDER WRITTEN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JOINDER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INVESTOR SUITABILITY DOCUMENTATION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ESCROW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F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PAYING AGENT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G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OF MERGER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H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OPTION CANCELLATION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LETTER OF TRANSMITTAL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J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FIRPTA CERTIFICATE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K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LOCK-UP </w:t>
      </w:r>
    </w:p>
    <w:p>
      <w:pPr>
        <w:pStyle w:val="TextBody"/>
        <w:bidi w:val="0"/>
        <w:spacing w:before="240" w:after="0"/>
        <w:jc w:val="center"/>
        <w:rPr>
          <w:rFonts w:ascii="Times New Roman" w:hAnsi="Times New Roman"/>
          <w:sz w:val="20"/>
        </w:rPr>
      </w:pP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17700 Laguna Canyon Road, Floor 4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92618 </w:t>
      </w:r>
    </w:p>
    <w:p>
      <w:pPr>
        <w:pStyle w:val="TextBody"/>
        <w:bidi w:val="0"/>
        <w:spacing w:before="240" w:after="0"/>
        <w:jc w:val="left"/>
        <w:rPr>
          <w:rFonts w:ascii="Times New Roman" w:hAnsi="Times New Roman"/>
          <w:sz w:val="20"/>
        </w:rPr>
      </w:pPr>
      <w:r>
        <w:rPr>
          <w:rFonts w:ascii="Times New Roman" w:hAnsi="Times New Roman"/>
          <w:sz w:val="20"/>
        </w:rPr>
        <w:t xml:space="preserve">Re: Proposed Acquisition by Tarsus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Dear 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signatory of this lock-up agreement understands that Tarsus Pharmaceuticals, Inc., a Delaware corporation (the “Company”), has entered into an Agreement and Plan of Merger, dated as of [●], 2026 (as the same may be amended from time to time, the “Merger Agreement”) with Dolores Merger Sub, Inc., a Delaware corporation and wholly-owned subsidiary of the Company, iRenix Medical, Inc., a Delaware corporation (the “Target”), and Fortis Advisors LLC, as securityholders’ representative. Capitalized terms used but not otherwise defined herein shall have the respective meanings ascribed to such terms in the Merger Agreement. As a condition and material inducement to each of the parties to enter into the Merger Agreement and to consummate the transactions contemplated by the Merger Agreement, and for other good and valuable consideration, the receipt and sufficiency of which are hereby acknowledged, the undersigned agrees that, during the period (the “Lock-Up Period”) beginning on the date hereof and ending on the date that is 180 days from the Closing Date (the “Lock-Up Period End Date”), the undersigned will not, without the prior written consent of the Company, (i) 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shares of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(ii) enter into any swap, hedging or any other agreement or any transaction that transfers, in whole or in part, directly or indirectly, the economic consequence of ownership of the Lock-Up Securities, whether any such swap or transaction is to be settled by delivery of shares of Common Stock or other securities, in cash or otherwise or (iii) publicly disclose the intention to do any of the foregoing described in clauses (i) and (ii)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subject to the conditions below, the undersigned may transfer the Lock-Up Securities without the prior written consent of the Company, provided that (1) in the case of clause (i) through (vii) below, the Company receives a signed lock-up agreement for the balance of the Lock-Up Period from each donee, trustee, distributee, or transferee, as the case may be, (2) (A) in the clauses (i) through (v) below, any such transfer shall not involve a disposition for value, (B) in the cases of clause (ii) through (iv) below, such transfers are not required to be reported during the Lock-Up Period with the Securities and Exchange Commission (the “SEC”) on Form 4 in accordance with Section 16 of the Securities Exchange Act of 1934, as amended (the “Exchange Act”), and (C) in the cases of clauses (i) and (v) through (vii) below, any filing under Section 16 of the Exchange Act made during the Lock-Up Period shall clearly indicate in the footnotes the circumstances of the transfer, and (3) the undersigned does not otherwise voluntarily effect any public filing or report regarding such transfers during the Lock-Up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bona fide gift or gifts;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trust for the direct or indirect benefit of the undersigned or the immediate family of the undersigned (for purposes of this lock-up agreement, “immediate family” shall mean any relationship by blood, marriage or adoption, not more remote than first cousin);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distribution to general or limited partners, members, stockholders or other equity holders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undersigned’s affiliates or to any investment fund or other entity that, directly or indirectly, controls or manages, is controlled or managed by, or is under common control or management with,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intestate succession upon the death of the undersigned;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court of regulatory agency order, a qualified domestic order or in connection with a divorce settlement;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bona fide third party pursuant to a merger, consolidation, tender offer or other similar transaction made to all holders of shares of the Common Stock and involving a Change of Control (as defined below) of the Company and approved by the Company’s board of directors; provided that, in the event that such Change of Control is not completed, the undersigned’s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of the Company’s voting securities if, after such transfer, such person or group of affiliated persons would hold more than 50% of the outstanding voting securities of the Company (or the surviving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undersigned agrees that, during the period beginning on the date following the Lock-Up Period End Date and ending on the date that is 180 days from the Lock-Up Period End Date, the undersigned will not, without the prior written consent of the Company, directly or indirectly, sell more than [***]% of the Lock-Up Securities held by the undersigned during any single day.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also agrees and consents to the entry of stop transfer instructions with the Company’s transfer agent and registrar against the transfer of the Lock-Up Securities except in compliance with the foregoing restrictions. The undersigned understands that if the Merger Agreement is terminated for any reason, the undersigned shall be released from all obligations under this lock-up agreement. The undersigned understands that Company and the Target are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New York.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w:t>
            </w:r>
            <w:r>
              <w:rPr>
                <w:i/>
              </w:rPr>
              <w:t>If signatory is an individual</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Signature: _____________________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Name: ________________________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w:t>
            </w:r>
            <w:r>
              <w:rPr>
                <w:i/>
              </w:rPr>
              <w:t>If signatory is an entity</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Entity: Signature: _____________________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Name: ________________________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Title: _____________________</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L </w:t>
      </w:r>
    </w:p>
    <w:p>
      <w:pPr>
        <w:pStyle w:val="TextBody"/>
        <w:bidi w:val="0"/>
        <w:spacing w:before="240" w:after="0"/>
        <w:jc w:val="center"/>
        <w:rPr>
          <w:rFonts w:ascii="Times New Roman" w:hAnsi="Times New Roman"/>
          <w:b/>
          <w:sz w:val="20"/>
        </w:rPr>
      </w:pPr>
      <w:r>
        <w:rPr>
          <w:rFonts w:ascii="Times New Roman" w:hAnsi="Times New Roman"/>
          <w:b/>
          <w:sz w:val="20"/>
        </w:rPr>
        <w:t xml:space="preserve">[***] AMENDMENT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1.1 </w:t>
      </w:r>
    </w:p>
    <w:p>
      <w:pPr>
        <w:pStyle w:val="TextBody"/>
        <w:bidi w:val="0"/>
        <w:spacing w:before="240" w:after="0"/>
        <w:jc w:val="center"/>
        <w:rPr>
          <w:rFonts w:ascii="Times New Roman" w:hAnsi="Times New Roman"/>
          <w:b/>
          <w:sz w:val="20"/>
        </w:rPr>
      </w:pPr>
      <w:r>
        <w:rPr>
          <w:rFonts w:ascii="Times New Roman" w:hAnsi="Times New Roman"/>
          <w:b/>
          <w:sz w:val="20"/>
        </w:rPr>
        <w:t xml:space="preserve">Illustration of Company Net Working Capital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1.2 </w:t>
      </w:r>
    </w:p>
    <w:p>
      <w:pPr>
        <w:pStyle w:val="TextBody"/>
        <w:bidi w:val="0"/>
        <w:spacing w:before="240" w:after="0"/>
        <w:jc w:val="center"/>
        <w:rPr>
          <w:rFonts w:ascii="Times New Roman" w:hAnsi="Times New Roman"/>
          <w:b/>
          <w:sz w:val="20"/>
        </w:rPr>
      </w:pPr>
      <w:r>
        <w:rPr>
          <w:rFonts w:ascii="Times New Roman" w:hAnsi="Times New Roman"/>
          <w:b/>
          <w:sz w:val="20"/>
        </w:rPr>
        <w:t xml:space="preserve">Assumed Expenses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1.3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Products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2.9 </w:t>
      </w:r>
    </w:p>
    <w:p>
      <w:pPr>
        <w:pStyle w:val="TextBody"/>
        <w:bidi w:val="0"/>
        <w:spacing w:before="240" w:after="0"/>
        <w:jc w:val="center"/>
        <w:rPr>
          <w:rFonts w:ascii="Times New Roman" w:hAnsi="Times New Roman"/>
          <w:b/>
          <w:sz w:val="20"/>
        </w:rPr>
      </w:pPr>
      <w:r>
        <w:rPr>
          <w:rFonts w:ascii="Times New Roman" w:hAnsi="Times New Roman"/>
          <w:b/>
          <w:sz w:val="20"/>
        </w:rPr>
        <w:t xml:space="preserve">ADDITIONAL CONSIDERATION PAYMENTS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REGULATORY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Regulatory Milestone Events and Payments </w:t>
            </w:r>
          </w:p>
        </w:tc>
      </w:tr>
    </w:tbl>
    <w:p>
      <w:pPr>
        <w:pStyle w:val="TextBody"/>
        <w:bidi w:val="0"/>
        <w:spacing w:before="120" w:after="0"/>
        <w:jc w:val="left"/>
        <w:rPr>
          <w:rFonts w:ascii="Times New Roman" w:hAnsi="Times New Roman"/>
          <w:sz w:val="20"/>
        </w:rPr>
      </w:pPr>
      <w:r>
        <w:rPr>
          <w:rFonts w:ascii="Times New Roman" w:hAnsi="Times New Roman"/>
          <w:sz w:val="20"/>
        </w:rPr>
        <w:t>Each of the following one-time regulatory milestone payments shall become payable following Acquiror’s written notice to the Paying Agent confirming successful achievement of the corresponding regulatory milestone event described below (each, a “</w:t>
      </w:r>
      <w:r>
        <w:rPr>
          <w:rFonts w:ascii="Times New Roman" w:hAnsi="Times New Roman"/>
          <w:b/>
          <w:i/>
          <w:sz w:val="20"/>
        </w:rPr>
        <w:t>Regulatory Milestone Event</w:t>
      </w:r>
      <w:r>
        <w:rPr>
          <w:rFonts w:ascii="Times New Roman" w:hAnsi="Times New Roman"/>
          <w:sz w:val="20"/>
        </w:rPr>
        <w:t xml:space="preserve">”) and shall be paid within [***] following the end of the calendar year quarter in which such Regulatory Milestone Event occurs, all pursuant to Section 2.9(b) of the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4"/>
        <w:gridCol w:w="121"/>
        <w:gridCol w:w="3305"/>
        <w:gridCol w:w="121"/>
        <w:gridCol w:w="3104"/>
      </w:tblGrid>
      <w:tr>
        <w:trPr/>
        <w:tc>
          <w:tcPr>
            <w:tcW w:w="355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04" w:type="dxa"/>
            <w:tcBorders/>
            <w:vAlign w:val="center"/>
          </w:tcPr>
          <w:p>
            <w:pPr>
              <w:pStyle w:val="TableContents"/>
              <w:bidi w:val="0"/>
              <w:spacing w:before="0" w:after="283"/>
              <w:jc w:val="left"/>
              <w:rPr>
                <w:sz w:val="4"/>
                <w:szCs w:val="4"/>
              </w:rPr>
            </w:pPr>
            <w:r>
              <w:rPr>
                <w:sz w:val="4"/>
                <w:szCs w:val="4"/>
              </w:rPr>
            </w:r>
          </w:p>
        </w:tc>
      </w:tr>
      <w:tr>
        <w:trPr/>
        <w:tc>
          <w:tcPr>
            <w:tcW w:w="355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center"/>
              <w:rPr>
                <w:b/>
              </w:rPr>
            </w:pPr>
            <w:r>
              <w:rPr>
                <w:b/>
              </w:rPr>
              <w:t>Milestone No.</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305" w:type="dxa"/>
            <w:tcBorders>
              <w:top w:val="single" w:sz="2" w:space="0" w:color="000000"/>
              <w:bottom w:val="single" w:sz="2" w:space="0" w:color="000000"/>
            </w:tcBorders>
            <w:tcMar>
              <w:top w:w="28" w:type="dxa"/>
              <w:bottom w:w="28" w:type="dxa"/>
            </w:tcMar>
          </w:tcPr>
          <w:p>
            <w:pPr>
              <w:pStyle w:val="TableContents"/>
              <w:bidi w:val="0"/>
              <w:spacing w:before="0" w:after="283"/>
              <w:jc w:val="center"/>
              <w:rPr>
                <w:b/>
              </w:rPr>
            </w:pPr>
            <w:r>
              <w:rPr>
                <w:b/>
              </w:rPr>
              <w:t>Regulatory Milestone Event</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04"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center"/>
              <w:rPr>
                <w:rFonts w:ascii="Times New Roman" w:hAnsi="Times New Roman"/>
                <w:b/>
                <w:sz w:val="16"/>
              </w:rPr>
            </w:pPr>
            <w:r>
              <w:rPr>
                <w:rFonts w:ascii="Times New Roman" w:hAnsi="Times New Roman"/>
                <w:b/>
                <w:sz w:val="16"/>
              </w:rPr>
              <w:t>Payment Amount</w:t>
            </w:r>
          </w:p>
          <w:p>
            <w:pPr>
              <w:pStyle w:val="TableContents"/>
              <w:bidi w:val="0"/>
              <w:spacing w:before="0" w:after="20"/>
              <w:jc w:val="center"/>
              <w:rPr>
                <w:rFonts w:ascii="Times New Roman" w:hAnsi="Times New Roman"/>
                <w:b/>
                <w:sz w:val="16"/>
              </w:rPr>
            </w:pPr>
            <w:r>
              <w:rPr>
                <w:rFonts w:ascii="Times New Roman" w:hAnsi="Times New Roman"/>
                <w:b/>
                <w:sz w:val="16"/>
              </w:rPr>
              <w:t>(USD)</w:t>
            </w:r>
          </w:p>
        </w:tc>
      </w:tr>
      <w:tr>
        <w:trPr/>
        <w:tc>
          <w:tcPr>
            <w:tcW w:w="3554"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RM-1</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305" w:type="dxa"/>
            <w:tcBorders>
              <w:bottom w:val="single" w:sz="2" w:space="0" w:color="000000"/>
            </w:tcBorders>
            <w:tcMar>
              <w:bottom w:w="200" w:type="dxa"/>
            </w:tcM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04" w:type="dxa"/>
            <w:tcBorders>
              <w:bottom w:val="single" w:sz="2" w:space="0" w:color="000000"/>
              <w:right w:val="single" w:sz="2" w:space="0" w:color="000000"/>
            </w:tcBorders>
            <w:tcMar>
              <w:bottom w:w="200"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54"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RM-2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305" w:type="dxa"/>
            <w:tcBorders>
              <w:bottom w:val="single" w:sz="2" w:space="0" w:color="000000"/>
            </w:tcBorders>
            <w:tcMar>
              <w:bottom w:w="200" w:type="dxa"/>
            </w:tcMa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04" w:type="dxa"/>
            <w:tcBorders>
              <w:bottom w:val="single" w:sz="2" w:space="0" w:color="000000"/>
              <w:right w:val="single" w:sz="2" w:space="0" w:color="000000"/>
            </w:tcBorders>
            <w:tcMar>
              <w:bottom w:w="200"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980" w:type="dxa"/>
            <w:gridSpan w:val="3"/>
            <w:tcBorders>
              <w:left w:val="single" w:sz="2" w:space="0" w:color="000000"/>
              <w:bottom w:val="single" w:sz="2" w:space="0" w:color="000000"/>
            </w:tcBorders>
            <w:tcMar>
              <w:left w:w="160" w:type="dxa"/>
              <w:bottom w:w="200" w:type="dxa"/>
            </w:tcMar>
          </w:tcPr>
          <w:p>
            <w:pPr>
              <w:pStyle w:val="TableContents"/>
              <w:bidi w:val="0"/>
              <w:spacing w:before="0" w:after="283"/>
              <w:jc w:val="left"/>
              <w:rPr>
                <w:b/>
                <w:sz w:val="22"/>
              </w:rPr>
            </w:pPr>
            <w:r>
              <w:rPr>
                <w:b/>
                <w:sz w:val="22"/>
              </w:rPr>
              <w:t>Total (Possible) Regulatory Milestone Consideration:</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04" w:type="dxa"/>
            <w:tcBorders>
              <w:bottom w:val="single" w:sz="2" w:space="0" w:color="000000"/>
              <w:right w:val="single" w:sz="2" w:space="0" w:color="000000"/>
            </w:tcBorders>
            <w:tcMar>
              <w:bottom w:w="200" w:type="dxa"/>
              <w:right w:w="40" w:type="dxa"/>
            </w:tcMar>
          </w:tcPr>
          <w:p>
            <w:pPr>
              <w:pStyle w:val="TableContents"/>
              <w:bidi w:val="0"/>
              <w:spacing w:before="0" w:after="283"/>
              <w:jc w:val="left"/>
              <w:rPr>
                <w:b/>
                <w:sz w:val="22"/>
              </w:rPr>
            </w:pPr>
            <w:r>
              <w:rPr>
                <w:b/>
                <w:sz w:val="22"/>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Regulatory Milestone Payment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Regulatory Milestone payment is conditioned upon and shall only become due and payable following first achievement of the corresponding Regulatory Milestone Event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amounts shall be due for subsequent or repeated achievements of any Regulatory Milestone Event by or with respect to the same or any other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clarity, Acquiror may achieve a given Regulatory Milestone Event itself or through an affiliate, licensee or sub-licensee, or, as applicable, such Regulatory Milestone Event may be achieved by or through transferees of intellectual property rights in or to the acquired Product, including, without limitation, spin-off entities of Acquiror that take ownership in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1.3</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Maximum Regulatory Milestone Amount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Section 3 below, even if Acquiror achieves all Milestones under this Section 1, the maximum amount of Regulatory Milestone payments payable under the Agreement (including pursuant to this Section 1) shall not exceed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COMMERCIAL MILESTONES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Commercial Milestone Events and Payments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the following one-time commercial milestone payments shall become payable upon achievement (if at all) of the corresponding Commercial Milestone Event shown in the table below and pursuant to Section 2.9(c) of the Agreement, and shall be paid within [***] following the end of the calendar quarter in which such Commercial Milestone Event is achieved (if at all):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09"/>
        <w:gridCol w:w="120"/>
        <w:gridCol w:w="6431"/>
        <w:gridCol w:w="120"/>
        <w:gridCol w:w="1525"/>
      </w:tblGrid>
      <w:tr>
        <w:trPr/>
        <w:tc>
          <w:tcPr>
            <w:tcW w:w="20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200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center"/>
              <w:rPr>
                <w:b/>
              </w:rPr>
            </w:pPr>
            <w:r>
              <w:rPr>
                <w:b/>
              </w:rPr>
              <w:t>Milestone No.</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431" w:type="dxa"/>
            <w:tcBorders>
              <w:top w:val="single" w:sz="2" w:space="0" w:color="000000"/>
              <w:bottom w:val="single" w:sz="2" w:space="0" w:color="000000"/>
            </w:tcBorders>
            <w:tcMar>
              <w:top w:w="28" w:type="dxa"/>
              <w:bottom w:w="28" w:type="dxa"/>
            </w:tcMar>
          </w:tcPr>
          <w:p>
            <w:pPr>
              <w:pStyle w:val="TableContents"/>
              <w:bidi w:val="0"/>
              <w:spacing w:before="0" w:after="283"/>
              <w:jc w:val="center"/>
              <w:rPr>
                <w:b/>
              </w:rPr>
            </w:pPr>
            <w:r>
              <w:rPr>
                <w:b/>
              </w:rPr>
              <w:t>Commercial Milestone Event</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52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center"/>
              <w:rPr>
                <w:rFonts w:ascii="Times New Roman" w:hAnsi="Times New Roman"/>
                <w:b/>
                <w:sz w:val="16"/>
              </w:rPr>
            </w:pPr>
            <w:r>
              <w:rPr>
                <w:rFonts w:ascii="Times New Roman" w:hAnsi="Times New Roman"/>
                <w:b/>
                <w:sz w:val="16"/>
              </w:rPr>
              <w:t>Payment Amount</w:t>
            </w:r>
          </w:p>
          <w:p>
            <w:pPr>
              <w:pStyle w:val="TableContents"/>
              <w:bidi w:val="0"/>
              <w:spacing w:before="0" w:after="20"/>
              <w:jc w:val="center"/>
              <w:rPr>
                <w:rFonts w:ascii="Times New Roman" w:hAnsi="Times New Roman"/>
                <w:b/>
                <w:sz w:val="16"/>
              </w:rPr>
            </w:pPr>
            <w:r>
              <w:rPr>
                <w:rFonts w:ascii="Times New Roman" w:hAnsi="Times New Roman"/>
                <w:b/>
                <w:sz w:val="16"/>
              </w:rPr>
              <w:t>(USD)</w:t>
            </w:r>
          </w:p>
        </w:tc>
      </w:tr>
      <w:tr>
        <w:trPr/>
        <w:tc>
          <w:tcPr>
            <w:tcW w:w="2009"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CM-1</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431" w:type="dxa"/>
            <w:tcBorders>
              <w:bottom w:val="single" w:sz="2" w:space="0" w:color="000000"/>
            </w:tcBorders>
            <w:tcMar>
              <w:bottom w:w="200" w:type="dxa"/>
            </w:tcMar>
          </w:tcPr>
          <w:p>
            <w:pPr>
              <w:pStyle w:val="TableContents"/>
              <w:bidi w:val="0"/>
              <w:spacing w:before="0" w:after="283"/>
              <w:jc w:val="center"/>
              <w:rPr/>
            </w:pPr>
            <w:r>
              <w:rPr/>
              <w:t>Annual worldwide Net Sales of Products, collectively, equal or exceed $[***] in a given calendar year</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5" w:type="dxa"/>
            <w:tcBorders>
              <w:bottom w:val="single" w:sz="2" w:space="0" w:color="000000"/>
              <w:right w:val="single" w:sz="2" w:space="0" w:color="000000"/>
            </w:tcBorders>
            <w:tcMar>
              <w:bottom w:w="200" w:type="dxa"/>
              <w:right w:w="40" w:type="dxa"/>
            </w:tcMar>
          </w:tcPr>
          <w:p>
            <w:pPr>
              <w:pStyle w:val="TableContents"/>
              <w:bidi w:val="0"/>
              <w:spacing w:before="0" w:after="283"/>
              <w:jc w:val="left"/>
              <w:rPr/>
            </w:pPr>
            <w:r>
              <w:rPr/>
              <w:t>$[***]</w:t>
            </w:r>
          </w:p>
        </w:tc>
      </w:tr>
      <w:tr>
        <w:trPr/>
        <w:tc>
          <w:tcPr>
            <w:tcW w:w="2009"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CM-2</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431" w:type="dxa"/>
            <w:tcBorders>
              <w:bottom w:val="single" w:sz="2" w:space="0" w:color="000000"/>
            </w:tcBorders>
            <w:tcMar>
              <w:bottom w:w="200" w:type="dxa"/>
            </w:tcMar>
          </w:tcPr>
          <w:p>
            <w:pPr>
              <w:pStyle w:val="TableContents"/>
              <w:bidi w:val="0"/>
              <w:spacing w:before="0" w:after="283"/>
              <w:jc w:val="center"/>
              <w:rPr/>
            </w:pPr>
            <w:r>
              <w:rPr/>
              <w:t>Annual worldwide Net Sales of Products, collectively, equal or exceed $[***] in a given calendar year</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5" w:type="dxa"/>
            <w:tcBorders>
              <w:bottom w:val="single" w:sz="2" w:space="0" w:color="000000"/>
              <w:right w:val="single" w:sz="2" w:space="0" w:color="000000"/>
            </w:tcBorders>
            <w:tcMar>
              <w:bottom w:w="200" w:type="dxa"/>
              <w:right w:w="40" w:type="dxa"/>
            </w:tcMar>
          </w:tcPr>
          <w:p>
            <w:pPr>
              <w:pStyle w:val="TableContents"/>
              <w:bidi w:val="0"/>
              <w:spacing w:before="0" w:after="283"/>
              <w:jc w:val="left"/>
              <w:rPr/>
            </w:pPr>
            <w:r>
              <w:rPr/>
              <w:t>$[***]</w:t>
            </w:r>
          </w:p>
        </w:tc>
      </w:tr>
      <w:tr>
        <w:trPr/>
        <w:tc>
          <w:tcPr>
            <w:tcW w:w="2009"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CM-3</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431" w:type="dxa"/>
            <w:tcBorders>
              <w:bottom w:val="single" w:sz="2" w:space="0" w:color="000000"/>
            </w:tcBorders>
            <w:tcMar>
              <w:bottom w:w="200" w:type="dxa"/>
            </w:tcMar>
          </w:tcPr>
          <w:p>
            <w:pPr>
              <w:pStyle w:val="TableContents"/>
              <w:bidi w:val="0"/>
              <w:spacing w:before="0" w:after="283"/>
              <w:jc w:val="center"/>
              <w:rPr/>
            </w:pPr>
            <w:r>
              <w:rPr/>
              <w:t>Annual worldwide Net Sales of Products, collectively, equal or exceed $[***] in a given calendar year</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5" w:type="dxa"/>
            <w:tcBorders>
              <w:bottom w:val="single" w:sz="2" w:space="0" w:color="000000"/>
              <w:right w:val="single" w:sz="2" w:space="0" w:color="000000"/>
            </w:tcBorders>
            <w:tcMar>
              <w:bottom w:w="200" w:type="dxa"/>
              <w:right w:w="40" w:type="dxa"/>
            </w:tcMar>
          </w:tcPr>
          <w:p>
            <w:pPr>
              <w:pStyle w:val="TableContents"/>
              <w:bidi w:val="0"/>
              <w:spacing w:before="0" w:after="283"/>
              <w:jc w:val="left"/>
              <w:rPr/>
            </w:pPr>
            <w:r>
              <w:rPr/>
              <w:t>$[***]</w:t>
            </w:r>
          </w:p>
        </w:tc>
      </w:tr>
      <w:tr>
        <w:trPr/>
        <w:tc>
          <w:tcPr>
            <w:tcW w:w="2009"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CM-4</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431" w:type="dxa"/>
            <w:tcBorders>
              <w:bottom w:val="single" w:sz="2" w:space="0" w:color="000000"/>
            </w:tcBorders>
            <w:tcMar>
              <w:bottom w:w="200" w:type="dxa"/>
            </w:tcMar>
          </w:tcPr>
          <w:p>
            <w:pPr>
              <w:pStyle w:val="TableContents"/>
              <w:bidi w:val="0"/>
              <w:spacing w:before="0" w:after="283"/>
              <w:jc w:val="center"/>
              <w:rPr/>
            </w:pPr>
            <w:r>
              <w:rPr/>
              <w:t>Annual worldwide Net Sales of Products, collectively, equal or exceed $[***] in a given calendar year</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5" w:type="dxa"/>
            <w:tcBorders>
              <w:bottom w:val="single" w:sz="2" w:space="0" w:color="000000"/>
              <w:right w:val="single" w:sz="2" w:space="0" w:color="000000"/>
            </w:tcBorders>
            <w:tcMar>
              <w:bottom w:w="200" w:type="dxa"/>
              <w:right w:w="40" w:type="dxa"/>
            </w:tcMar>
          </w:tcPr>
          <w:p>
            <w:pPr>
              <w:pStyle w:val="TableContents"/>
              <w:bidi w:val="0"/>
              <w:spacing w:before="0" w:after="283"/>
              <w:jc w:val="left"/>
              <w:rPr/>
            </w:pPr>
            <w:r>
              <w:rPr/>
              <w:t>$[***]</w:t>
            </w:r>
          </w:p>
        </w:tc>
      </w:tr>
      <w:tr>
        <w:trPr/>
        <w:tc>
          <w:tcPr>
            <w:tcW w:w="2009"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CM-5</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431" w:type="dxa"/>
            <w:tcBorders>
              <w:bottom w:val="single" w:sz="2" w:space="0" w:color="000000"/>
            </w:tcBorders>
            <w:tcMar>
              <w:bottom w:w="200" w:type="dxa"/>
            </w:tcMar>
          </w:tcPr>
          <w:p>
            <w:pPr>
              <w:pStyle w:val="TableContents"/>
              <w:bidi w:val="0"/>
              <w:spacing w:before="0" w:after="283"/>
              <w:jc w:val="center"/>
              <w:rPr/>
            </w:pPr>
            <w:r>
              <w:rPr/>
              <w:t>Annual worldwide Net Sales of Products, collectively, equal or exceed $[***] in a given calendar year</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5" w:type="dxa"/>
            <w:tcBorders>
              <w:bottom w:val="single" w:sz="2" w:space="0" w:color="000000"/>
              <w:right w:val="single" w:sz="2" w:space="0" w:color="000000"/>
            </w:tcBorders>
            <w:tcMar>
              <w:bottom w:w="200" w:type="dxa"/>
              <w:right w:w="40" w:type="dxa"/>
            </w:tcMar>
          </w:tcPr>
          <w:p>
            <w:pPr>
              <w:pStyle w:val="TableContents"/>
              <w:bidi w:val="0"/>
              <w:spacing w:before="0" w:after="283"/>
              <w:jc w:val="left"/>
              <w:rPr/>
            </w:pPr>
            <w:r>
              <w:rPr/>
              <w:t>$[***]</w:t>
            </w:r>
          </w:p>
        </w:tc>
      </w:tr>
      <w:tr>
        <w:trPr/>
        <w:tc>
          <w:tcPr>
            <w:tcW w:w="2009"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CM-6</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431" w:type="dxa"/>
            <w:tcBorders>
              <w:bottom w:val="single" w:sz="2" w:space="0" w:color="000000"/>
            </w:tcBorders>
            <w:tcMar>
              <w:bottom w:w="200" w:type="dxa"/>
            </w:tcMar>
          </w:tcPr>
          <w:p>
            <w:pPr>
              <w:pStyle w:val="TableContents"/>
              <w:bidi w:val="0"/>
              <w:spacing w:before="0" w:after="283"/>
              <w:jc w:val="center"/>
              <w:rPr/>
            </w:pPr>
            <w:r>
              <w:rPr/>
              <w:t>Annual worldwide Net Sales of Products, collectively, equal or exceed $[***] in a given calendar year</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5" w:type="dxa"/>
            <w:tcBorders>
              <w:bottom w:val="single" w:sz="2" w:space="0" w:color="000000"/>
              <w:right w:val="single" w:sz="2" w:space="0" w:color="000000"/>
            </w:tcBorders>
            <w:tcMar>
              <w:bottom w:w="200" w:type="dxa"/>
              <w:right w:w="40" w:type="dxa"/>
            </w:tcMar>
          </w:tcPr>
          <w:p>
            <w:pPr>
              <w:pStyle w:val="TableContents"/>
              <w:bidi w:val="0"/>
              <w:spacing w:before="0" w:after="283"/>
              <w:jc w:val="left"/>
              <w:rPr/>
            </w:pPr>
            <w:r>
              <w:rPr/>
              <w:t>$[***]</w:t>
            </w:r>
          </w:p>
        </w:tc>
      </w:tr>
      <w:tr>
        <w:trPr/>
        <w:tc>
          <w:tcPr>
            <w:tcW w:w="8560" w:type="dxa"/>
            <w:gridSpan w:val="3"/>
            <w:tcBorders>
              <w:left w:val="single" w:sz="2" w:space="0" w:color="000000"/>
              <w:bottom w:val="single" w:sz="2" w:space="0" w:color="000000"/>
            </w:tcBorders>
            <w:tcMar>
              <w:left w:w="160" w:type="dxa"/>
              <w:bottom w:w="200" w:type="dxa"/>
            </w:tcMar>
          </w:tcPr>
          <w:p>
            <w:pPr>
              <w:pStyle w:val="TableContents"/>
              <w:bidi w:val="0"/>
              <w:spacing w:before="0" w:after="283"/>
              <w:jc w:val="left"/>
              <w:rPr>
                <w:b/>
              </w:rPr>
            </w:pPr>
            <w:r>
              <w:rPr>
                <w:b/>
              </w:rPr>
              <w:t>Total (Possible) Commercial Milestone Consideration:</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5" w:type="dxa"/>
            <w:tcBorders>
              <w:bottom w:val="single" w:sz="2" w:space="0" w:color="000000"/>
              <w:right w:val="single" w:sz="2" w:space="0" w:color="000000"/>
            </w:tcBorders>
            <w:tcMar>
              <w:bottom w:w="200" w:type="dxa"/>
              <w:right w:w="40" w:type="dxa"/>
            </w:tcMar>
          </w:tcPr>
          <w:p>
            <w:pPr>
              <w:pStyle w:val="TableContents"/>
              <w:bidi w:val="0"/>
              <w:spacing w:before="0" w:after="283"/>
              <w:jc w:val="left"/>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Commercial Milestone Payment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Commercial Milestone payment is conditioned upon and shall only become due and payable following first achievement of the corresponding Commercial Milestone Event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amounts shall be due for subsequent or repeated achievements of any Commercial Milestone Event by or with respect to the same or any other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clarity, (a) Acquiror may achieve a given Commercial Milestone Event itself or through or together with one or more Affiliates, licensees or sub-licensees, or, as applicable, such Commercial Milestone Event may be achieved by or through transferees of intellectual property rights in or to the acquired Product, including, without limitation, spin-off entities of Acquiror that take ownership in the Product, and (b) Net Sales of Products by all Selling Persons, including, without limitation, any of the entities described in clause (a) above, during a given calendar year shall be considered collectively in determining if any of the above Commercial Milestones have been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clarity, if more than one Commercial Milestone is achieved in a given calendar quarter, the Commercial Milestone Payments corresponding to each such Commercial Milestone will be due and payable and shall be paid simultaneously within [***] after the end of such calendar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Maximum Commercial Milestone Amount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Section 3 below, even if Acquiror achieves all Milestones under this Section 2, the maximum amount of Commercial Milestone payments payable under the Agreement (including pursuant to this Section 2) shall not exceed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3.</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AGGREGATE MILESTONE LIMITATION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Subject to Section 2.9(f) of the Agreement, even if Acquiror achieves all Milestones under Section 1 and Section 2 of this Schedule 2.9, the maximum amount of Additional Consideration Payments (combining all Regulatory Milestones under Section 1 and all Commercial Milestones under Section 2) payable under the Agreement (including pursuant to this Schedule 2.9) shall not exceed Four Hundred Ninety Million U.S. Dollars ($490,000,000 USD).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ROYALTIES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Royalty Payments.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Section 2.9(d) of the Agreement, Acquiror, within [***] days after the end of each calendar quarter, shall pay to the Paying Agent a Royalty Payment in an amount calculated as a percentage of Net Sales obtained from the sale of Royalty Products in the United States (based on the applicable percentages set forth in the table below), determined in the aggregate (subject to Sections 4.2 and 4.4 of this Schedule 2.9), of all Royalty Products sold in the United States, by or on behalf of each of Acquiror and by or on behalf of each other Selling Persons. </w:t>
      </w:r>
    </w:p>
    <w:p>
      <w:pPr>
        <w:pStyle w:val="TextBody"/>
        <w:bidi w:val="0"/>
        <w:spacing w:before="0" w:after="0"/>
        <w:jc w:val="left"/>
        <w:rPr/>
      </w:pPr>
      <w:r>
        <w:rPr/>
        <w:t> </w:t>
      </w:r>
    </w:p>
    <w:tbl>
      <w:tblPr>
        <w:tblW w:w="3000" w:type="pct"/>
        <w:jc w:val="center"/>
        <w:tblInd w:w="0" w:type="dxa"/>
        <w:tblLayout w:type="fixed"/>
        <w:tblCellMar>
          <w:top w:w="0" w:type="dxa"/>
          <w:left w:w="0" w:type="dxa"/>
          <w:bottom w:w="0" w:type="dxa"/>
          <w:right w:w="0" w:type="dxa"/>
        </w:tblCellMar>
      </w:tblPr>
      <w:tblGrid>
        <w:gridCol w:w="3891"/>
        <w:gridCol w:w="121"/>
        <w:gridCol w:w="2111"/>
      </w:tblGrid>
      <w:tr>
        <w:trPr/>
        <w:tc>
          <w:tcPr>
            <w:tcW w:w="38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r>
      <w:tr>
        <w:trPr/>
        <w:tc>
          <w:tcPr>
            <w:tcW w:w="3891" w:type="dxa"/>
            <w:tcBorders>
              <w:top w:val="single" w:sz="2" w:space="0" w:color="000000"/>
              <w:left w:val="single" w:sz="2" w:space="0" w:color="000000"/>
              <w:bottom w:val="single" w:sz="2" w:space="0" w:color="000000"/>
            </w:tcBorders>
            <w:tcMar>
              <w:top w:w="28" w:type="dxa"/>
              <w:left w:w="160" w:type="dxa"/>
              <w:bottom w:w="200" w:type="dxa"/>
            </w:tcMar>
            <w:vAlign w:val="bottom"/>
          </w:tcPr>
          <w:p>
            <w:pPr>
              <w:pStyle w:val="TableContents"/>
              <w:bidi w:val="0"/>
              <w:spacing w:before="0" w:after="0"/>
              <w:jc w:val="left"/>
              <w:rPr>
                <w:rFonts w:ascii="Times New Roman" w:hAnsi="Times New Roman"/>
                <w:b/>
                <w:sz w:val="16"/>
              </w:rPr>
            </w:pPr>
            <w:r>
              <w:rPr>
                <w:rFonts w:ascii="Times New Roman" w:hAnsi="Times New Roman"/>
                <w:b/>
                <w:sz w:val="16"/>
              </w:rPr>
              <w:t>Portion of Annual Net Sales of</w:t>
            </w:r>
          </w:p>
          <w:p>
            <w:pPr>
              <w:pStyle w:val="TableContents"/>
              <w:bidi w:val="0"/>
              <w:spacing w:before="0" w:after="0"/>
              <w:jc w:val="left"/>
              <w:rPr>
                <w:rFonts w:ascii="Times New Roman" w:hAnsi="Times New Roman"/>
                <w:b/>
                <w:sz w:val="16"/>
              </w:rPr>
            </w:pPr>
            <w:r>
              <w:rPr>
                <w:rFonts w:ascii="Times New Roman" w:hAnsi="Times New Roman"/>
                <w:b/>
                <w:sz w:val="16"/>
              </w:rPr>
              <w:t>Royalty Products sold in the United</w:t>
            </w:r>
          </w:p>
          <w:p>
            <w:pPr>
              <w:pStyle w:val="TableContents"/>
              <w:bidi w:val="0"/>
              <w:spacing w:before="0" w:after="20"/>
              <w:jc w:val="left"/>
              <w:rPr>
                <w:rFonts w:ascii="Times New Roman" w:hAnsi="Times New Roman"/>
                <w:b/>
                <w:sz w:val="16"/>
              </w:rPr>
            </w:pPr>
            <w:r>
              <w:rPr>
                <w:rFonts w:ascii="Times New Roman" w:hAnsi="Times New Roman"/>
                <w:b/>
                <w:sz w:val="16"/>
              </w:rPr>
              <w:t>States, collectively</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11" w:type="dxa"/>
            <w:tcBorders>
              <w:top w:val="single" w:sz="2" w:space="0" w:color="000000"/>
              <w:bottom w:val="single" w:sz="2" w:space="0" w:color="000000"/>
              <w:right w:val="single" w:sz="2" w:space="0" w:color="000000"/>
            </w:tcBorders>
            <w:tcMar>
              <w:top w:w="28" w:type="dxa"/>
              <w:bottom w:w="200" w:type="dxa"/>
              <w:right w:w="40" w:type="dxa"/>
            </w:tcMar>
            <w:vAlign w:val="bottom"/>
          </w:tcPr>
          <w:p>
            <w:pPr>
              <w:pStyle w:val="TableContents"/>
              <w:bidi w:val="0"/>
              <w:spacing w:before="0" w:after="283"/>
              <w:jc w:val="center"/>
              <w:rPr>
                <w:b/>
              </w:rPr>
            </w:pPr>
            <w:r>
              <w:rPr>
                <w:b/>
              </w:rPr>
              <w:t>Marginal Royalty Rate</w:t>
            </w:r>
          </w:p>
        </w:tc>
      </w:tr>
      <w:tr>
        <w:trPr/>
        <w:tc>
          <w:tcPr>
            <w:tcW w:w="3891"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Up to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11" w:type="dxa"/>
            <w:tcBorders>
              <w:bottom w:val="single" w:sz="2" w:space="0" w:color="000000"/>
              <w:right w:val="single" w:sz="2" w:space="0" w:color="000000"/>
            </w:tcBorders>
            <w:tcMar>
              <w:bottom w:w="200" w:type="dxa"/>
              <w:right w:w="40" w:type="dxa"/>
            </w:tcMar>
          </w:tcPr>
          <w:p>
            <w:pPr>
              <w:pStyle w:val="TableContents"/>
              <w:bidi w:val="0"/>
              <w:spacing w:before="0" w:after="283"/>
              <w:jc w:val="center"/>
              <w:rPr/>
            </w:pPr>
            <w:r>
              <w:rPr/>
              <w:t>[***]%</w:t>
            </w:r>
          </w:p>
        </w:tc>
      </w:tr>
      <w:tr>
        <w:trPr/>
        <w:tc>
          <w:tcPr>
            <w:tcW w:w="3891"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Equal to or Greater than $[***] and less than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11" w:type="dxa"/>
            <w:tcBorders>
              <w:bottom w:val="single" w:sz="2" w:space="0" w:color="000000"/>
              <w:right w:val="single" w:sz="2" w:space="0" w:color="000000"/>
            </w:tcBorders>
            <w:tcMar>
              <w:bottom w:w="200" w:type="dxa"/>
              <w:right w:w="40" w:type="dxa"/>
            </w:tcMar>
          </w:tcPr>
          <w:p>
            <w:pPr>
              <w:pStyle w:val="TableContents"/>
              <w:bidi w:val="0"/>
              <w:spacing w:before="0" w:after="283"/>
              <w:jc w:val="center"/>
              <w:rPr/>
            </w:pPr>
            <w:r>
              <w:rPr/>
              <w:t>[***]%</w:t>
            </w:r>
          </w:p>
        </w:tc>
      </w:tr>
      <w:tr>
        <w:trPr/>
        <w:tc>
          <w:tcPr>
            <w:tcW w:w="3891" w:type="dxa"/>
            <w:tcBorders>
              <w:left w:val="single" w:sz="2" w:space="0" w:color="000000"/>
              <w:bottom w:val="single" w:sz="2" w:space="0" w:color="000000"/>
            </w:tcBorders>
            <w:tcMar>
              <w:left w:w="160" w:type="dxa"/>
              <w:bottom w:w="200" w:type="dxa"/>
            </w:tcMar>
          </w:tcPr>
          <w:p>
            <w:pPr>
              <w:pStyle w:val="TableContents"/>
              <w:bidi w:val="0"/>
              <w:spacing w:before="0" w:after="0"/>
              <w:jc w:val="left"/>
              <w:rPr>
                <w:rFonts w:ascii="Times New Roman" w:hAnsi="Times New Roman"/>
                <w:sz w:val="20"/>
              </w:rPr>
            </w:pPr>
            <w:r>
              <w:rPr>
                <w:rFonts w:ascii="Times New Roman" w:hAnsi="Times New Roman"/>
                <w:sz w:val="20"/>
              </w:rPr>
              <w:t>Equal to or Greater than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11" w:type="dxa"/>
            <w:tcBorders>
              <w:bottom w:val="single" w:sz="2" w:space="0" w:color="000000"/>
              <w:right w:val="single" w:sz="2" w:space="0" w:color="000000"/>
            </w:tcBorders>
            <w:tcMar>
              <w:bottom w:w="200" w:type="dxa"/>
              <w:right w:w="40" w:type="dxa"/>
            </w:tcMar>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clarity, each marginal royalty rate set forth in the table shall apply only to that portion of the Net Sales of Royalty Products in the United States, collectively, during the period in which such Products have an active J-Code or have otherwise been afforded active Pass-Through Status, in each case permitting separate reimbursement for such Products, within a given Calendar year of the applicable Royalty Term that falls within the indicated range. </w:t>
      </w:r>
    </w:p>
    <w:p>
      <w:pPr>
        <w:pStyle w:val="TextBody"/>
        <w:bidi w:val="0"/>
        <w:spacing w:before="240" w:after="0"/>
        <w:jc w:val="left"/>
        <w:rPr>
          <w:rFonts w:ascii="Times New Roman" w:hAnsi="Times New Roman"/>
          <w:sz w:val="20"/>
        </w:rPr>
      </w:pPr>
      <w:r>
        <w:rPr>
          <w:rFonts w:ascii="Times New Roman" w:hAnsi="Times New Roman"/>
          <w:b/>
          <w:sz w:val="20"/>
        </w:rPr>
        <w:t xml:space="preserve">4.2 </w:t>
      </w:r>
      <w:r>
        <w:rPr>
          <w:rFonts w:ascii="Times New Roman" w:hAnsi="Times New Roman"/>
          <w:sz w:val="20"/>
        </w:rPr>
        <w:t> </w:t>
      </w:r>
      <w:r>
        <w:rPr>
          <w:rFonts w:ascii="Times New Roman" w:hAnsi="Times New Roman"/>
          <w:b/>
          <w:sz w:val="20"/>
        </w:rPr>
        <w:t>J-Codes</w:t>
      </w:r>
      <w:r>
        <w:rPr>
          <w:rFonts w:ascii="Times New Roman" w:hAnsi="Times New Roman"/>
          <w:sz w:val="20"/>
        </w:rPr>
        <w:t xml:space="preserve">. Solely for purposes of determining the amount of Net Sales of Royalty Products sold in the United States (a) on which Royalty Payments are to be paid pursuant to Section 4.1 of this Section 2.9 and (b) which are to be included in Net Sales for purposes of determining the applicable marginal royalty rate pursuant to Section 4.1 of this Schedule 2.9, only Net Sales of Royalty Products sold in the United States shall be included. For purposes of the Agreement and Section 1 and this Section 4, each of this Schedule 2.9, (x) “J-Code” means a Healthcare Common Procedure Coding System (“HCPCS”) Level II code, designated by the prefix “J,” assigned by the Centers for Medicare &amp; Medicaid Services (“CMS”) to identify and facilitate billing for injectable drugs, biologics, or other pharmaceutical products and devices that are typically administered by a healthcare professional in a physician’s office, hospital outpatient setting, or other clinical setting, as such code(s) may be updated, modified, or replaced by CMS from time to time and that permits separate reimbursement for such Royalty Products and (y) “Pass-Through Status” refers to a temporary designation granted by CMS allowing for separate payment for the product during a temporary period. For the avoidance of doubt, Net Sales of Products sold outside of the United States shall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be subject to the limitations or exclusions provided for in this Section 4.2 and shall not be royalty-bearing under Section 4.1 of this Schedule 2.9, but such Net Sales shall be included in Net Sales for purposes of determining whether any Commercial Milestone Event has been achieved pursuant to Section 2.1 of this Schedule 2.9. </w:t>
      </w:r>
    </w:p>
    <w:p>
      <w:pPr>
        <w:pStyle w:val="TextBody"/>
        <w:bidi w:val="0"/>
        <w:spacing w:before="240" w:after="0"/>
        <w:jc w:val="left"/>
        <w:rPr>
          <w:rFonts w:ascii="Times New Roman" w:hAnsi="Times New Roman"/>
          <w:sz w:val="20"/>
        </w:rPr>
      </w:pPr>
      <w:r>
        <w:rPr>
          <w:rFonts w:ascii="Times New Roman" w:hAnsi="Times New Roman"/>
          <w:b/>
          <w:sz w:val="20"/>
        </w:rPr>
        <w:t xml:space="preserve">4.3 </w:t>
      </w:r>
      <w:r>
        <w:rPr>
          <w:rFonts w:ascii="Times New Roman" w:hAnsi="Times New Roman"/>
          <w:sz w:val="20"/>
        </w:rPr>
        <w:t> </w:t>
      </w:r>
      <w:r>
        <w:rPr>
          <w:rFonts w:ascii="Times New Roman" w:hAnsi="Times New Roman"/>
          <w:b/>
          <w:sz w:val="20"/>
        </w:rPr>
        <w:t>Royalty Term</w:t>
      </w:r>
      <w:r>
        <w:rPr>
          <w:rFonts w:ascii="Times New Roman" w:hAnsi="Times New Roman"/>
          <w:sz w:val="20"/>
        </w:rPr>
        <w:t xml:space="preserve">. With respect to any Royalty Product, Royalties shall only be payable with respect to Net Sales of such Royalty Product sold in the United States following the First Commercial Sale of such Royalty Product in the United States, until the later to occur of (a) the date upon which the last Valid Claim of any issued U.S. patent that both (i) is entitled to claim priority to [***] and (ii) Covers the composition or use of such Royalty Product in the United States, expires or otherwise ceases to be a Valid Claim; and (b) [***] after the First Commercial Sale of a Product in the United States (the “Royalty Term”). For clarity, Net Sales of Products sold outside of the United States or sold during any period of time in which such Products do not have an active J-Code and have not otherwise been afforded active Pass-Through Status, in each case permitting separate reimbursement for such Products, are and shall be expressly excluded from the Royalty Payments contemplated in Section 2.9(d) of the Merger Agreement and Section 4.1 of this Schedule 2.9. </w:t>
      </w:r>
    </w:p>
    <w:p>
      <w:pPr>
        <w:pStyle w:val="TextBody"/>
        <w:bidi w:val="0"/>
        <w:spacing w:before="360" w:after="0"/>
        <w:jc w:val="left"/>
        <w:rPr>
          <w:rFonts w:ascii="Times New Roman" w:hAnsi="Times New Roman"/>
          <w:b/>
          <w:sz w:val="20"/>
        </w:rPr>
      </w:pPr>
      <w:r>
        <w:rPr>
          <w:rFonts w:ascii="Times New Roman" w:hAnsi="Times New Roman"/>
          <w:b/>
          <w:sz w:val="20"/>
        </w:rPr>
        <w:t xml:space="preserve">4.4 Adjustments. </w:t>
      </w:r>
    </w:p>
    <w:p>
      <w:pPr>
        <w:pStyle w:val="TextBody"/>
        <w:bidi w:val="0"/>
        <w:spacing w:before="120" w:after="0"/>
        <w:jc w:val="left"/>
        <w:rPr>
          <w:rFonts w:ascii="Times New Roman" w:hAnsi="Times New Roman"/>
          <w:sz w:val="20"/>
        </w:rPr>
      </w:pPr>
      <w:r>
        <w:rPr>
          <w:rFonts w:ascii="Times New Roman" w:hAnsi="Times New Roman"/>
          <w:sz w:val="20"/>
        </w:rPr>
        <w:t xml:space="preserve">If, with respect to a given Royalty Product sold during the Royalty Term, (a) such Royalty Product is not Covered by a Valid Claim of any issued U.S. patent that both (i) is entitled to claim priority to [***] and (ii) Covers either the composition or use of such Royalty Product in the United States during a Calendar Quarter or (b) a Competing Product (defined below) with respect to such Royalty Product is commercially sold by a third party (other than any Selling Party) in the United States during such Calendar Quarter, then in the case of either (a) or (b), the applicable Marginal Royalty Rate set forth in Section 4.1 of this Schedule 2.9 that is used to calculate the Royalties based on Net Sales of such Royalty Products shall be reduced by [***] such that the corresponding Royalty Payments contemplated in Section 2.9 of the Agreement and this Section 4 shall be reduced by [***] solely with respect to such Royalty Product. As used herein, “Competing Product” means, with respect to a Royalty Product, any product that (i) contains the same Company Active Ingredient as is contained in such Royalty Product, (ii) is a generic and substitutable version of such Royalty Product (e.g., is AB rated to such Royalty Product) that has received Regulatory Approval for all of the indications for which such Royalty Product has received Regulatory Approval, and (iii) is sold by any third party that is not a Selling Person or a licensee or sublicensee (under Acquired Patents) of the Acquiror, the Surviving Corporation, any of their respective Affiliates or any other Selling Person, under an ANDA granted to a third party. Without limiting Acquiror’s rights and remedies under the Agreement, including the right to make adjustments to any Royalty Payment or Milestone Payment pursuant to Section 6.12(a) of the Agreement, nothing contained in this Section 4 is intended to entitle Acquiror to any other adjustment to any Royalty Payment or Milestone Payment that becomes due or is otherwise payable pursuant to the Agreement or this Schedule 2.9 as a result of any royalty obligations that relate to any of the Royalty Products under Contracts to which the Company, the Surviving Corporation, Acquiror, any other Selling Person or any of its or their respective Affiliates are a party as of the Closing Date or enter into at any time on or after the Closing Date (including, in each case, any such Contracts under which the Company, the Surviving Corporation, Acquiror, any other Selling Person or any of its or their respective Affiliates receives licenses under Intellectual Property rights of any third party). </w:t>
      </w:r>
    </w:p>
    <w:p>
      <w:pPr>
        <w:pStyle w:val="TextBody"/>
        <w:bidi w:val="0"/>
        <w:spacing w:before="360" w:after="0"/>
        <w:jc w:val="left"/>
        <w:rPr>
          <w:rFonts w:ascii="Times New Roman" w:hAnsi="Times New Roman"/>
          <w:b/>
          <w:sz w:val="20"/>
        </w:rPr>
      </w:pPr>
      <w:r>
        <w:rPr>
          <w:rFonts w:ascii="Times New Roman" w:hAnsi="Times New Roman"/>
          <w:b/>
          <w:sz w:val="20"/>
        </w:rPr>
        <w:t xml:space="preserve">4.5 Example. </w:t>
      </w:r>
    </w:p>
    <w:p>
      <w:pPr>
        <w:pStyle w:val="TextBody"/>
        <w:bidi w:val="0"/>
        <w:spacing w:before="120" w:after="0"/>
        <w:jc w:val="left"/>
        <w:rPr>
          <w:rFonts w:ascii="Times New Roman" w:hAnsi="Times New Roman"/>
          <w:sz w:val="20"/>
        </w:rPr>
      </w:pPr>
      <w:r>
        <w:rPr>
          <w:rFonts w:ascii="Times New Roman" w:hAnsi="Times New Roman"/>
          <w:sz w:val="20"/>
        </w:rPr>
        <w:t xml:space="preserve">Solely by way of example for purposes of demonstrating the calculation of the applicable Royalty Payments that would become due and payable pursuant to Section 4.1 of this Schedule 2.9(d) and Section 2.9(d) of the Agreement with respect to Royalty Products sold within the United States during a particular calendar year during the Royalty Term, if: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Sales of such Royalty Products obtained by Acquiror and each of the Selling Persons collectively during the first calendar quarter of a particular calendar year are $[***], the Royalty Payment that would become due and payable within [***] after that calendar quarter would be calculated as [***]of such Net Sales, which would result in a Royalty Payment of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an additional $[***] of Net Sales of such Royalty Products obtained by Acquiror and each of the Selling Persons collectively, during the second calendar quarter of such calendar year, the total annual Net Sales of such Royalty Products as of the end of such second calendar quarter would be $[***] and the Royalty Payment payable on the $[***]of Net Sales obtained from the sales of such Royalty Products during such second calendar quarter would be calculated as [***] of the first $[***] of such Net Sales obtained from the sales of such Royalty Products in such second calendar quarter (which would be $[***]) plus [***] of the remaining $[***] of Net Sales obtained from the sales of Royalty Products during such second calendar quarter (which would be $[***]), and therefore, the total Royalty Payment due for sales of such Royalty Products made in such second calendar quarter would be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an additional $[***] of Net Sales of Royalty Products obtained by Acquiror and each of the Selling Persons collectively, during the third calendar quarter of such calendar year, the total annual Net Sales of such Royalty Products as of the end of such third calendar quarter would be $[***] and the Royalty Payment payable on the $[***] of Net Sales obtained from the sales of such Royalty Products during such third calendar quarter would be calculated as [***] of the $[***] of such Net Sales obtained from the sales of such Royalty Products in such third calendar quarter, which would result in a Royalty Payment of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an additional $[***] of Net Sales of such Royalty Products obtained by Acquiror and each of the Selling Persons collectively, during the fourth calendar quarter of such calendar year, the total annual Net Sales of such Royalty Products as of the end of such fourth calendar quarter would be $[***] and the Royalty Payment payable on the $[***] of Net Sales obtained from the sales of such Royalty Products during such fourth calendar quarter would be calculated as [***] of the first $[***] of such Net Sales obtained from the sales of such Royalty Products in such second calendar quarter (which would be $[***]) plus [***] of the remaining $[***] of Net Sales obtained from the sales of such Royalty Products during such fourth calendar quarter (which would be $[***]), and therefore, the total Royalty Payment due for sales of such Royalty Products made in such fourth calendar quarter would be $[***] and the total of the Royalty Payments made with respect to Net Sales obtained from the sale of such Royalty Products during such calendar year would be $[***] (i.e., [***]). </w:t>
            </w:r>
          </w:p>
        </w:tc>
      </w:tr>
    </w:tbl>
    <w:p>
      <w:pPr>
        <w:pStyle w:val="TextBody"/>
        <w:bidi w:val="0"/>
        <w:spacing w:before="0" w:after="0"/>
        <w:jc w:val="right"/>
        <w:rPr>
          <w:rFonts w:ascii="Times New Roman" w:hAnsi="Times New Roman"/>
          <w:b/>
          <w:sz w:val="20"/>
        </w:rPr>
      </w:pPr>
      <w:bookmarkStart w:id="106" w:name="d152392dex51.htm"/>
      <w:bookmarkStart w:id="107" w:name="ksd152392dex51"/>
      <w:bookmarkEnd w:id="106"/>
      <w:bookmarkEnd w:id="107"/>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848475" cy="847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6848475" cy="8477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October 13, 2026 </w:t>
      </w:r>
    </w:p>
    <w:p>
      <w:pPr>
        <w:pStyle w:val="TextBody"/>
        <w:bidi w:val="0"/>
        <w:spacing w:before="240" w:after="0"/>
        <w:jc w:val="left"/>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17700 Laguna Canyon Road, Floor 4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92618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S-3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This opinion is furnished to Tarsus Pharmaceuticals, Inc., a Delaware corporation (the “</w:t>
      </w:r>
      <w:r>
        <w:rPr>
          <w:rFonts w:ascii="Times New Roman" w:hAnsi="Times New Roman"/>
          <w:b/>
          <w:i/>
          <w:sz w:val="20"/>
        </w:rPr>
        <w:t>Company</w:t>
      </w:r>
      <w:r>
        <w:rPr>
          <w:rFonts w:ascii="Times New Roman" w:hAnsi="Times New Roman"/>
          <w:sz w:val="20"/>
        </w:rPr>
        <w:t>”), in connection with the filing with the Securities and Exchange Commission on October 13, 2026 of a registration statement on Form S-3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Act</w:t>
      </w:r>
      <w:r>
        <w:rPr>
          <w:rFonts w:ascii="Times New Roman" w:hAnsi="Times New Roman"/>
          <w:sz w:val="20"/>
        </w:rPr>
        <w:t>”). The Registration Statement relates to the registration of the resale of up to 2,232,144 shares of the Company’s common stock, par value $0.0001 per share (the “</w:t>
      </w:r>
      <w:r>
        <w:rPr>
          <w:rFonts w:ascii="Times New Roman" w:hAnsi="Times New Roman"/>
          <w:b/>
          <w:i/>
          <w:sz w:val="20"/>
        </w:rPr>
        <w:t>Common Stock</w:t>
      </w:r>
      <w:r>
        <w:rPr>
          <w:rFonts w:ascii="Times New Roman" w:hAnsi="Times New Roman"/>
          <w:sz w:val="20"/>
        </w:rPr>
        <w:t>”), consisting of (i) up to 133,625 shares of Common Stock (the “</w:t>
      </w:r>
      <w:r>
        <w:rPr>
          <w:rFonts w:ascii="Times New Roman" w:hAnsi="Times New Roman"/>
          <w:b/>
          <w:i/>
          <w:sz w:val="20"/>
        </w:rPr>
        <w:t>Pre-Funded Warrant Shares</w:t>
      </w:r>
      <w:r>
        <w:rPr>
          <w:rFonts w:ascii="Times New Roman" w:hAnsi="Times New Roman"/>
          <w:sz w:val="20"/>
        </w:rPr>
        <w:t>”) issuable upon exercise of pre-funded warrants to purchase 133,625 shares of Common Stock (the “</w:t>
      </w:r>
      <w:r>
        <w:rPr>
          <w:rFonts w:ascii="Times New Roman" w:hAnsi="Times New Roman"/>
          <w:b/>
          <w:i/>
          <w:sz w:val="20"/>
        </w:rPr>
        <w:t>Pre-Funded Warrants</w:t>
      </w:r>
      <w:r>
        <w:rPr>
          <w:rFonts w:ascii="Times New Roman" w:hAnsi="Times New Roman"/>
          <w:sz w:val="20"/>
        </w:rPr>
        <w:t>”) and (ii) 2,098,519 shares of Common Stock (the “</w:t>
      </w:r>
      <w:r>
        <w:rPr>
          <w:rFonts w:ascii="Times New Roman" w:hAnsi="Times New Roman"/>
          <w:b/>
          <w:i/>
          <w:sz w:val="20"/>
        </w:rPr>
        <w:t>Private Placement Shares</w:t>
      </w:r>
      <w:r>
        <w:rPr>
          <w:rFonts w:ascii="Times New Roman" w:hAnsi="Times New Roman"/>
          <w:sz w:val="20"/>
        </w:rPr>
        <w:t>” and together with the Pre-Funded Warrant Shares, the “</w:t>
      </w:r>
      <w:r>
        <w:rPr>
          <w:rFonts w:ascii="Times New Roman" w:hAnsi="Times New Roman"/>
          <w:b/>
          <w:i/>
          <w:sz w:val="20"/>
        </w:rPr>
        <w:t>Shares</w:t>
      </w:r>
      <w:r>
        <w:rPr>
          <w:rFonts w:ascii="Times New Roman" w:hAnsi="Times New Roman"/>
          <w:sz w:val="20"/>
        </w:rPr>
        <w:t>”). All of the Shares are being registered on behalf of certain security holders of the Company identified in the Registration Statement (the “</w:t>
      </w:r>
      <w:r>
        <w:rPr>
          <w:rFonts w:ascii="Times New Roman" w:hAnsi="Times New Roman"/>
          <w:b/>
          <w:i/>
          <w:sz w:val="20"/>
        </w:rPr>
        <w:t>Selling Stockholders</w:t>
      </w:r>
      <w:r>
        <w:rPr>
          <w:rFonts w:ascii="Times New Roman" w:hAnsi="Times New Roman"/>
          <w:sz w:val="20"/>
        </w:rPr>
        <w:t xml:space="preserve">”). The Shares are to be offered and sold by the Selling Stockholders or their permitted transferees in the manner contemplated by the prospectus contained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and of the Selling Stockholders as to factual matters without having independently verified such factual matters. We have assumed the accuracy and completeness of each document submitted to us,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 With respect to the Pre-Funded Warrant Shares, we express no opinion to the extent that, notwithstanding the Company’s current reservation of shares of Common Stock, future issuances of securities of the Company, including the Pre-Funded Warrant Shares, and/or antidilution adjustments to outstanding securities of the Company, including the Pre-Funded Warrants, may cause the Pre-Funded Warrants to be exercisable for more shares of Common Stock than the number that then remain authorized but unissued. Further, we have assumed the exercise price of the Pre-Funded Warrants will not be adjusted to an amount below the par value per share of the shares of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resale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Times New Roman" w:hAnsi="Times New Roman"/>
          <w:b/>
          <w:i/>
          <w:sz w:val="20"/>
        </w:rPr>
        <w:t>DGCL</w:t>
      </w:r>
      <w:r>
        <w:rPr>
          <w:rFonts w:ascii="Times New Roman" w:hAnsi="Times New Roman"/>
          <w:sz w:val="20"/>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the other matters set forth herein, it is our opinion that (i) the Private Placement Shares have been duly authorized for issuance by the Company and the Private Placement Shares are validly issued, fully paid and non-assessable, and (ii) the Pre-Funded Warrant Shares have been duly authorized and, if issued, paid for (which amount shall be not less than the par value of the Common Stock) and delivered on the date hereof upon exercise of the Pre-Funded Warrants in accordance with the terms of the Pre-Funded Warrants and the resolutions adopted by the Board of Directors of the Company, would be validly issued, fully paid and nonassessable. 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“Legal Matters” in the prospectus included in the Registration Statement and to the filing of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Gunderson Dettmer Stough Villeneuve Franklin &amp; Hachigian,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GUNDERSON DETTMER STOUGH</w:t>
            </w:r>
          </w:p>
        </w:tc>
      </w:tr>
      <w:tr>
        <w:trPr/>
        <w:tc>
          <w:tcPr>
            <w:tcW w:w="4082" w:type="dxa"/>
            <w:tcBorders/>
          </w:tcPr>
          <w:p>
            <w:pPr>
              <w:pStyle w:val="TableContents"/>
              <w:bidi w:val="0"/>
              <w:spacing w:before="0" w:after="283"/>
              <w:jc w:val="left"/>
              <w:rPr/>
            </w:pPr>
            <w:r>
              <w:rPr/>
              <w:t>VILLENEUVE FRANKLIN &amp; HACHIGIAN, LLP</w:t>
            </w:r>
          </w:p>
        </w:tc>
      </w:tr>
    </w:tbl>
    <w:p>
      <w:pPr>
        <w:pStyle w:val="TextBody"/>
        <w:bidi w:val="0"/>
        <w:spacing w:before="0" w:after="0"/>
        <w:jc w:val="right"/>
        <w:rPr>
          <w:rFonts w:ascii="Times New Roman" w:hAnsi="Times New Roman"/>
          <w:b/>
          <w:sz w:val="20"/>
        </w:rPr>
      </w:pPr>
      <w:bookmarkStart w:id="108" w:name="d152392dex231.htm"/>
      <w:bookmarkStart w:id="109" w:name="ksd152392dex231"/>
      <w:bookmarkEnd w:id="108"/>
      <w:bookmarkEnd w:id="10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this Registration Statement (Form S-3) and related Prospectus of Tarsus Pharmaceuticals, Inc. for the registration of common stock and to the incorporation by reference therein of our reports dated February 23, 2026, with respect to the financial statements of Tarsus Pharmaceuticals, Inc., and the effectiveness of internal control over financial reporting of Tarsus Pharmaceuticals, Inc., included in its Annual Report (Form 10-K) for the year ended December 31, 2025, filed with the Securities and Exchange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Ernst &amp; Young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13, 2026 </w:t>
      </w:r>
    </w:p>
    <w:p>
      <w:pPr>
        <w:pStyle w:val="TextBody"/>
        <w:bidi w:val="0"/>
        <w:spacing w:before="0" w:after="0"/>
        <w:jc w:val="right"/>
        <w:rPr>
          <w:rFonts w:ascii="Times New Roman" w:hAnsi="Times New Roman"/>
          <w:b/>
          <w:sz w:val="20"/>
        </w:rPr>
      </w:pPr>
      <w:bookmarkStart w:id="110" w:name="d152392dex232.htm"/>
      <w:bookmarkStart w:id="111" w:name="ksd152392dex232"/>
      <w:bookmarkEnd w:id="110"/>
      <w:bookmarkEnd w:id="111"/>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Tarsus Pharmaceuticals, Inc. of our report dated July 17, 2026 relating to the financial statements of Alkeus Pharmaceuticals, Inc., which appears in Tarsus Pharmaceuticals, Inc.’s Current Report on Form 8-K/A dated October 13, 2026. We also consent to the reference to us under the heading “Experts” in such Registration Statement. </w:t>
      </w:r>
    </w:p>
    <w:p>
      <w:pPr>
        <w:pStyle w:val="TextBody"/>
        <w:bidi w:val="0"/>
        <w:spacing w:before="36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October 13, 2026 </w:t>
      </w:r>
    </w:p>
    <w:p>
      <w:pPr>
        <w:pStyle w:val="Normal"/>
        <w:bidi w:val="0"/>
        <w:spacing w:before="0" w:after="0"/>
        <w:jc w:val="left"/>
        <w:rPr>
          <w:sz w:val="4"/>
          <w:szCs w:val="4"/>
        </w:rPr>
      </w:pPr>
      <w:r>
        <w:rPr>
          <w:sz w:val="4"/>
          <w:szCs w:val="4"/>
        </w:rPr>
      </w:r>
      <w:bookmarkStart w:id="112" w:name="d152392dexfilingfees.htm"/>
      <w:bookmarkStart w:id="113" w:name="ksd152392dexfilingfees"/>
      <w:bookmarkStart w:id="114" w:name="d152392dexfilingfees.htm"/>
      <w:bookmarkStart w:id="115" w:name="ksd152392dexfilingfees"/>
      <w:bookmarkEnd w:id="114"/>
      <w:bookmarkEnd w:id="115"/>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Tarsus Pharmaceuticals,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2,232,144 </w:t>
            </w:r>
          </w:p>
        </w:tc>
        <w:tc>
          <w:tcPr>
            <w:tcW w:w="1156" w:type="dxa"/>
            <w:tcBorders/>
            <w:shd w:fill="E7E7E2" w:val="clear"/>
            <w:vAlign w:val="center"/>
          </w:tcPr>
          <w:p>
            <w:pPr>
              <w:pStyle w:val="TableContents"/>
              <w:bidi w:val="0"/>
              <w:spacing w:before="0" w:after="283"/>
              <w:jc w:val="right"/>
              <w:rPr/>
            </w:pPr>
            <w:r>
              <w:rPr/>
              <w:t xml:space="preserve">$ 72.66 </w:t>
            </w:r>
          </w:p>
        </w:tc>
        <w:tc>
          <w:tcPr>
            <w:tcW w:w="1786" w:type="dxa"/>
            <w:tcBorders/>
            <w:shd w:fill="E7E7E2" w:val="clear"/>
            <w:vAlign w:val="center"/>
          </w:tcPr>
          <w:p>
            <w:pPr>
              <w:pStyle w:val="TableContents"/>
              <w:bidi w:val="0"/>
              <w:spacing w:before="0" w:after="283"/>
              <w:jc w:val="right"/>
              <w:rPr/>
            </w:pPr>
            <w:r>
              <w:rPr/>
              <w:t xml:space="preserve">$ 162,187,583.04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$ 14,110.32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116" w:name="MaxAggtOfferingPrice"/>
            <w:bookmarkEnd w:id="116"/>
            <w:r>
              <w:rPr/>
              <w:t xml:space="preserve">$ 162,187,583.04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7" w:name="TotalFeeAmt"/>
            <w:bookmarkEnd w:id="117"/>
            <w:r>
              <w:rPr/>
              <w:t xml:space="preserve">$ 14,110.32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18" w:name="TotalPreviouslyPaidAmt"/>
            <w:bookmarkEnd w:id="11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19" w:name="TotalOffsetAmt"/>
            <w:bookmarkEnd w:id="11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20" w:name="NetFeeAmt"/>
            <w:bookmarkEnd w:id="120"/>
            <w:r>
              <w:rPr/>
              <w:t xml:space="preserve">$ 14,110.32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Pursuant to Rule 416 under the Securities Act of 1933, as amended (the "Securities Act"), this registration statement shall also cover any additional shares of common stock, $0.0001 par value per share (the "Common Stock"), of Tarsus Pharmaceuticals, Inc. (the "Registrant"), which may become issuable by reason of any stock dividend, stock split, recapitalization or other similar transaction effected without the receipt of consideration that results in an increase in the number of the outstanding shares of the Registrant's Common Stock, as applicable. The shares of the Registrant's Common Stock being registered hereunder are being registered for sale by the selling stockholders named in this registration statement and represent 2,232,144 shares of the Registrant's Common Stock, consisting of (i) 2,098,519 shares of the Registrant's Common Stock and (ii) 133,625 shares of the Registrant's Common Stock issuable upon exercise of pre-funded warrants. Pursuant to Rule 457(c) under the Securities Act, and solely for the purpose of calculating the registration fee, the proposed maximum offering price per share is $72.66, which is the average of the high and low prices of shares of the Registrant's Common Stock on the Nasdaq Global Select Market on October 8, 2026 (such date being within five business days of the date that this registration statement was filed with the U.S. Securities and Exchange Commission).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9790/000181979026000019/tars-20251231.htm" TargetMode="External"/><Relationship Id="rId4" Type="http://schemas.openxmlformats.org/officeDocument/2006/relationships/hyperlink" Target="http://www.sec.gov/Archives/edgar/data/../../../ix?doc=/Archives/edgar/data/1819790/000181979026000038/tars-20260331.htm" TargetMode="External"/><Relationship Id="rId5" Type="http://schemas.openxmlformats.org/officeDocument/2006/relationships/hyperlink" Target="http://www.sec.gov/Archives/edgar/data/../../../ix?doc=/Archives/edgar/data/1819790/000181979026000064/tars-20260630.htm" TargetMode="External"/><Relationship Id="rId6" Type="http://schemas.openxmlformats.org/officeDocument/2006/relationships/hyperlink" Target="http://www.sec.gov/Archives/edgar/data/../../../ix?doc=/Archives/edgar/data/1819790/000181979026000005/tars-20260218.htm" TargetMode="External"/><Relationship Id="rId7" Type="http://schemas.openxmlformats.org/officeDocument/2006/relationships/hyperlink" Target="http://www.sec.gov/Archives/edgar/data/../../../ix?doc=/Archives/edgar/data/0001819790/000181979026000043/tars-20260625.htm" TargetMode="External"/><Relationship Id="rId8" Type="http://schemas.openxmlformats.org/officeDocument/2006/relationships/hyperlink" Target="http://www.sec.gov/Archives/edgar/data/../../../ix?doc=/Archives/edgar/data/1819790/000181979026000046/tars-20260706.htm" TargetMode="External"/><Relationship Id="rId9" Type="http://schemas.openxmlformats.org/officeDocument/2006/relationships/hyperlink" Target="http://www.sec.gov/Archives/edgar/data/../../../ix?doc=/Archives/edgar/data/1819790/000181979026000048/tars-20260713.htm" TargetMode="External"/><Relationship Id="rId10" Type="http://schemas.openxmlformats.org/officeDocument/2006/relationships/hyperlink" Target="http://www.sec.gov/Archives/edgar/data/../../../ix?doc=/Archives/edgar/data/1819790/000181979026000060/tars-20260731.htm" TargetMode="External"/><Relationship Id="rId11" Type="http://schemas.openxmlformats.org/officeDocument/2006/relationships/hyperlink" Target="http://www.sec.gov/Archives/edgar/data/../../../ix?doc=/Archives/edgar/data/1819790/000181979026000062/tars-20260805.htm" TargetMode="External"/><Relationship Id="rId12" Type="http://schemas.openxmlformats.org/officeDocument/2006/relationships/hyperlink" Target="http://www.sec.gov/Archives/edgar/data/../../../ix?doc=/Archives/edgar/data/1819790/000181979026000066/tars-20260904.htm" TargetMode="External"/><Relationship Id="rId13" Type="http://schemas.openxmlformats.org/officeDocument/2006/relationships/hyperlink" Target="http://www.sec.gov/Archives/edgar/data/../../../ix?doc=/Archives/edgar/data/1819790/000181979026000069/tars-20260904.htm" TargetMode="External"/><Relationship Id="rId14" Type="http://schemas.openxmlformats.org/officeDocument/2006/relationships/hyperlink" Target="http://www.sec.gov/Archives/edgar/data/../../../ix?doc=/Archives/edgar/data/1819790/000181979026000019/tars-20251231.htm" TargetMode="External"/><Relationship Id="rId15" Type="http://schemas.openxmlformats.org/officeDocument/2006/relationships/hyperlink" Target="http://www.sec.gov/Archives/edgar/data/../../../ix?doc=/Archives/edgar/data/1819790/000181979026000028/tars-20260428.htm" TargetMode="External"/><Relationship Id="rId16" Type="http://schemas.openxmlformats.org/officeDocument/2006/relationships/hyperlink" Target="http://www.sec.gov/Archives/edgar/data/1819790/000119312520267409/d68419d8a12b.htm" TargetMode="External"/><Relationship Id="rId17" Type="http://schemas.openxmlformats.org/officeDocument/2006/relationships/hyperlink" Target="http://www.sec.gov/Archives/edgar/data/1819790/000181979022000010/tarsus-form10xkxex42descri.htm" TargetMode="External"/><Relationship Id="rId18" Type="http://schemas.openxmlformats.org/officeDocument/2006/relationships/image" Target="media/image1.jpeg"/><Relationship Id="rId19" Type="http://schemas.openxmlformats.org/officeDocument/2006/relationships/hyperlink" Target="http://www.sec.gov/Archives/edgar/data/1819790/000181979026000066/apollo-mergeragreementag.htm" TargetMode="External"/><Relationship Id="rId20" Type="http://schemas.openxmlformats.org/officeDocument/2006/relationships/hyperlink" Target="http://www.sec.gov/Archives/edgar/data/1819790/000119312520272900/d11649dex31.htm" TargetMode="External"/><Relationship Id="rId21" Type="http://schemas.openxmlformats.org/officeDocument/2006/relationships/hyperlink" Target="http://www.sec.gov/Archives/edgar/data/1819790/000119312520272900/d11649dex32.htm" TargetMode="External"/><Relationship Id="rId22" Type="http://schemas.openxmlformats.org/officeDocument/2006/relationships/hyperlink" Target="http://www.sec.gov/Archives/edgar/data/1819790/000119312520267327/d30607dex41.htm" TargetMode="External"/><Relationship Id="rId23" Type="http://schemas.openxmlformats.org/officeDocument/2006/relationships/hyperlink" Target="http://www.sec.gov/Archives/edgar/data/1819790/000181979026000062/exhibit41_formpfw.htm" TargetMode="External"/><Relationship Id="rId24" Type="http://schemas.openxmlformats.org/officeDocument/2006/relationships/image" Target="media/image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159</Pages>
  <Words>77367</Words>
  <Characters>422213</Characters>
  <CharactersWithSpaces>500461</CharactersWithSpaces>
  <Paragraphs>3413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