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9143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91439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Azamian Bobak R.</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line="336" w:lineRule="auto"/>
        <w:rPr>
          <w:sz w:val="20"/>
          <w:szCs w:val="20"/>
          <w:color w:val="auto"/>
        </w:rPr>
      </w:pPr>
      <w:r>
        <w:rPr>
          <w:rFonts w:ascii="Times New Roman" w:cs="Times New Roman" w:eastAsia="Times New Roman" w:hAnsi="Times New Roman"/>
          <w:sz w:val="17"/>
          <w:szCs w:val="17"/>
          <w:color w:val="0000FF"/>
        </w:rPr>
        <w:t>C/O TARSUS PHARMACEUTICALS, INC. 15440 LAGUNA CANYON ROAD, SUITE 160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Tarsus Pharmaceuticals,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TARS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8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01/11/2023</w:t>
      </w:r>
    </w:p>
    <w:p>
      <w:pPr>
        <w:spacing w:after="0" w:line="20" w:lineRule="exact"/>
        <w:rPr>
          <w:sz w:val="24"/>
          <w:szCs w:val="24"/>
          <w:color w:val="auto"/>
        </w:rPr>
      </w:pPr>
      <w:r>
        <w:rPr>
          <w:sz w:val="24"/>
          <w:szCs w:val="24"/>
          <w:color w:val="auto"/>
        </w:rPr>
        <w:br w:type="column"/>
      </w:r>
    </w:p>
    <w:p>
      <w:pPr>
        <w:ind w:left="5" w:right="540" w:hanging="5"/>
        <w:spacing w:after="0" w:line="26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226"/>
        </w:trPr>
        <w:tc>
          <w:tcPr>
            <w:tcW w:w="220" w:type="dxa"/>
            <w:vAlign w:val="bottom"/>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65"/>
        <w:spacing w:after="0"/>
        <w:rPr>
          <w:sz w:val="20"/>
          <w:szCs w:val="20"/>
          <w:color w:val="auto"/>
        </w:rPr>
      </w:pPr>
      <w:r>
        <w:rPr>
          <w:rFonts w:ascii="Times New Roman" w:cs="Times New Roman" w:eastAsia="Times New Roman" w:hAnsi="Times New Roman"/>
          <w:sz w:val="17"/>
          <w:szCs w:val="17"/>
          <w:color w:val="0000FF"/>
        </w:rPr>
        <w:t>President/CEO and Board Chair</w:t>
      </w:r>
    </w:p>
    <w:p>
      <w:pPr>
        <w:spacing w:after="0" w:line="419" w:lineRule="exact"/>
        <w:rPr>
          <w:sz w:val="24"/>
          <w:szCs w:val="24"/>
          <w:color w:val="auto"/>
        </w:rPr>
      </w:pPr>
    </w:p>
    <w:p>
      <w:pPr>
        <w:sectPr>
          <w:pgSz w:w="11900" w:h="16838" w:orient="portrait"/>
          <w:cols w:equalWidth="0" w:num="3">
            <w:col w:w="3540" w:space="380"/>
            <w:col w:w="3160" w:space="655"/>
            <w:col w:w="3345"/>
          </w:cols>
          <w:pgMar w:left="460" w:top="219" w:right="359" w:bottom="1440"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7"/>
                <w:szCs w:val="17"/>
                <w:color w:val="0000FF"/>
              </w:rPr>
              <w:t>IRVINE</w:t>
            </w:r>
          </w:p>
        </w:tc>
        <w:tc>
          <w:tcPr>
            <w:tcW w:w="114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92618</w:t>
            </w:r>
          </w:p>
        </w:tc>
      </w:tr>
      <w:tr>
        <w:trPr>
          <w:trHeight w:val="155"/>
        </w:trPr>
        <w:tc>
          <w:tcPr>
            <w:tcW w:w="4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020"/>
        <w:spacing w:after="0"/>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69"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80" w:type="dxa"/>
            <w:vAlign w:val="bottom"/>
            <w:gridSpan w:val="2"/>
          </w:tcPr>
          <w:p>
            <w:pPr>
              <w:ind w:left="360"/>
              <w:spacing w:after="0"/>
              <w:rPr>
                <w:sz w:val="20"/>
                <w:szCs w:val="20"/>
                <w:color w:val="auto"/>
              </w:rPr>
            </w:pPr>
            <w:r>
              <w:rPr>
                <w:rFonts w:ascii="Arial" w:cs="Arial" w:eastAsia="Arial" w:hAnsi="Arial"/>
                <w:sz w:val="12"/>
                <w:szCs w:val="12"/>
                <w:b w:val="1"/>
                <w:bCs w:val="1"/>
                <w:color w:val="auto"/>
                <w:w w:val="98"/>
              </w:rPr>
              <w:t>2.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740" w:type="dxa"/>
            <w:vAlign w:val="bottom"/>
          </w:tcPr>
          <w:p>
            <w:pPr>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2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80" w:type="dxa"/>
            <w:vAlign w:val="bottom"/>
            <w:gridSpan w:val="2"/>
          </w:tcPr>
          <w:p>
            <w:pPr>
              <w:ind w:left="36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6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560" w:type="dxa"/>
            <w:vAlign w:val="bottom"/>
          </w:tcPr>
          <w:p>
            <w:pPr>
              <w:spacing w:after="0"/>
              <w:rPr>
                <w:sz w:val="11"/>
                <w:szCs w:val="11"/>
                <w:color w:val="auto"/>
              </w:rPr>
            </w:pP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60"/>
              <w:spacing w:after="0" w:line="133" w:lineRule="exact"/>
              <w:rPr>
                <w:sz w:val="20"/>
                <w:szCs w:val="20"/>
                <w:color w:val="auto"/>
              </w:rPr>
            </w:pPr>
            <w:r>
              <w:rPr>
                <w:rFonts w:ascii="Arial" w:cs="Arial" w:eastAsia="Arial" w:hAnsi="Arial"/>
                <w:sz w:val="12"/>
                <w:szCs w:val="12"/>
                <w:b w:val="1"/>
                <w:bCs w:val="1"/>
                <w:color w:val="auto"/>
              </w:rPr>
              <w:t>(Month/Day/Year)  if any</w:t>
            </w: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10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10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20" w:type="dxa"/>
            <w:vAlign w:val="bottom"/>
            <w:gridSpan w:val="4"/>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4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By the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Bobak</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Azamian</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1940" w:type="dxa"/>
            <w:vAlign w:val="bottom"/>
            <w:gridSpan w:val="3"/>
            <w:vMerge w:val="restart"/>
          </w:tcPr>
          <w:p>
            <w:pPr>
              <w:ind w:left="460"/>
              <w:spacing w:after="0"/>
              <w:rPr>
                <w:sz w:val="20"/>
                <w:szCs w:val="20"/>
                <w:color w:val="auto"/>
              </w:rPr>
            </w:pPr>
            <w:r>
              <w:rPr>
                <w:rFonts w:ascii="Times New Roman" w:cs="Times New Roman" w:eastAsia="Times New Roman" w:hAnsi="Times New Roman"/>
                <w:sz w:val="17"/>
                <w:szCs w:val="17"/>
                <w:color w:val="0000FF"/>
              </w:rPr>
              <w:t>01/11/2023</w:t>
            </w: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vMerge w:val="restart"/>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2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3,904</w:t>
            </w:r>
          </w:p>
        </w:tc>
        <w:tc>
          <w:tcPr>
            <w:tcW w:w="4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680" w:type="dxa"/>
            <w:vAlign w:val="bottom"/>
            <w:gridSpan w:val="2"/>
            <w:vMerge w:val="restart"/>
          </w:tcPr>
          <w:p>
            <w:pPr>
              <w:ind w:left="60"/>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15.11</w:t>
            </w:r>
            <w:r>
              <w:rPr>
                <w:rFonts w:ascii="Times New Roman" w:cs="Times New Roman" w:eastAsia="Times New Roman" w:hAnsi="Times New Roman"/>
                <w:sz w:val="22"/>
                <w:szCs w:val="22"/>
                <w:color w:val="008000"/>
                <w:w w:val="92"/>
                <w:vertAlign w:val="superscript"/>
              </w:rPr>
              <w:t>(2)</w:t>
            </w:r>
          </w:p>
        </w:tc>
        <w:tc>
          <w:tcPr>
            <w:tcW w:w="126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7"/>
                <w:szCs w:val="17"/>
                <w:color w:val="0000FF"/>
              </w:rPr>
              <w:t>1,124,613</w:t>
            </w:r>
          </w:p>
        </w:tc>
        <w:tc>
          <w:tcPr>
            <w:tcW w:w="300" w:type="dxa"/>
            <w:vAlign w:val="bottom"/>
          </w:tcPr>
          <w:p>
            <w:pPr>
              <w:spacing w:after="0"/>
              <w:rPr>
                <w:sz w:val="18"/>
                <w:szCs w:val="18"/>
                <w:color w:val="auto"/>
              </w:rPr>
            </w:pPr>
          </w:p>
        </w:tc>
        <w:tc>
          <w:tcPr>
            <w:tcW w:w="5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I</w:t>
            </w: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Living</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940" w:type="dxa"/>
            <w:vAlign w:val="bottom"/>
            <w:gridSpan w:val="3"/>
            <w:vMerge w:val="continue"/>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1260" w:type="dxa"/>
            <w:vAlign w:val="bottom"/>
            <w:gridSpan w:val="3"/>
            <w:vMerge w:val="continue"/>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102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established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April 16,</w:t>
            </w: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2018</w:t>
            </w:r>
            <w:r>
              <w:rPr>
                <w:rFonts w:ascii="Times New Roman" w:cs="Times New Roman" w:eastAsia="Times New Roman" w:hAnsi="Times New Roman"/>
                <w:sz w:val="22"/>
                <w:szCs w:val="22"/>
                <w:color w:val="008000"/>
                <w:vertAlign w:val="superscript"/>
              </w:rPr>
              <w:t>(3)</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60" w:type="dxa"/>
            <w:vAlign w:val="bottom"/>
            <w:gridSpan w:val="3"/>
          </w:tcPr>
          <w:p>
            <w:pPr>
              <w:jc w:val="right"/>
              <w:ind w:right="380"/>
              <w:spacing w:after="0"/>
              <w:rPr>
                <w:sz w:val="20"/>
                <w:szCs w:val="20"/>
                <w:color w:val="auto"/>
              </w:rPr>
            </w:pPr>
            <w:r>
              <w:rPr>
                <w:rFonts w:ascii="Times New Roman" w:cs="Times New Roman" w:eastAsia="Times New Roman" w:hAnsi="Times New Roman"/>
                <w:sz w:val="17"/>
                <w:szCs w:val="17"/>
                <w:color w:val="0000FF"/>
              </w:rPr>
              <w:t>1,750</w:t>
            </w:r>
          </w:p>
        </w:tc>
        <w:tc>
          <w:tcPr>
            <w:tcW w:w="300" w:type="dxa"/>
            <w:vAlign w:val="bottom"/>
          </w:tcPr>
          <w:p>
            <w:pPr>
              <w:spacing w:after="0"/>
              <w:rPr>
                <w:sz w:val="23"/>
                <w:szCs w:val="23"/>
                <w:color w:val="auto"/>
              </w:rPr>
            </w:pPr>
          </w:p>
        </w:tc>
        <w:tc>
          <w:tcPr>
            <w:tcW w:w="5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D</w:t>
            </w:r>
          </w:p>
        </w:tc>
        <w:tc>
          <w:tcPr>
            <w:tcW w:w="2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2240" w:type="dxa"/>
            <w:vAlign w:val="bottom"/>
            <w:tcBorders>
              <w:bottom w:val="single" w:sz="8" w:color="2C2C2C"/>
            </w:tcBorders>
            <w:gridSpan w:val="2"/>
          </w:tcPr>
          <w:p>
            <w:pPr>
              <w:spacing w:after="0"/>
              <w:rPr>
                <w:sz w:val="8"/>
                <w:szCs w:val="8"/>
                <w:color w:val="auto"/>
              </w:rPr>
            </w:pPr>
          </w:p>
        </w:tc>
        <w:tc>
          <w:tcPr>
            <w:tcW w:w="1420" w:type="dxa"/>
            <w:vAlign w:val="bottom"/>
            <w:tcBorders>
              <w:bottom w:val="single" w:sz="8" w:color="2C2C2C"/>
            </w:tcBorders>
            <w:gridSpan w:val="3"/>
          </w:tcPr>
          <w:p>
            <w:pPr>
              <w:spacing w:after="0"/>
              <w:rPr>
                <w:sz w:val="8"/>
                <w:szCs w:val="8"/>
                <w:color w:val="auto"/>
              </w:rPr>
            </w:pPr>
          </w:p>
        </w:tc>
        <w:tc>
          <w:tcPr>
            <w:tcW w:w="2660" w:type="dxa"/>
            <w:vAlign w:val="bottom"/>
            <w:tcBorders>
              <w:bottom w:val="single" w:sz="8" w:color="2C2C2C"/>
            </w:tcBorders>
            <w:gridSpan w:val="5"/>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66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0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220" w:type="dxa"/>
            <w:vAlign w:val="bottom"/>
            <w:tcBorders>
              <w:bottom w:val="single" w:sz="8" w:color="2C2C2C"/>
            </w:tcBorders>
            <w:gridSpan w:val="4"/>
          </w:tcPr>
          <w:p>
            <w:pPr>
              <w:spacing w:after="0"/>
              <w:rPr>
                <w:sz w:val="3"/>
                <w:szCs w:val="3"/>
                <w:color w:val="auto"/>
              </w:rPr>
            </w:pPr>
          </w:p>
        </w:tc>
        <w:tc>
          <w:tcPr>
            <w:tcW w:w="104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4.</w:t>
            </w:r>
          </w:p>
        </w:tc>
        <w:tc>
          <w:tcPr>
            <w:tcW w:w="2220" w:type="dxa"/>
            <w:vAlign w:val="bottom"/>
            <w:gridSpan w:val="4"/>
          </w:tcPr>
          <w:p>
            <w:pPr>
              <w:ind w:left="80"/>
              <w:spacing w:after="0"/>
              <w:rPr>
                <w:sz w:val="20"/>
                <w:szCs w:val="20"/>
                <w:color w:val="auto"/>
              </w:rPr>
            </w:pPr>
            <w:r>
              <w:rPr>
                <w:rFonts w:ascii="Arial" w:cs="Arial" w:eastAsia="Arial" w:hAnsi="Arial"/>
                <w:sz w:val="12"/>
                <w:szCs w:val="12"/>
                <w:b w:val="1"/>
                <w:bCs w:val="1"/>
                <w:color w:val="auto"/>
              </w:rPr>
              <w:t>5. Number  6. Date Exercisable and</w:t>
            </w:r>
          </w:p>
        </w:tc>
        <w:tc>
          <w:tcPr>
            <w:tcW w:w="1120" w:type="dxa"/>
            <w:vAlign w:val="bottom"/>
            <w:gridSpan w:val="3"/>
          </w:tcPr>
          <w:p>
            <w:pPr>
              <w:ind w:left="12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24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Expiration Date</w:t>
            </w: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7"/>
              </w:rPr>
              <w:t>Derivative</w:t>
            </w:r>
          </w:p>
        </w:tc>
        <w:tc>
          <w:tcPr>
            <w:tcW w:w="156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Form:</w:t>
            </w:r>
          </w:p>
        </w:tc>
        <w:tc>
          <w:tcPr>
            <w:tcW w:w="2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7"/>
              </w:rPr>
              <w:t>Securities</w:t>
            </w: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Reported</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9"/>
              </w:rPr>
              <w:t>Transaction(s)</w:t>
            </w: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8"/>
              </w:rPr>
              <w:t>(Instr. 3, 4</w:t>
            </w: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Date</w:t>
            </w:r>
          </w:p>
        </w:tc>
        <w:tc>
          <w:tcPr>
            <w:tcW w:w="820" w:type="dxa"/>
            <w:vAlign w:val="bottom"/>
          </w:tcPr>
          <w:p>
            <w:pPr>
              <w:ind w:left="220"/>
              <w:spacing w:after="0" w:line="133" w:lineRule="exact"/>
              <w:rPr>
                <w:sz w:val="20"/>
                <w:szCs w:val="20"/>
                <w:color w:val="auto"/>
              </w:rPr>
            </w:pPr>
            <w:r>
              <w:rPr>
                <w:rFonts w:ascii="Arial" w:cs="Arial" w:eastAsia="Arial" w:hAnsi="Arial"/>
                <w:sz w:val="12"/>
                <w:szCs w:val="12"/>
                <w:b w:val="1"/>
                <w:bCs w:val="1"/>
                <w:color w:val="auto"/>
                <w:w w:val="98"/>
              </w:rPr>
              <w:t>Expiration</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560" w:type="dxa"/>
            <w:vAlign w:val="bottom"/>
            <w:gridSpan w:val="2"/>
          </w:tcPr>
          <w:p>
            <w:pPr>
              <w:ind w:left="14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in this Form 4 were effected by an automatic sale pursuant to a Rule 10b5-1 trading plan adopted by the Reporting Person on June 14, 2022.</w:t>
      </w:r>
    </w:p>
    <w:p>
      <w:pPr>
        <w:spacing w:after="0" w:line="50" w:lineRule="exact"/>
        <w:rPr>
          <w:rFonts w:ascii="Times New Roman" w:cs="Times New Roman" w:eastAsia="Times New Roman" w:hAnsi="Times New Roman"/>
          <w:sz w:val="13"/>
          <w:szCs w:val="13"/>
          <w:color w:val="008000"/>
        </w:rPr>
      </w:pPr>
    </w:p>
    <w:p>
      <w:pPr>
        <w:ind w:left="40" w:right="3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 shares were pooled and sold in multiple transactions at prices ranging from $15.00 to $15.40.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is the trustee of the Bobak Azamian Living Trust, established April 16, 2018 and has voting and dispositive power with respect to these shares.</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8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Leonard M. Greenstein,</w:t>
            </w:r>
          </w:p>
        </w:tc>
        <w:tc>
          <w:tcPr>
            <w:tcW w:w="200" w:type="dxa"/>
            <w:vAlign w:val="bottom"/>
          </w:tcPr>
          <w:p>
            <w:pPr>
              <w:spacing w:after="0"/>
              <w:rPr>
                <w:sz w:val="17"/>
                <w:szCs w:val="17"/>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01/13/2023</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27672" TargetMode="External"/><Relationship Id="rId13" Type="http://schemas.openxmlformats.org/officeDocument/2006/relationships/hyperlink" Target="http://www.sec.gov/cgi-bin/browse-edgar?action=getcompany&amp;CIK=00018197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2023-01-13T17:49:32Z</dcterms:created>
  <dcterms:modified xsi:type="dcterms:W3CDTF">2023-01-13T17:49:32Z</dcterms:modified>
</cp:coreProperties>
</file>