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December 31, 2021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jc w:val="center"/>
              <w:ind w:left="22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vMerge w:val="restart"/>
          </w:tcPr>
          <w:p>
            <w:pPr>
              <w:jc w:val="right"/>
              <w:ind w:right="1188"/>
              <w:spacing w:after="0"/>
              <w:rPr>
                <w:sz w:val="20"/>
                <w:szCs w:val="20"/>
                <w:color w:val="auto"/>
              </w:rPr>
            </w:pPr>
            <w:r>
              <w:rPr>
                <w:rFonts w:ascii="Arial" w:cs="Arial" w:eastAsia="Arial" w:hAnsi="Arial"/>
                <w:sz w:val="16"/>
                <w:szCs w:val="16"/>
                <w:b w:val="1"/>
                <w:bCs w:val="1"/>
                <w:color w:val="auto"/>
              </w:rPr>
              <w:t>001-39614</w:t>
            </w:r>
          </w:p>
        </w:tc>
        <w:tc>
          <w:tcPr>
            <w:tcW w:w="4180" w:type="dxa"/>
            <w:vAlign w:val="bottom"/>
          </w:tcPr>
          <w:p>
            <w:pPr>
              <w:jc w:val="right"/>
              <w:ind w:right="18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11"/>
        </w:trPr>
        <w:tc>
          <w:tcPr>
            <w:tcW w:w="40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vMerge w:val="continue"/>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center"/>
              <w:ind w:left="22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3020" w:type="dxa"/>
            <w:vAlign w:val="bottom"/>
          </w:tcPr>
          <w:p>
            <w:pPr>
              <w:jc w:val="center"/>
              <w:ind w:right="128"/>
              <w:spacing w:after="0"/>
              <w:rPr>
                <w:sz w:val="20"/>
                <w:szCs w:val="20"/>
                <w:color w:val="auto"/>
              </w:rPr>
            </w:pPr>
            <w:r>
              <w:rPr>
                <w:rFonts w:ascii="Arial" w:cs="Arial" w:eastAsia="Arial" w:hAnsi="Arial"/>
                <w:sz w:val="13"/>
                <w:szCs w:val="13"/>
                <w:b w:val="1"/>
                <w:bCs w:val="1"/>
                <w:color w:val="auto"/>
                <w:w w:val="88"/>
              </w:rPr>
              <w:t>(Commission File Number)</w:t>
            </w:r>
          </w:p>
        </w:tc>
        <w:tc>
          <w:tcPr>
            <w:tcW w:w="4180" w:type="dxa"/>
            <w:vAlign w:val="bottom"/>
          </w:tcPr>
          <w:p>
            <w:pPr>
              <w:jc w:val="center"/>
              <w:ind w:right="4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0" w:lineRule="exact"/>
        <w:rPr>
          <w:sz w:val="24"/>
          <w:szCs w:val="24"/>
          <w:color w:val="auto"/>
        </w:rPr>
      </w:pP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Stock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6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December 31, 2021, the Board of Directors (the “Board”) of Tarsus Pharmaceuticals, Inc. (the “Company”), upon the recommendation of its Nominating and Corporate Governance Committee, appointed Elizabeth Yeu-Lin, M.D. to the Board, effective immediately. Dr. Yeu will serve as a Class II director with a term expiring at the Company’s 2022 annual meeting of stockholders or until her successor is duly elected and qualified. Further, effective immediately, the Board appointed Dr. Yeu to serve on the Science and Technology Committee of the Board.</w:t>
      </w:r>
    </w:p>
    <w:p>
      <w:pPr>
        <w:spacing w:after="0" w:line="20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As a non-employee director, Dr. Yeu will receive cash and equity compensation paid by the Company pursuant to its non-employee director compensation policy, which includes an initial grant of an option to purchase 20,000 shares of the Company’s common stock. There are no arrangements or understandings between Dr. Yeu and any other person pursuant to which Dr. Yeu was elected as a director. In addition, the Company has entered into an indemnification agreement with Dr. Yeu in connection with her appointment to the Board, which is in substantially the same form as that entered into with the other directors of the Company.</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Company previously entered into a consulting agreement with Dr. Yeu (as amended, the “Consulting Agreement”) under which Dr. Yeu serves as the Company’s Chief Medical Advisor. The Consulting Agreement provides for Dr. Yeu to receive annual cash compensation of $240,000. Additionally, since January 1, 2020, Dr. Yeu has been granted options to purchase an aggregate of 45,134 shares of the Company’s common stock, which includes an option to purchase 33,372 shares of the Company’s common stock pursuant to the Consulting Agreement, with exercise prices ranging from $2.01 to $34.72 per share. </w:t>
      </w:r>
      <w:r>
        <w:rPr>
          <w:rFonts w:ascii="Arial" w:cs="Arial" w:eastAsia="Arial" w:hAnsi="Arial"/>
          <w:sz w:val="17"/>
          <w:szCs w:val="17"/>
          <w:color w:val="212529"/>
        </w:rPr>
        <w:t>Pursuant to the existing terms of her outstanding options, Dr. Yeu</w:t>
      </w:r>
      <w:r>
        <w:rPr>
          <w:rFonts w:ascii="Arial" w:cs="Arial" w:eastAsia="Arial" w:hAnsi="Arial"/>
          <w:sz w:val="17"/>
          <w:szCs w:val="17"/>
          <w:color w:val="auto"/>
        </w:rPr>
        <w:t xml:space="preserve"> will continue to vest in her outstanding options as she continues to provide services to the Company pursuant to the Consulting Agreement. The Consulting Agreement became effective as of August 1, 2020 and may be terminated by either party with ten days’ notice. The Consulting Agreement contains standard confidentiality, indemnification and intellectual property assignment provisions in favor of the Company.</w:t>
      </w:r>
    </w:p>
    <w:p>
      <w:pPr>
        <w:spacing w:after="0" w:line="20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Following the appointment of Dr. Yeu, the Company’s Class II directors consist of Dr. Yeu, Rosemary Crane, Michael Ackermann, Ph.D. and Bobak Azamian, M.D., Ph.D.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announcing Dr. Yeu’s appointment is furnished as Exhibit 99.1 hereto.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3"/>
        </w:trPr>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15"/>
        </w:trPr>
        <w:tc>
          <w:tcPr>
            <w:tcW w:w="120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3"/>
          </w:tcPr>
          <w:p>
            <w:pPr>
              <w:ind w:left="20"/>
              <w:spacing w:after="0"/>
              <w:rPr>
                <w:sz w:val="20"/>
                <w:szCs w:val="20"/>
                <w:color w:val="auto"/>
              </w:rPr>
            </w:pPr>
            <w:r>
              <w:rPr>
                <w:rFonts w:ascii="Arial" w:cs="Arial" w:eastAsia="Arial" w:hAnsi="Arial"/>
                <w:sz w:val="18"/>
                <w:szCs w:val="18"/>
                <w:color w:val="auto"/>
                <w:w w:val="92"/>
              </w:rPr>
              <w:t>Form of Indemnity Agreement (incorporated by reference to Exhibit 10.1 to the Company’s Amended Registration Statement on Form</w:t>
            </w:r>
          </w:p>
        </w:tc>
      </w:tr>
      <w:tr>
        <w:trPr>
          <w:trHeight w:val="230"/>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S-1/A (File No. 333-249076) filed with the Securities and Exchange Commission on October 9, 2020).</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3"/>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Press Release issued by the Company on January 4, 2022 announcing the appointment of Dr. Yeu to the Board of Directors.</w:t>
              </w:r>
            </w:hyperlink>
          </w:p>
        </w:tc>
      </w:tr>
      <w:tr>
        <w:trPr>
          <w:trHeight w:val="345"/>
        </w:trPr>
        <w:tc>
          <w:tcPr>
            <w:tcW w:w="1200" w:type="dxa"/>
            <w:vAlign w:val="bottom"/>
          </w:tcPr>
          <w:p>
            <w:pPr>
              <w:ind w:left="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Cover Page Interactive Data File (embedded within XBRL document)</w:t>
            </w:r>
          </w:p>
        </w:tc>
        <w:tc>
          <w:tcPr>
            <w:tcW w:w="940" w:type="dxa"/>
            <w:vAlign w:val="bottom"/>
            <w:gridSpan w:val="2"/>
          </w:tcPr>
          <w:p>
            <w:pPr>
              <w:spacing w:after="0"/>
              <w:rPr>
                <w:sz w:val="24"/>
                <w:szCs w:val="24"/>
                <w:color w:val="auto"/>
              </w:rPr>
            </w:pPr>
          </w:p>
        </w:tc>
      </w:tr>
      <w:tr>
        <w:trPr>
          <w:trHeight w:val="1033"/>
        </w:trPr>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1180" w:val="left"/>
          <w:tab w:leader="none" w:pos="6820" w:val="left"/>
          <w:tab w:leader="none" w:pos="7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w:t>
      </w:r>
      <w:r>
        <w:rPr>
          <w:rFonts w:ascii="Arial" w:cs="Arial" w:eastAsia="Arial" w:hAnsi="Arial"/>
          <w:sz w:val="16"/>
          <w:szCs w:val="16"/>
          <w:u w:val="single" w:color="auto"/>
          <w:color w:val="auto"/>
        </w:rPr>
        <w:t>Bobak Azamian</w:t>
      </w:r>
    </w:p>
    <w:p>
      <w:pPr>
        <w:spacing w:after="0" w:line="5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Bobak Azamian, M.D., Ph.D.</w:t>
      </w:r>
    </w:p>
    <w:p>
      <w:pPr>
        <w:spacing w:after="0" w:line="5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Appoints Elizabeth Yeu, M.D., a Nationally Recognized Ophthalmologist and Eye Care Leader, to its Board of Directors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Dr. Yeu brings over 20 years of eye care experience, and is a highly regarded leader in clinical care and new product innovation</w:t>
      </w:r>
    </w:p>
    <w:p>
      <w:pPr>
        <w:spacing w:after="0" w:line="23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IRVINE, Calif., January 4, 2022 -- Tarsus Pharmaceuticals, Inc. (NASDAQ: TARS), whose mission is to focus on unmet needs and apply proven science and new technology to revolutionize treatment for patients, starting with eye care, today announced the appointment of Elizabeth Yeu, M.D. to its Board of Directors. Dr. Yeu will continue to serve as Tarsus’ Chief Medical Advisor. As part of her Board appointment, she will join the Science and Technology Committee, which provides strategic direction on external and internal innovation and pipeline opportunities. With over 20 years of broad eye care experience, Dr. Yeu brings proven clinical leadership to the Tarsus Board.</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are delighted to have Dr. Yeu join our Board of Directors during a pivotal time for the company as we approach the potential commercialization of TP-03, our lead investigational product for the treatment of Demodex blepharitis,” said Bobak Azamian, M.D., Ph.D., President and Chief Executive Officer of Tarsus. “Dr. Yeu is a prominent and well-respected thought leader and clinician and has a deep understanding of the unmet needs in eye care. I am grateful for her expertise and guidance as we plan for the company’s growth and pipeline expansion.”</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Dr. Yeu brings a wealth of eye care experience to the Tarsus Board, having authored hundreds of articles and conducted numerous lectures on subjects such as refractive cataract surgery, anterior segment reconstruction, and external ocular disease management. In addition to serving as Tarsus’ Chief Medical Advisor since August 2020, Dr. Yeu is a partner and practicing ophthalmologist at Virginia Eye Consultants and Medical Director at Virginia Surgery Center. She also provides guidance and governance across several national medical boards and committees, including as an examiner for the American Board of Ophthalmology and as the Chair of the Cataract Section of Ophthalmic News &amp; Education (ONE) Network for the American Academy of Ophthalmology (AAO). Dr. Yeu is also an Executive Committee member and the current Secretary for the American Society of Cataract and Refractive Surgery (ASCRS) and, in 2023, she will become the ASCRS President.</w:t>
      </w:r>
    </w:p>
    <w:p>
      <w:pPr>
        <w:spacing w:after="0" w:line="203"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“Tarsus has made remarkable progress in advancing TP-03 for the treatment of Demodex blepharitis, and I am honored to have the opportunity to broaden my responsibility by joining the Board of Directors and the Science and Technology Committee,” said Dr. Yeu. “The company is at the forefront of developing multiple innovative therapeutics that have the potential to make a meaningful difference in many patients’ daily lives, and I am delighted to contribute towards the strategic path of the company.”</w:t>
      </w:r>
    </w:p>
    <w:p>
      <w:pPr>
        <w:spacing w:after="0" w:line="20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Dr. Yeu currently serves on the Boards of Directors of STAAR Surgical, Ocular Science, and the Virginia Eye Foundation. She also serves as an Executive Committee Member of CVP Physicians, Mid Atlantic. Dr. Yeu earned her M.D. through an accelerated and combined undergraduate/medical school program at the University of Florida College of Medicine. She completed her ophthalmology residency at Rush University Medical Center in Chicago, where she served as Chief Resident. She then completed a fellowship in cornea, anterior segment, and refractive surgery at the Cullen Eye Institute, Baylor College of Medicine, where she also served as an Assistant Professor. She continues to train residents as an Assistant Professor at the Eastern Virginia Medical School.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2"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Tarsus Pharmaceuticals, Inc.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w:t>
      </w:r>
    </w:p>
    <w:p>
      <w:pPr>
        <w:sectPr>
          <w:pgSz w:w="11900" w:h="16838" w:orient="portrait"/>
          <w:cols w:equalWidth="0" w:num="1">
            <w:col w:w="11240"/>
          </w:cols>
          <w:pgMar w:left="320" w:top="1440" w:right="339" w:bottom="1440" w:gutter="0" w:footer="0" w:header="0"/>
        </w:sectPr>
      </w:pPr>
    </w:p>
    <w:bookmarkStart w:id="4" w:name="page5"/>
    <w:bookmarkEnd w:id="4"/>
    <w:p>
      <w:pPr>
        <w:ind w:right="120"/>
        <w:spacing w:after="0" w:line="253" w:lineRule="auto"/>
        <w:rPr>
          <w:sz w:val="20"/>
          <w:szCs w:val="20"/>
          <w:color w:val="auto"/>
        </w:rPr>
      </w:pPr>
      <w:r>
        <w:rPr>
          <w:rFonts w:ascii="Arial" w:cs="Arial" w:eastAsia="Arial" w:hAnsi="Arial"/>
          <w:sz w:val="17"/>
          <w:szCs w:val="17"/>
          <w:color w:val="auto"/>
        </w:rPr>
        <w:t>two investigational medicines in clinical trials. Its lead product candidate, TP-03, is a novel therapeutic being studied in a second Phase 3 pivotal trial for the treatment of Demodex blepharitis. TP-03 is also being developed for the treatment of Meibomian Gland Disease. In addition, Tarsus is developing TP-05, an oral, non-vaccine therapeutic for the prevention of Lyme disease, which is currently being studied in a Phase 1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These statements include statements regarding Tarsus’ plans for and the anticipated benefits of its product candidates, including TP-03, the benefits and value added by the new director, the timing, objectives and results of the clinical trials and anticipated regulatory and development milestones, including the potential commercialization of the Company’s products, and the quotations of Tarsus’ management and board members.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and are detailed from time to time in the reports Tarsus files with the Securities and Exchange Commission, including Tarsus’ Form 10-K for the year ended December 31, 2020 filed on March 31, 2021 and the most recent Form 10-Q for the quarter ended September 30, 2021 filed with the SEC on November 10, 2021,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SuJin Oh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Shop PR</w:t>
      </w:r>
    </w:p>
    <w:p>
      <w:pPr>
        <w:spacing w:after="0" w:line="63" w:lineRule="exact"/>
        <w:rPr>
          <w:sz w:val="20"/>
          <w:szCs w:val="20"/>
          <w:color w:val="auto"/>
        </w:rPr>
      </w:pPr>
    </w:p>
    <w:p>
      <w:pPr>
        <w:ind w:left="20" w:right="9800" w:firstLine="6"/>
        <w:spacing w:after="0" w:line="412" w:lineRule="auto"/>
        <w:tabs>
          <w:tab w:leader="none" w:pos="455" w:val="left"/>
        </w:tabs>
        <w:numPr>
          <w:ilvl w:val="0"/>
          <w:numId w:val="2"/>
        </w:numPr>
        <w:rPr>
          <w:rFonts w:ascii="Arial" w:cs="Arial" w:eastAsia="Arial" w:hAnsi="Arial"/>
          <w:sz w:val="16"/>
          <w:szCs w:val="16"/>
          <w:color w:val="auto"/>
        </w:rPr>
      </w:pPr>
      <w:r>
        <w:rPr>
          <w:rFonts w:ascii="Arial" w:cs="Arial" w:eastAsia="Arial" w:hAnsi="Arial"/>
          <w:sz w:val="16"/>
          <w:szCs w:val="16"/>
          <w:color w:val="auto"/>
        </w:rPr>
        <w:t>841-5213 sujin@shop-pr.com</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Nakasone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Head of Investor Relations</w:t>
      </w:r>
    </w:p>
    <w:p>
      <w:pPr>
        <w:spacing w:after="0" w:line="50" w:lineRule="exact"/>
        <w:rPr>
          <w:sz w:val="20"/>
          <w:szCs w:val="20"/>
          <w:color w:val="auto"/>
        </w:rPr>
      </w:pPr>
    </w:p>
    <w:p>
      <w:pPr>
        <w:ind w:left="20" w:right="9280" w:firstLine="6"/>
        <w:spacing w:after="0" w:line="359" w:lineRule="auto"/>
        <w:tabs>
          <w:tab w:leader="none" w:pos="455" w:val="left"/>
        </w:tabs>
        <w:numPr>
          <w:ilvl w:val="0"/>
          <w:numId w:val="3"/>
        </w:numPr>
        <w:rPr>
          <w:rFonts w:ascii="Arial" w:cs="Arial" w:eastAsia="Arial" w:hAnsi="Arial"/>
          <w:sz w:val="16"/>
          <w:szCs w:val="16"/>
          <w:color w:val="auto"/>
        </w:rPr>
      </w:pPr>
      <w:r>
        <w:rPr>
          <w:rFonts w:ascii="Arial" w:cs="Arial" w:eastAsia="Arial" w:hAnsi="Arial"/>
          <w:sz w:val="16"/>
          <w:szCs w:val="16"/>
          <w:color w:val="auto"/>
        </w:rPr>
        <w:t>620-3223 DNakasone@tarsusrx.com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17"/>
    </w:lvl>
  </w:abstractNum>
  <w:abstractNum w:abstractNumId="2">
    <w:nsid w:val="19495CFF"/>
    <w:multiLevelType w:val="hybridMultilevel"/>
    <w:lvl w:ilvl="0">
      <w:lvlJc w:val="left"/>
      <w:lvlText w:val="(%1)"/>
      <w:numFmt w:val="decimal"/>
      <w:start w:val="94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2022-01-04T15:27:16Z</dcterms:created>
  <dcterms:modified xsi:type="dcterms:W3CDTF">2022-01-04T15:27:16Z</dcterms:modified>
</cp:coreProperties>
</file>