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0"/>
          <w:szCs w:val="20"/>
          <w:b w:val="1"/>
          <w:bCs w:val="1"/>
          <w:color w:val="auto"/>
        </w:rPr>
        <w:t>SECURITIES AND EXCHANGE COMMISSION</w:t>
      </w:r>
    </w:p>
    <w:p>
      <w:pPr>
        <w:spacing w:after="0" w:line="22" w:lineRule="exact"/>
        <w:rPr>
          <w:sz w:val="24"/>
          <w:szCs w:val="24"/>
          <w:color w:val="auto"/>
        </w:rPr>
      </w:pPr>
    </w:p>
    <w:p>
      <w:pPr>
        <w:jc w:val="center"/>
        <w:ind w:right="-27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8890</wp:posOffset>
            </wp:positionV>
            <wp:extent cx="2888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41" w:lineRule="exact"/>
        <w:rPr>
          <w:sz w:val="24"/>
          <w:szCs w:val="24"/>
          <w:color w:val="auto"/>
        </w:rPr>
      </w:pPr>
    </w:p>
    <w:p>
      <w:pPr>
        <w:jc w:val="center"/>
        <w:ind w:right="-279"/>
        <w:spacing w:after="0"/>
        <w:rPr>
          <w:sz w:val="20"/>
          <w:szCs w:val="20"/>
          <w:color w:val="auto"/>
        </w:rPr>
      </w:pPr>
      <w:r>
        <w:rPr>
          <w:rFonts w:ascii="Arial" w:cs="Arial" w:eastAsia="Arial" w:hAnsi="Arial"/>
          <w:sz w:val="20"/>
          <w:szCs w:val="20"/>
          <w:b w:val="1"/>
          <w:bCs w:val="1"/>
          <w:color w:val="auto"/>
        </w:rPr>
        <w:t>SCHEDULE 13G/A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22860</wp:posOffset>
            </wp:positionV>
            <wp:extent cx="28886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6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Under the Securities Exchange Act of 1934</w:t>
      </w:r>
    </w:p>
    <w:p>
      <w:pPr>
        <w:spacing w:after="0" w:line="22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(Amendment No. 2)*</w:t>
      </w:r>
    </w:p>
    <w:p>
      <w:pPr>
        <w:spacing w:after="0" w:line="22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Tarsus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87650L103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20"/>
        <w:spacing w:after="0"/>
        <w:rPr>
          <w:sz w:val="20"/>
          <w:szCs w:val="20"/>
          <w:color w:val="auto"/>
        </w:rPr>
      </w:pPr>
      <w:r>
        <w:rPr>
          <w:rFonts w:ascii="Arial" w:cs="Arial" w:eastAsia="Arial" w:hAnsi="Arial"/>
          <w:sz w:val="20"/>
          <w:szCs w:val="20"/>
          <w:color w:val="auto"/>
        </w:rPr>
        <w:t>Check the appropriate box to designate the rule pursuant to which this Schedule 13G is filed:</w:t>
      </w:r>
    </w:p>
    <w:p>
      <w:pPr>
        <w:spacing w:after="0" w:line="229" w:lineRule="exact"/>
        <w:rPr>
          <w:sz w:val="24"/>
          <w:szCs w:val="24"/>
          <w:color w:val="auto"/>
        </w:rPr>
      </w:pPr>
    </w:p>
    <w:p>
      <w:pPr>
        <w:jc w:val="both"/>
        <w:ind w:left="640" w:right="8820" w:hanging="6"/>
        <w:spacing w:after="0" w:line="258" w:lineRule="exact"/>
        <w:tabs>
          <w:tab w:leader="none" w:pos="102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Rule 13d-1(b)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13d-1(c)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187"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(Page 1 of 7 Pages)</w:t>
      </w:r>
    </w:p>
    <w:p>
      <w:pPr>
        <w:spacing w:after="0" w:line="94" w:lineRule="exact"/>
        <w:rPr>
          <w:sz w:val="24"/>
          <w:szCs w:val="24"/>
          <w:color w:val="auto"/>
        </w:rPr>
      </w:pPr>
    </w:p>
    <w:p>
      <w:pPr>
        <w:spacing w:after="0"/>
        <w:rPr>
          <w:sz w:val="20"/>
          <w:szCs w:val="20"/>
          <w:color w:val="auto"/>
        </w:rPr>
      </w:pPr>
      <w:r>
        <w:rPr>
          <w:rFonts w:ascii="Arial" w:cs="Arial" w:eastAsia="Arial" w:hAnsi="Arial"/>
          <w:sz w:val="20"/>
          <w:szCs w:val="20"/>
          <w:color w:val="auto"/>
        </w:rPr>
        <w:t>______________________________</w:t>
      </w:r>
    </w:p>
    <w:p>
      <w:pPr>
        <w:spacing w:after="0" w:line="16" w:lineRule="exact"/>
        <w:rPr>
          <w:sz w:val="24"/>
          <w:szCs w:val="24"/>
          <w:color w:val="auto"/>
        </w:rPr>
      </w:pPr>
    </w:p>
    <w:p>
      <w:pPr>
        <w:jc w:val="both"/>
        <w:ind w:right="80" w:firstLine="656"/>
        <w:spacing w:after="0" w:line="241" w:lineRule="auto"/>
        <w:tabs>
          <w:tab w:leader="none" w:pos="796"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8"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(the "</w:t>
      </w:r>
      <w:r>
        <w:rPr>
          <w:rFonts w:ascii="Arial" w:cs="Arial" w:eastAsia="Arial" w:hAnsi="Arial"/>
          <w:sz w:val="20"/>
          <w:szCs w:val="20"/>
          <w:u w:val="single" w:color="auto"/>
          <w:color w:val="auto"/>
        </w:rPr>
        <w:t>Act</w:t>
      </w:r>
      <w:r>
        <w:rPr>
          <w:rFonts w:ascii="Arial" w:cs="Arial" w:eastAsia="Arial" w:hAnsi="Arial"/>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0960"/>
          </w:cols>
          <w:pgMar w:left="320" w:top="454" w:right="619" w:bottom="1440" w:gutter="0" w:footer="0" w:header="0"/>
        </w:sectPr>
      </w:pPr>
    </w:p>
    <w:bookmarkStart w:id="1" w:name="page2"/>
    <w:bookmarkEnd w:id="1"/>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87650L103</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2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46374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Arial" w:cs="Arial" w:eastAsia="Arial" w:hAnsi="Arial"/>
                <w:sz w:val="29"/>
                <w:szCs w:val="29"/>
                <w:b w:val="1"/>
                <w:bCs w:val="1"/>
                <w:color w:val="auto"/>
                <w:w w:val="74"/>
              </w:rPr>
              <w:t>1</w:t>
            </w:r>
          </w:p>
        </w:tc>
        <w:tc>
          <w:tcPr>
            <w:tcW w:w="2920" w:type="dxa"/>
            <w:vAlign w:val="bottom"/>
          </w:tcPr>
          <w:p>
            <w:pPr>
              <w:ind w:left="400"/>
              <w:spacing w:after="0"/>
              <w:rPr>
                <w:sz w:val="20"/>
                <w:szCs w:val="20"/>
                <w:color w:val="auto"/>
              </w:rPr>
            </w:pPr>
            <w:r>
              <w:rPr>
                <w:rFonts w:ascii="Arial" w:cs="Arial" w:eastAsia="Arial" w:hAnsi="Arial"/>
                <w:sz w:val="16"/>
                <w:szCs w:val="16"/>
                <w:color w:val="auto"/>
                <w:w w:val="94"/>
              </w:rPr>
              <w:t>NAMES OF REPORTING PERSONS</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2920" w:type="dxa"/>
            <w:vAlign w:val="bottom"/>
            <w:vMerge w:val="restart"/>
          </w:tcPr>
          <w:p>
            <w:pPr>
              <w:ind w:left="740"/>
              <w:spacing w:after="0"/>
              <w:rPr>
                <w:sz w:val="20"/>
                <w:szCs w:val="20"/>
                <w:color w:val="auto"/>
              </w:rPr>
            </w:pPr>
            <w:r>
              <w:rPr>
                <w:rFonts w:ascii="Arial" w:cs="Arial" w:eastAsia="Arial" w:hAnsi="Arial"/>
                <w:sz w:val="20"/>
                <w:szCs w:val="20"/>
                <w:color w:val="auto"/>
              </w:rPr>
              <w:t>RTW Investments, LP</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2" w:lineRule="auto"/>
        <w:tabs>
          <w:tab w:leader="none" w:pos="1700" w:val="left"/>
        </w:tabs>
        <w:numPr>
          <w:ilvl w:val="0"/>
          <w:numId w:val="3"/>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700" w:hanging="967"/>
        <w:spacing w:after="0"/>
        <w:tabs>
          <w:tab w:leader="none" w:pos="1700" w:val="left"/>
        </w:tabs>
        <w:numPr>
          <w:ilvl w:val="0"/>
          <w:numId w:val="4"/>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4</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w w:val="89"/>
              </w:rPr>
              <w:t>Delaware</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5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53"/>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2,013,601 Shares</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2,013,601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6540" w:type="dxa"/>
            <w:vAlign w:val="bottom"/>
            <w:gridSpan w:val="3"/>
            <w:vMerge w:val="restart"/>
          </w:tcPr>
          <w:p>
            <w:pPr>
              <w:ind w:left="500"/>
              <w:spacing w:after="0"/>
              <w:rPr>
                <w:sz w:val="20"/>
                <w:szCs w:val="20"/>
                <w:color w:val="auto"/>
              </w:rPr>
            </w:pPr>
            <w:r>
              <w:rPr>
                <w:rFonts w:ascii="Arial" w:cs="Arial" w:eastAsia="Arial" w:hAnsi="Arial"/>
                <w:sz w:val="20"/>
                <w:szCs w:val="20"/>
                <w:color w:val="auto"/>
              </w:rPr>
              <w:t>2,013,601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60"/>
        </w:trPr>
        <w:tc>
          <w:tcPr>
            <w:tcW w:w="130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jc w:val="right"/>
              <w:ind w:right="274"/>
              <w:spacing w:after="0"/>
              <w:rPr>
                <w:sz w:val="20"/>
                <w:szCs w:val="20"/>
                <w:color w:val="auto"/>
              </w:rPr>
            </w:pPr>
            <w:r>
              <w:rPr>
                <w:rFonts w:ascii="Arial" w:cs="Arial" w:eastAsia="Arial" w:hAnsi="Arial"/>
                <w:sz w:val="20"/>
                <w:szCs w:val="20"/>
                <w:color w:val="auto"/>
              </w:rPr>
              <w:t>9.7%</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PN, IA</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73" w:hanging="273"/>
        <w:spacing w:after="0" w:line="262" w:lineRule="exact"/>
        <w:tabs>
          <w:tab w:leader="none" w:pos="273" w:val="left"/>
        </w:tabs>
        <w:numPr>
          <w:ilvl w:val="0"/>
          <w:numId w:val="5"/>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62" w:lineRule="exact"/>
        <w:tabs>
          <w:tab w:leader="none" w:pos="273" w:val="left"/>
        </w:tabs>
        <w:numPr>
          <w:ilvl w:val="0"/>
          <w:numId w:val="5"/>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472" w:right="339" w:bottom="1440" w:gutter="0" w:footer="0" w:header="0"/>
          <w:type w:val="continuous"/>
        </w:sectPr>
      </w:pPr>
    </w:p>
    <w:bookmarkStart w:id="2" w:name="page3"/>
    <w:bookmarkEnd w:id="2"/>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87650L103</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3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46374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Arial" w:cs="Arial" w:eastAsia="Arial" w:hAnsi="Arial"/>
                <w:sz w:val="29"/>
                <w:szCs w:val="29"/>
                <w:b w:val="1"/>
                <w:bCs w:val="1"/>
                <w:color w:val="auto"/>
                <w:w w:val="74"/>
              </w:rPr>
              <w:t>1</w:t>
            </w:r>
          </w:p>
        </w:tc>
        <w:tc>
          <w:tcPr>
            <w:tcW w:w="2920" w:type="dxa"/>
            <w:vAlign w:val="bottom"/>
          </w:tcPr>
          <w:p>
            <w:pPr>
              <w:ind w:left="400"/>
              <w:spacing w:after="0"/>
              <w:rPr>
                <w:sz w:val="20"/>
                <w:szCs w:val="20"/>
                <w:color w:val="auto"/>
              </w:rPr>
            </w:pPr>
            <w:r>
              <w:rPr>
                <w:rFonts w:ascii="Arial" w:cs="Arial" w:eastAsia="Arial" w:hAnsi="Arial"/>
                <w:sz w:val="16"/>
                <w:szCs w:val="16"/>
                <w:color w:val="auto"/>
                <w:w w:val="94"/>
              </w:rPr>
              <w:t>NAMES OF REPORTING PERSONS</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2920" w:type="dxa"/>
            <w:vAlign w:val="bottom"/>
            <w:vMerge w:val="restart"/>
          </w:tcPr>
          <w:p>
            <w:pPr>
              <w:ind w:left="740"/>
              <w:spacing w:after="0"/>
              <w:rPr>
                <w:sz w:val="20"/>
                <w:szCs w:val="20"/>
                <w:color w:val="auto"/>
              </w:rPr>
            </w:pPr>
            <w:r>
              <w:rPr>
                <w:rFonts w:ascii="Arial" w:cs="Arial" w:eastAsia="Arial" w:hAnsi="Arial"/>
                <w:sz w:val="20"/>
                <w:szCs w:val="20"/>
                <w:color w:val="auto"/>
              </w:rPr>
              <w:t>Roderick Wong</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2" w:lineRule="auto"/>
        <w:tabs>
          <w:tab w:leader="none" w:pos="1700" w:val="left"/>
        </w:tabs>
        <w:numPr>
          <w:ilvl w:val="0"/>
          <w:numId w:val="6"/>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700" w:hanging="967"/>
        <w:spacing w:after="0"/>
        <w:tabs>
          <w:tab w:leader="none" w:pos="1700" w:val="left"/>
        </w:tabs>
        <w:numPr>
          <w:ilvl w:val="0"/>
          <w:numId w:val="7"/>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4</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6540" w:type="dxa"/>
            <w:vAlign w:val="bottom"/>
            <w:gridSpan w:val="3"/>
            <w:vMerge w:val="restart"/>
          </w:tcPr>
          <w:p>
            <w:pPr>
              <w:ind w:left="500"/>
              <w:spacing w:after="0"/>
              <w:rPr>
                <w:sz w:val="20"/>
                <w:szCs w:val="20"/>
                <w:color w:val="auto"/>
              </w:rPr>
            </w:pPr>
            <w:r>
              <w:rPr>
                <w:rFonts w:ascii="Arial" w:cs="Arial" w:eastAsia="Arial" w:hAnsi="Arial"/>
                <w:sz w:val="20"/>
                <w:szCs w:val="20"/>
                <w:color w:val="auto"/>
              </w:rPr>
              <w:t>United States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5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53"/>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2,013,601 Shares</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2,013,601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6540" w:type="dxa"/>
            <w:vAlign w:val="bottom"/>
            <w:gridSpan w:val="3"/>
            <w:vMerge w:val="restart"/>
          </w:tcPr>
          <w:p>
            <w:pPr>
              <w:ind w:left="500"/>
              <w:spacing w:after="0"/>
              <w:rPr>
                <w:sz w:val="20"/>
                <w:szCs w:val="20"/>
                <w:color w:val="auto"/>
              </w:rPr>
            </w:pPr>
            <w:r>
              <w:rPr>
                <w:rFonts w:ascii="Arial" w:cs="Arial" w:eastAsia="Arial" w:hAnsi="Arial"/>
                <w:sz w:val="20"/>
                <w:szCs w:val="20"/>
                <w:color w:val="auto"/>
              </w:rPr>
              <w:t>2,013,601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60"/>
        </w:trPr>
        <w:tc>
          <w:tcPr>
            <w:tcW w:w="130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jc w:val="right"/>
              <w:ind w:right="274"/>
              <w:spacing w:after="0"/>
              <w:rPr>
                <w:sz w:val="20"/>
                <w:szCs w:val="20"/>
                <w:color w:val="auto"/>
              </w:rPr>
            </w:pPr>
            <w:r>
              <w:rPr>
                <w:rFonts w:ascii="Arial" w:cs="Arial" w:eastAsia="Arial" w:hAnsi="Arial"/>
                <w:sz w:val="20"/>
                <w:szCs w:val="20"/>
                <w:color w:val="auto"/>
              </w:rPr>
              <w:t>9.7%</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IN, HC</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73" w:hanging="273"/>
        <w:spacing w:after="0" w:line="262" w:lineRule="exact"/>
        <w:tabs>
          <w:tab w:leader="none" w:pos="273" w:val="left"/>
        </w:tabs>
        <w:numPr>
          <w:ilvl w:val="0"/>
          <w:numId w:val="8"/>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62" w:lineRule="exact"/>
        <w:tabs>
          <w:tab w:leader="none" w:pos="273" w:val="left"/>
        </w:tabs>
        <w:numPr>
          <w:ilvl w:val="0"/>
          <w:numId w:val="8"/>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472" w:right="339" w:bottom="1440" w:gutter="0" w:footer="0" w:header="0"/>
          <w:type w:val="continuous"/>
        </w:sectPr>
      </w:pPr>
    </w:p>
    <w:bookmarkStart w:id="3" w:name="page4"/>
    <w:bookmarkEnd w:id="3"/>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87650L103</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4 of 7 Pages</w:t>
      </w:r>
    </w:p>
    <w:p>
      <w:pPr>
        <w:sectPr>
          <w:pgSz w:w="11900" w:h="16838" w:orient="portrait"/>
          <w:cols w:equalWidth="0" w:num="1">
            <w:col w:w="11240"/>
          </w:cols>
          <w:pgMar w:left="320" w:top="472" w:right="339" w:bottom="1440" w:gutter="0" w:footer="0" w:header="0"/>
        </w:sectPr>
      </w:pP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256"/>
        </w:trPr>
        <w:tc>
          <w:tcPr>
            <w:tcW w:w="1260" w:type="dxa"/>
            <w:vAlign w:val="bottom"/>
          </w:tcPr>
          <w:p>
            <w:pPr>
              <w:spacing w:after="0"/>
              <w:rPr>
                <w:sz w:val="20"/>
                <w:szCs w:val="20"/>
                <w:color w:val="auto"/>
              </w:rPr>
            </w:pPr>
            <w:r>
              <w:rPr>
                <w:rFonts w:ascii="Arial" w:cs="Arial" w:eastAsia="Arial" w:hAnsi="Arial"/>
                <w:sz w:val="20"/>
                <w:szCs w:val="20"/>
                <w:b w:val="1"/>
                <w:bCs w:val="1"/>
                <w:color w:val="auto"/>
              </w:rPr>
              <w:t>Item 1(a).</w:t>
            </w:r>
          </w:p>
        </w:tc>
        <w:tc>
          <w:tcPr>
            <w:tcW w:w="9720" w:type="dxa"/>
            <w:vAlign w:val="bottom"/>
            <w:gridSpan w:val="14"/>
          </w:tcPr>
          <w:p>
            <w:pPr>
              <w:ind w:left="420"/>
              <w:spacing w:after="0"/>
              <w:rPr>
                <w:sz w:val="20"/>
                <w:szCs w:val="20"/>
                <w:color w:val="auto"/>
              </w:rPr>
            </w:pPr>
            <w:r>
              <w:rPr>
                <w:rFonts w:ascii="Arial" w:cs="Arial" w:eastAsia="Arial" w:hAnsi="Arial"/>
                <w:sz w:val="20"/>
                <w:szCs w:val="20"/>
                <w:b w:val="1"/>
                <w:bCs w:val="1"/>
                <w:color w:val="auto"/>
              </w:rPr>
              <w:t>NAME OF ISSUER.</w:t>
            </w:r>
          </w:p>
        </w:tc>
      </w:tr>
      <w:tr>
        <w:trPr>
          <w:trHeight w:val="414"/>
        </w:trPr>
        <w:tc>
          <w:tcPr>
            <w:tcW w:w="1260" w:type="dxa"/>
            <w:vAlign w:val="bottom"/>
          </w:tcPr>
          <w:p>
            <w:pPr>
              <w:spacing w:after="0"/>
              <w:rPr>
                <w:sz w:val="24"/>
                <w:szCs w:val="24"/>
                <w:color w:val="auto"/>
              </w:rPr>
            </w:pPr>
          </w:p>
        </w:tc>
        <w:tc>
          <w:tcPr>
            <w:tcW w:w="9720" w:type="dxa"/>
            <w:vAlign w:val="bottom"/>
            <w:gridSpan w:val="14"/>
          </w:tcPr>
          <w:p>
            <w:pPr>
              <w:ind w:left="420"/>
              <w:spacing w:after="0"/>
              <w:rPr>
                <w:sz w:val="20"/>
                <w:szCs w:val="20"/>
                <w:color w:val="auto"/>
              </w:rPr>
            </w:pPr>
            <w:r>
              <w:rPr>
                <w:rFonts w:ascii="Arial" w:cs="Arial" w:eastAsia="Arial" w:hAnsi="Arial"/>
                <w:sz w:val="20"/>
                <w:szCs w:val="20"/>
                <w:color w:val="auto"/>
              </w:rPr>
              <w:t>The name of the issuer is Tarsus Pharmaceuticals, Inc. (the "Company").</w:t>
            </w:r>
          </w:p>
        </w:tc>
      </w:tr>
      <w:tr>
        <w:trPr>
          <w:trHeight w:val="20"/>
        </w:trPr>
        <w:tc>
          <w:tcPr>
            <w:tcW w:w="126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70"/>
        </w:trPr>
        <w:tc>
          <w:tcPr>
            <w:tcW w:w="1260" w:type="dxa"/>
            <w:vAlign w:val="bottom"/>
          </w:tcPr>
          <w:p>
            <w:pPr>
              <w:spacing w:after="0"/>
              <w:rPr>
                <w:sz w:val="20"/>
                <w:szCs w:val="20"/>
                <w:color w:val="auto"/>
              </w:rPr>
            </w:pPr>
            <w:r>
              <w:rPr>
                <w:rFonts w:ascii="Arial" w:cs="Arial" w:eastAsia="Arial" w:hAnsi="Arial"/>
                <w:sz w:val="20"/>
                <w:szCs w:val="20"/>
                <w:b w:val="1"/>
                <w:bCs w:val="1"/>
                <w:color w:val="auto"/>
              </w:rPr>
              <w:t>Item 1(b).</w:t>
            </w:r>
          </w:p>
        </w:tc>
        <w:tc>
          <w:tcPr>
            <w:tcW w:w="9720" w:type="dxa"/>
            <w:vAlign w:val="bottom"/>
            <w:gridSpan w:val="14"/>
          </w:tcPr>
          <w:p>
            <w:pPr>
              <w:ind w:left="420"/>
              <w:spacing w:after="0"/>
              <w:rPr>
                <w:sz w:val="20"/>
                <w:szCs w:val="20"/>
                <w:color w:val="auto"/>
              </w:rPr>
            </w:pPr>
            <w:r>
              <w:rPr>
                <w:rFonts w:ascii="Arial" w:cs="Arial" w:eastAsia="Arial" w:hAnsi="Arial"/>
                <w:sz w:val="20"/>
                <w:szCs w:val="20"/>
                <w:b w:val="1"/>
                <w:bCs w:val="1"/>
                <w:color w:val="auto"/>
              </w:rPr>
              <w:t>ADDRESS OF ISSUER'S PRINCIPAL EXECUTIVE OFFICES:</w:t>
            </w:r>
          </w:p>
        </w:tc>
      </w:tr>
      <w:tr>
        <w:trPr>
          <w:trHeight w:val="438"/>
        </w:trPr>
        <w:tc>
          <w:tcPr>
            <w:tcW w:w="1260" w:type="dxa"/>
            <w:vAlign w:val="bottom"/>
          </w:tcPr>
          <w:p>
            <w:pPr>
              <w:spacing w:after="0"/>
              <w:rPr>
                <w:sz w:val="24"/>
                <w:szCs w:val="24"/>
                <w:color w:val="auto"/>
              </w:rPr>
            </w:pPr>
          </w:p>
        </w:tc>
        <w:tc>
          <w:tcPr>
            <w:tcW w:w="9720" w:type="dxa"/>
            <w:vAlign w:val="bottom"/>
            <w:gridSpan w:val="14"/>
          </w:tcPr>
          <w:p>
            <w:pPr>
              <w:ind w:left="420"/>
              <w:spacing w:after="0"/>
              <w:rPr>
                <w:sz w:val="20"/>
                <w:szCs w:val="20"/>
                <w:color w:val="auto"/>
              </w:rPr>
            </w:pPr>
            <w:r>
              <w:rPr>
                <w:rFonts w:ascii="Arial" w:cs="Arial" w:eastAsia="Arial" w:hAnsi="Arial"/>
                <w:sz w:val="20"/>
                <w:szCs w:val="20"/>
                <w:color w:val="auto"/>
                <w:w w:val="91"/>
              </w:rPr>
              <w:t>The Company's principal executive offices are located at 15440 Laguna Canyon Road, Suite 160, Irvine, California</w:t>
            </w:r>
          </w:p>
        </w:tc>
      </w:tr>
      <w:tr>
        <w:trPr>
          <w:trHeight w:val="250"/>
        </w:trPr>
        <w:tc>
          <w:tcPr>
            <w:tcW w:w="1260" w:type="dxa"/>
            <w:vAlign w:val="bottom"/>
          </w:tcPr>
          <w:p>
            <w:pPr>
              <w:spacing w:after="0"/>
              <w:rPr>
                <w:sz w:val="21"/>
                <w:szCs w:val="21"/>
                <w:color w:val="auto"/>
              </w:rPr>
            </w:pPr>
          </w:p>
        </w:tc>
        <w:tc>
          <w:tcPr>
            <w:tcW w:w="1080" w:type="dxa"/>
            <w:vAlign w:val="bottom"/>
          </w:tcPr>
          <w:p>
            <w:pPr>
              <w:ind w:left="420"/>
              <w:spacing w:after="0"/>
              <w:rPr>
                <w:sz w:val="20"/>
                <w:szCs w:val="20"/>
                <w:color w:val="auto"/>
              </w:rPr>
            </w:pPr>
            <w:r>
              <w:rPr>
                <w:rFonts w:ascii="Arial" w:cs="Arial" w:eastAsia="Arial" w:hAnsi="Arial"/>
                <w:sz w:val="20"/>
                <w:szCs w:val="20"/>
                <w:color w:val="auto"/>
              </w:rPr>
              <w:t>92618.</w:t>
            </w: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661"/>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2(a).</w:t>
            </w:r>
          </w:p>
        </w:tc>
        <w:tc>
          <w:tcPr>
            <w:tcW w:w="9720" w:type="dxa"/>
            <w:vAlign w:val="bottom"/>
            <w:gridSpan w:val="14"/>
          </w:tcPr>
          <w:p>
            <w:pPr>
              <w:ind w:left="420"/>
              <w:spacing w:after="0"/>
              <w:rPr>
                <w:sz w:val="20"/>
                <w:szCs w:val="20"/>
                <w:color w:val="auto"/>
              </w:rPr>
            </w:pPr>
            <w:r>
              <w:rPr>
                <w:rFonts w:ascii="Arial" w:cs="Arial" w:eastAsia="Arial" w:hAnsi="Arial"/>
                <w:sz w:val="20"/>
                <w:szCs w:val="20"/>
                <w:b w:val="1"/>
                <w:bCs w:val="1"/>
                <w:color w:val="auto"/>
              </w:rPr>
              <w:t>NAME OF PERSON FILING:</w:t>
            </w:r>
          </w:p>
        </w:tc>
      </w:tr>
      <w:tr>
        <w:trPr>
          <w:trHeight w:val="459"/>
        </w:trPr>
        <w:tc>
          <w:tcPr>
            <w:tcW w:w="1260" w:type="dxa"/>
            <w:vAlign w:val="bottom"/>
          </w:tcPr>
          <w:p>
            <w:pPr>
              <w:spacing w:after="0"/>
              <w:rPr>
                <w:sz w:val="24"/>
                <w:szCs w:val="24"/>
                <w:color w:val="auto"/>
              </w:rPr>
            </w:pPr>
          </w:p>
        </w:tc>
        <w:tc>
          <w:tcPr>
            <w:tcW w:w="9720" w:type="dxa"/>
            <w:vAlign w:val="bottom"/>
            <w:gridSpan w:val="14"/>
          </w:tcPr>
          <w:p>
            <w:pPr>
              <w:ind w:left="420"/>
              <w:spacing w:after="0"/>
              <w:rPr>
                <w:sz w:val="20"/>
                <w:szCs w:val="20"/>
                <w:color w:val="auto"/>
              </w:rPr>
            </w:pPr>
            <w:r>
              <w:rPr>
                <w:rFonts w:ascii="Arial" w:cs="Arial" w:eastAsia="Arial" w:hAnsi="Arial"/>
                <w:sz w:val="20"/>
                <w:szCs w:val="20"/>
                <w:color w:val="auto"/>
              </w:rPr>
              <w:t>This statement is filed by:</w:t>
            </w:r>
          </w:p>
        </w:tc>
      </w:tr>
      <w:tr>
        <w:trPr>
          <w:trHeight w:val="414"/>
        </w:trPr>
        <w:tc>
          <w:tcPr>
            <w:tcW w:w="1260" w:type="dxa"/>
            <w:vAlign w:val="bottom"/>
          </w:tcPr>
          <w:p>
            <w:pPr>
              <w:spacing w:after="0"/>
              <w:rPr>
                <w:sz w:val="24"/>
                <w:szCs w:val="24"/>
                <w:color w:val="auto"/>
              </w:rPr>
            </w:pPr>
          </w:p>
        </w:tc>
        <w:tc>
          <w:tcPr>
            <w:tcW w:w="1080" w:type="dxa"/>
            <w:vAlign w:val="bottom"/>
          </w:tcPr>
          <w:p>
            <w:pPr>
              <w:ind w:left="420"/>
              <w:spacing w:after="0"/>
              <w:rPr>
                <w:sz w:val="20"/>
                <w:szCs w:val="20"/>
                <w:color w:val="auto"/>
              </w:rPr>
            </w:pPr>
            <w:r>
              <w:rPr>
                <w:rFonts w:ascii="Arial" w:cs="Arial" w:eastAsia="Arial" w:hAnsi="Arial"/>
                <w:sz w:val="20"/>
                <w:szCs w:val="20"/>
                <w:color w:val="auto"/>
              </w:rPr>
              <w:t>(i)</w:t>
            </w:r>
          </w:p>
        </w:tc>
        <w:tc>
          <w:tcPr>
            <w:tcW w:w="8640" w:type="dxa"/>
            <w:vAlign w:val="bottom"/>
            <w:gridSpan w:val="13"/>
          </w:tcPr>
          <w:p>
            <w:pPr>
              <w:ind w:left="140"/>
              <w:spacing w:after="0"/>
              <w:rPr>
                <w:sz w:val="20"/>
                <w:szCs w:val="20"/>
                <w:color w:val="auto"/>
              </w:rPr>
            </w:pPr>
            <w:r>
              <w:rPr>
                <w:rFonts w:ascii="Arial" w:cs="Arial" w:eastAsia="Arial" w:hAnsi="Arial"/>
                <w:sz w:val="20"/>
                <w:szCs w:val="20"/>
                <w:color w:val="auto"/>
                <w:w w:val="90"/>
              </w:rPr>
              <w:t>RTW Investments, LP ("RTW Investments"), a Delaware limited partnership, and the investment adviser to</w:t>
            </w:r>
          </w:p>
        </w:tc>
      </w:tr>
      <w:tr>
        <w:trPr>
          <w:trHeight w:val="20"/>
        </w:trPr>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0"/>
        </w:trPr>
        <w:tc>
          <w:tcPr>
            <w:tcW w:w="1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40" w:type="dxa"/>
            <w:vAlign w:val="bottom"/>
            <w:gridSpan w:val="13"/>
          </w:tcPr>
          <w:p>
            <w:pPr>
              <w:ind w:left="140"/>
              <w:spacing w:after="0" w:line="209" w:lineRule="exact"/>
              <w:rPr>
                <w:sz w:val="20"/>
                <w:szCs w:val="20"/>
                <w:color w:val="auto"/>
              </w:rPr>
            </w:pPr>
            <w:r>
              <w:rPr>
                <w:rFonts w:ascii="Arial" w:cs="Arial" w:eastAsia="Arial" w:hAnsi="Arial"/>
                <w:sz w:val="20"/>
                <w:szCs w:val="20"/>
                <w:color w:val="auto"/>
                <w:w w:val="92"/>
              </w:rPr>
              <w:t>certain funds (the "RTW Funds"), with respect to the Shares (as defined in Item 2(d) below) directly held</w:t>
            </w:r>
          </w:p>
        </w:tc>
      </w:tr>
      <w:tr>
        <w:trPr>
          <w:trHeight w:val="20"/>
        </w:trPr>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4"/>
        </w:trPr>
        <w:tc>
          <w:tcPr>
            <w:tcW w:w="1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640" w:type="dxa"/>
            <w:vAlign w:val="bottom"/>
            <w:gridSpan w:val="13"/>
          </w:tcPr>
          <w:p>
            <w:pPr>
              <w:ind w:left="140"/>
              <w:spacing w:after="0"/>
              <w:rPr>
                <w:sz w:val="20"/>
                <w:szCs w:val="20"/>
                <w:color w:val="auto"/>
              </w:rPr>
            </w:pPr>
            <w:r>
              <w:rPr>
                <w:rFonts w:ascii="Arial" w:cs="Arial" w:eastAsia="Arial" w:hAnsi="Arial"/>
                <w:sz w:val="20"/>
                <w:szCs w:val="20"/>
                <w:color w:val="auto"/>
              </w:rPr>
              <w:t>by the RTW Funds; and</w:t>
            </w:r>
          </w:p>
        </w:tc>
      </w:tr>
      <w:tr>
        <w:trPr>
          <w:trHeight w:val="414"/>
        </w:trPr>
        <w:tc>
          <w:tcPr>
            <w:tcW w:w="1260" w:type="dxa"/>
            <w:vAlign w:val="bottom"/>
          </w:tcPr>
          <w:p>
            <w:pPr>
              <w:spacing w:after="0"/>
              <w:rPr>
                <w:sz w:val="24"/>
                <w:szCs w:val="24"/>
                <w:color w:val="auto"/>
              </w:rPr>
            </w:pPr>
          </w:p>
        </w:tc>
        <w:tc>
          <w:tcPr>
            <w:tcW w:w="1080" w:type="dxa"/>
            <w:vAlign w:val="bottom"/>
          </w:tcPr>
          <w:p>
            <w:pPr>
              <w:ind w:left="420"/>
              <w:spacing w:after="0"/>
              <w:rPr>
                <w:sz w:val="20"/>
                <w:szCs w:val="20"/>
                <w:color w:val="auto"/>
              </w:rPr>
            </w:pPr>
            <w:r>
              <w:rPr>
                <w:rFonts w:ascii="Arial" w:cs="Arial" w:eastAsia="Arial" w:hAnsi="Arial"/>
                <w:sz w:val="20"/>
                <w:szCs w:val="20"/>
                <w:color w:val="auto"/>
              </w:rPr>
              <w:t>(ii)</w:t>
            </w:r>
          </w:p>
        </w:tc>
        <w:tc>
          <w:tcPr>
            <w:tcW w:w="8640" w:type="dxa"/>
            <w:vAlign w:val="bottom"/>
            <w:gridSpan w:val="13"/>
          </w:tcPr>
          <w:p>
            <w:pPr>
              <w:ind w:left="140"/>
              <w:spacing w:after="0"/>
              <w:rPr>
                <w:sz w:val="20"/>
                <w:szCs w:val="20"/>
                <w:color w:val="auto"/>
              </w:rPr>
            </w:pPr>
            <w:r>
              <w:rPr>
                <w:rFonts w:ascii="Arial" w:cs="Arial" w:eastAsia="Arial" w:hAnsi="Arial"/>
                <w:sz w:val="20"/>
                <w:szCs w:val="20"/>
                <w:color w:val="auto"/>
              </w:rPr>
              <w:t>Mr. Roderick Wong ("Mr. Wong"), the Managing Partner and Chief Investment Officer of RTW</w:t>
            </w:r>
          </w:p>
        </w:tc>
      </w:tr>
      <w:tr>
        <w:trPr>
          <w:trHeight w:val="20"/>
        </w:trPr>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4"/>
        </w:trPr>
        <w:tc>
          <w:tcPr>
            <w:tcW w:w="1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640" w:type="dxa"/>
            <w:vAlign w:val="bottom"/>
            <w:gridSpan w:val="13"/>
          </w:tcPr>
          <w:p>
            <w:pPr>
              <w:ind w:left="140"/>
              <w:spacing w:after="0"/>
              <w:rPr>
                <w:sz w:val="20"/>
                <w:szCs w:val="20"/>
                <w:color w:val="auto"/>
              </w:rPr>
            </w:pPr>
            <w:r>
              <w:rPr>
                <w:rFonts w:ascii="Arial" w:cs="Arial" w:eastAsia="Arial" w:hAnsi="Arial"/>
                <w:sz w:val="20"/>
                <w:szCs w:val="20"/>
                <w:color w:val="auto"/>
              </w:rPr>
              <w:t>Investments, with respect to the Shares directly held by the RTW Funds.</w:t>
            </w:r>
          </w:p>
        </w:tc>
      </w:tr>
      <w:tr>
        <w:trPr>
          <w:trHeight w:val="414"/>
        </w:trPr>
        <w:tc>
          <w:tcPr>
            <w:tcW w:w="1260" w:type="dxa"/>
            <w:vAlign w:val="bottom"/>
          </w:tcPr>
          <w:p>
            <w:pPr>
              <w:spacing w:after="0"/>
              <w:rPr>
                <w:sz w:val="24"/>
                <w:szCs w:val="24"/>
                <w:color w:val="auto"/>
              </w:rPr>
            </w:pPr>
          </w:p>
        </w:tc>
        <w:tc>
          <w:tcPr>
            <w:tcW w:w="9720" w:type="dxa"/>
            <w:vAlign w:val="bottom"/>
            <w:gridSpan w:val="14"/>
          </w:tcPr>
          <w:p>
            <w:pPr>
              <w:ind w:left="420"/>
              <w:spacing w:after="0"/>
              <w:rPr>
                <w:sz w:val="20"/>
                <w:szCs w:val="20"/>
                <w:color w:val="auto"/>
              </w:rPr>
            </w:pPr>
            <w:r>
              <w:rPr>
                <w:rFonts w:ascii="Arial" w:cs="Arial" w:eastAsia="Arial" w:hAnsi="Arial"/>
                <w:sz w:val="20"/>
                <w:szCs w:val="20"/>
                <w:color w:val="auto"/>
              </w:rPr>
              <w:t>The foregoing persons are hereinafter sometimes collectively referred to as the "Reporting Persons."</w:t>
            </w:r>
          </w:p>
        </w:tc>
      </w:tr>
      <w:tr>
        <w:trPr>
          <w:trHeight w:val="20"/>
        </w:trPr>
        <w:tc>
          <w:tcPr>
            <w:tcW w:w="1260" w:type="dxa"/>
            <w:vAlign w:val="bottom"/>
          </w:tcPr>
          <w:p>
            <w:pPr>
              <w:spacing w:after="0" w:line="20" w:lineRule="exact"/>
              <w:rPr>
                <w:sz w:val="1"/>
                <w:szCs w:val="1"/>
                <w:color w:val="auto"/>
              </w:rPr>
            </w:pPr>
          </w:p>
        </w:tc>
        <w:tc>
          <w:tcPr>
            <w:tcW w:w="4440" w:type="dxa"/>
            <w:vAlign w:val="bottom"/>
            <w:gridSpan w:val="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63"/>
        </w:trPr>
        <w:tc>
          <w:tcPr>
            <w:tcW w:w="1260" w:type="dxa"/>
            <w:vAlign w:val="bottom"/>
          </w:tcPr>
          <w:p>
            <w:pPr>
              <w:spacing w:after="0"/>
              <w:rPr>
                <w:sz w:val="24"/>
                <w:szCs w:val="24"/>
                <w:color w:val="auto"/>
              </w:rPr>
            </w:pPr>
          </w:p>
        </w:tc>
        <w:tc>
          <w:tcPr>
            <w:tcW w:w="9720" w:type="dxa"/>
            <w:vAlign w:val="bottom"/>
            <w:gridSpan w:val="14"/>
          </w:tcPr>
          <w:p>
            <w:pPr>
              <w:ind w:left="420"/>
              <w:spacing w:after="0"/>
              <w:rPr>
                <w:sz w:val="20"/>
                <w:szCs w:val="20"/>
                <w:color w:val="auto"/>
              </w:rPr>
            </w:pPr>
            <w:r>
              <w:rPr>
                <w:rFonts w:ascii="Arial" w:cs="Arial" w:eastAsia="Arial" w:hAnsi="Arial"/>
                <w:sz w:val="20"/>
                <w:szCs w:val="20"/>
                <w:color w:val="auto"/>
                <w:w w:val="96"/>
              </w:rPr>
              <w:t>The filing of this statement should not be construed as an admission that any of the foregoing persons or any</w:t>
            </w:r>
          </w:p>
        </w:tc>
      </w:tr>
      <w:tr>
        <w:trPr>
          <w:trHeight w:val="250"/>
        </w:trPr>
        <w:tc>
          <w:tcPr>
            <w:tcW w:w="1260" w:type="dxa"/>
            <w:vAlign w:val="bottom"/>
          </w:tcPr>
          <w:p>
            <w:pPr>
              <w:spacing w:after="0"/>
              <w:rPr>
                <w:sz w:val="21"/>
                <w:szCs w:val="21"/>
                <w:color w:val="auto"/>
              </w:rPr>
            </w:pPr>
          </w:p>
        </w:tc>
        <w:tc>
          <w:tcPr>
            <w:tcW w:w="9720" w:type="dxa"/>
            <w:vAlign w:val="bottom"/>
            <w:gridSpan w:val="14"/>
          </w:tcPr>
          <w:p>
            <w:pPr>
              <w:ind w:left="420"/>
              <w:spacing w:after="0"/>
              <w:rPr>
                <w:sz w:val="20"/>
                <w:szCs w:val="20"/>
                <w:color w:val="auto"/>
              </w:rPr>
            </w:pPr>
            <w:r>
              <w:rPr>
                <w:rFonts w:ascii="Arial" w:cs="Arial" w:eastAsia="Arial" w:hAnsi="Arial"/>
                <w:sz w:val="20"/>
                <w:szCs w:val="20"/>
                <w:color w:val="auto"/>
                <w:w w:val="92"/>
              </w:rPr>
              <w:t>Reporting Person is, for the purposes of Section 13 of the Act, the beneficial owner of the Shares reported herein.</w:t>
            </w:r>
          </w:p>
        </w:tc>
      </w:tr>
      <w:tr>
        <w:trPr>
          <w:trHeight w:val="445"/>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2(b).</w:t>
            </w:r>
          </w:p>
        </w:tc>
        <w:tc>
          <w:tcPr>
            <w:tcW w:w="9720" w:type="dxa"/>
            <w:vAlign w:val="bottom"/>
            <w:gridSpan w:val="14"/>
          </w:tcPr>
          <w:p>
            <w:pPr>
              <w:ind w:left="420"/>
              <w:spacing w:after="0"/>
              <w:rPr>
                <w:sz w:val="20"/>
                <w:szCs w:val="20"/>
                <w:color w:val="auto"/>
              </w:rPr>
            </w:pPr>
            <w:r>
              <w:rPr>
                <w:rFonts w:ascii="Arial" w:cs="Arial" w:eastAsia="Arial" w:hAnsi="Arial"/>
                <w:sz w:val="20"/>
                <w:szCs w:val="20"/>
                <w:b w:val="1"/>
                <w:bCs w:val="1"/>
                <w:color w:val="auto"/>
              </w:rPr>
              <w:t>ADDRESS OF PRINCIPAL BUSINESS OFFICE OR, IF NONE, RESIDENCE:</w:t>
            </w:r>
          </w:p>
        </w:tc>
      </w:tr>
      <w:tr>
        <w:trPr>
          <w:trHeight w:val="438"/>
        </w:trPr>
        <w:tc>
          <w:tcPr>
            <w:tcW w:w="1260" w:type="dxa"/>
            <w:vAlign w:val="bottom"/>
          </w:tcPr>
          <w:p>
            <w:pPr>
              <w:spacing w:after="0"/>
              <w:rPr>
                <w:sz w:val="24"/>
                <w:szCs w:val="24"/>
                <w:color w:val="auto"/>
              </w:rPr>
            </w:pPr>
          </w:p>
        </w:tc>
        <w:tc>
          <w:tcPr>
            <w:tcW w:w="9720" w:type="dxa"/>
            <w:vAlign w:val="bottom"/>
            <w:gridSpan w:val="14"/>
          </w:tcPr>
          <w:p>
            <w:pPr>
              <w:ind w:left="420"/>
              <w:spacing w:after="0"/>
              <w:rPr>
                <w:sz w:val="20"/>
                <w:szCs w:val="20"/>
                <w:color w:val="auto"/>
              </w:rPr>
            </w:pPr>
            <w:r>
              <w:rPr>
                <w:rFonts w:ascii="Arial" w:cs="Arial" w:eastAsia="Arial" w:hAnsi="Arial"/>
                <w:sz w:val="20"/>
                <w:szCs w:val="20"/>
                <w:color w:val="auto"/>
                <w:w w:val="89"/>
              </w:rPr>
              <w:t>The address of the business office of each of the Reporting Persons is 40 10th Avenue, Floor 7, New York, New York</w:t>
            </w:r>
          </w:p>
        </w:tc>
      </w:tr>
      <w:tr>
        <w:trPr>
          <w:trHeight w:val="250"/>
        </w:trPr>
        <w:tc>
          <w:tcPr>
            <w:tcW w:w="1260" w:type="dxa"/>
            <w:vAlign w:val="bottom"/>
          </w:tcPr>
          <w:p>
            <w:pPr>
              <w:spacing w:after="0"/>
              <w:rPr>
                <w:sz w:val="21"/>
                <w:szCs w:val="21"/>
                <w:color w:val="auto"/>
              </w:rPr>
            </w:pPr>
          </w:p>
        </w:tc>
        <w:tc>
          <w:tcPr>
            <w:tcW w:w="1080" w:type="dxa"/>
            <w:vAlign w:val="bottom"/>
          </w:tcPr>
          <w:p>
            <w:pPr>
              <w:ind w:left="420"/>
              <w:spacing w:after="0"/>
              <w:rPr>
                <w:sz w:val="20"/>
                <w:szCs w:val="20"/>
                <w:color w:val="auto"/>
              </w:rPr>
            </w:pPr>
            <w:r>
              <w:rPr>
                <w:rFonts w:ascii="Arial" w:cs="Arial" w:eastAsia="Arial" w:hAnsi="Arial"/>
                <w:sz w:val="20"/>
                <w:szCs w:val="20"/>
                <w:color w:val="auto"/>
              </w:rPr>
              <w:t>10014.</w:t>
            </w: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459"/>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9720" w:type="dxa"/>
            <w:vAlign w:val="bottom"/>
            <w:gridSpan w:val="14"/>
          </w:tcPr>
          <w:p>
            <w:pPr>
              <w:ind w:left="420"/>
              <w:spacing w:after="0"/>
              <w:rPr>
                <w:sz w:val="20"/>
                <w:szCs w:val="20"/>
                <w:color w:val="auto"/>
              </w:rPr>
            </w:pPr>
            <w:r>
              <w:rPr>
                <w:rFonts w:ascii="Arial" w:cs="Arial" w:eastAsia="Arial" w:hAnsi="Arial"/>
                <w:sz w:val="20"/>
                <w:szCs w:val="20"/>
                <w:b w:val="1"/>
                <w:bCs w:val="1"/>
                <w:color w:val="auto"/>
              </w:rPr>
              <w:t>CITIZENSHIP:</w:t>
            </w:r>
          </w:p>
        </w:tc>
      </w:tr>
      <w:tr>
        <w:trPr>
          <w:trHeight w:val="459"/>
        </w:trPr>
        <w:tc>
          <w:tcPr>
            <w:tcW w:w="1260" w:type="dxa"/>
            <w:vAlign w:val="bottom"/>
          </w:tcPr>
          <w:p>
            <w:pPr>
              <w:spacing w:after="0"/>
              <w:rPr>
                <w:sz w:val="24"/>
                <w:szCs w:val="24"/>
                <w:color w:val="auto"/>
              </w:rPr>
            </w:pPr>
          </w:p>
        </w:tc>
        <w:tc>
          <w:tcPr>
            <w:tcW w:w="9720" w:type="dxa"/>
            <w:vAlign w:val="bottom"/>
            <w:gridSpan w:val="14"/>
          </w:tcPr>
          <w:p>
            <w:pPr>
              <w:ind w:left="420"/>
              <w:spacing w:after="0"/>
              <w:rPr>
                <w:sz w:val="20"/>
                <w:szCs w:val="20"/>
                <w:color w:val="auto"/>
              </w:rPr>
            </w:pPr>
            <w:r>
              <w:rPr>
                <w:rFonts w:ascii="Arial" w:cs="Arial" w:eastAsia="Arial" w:hAnsi="Arial"/>
                <w:sz w:val="20"/>
                <w:szCs w:val="20"/>
                <w:color w:val="auto"/>
              </w:rPr>
              <w:t>RTW Investments is a Delaware limited partnership. Mr. Wong is a citizen of the United States.</w:t>
            </w:r>
          </w:p>
        </w:tc>
      </w:tr>
      <w:tr>
        <w:trPr>
          <w:trHeight w:val="445"/>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9720" w:type="dxa"/>
            <w:vAlign w:val="bottom"/>
            <w:gridSpan w:val="14"/>
          </w:tcPr>
          <w:p>
            <w:pPr>
              <w:ind w:left="420"/>
              <w:spacing w:after="0"/>
              <w:rPr>
                <w:sz w:val="20"/>
                <w:szCs w:val="20"/>
                <w:color w:val="auto"/>
              </w:rPr>
            </w:pPr>
            <w:r>
              <w:rPr>
                <w:rFonts w:ascii="Arial" w:cs="Arial" w:eastAsia="Arial" w:hAnsi="Arial"/>
                <w:sz w:val="20"/>
                <w:szCs w:val="20"/>
                <w:b w:val="1"/>
                <w:bCs w:val="1"/>
                <w:color w:val="auto"/>
              </w:rPr>
              <w:t>TITLE OF CLASS OF SECURITIES:</w:t>
            </w:r>
          </w:p>
        </w:tc>
      </w:tr>
      <w:tr>
        <w:trPr>
          <w:trHeight w:val="415"/>
        </w:trPr>
        <w:tc>
          <w:tcPr>
            <w:tcW w:w="1260" w:type="dxa"/>
            <w:vAlign w:val="bottom"/>
          </w:tcPr>
          <w:p>
            <w:pPr>
              <w:spacing w:after="0"/>
              <w:rPr>
                <w:sz w:val="24"/>
                <w:szCs w:val="24"/>
                <w:color w:val="auto"/>
              </w:rPr>
            </w:pPr>
          </w:p>
        </w:tc>
        <w:tc>
          <w:tcPr>
            <w:tcW w:w="9720" w:type="dxa"/>
            <w:vAlign w:val="bottom"/>
            <w:gridSpan w:val="14"/>
          </w:tcPr>
          <w:p>
            <w:pPr>
              <w:ind w:left="420"/>
              <w:spacing w:after="0"/>
              <w:rPr>
                <w:sz w:val="20"/>
                <w:szCs w:val="20"/>
                <w:color w:val="auto"/>
              </w:rPr>
            </w:pPr>
            <w:r>
              <w:rPr>
                <w:rFonts w:ascii="Arial" w:cs="Arial" w:eastAsia="Arial" w:hAnsi="Arial"/>
                <w:sz w:val="20"/>
                <w:szCs w:val="20"/>
                <w:color w:val="auto"/>
              </w:rPr>
              <w:t>Common Stock, par value $0.0001 per share (the "Shares").</w:t>
            </w:r>
          </w:p>
        </w:tc>
      </w:tr>
      <w:tr>
        <w:trPr>
          <w:trHeight w:val="20"/>
        </w:trPr>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ectPr>
          <w:pgSz w:w="11900" w:h="16838" w:orient="portrait"/>
          <w:cols w:equalWidth="0" w:num="1">
            <w:col w:w="11240"/>
          </w:cols>
          <w:pgMar w:left="320" w:top="472" w:right="339" w:bottom="1440" w:gutter="0" w:footer="0" w:header="0"/>
          <w:type w:val="continuous"/>
        </w:sectPr>
      </w:pPr>
    </w:p>
    <w:bookmarkStart w:id="4" w:name="page5"/>
    <w:bookmarkEnd w:id="4"/>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87650L103</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5 of 7 Pages</w:t>
      </w:r>
    </w:p>
    <w:p>
      <w:pPr>
        <w:sectPr>
          <w:pgSz w:w="11900" w:h="16838" w:orient="portrait"/>
          <w:cols w:equalWidth="0" w:num="1">
            <w:col w:w="11240"/>
          </w:cols>
          <w:pgMar w:left="320" w:top="472" w:right="339" w:bottom="1440" w:gutter="0" w:footer="0" w:header="0"/>
        </w:sectPr>
      </w:pPr>
    </w:p>
    <w:p>
      <w:pPr>
        <w:spacing w:after="0" w:line="342"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2(e).</w:t>
      </w:r>
      <w:r>
        <w:rPr>
          <w:sz w:val="20"/>
          <w:szCs w:val="20"/>
          <w:color w:val="auto"/>
        </w:rPr>
        <w:tab/>
      </w:r>
      <w:r>
        <w:rPr>
          <w:rFonts w:ascii="Arial" w:cs="Arial" w:eastAsia="Arial" w:hAnsi="Arial"/>
          <w:sz w:val="19"/>
          <w:szCs w:val="19"/>
          <w:b w:val="1"/>
          <w:bCs w:val="1"/>
          <w:color w:val="auto"/>
        </w:rPr>
        <w:t>CUSIP NUMBER:</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87650L103</w:t>
      </w:r>
    </w:p>
    <w:p>
      <w:pPr>
        <w:spacing w:after="0" w:line="2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20"/>
          <w:szCs w:val="20"/>
          <w:b w:val="1"/>
          <w:bCs w:val="1"/>
          <w:color w:val="auto"/>
        </w:rPr>
        <w:t>IF THIS STATEMENT IS FILED PURSUANT TO §§ 240.13d-1(b) OR 240.13d-2(b) OR (c), CHECK</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b w:val="1"/>
          <w:bCs w:val="1"/>
          <w:color w:val="auto"/>
        </w:rPr>
        <w:t>WHETHER THE PERSON FILING IS A:</w:t>
      </w:r>
    </w:p>
    <w:p>
      <w:pPr>
        <w:spacing w:after="0" w:line="189" w:lineRule="exact"/>
        <w:rPr>
          <w:sz w:val="20"/>
          <w:szCs w:val="20"/>
          <w:color w:val="auto"/>
        </w:rPr>
      </w:pPr>
    </w:p>
    <w:p>
      <w:pPr>
        <w:ind w:left="2560" w:hanging="761"/>
        <w:spacing w:after="0" w:line="230" w:lineRule="exact"/>
        <w:tabs>
          <w:tab w:leader="none" w:pos="2560"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Broker or dealer registered under Section 15 of the Act (15 U.S.C. 78o);</w:t>
      </w:r>
    </w:p>
    <w:p>
      <w:pPr>
        <w:spacing w:after="0" w:line="229"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Bank as defined in Section 3(a)(6) of the Act (15 U.S.C. 78c);</w:t>
      </w:r>
    </w:p>
    <w:p>
      <w:pPr>
        <w:spacing w:after="0" w:line="229"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Insurance company as defined in Section 3(a)(19) of the Act (15 U.S.C. 78c);</w:t>
      </w:r>
    </w:p>
    <w:p>
      <w:pPr>
        <w:spacing w:after="0" w:line="229" w:lineRule="exact"/>
        <w:rPr>
          <w:rFonts w:ascii="Arial" w:cs="Arial" w:eastAsia="Arial" w:hAnsi="Arial"/>
          <w:sz w:val="20"/>
          <w:szCs w:val="20"/>
          <w:color w:val="auto"/>
        </w:rPr>
      </w:pPr>
    </w:p>
    <w:p>
      <w:pPr>
        <w:ind w:left="3040" w:right="280" w:hanging="1241"/>
        <w:spacing w:after="0" w:line="252" w:lineRule="exact"/>
        <w:tabs>
          <w:tab w:leader="none" w:pos="2565"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company registered under Section 8 of the Investment Company Act of 1940 (15 U.S.C. 80a-8);</w:t>
      </w:r>
    </w:p>
    <w:p>
      <w:pPr>
        <w:spacing w:after="0" w:line="172"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adviser in accordance with Rule 13d-1(b)(1)(ii)(E);</w:t>
      </w:r>
    </w:p>
    <w:p>
      <w:pPr>
        <w:spacing w:after="0" w:line="229"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Employee benefit plan or endowment fund in accordance with</w:t>
      </w:r>
    </w:p>
    <w:p>
      <w:pPr>
        <w:spacing w:after="0" w:line="39" w:lineRule="exact"/>
        <w:rPr>
          <w:sz w:val="20"/>
          <w:szCs w:val="20"/>
          <w:color w:val="auto"/>
        </w:rPr>
      </w:pPr>
    </w:p>
    <w:p>
      <w:pPr>
        <w:ind w:left="3080"/>
        <w:spacing w:after="0"/>
        <w:rPr>
          <w:sz w:val="20"/>
          <w:szCs w:val="20"/>
          <w:color w:val="auto"/>
        </w:rPr>
      </w:pPr>
      <w:r>
        <w:rPr>
          <w:rFonts w:ascii="Arial" w:cs="Arial" w:eastAsia="Arial" w:hAnsi="Arial"/>
          <w:sz w:val="20"/>
          <w:szCs w:val="20"/>
          <w:color w:val="auto"/>
        </w:rPr>
        <w:t>Rule 13d-1(b)(1)(ii)(F);</w:t>
      </w:r>
    </w:p>
    <w:p>
      <w:pPr>
        <w:spacing w:after="0" w:line="189" w:lineRule="exact"/>
        <w:rPr>
          <w:sz w:val="20"/>
          <w:szCs w:val="20"/>
          <w:color w:val="auto"/>
        </w:rPr>
      </w:pPr>
    </w:p>
    <w:p>
      <w:pPr>
        <w:ind w:left="3080" w:right="3280" w:hanging="1281"/>
        <w:spacing w:after="0" w:line="252" w:lineRule="exact"/>
        <w:tabs>
          <w:tab w:leader="none" w:pos="2562"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Parent holding company or control person in accordance with Rule 13d-1(b)(1)(ii)(G);</w:t>
      </w:r>
    </w:p>
    <w:p>
      <w:pPr>
        <w:spacing w:after="0" w:line="172" w:lineRule="exact"/>
        <w:rPr>
          <w:rFonts w:ascii="Arial" w:cs="Arial" w:eastAsia="Arial" w:hAnsi="Arial"/>
          <w:sz w:val="20"/>
          <w:szCs w:val="20"/>
          <w:color w:val="auto"/>
        </w:rPr>
      </w:pPr>
    </w:p>
    <w:p>
      <w:pPr>
        <w:ind w:left="2560" w:hanging="761"/>
        <w:spacing w:after="0" w:line="207" w:lineRule="exact"/>
        <w:tabs>
          <w:tab w:leader="none" w:pos="256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Savings association as defined in Section 3(b) of the Federal Deposit Insurance Act (12 U.S.C. 1813);</w:t>
      </w:r>
    </w:p>
    <w:p>
      <w:pPr>
        <w:spacing w:after="0" w:line="252" w:lineRule="exact"/>
        <w:rPr>
          <w:rFonts w:ascii="Arial" w:cs="Arial" w:eastAsia="Arial" w:hAnsi="Arial"/>
          <w:sz w:val="18"/>
          <w:szCs w:val="18"/>
          <w:color w:val="auto"/>
        </w:rPr>
      </w:pPr>
    </w:p>
    <w:p>
      <w:pPr>
        <w:ind w:left="3040" w:right="200" w:hanging="1241"/>
        <w:spacing w:after="0" w:line="252" w:lineRule="exact"/>
        <w:tabs>
          <w:tab w:leader="none" w:pos="2565"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Church plan that is excluded from the definition of an investment company under Section 3(c)(14) of the Investment Company Act (15 U.S.C. 80a-3);</w:t>
      </w:r>
    </w:p>
    <w:p>
      <w:pPr>
        <w:spacing w:after="0" w:line="186"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Non-U.S. institution in accordance with Rule 13d-1(b)(1)(ii)(J);</w:t>
      </w:r>
    </w:p>
    <w:p>
      <w:pPr>
        <w:spacing w:after="0" w:line="229"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Group, in accordance with Rule 13d-1(b)(1)(ii)(K).</w:t>
      </w:r>
    </w:p>
    <w:p>
      <w:pPr>
        <w:spacing w:after="0" w:line="253" w:lineRule="exact"/>
        <w:rPr>
          <w:sz w:val="20"/>
          <w:szCs w:val="20"/>
          <w:color w:val="auto"/>
        </w:rPr>
      </w:pPr>
    </w:p>
    <w:p>
      <w:pPr>
        <w:ind w:left="1800" w:right="1360"/>
        <w:spacing w:after="0" w:line="260" w:lineRule="auto"/>
        <w:rPr>
          <w:sz w:val="20"/>
          <w:szCs w:val="20"/>
          <w:color w:val="auto"/>
        </w:rPr>
      </w:pPr>
      <w:r>
        <w:rPr>
          <w:rFonts w:ascii="Arial" w:cs="Arial" w:eastAsia="Arial" w:hAnsi="Arial"/>
          <w:sz w:val="20"/>
          <w:szCs w:val="20"/>
          <w:color w:val="auto"/>
        </w:rPr>
        <w:t>If filing as a non-U.S. institution in accordance with Rule 13d-1(b)(1)(ii)(J), please specify the type of institution:__________________________________________________</w:t>
      </w:r>
    </w:p>
    <w:p>
      <w:pPr>
        <w:spacing w:after="0" w:line="184"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OWNERSHIP</w:t>
      </w:r>
      <w:r>
        <w:rPr>
          <w:rFonts w:ascii="Arial" w:cs="Arial" w:eastAsia="Arial" w:hAnsi="Arial"/>
          <w:sz w:val="19"/>
          <w:szCs w:val="19"/>
          <w:color w:val="auto"/>
        </w:rPr>
        <w:t>.</w:t>
      </w:r>
    </w:p>
    <w:p>
      <w:pPr>
        <w:spacing w:after="0" w:line="235" w:lineRule="exact"/>
        <w:rPr>
          <w:sz w:val="20"/>
          <w:szCs w:val="20"/>
          <w:color w:val="auto"/>
        </w:rPr>
      </w:pPr>
    </w:p>
    <w:p>
      <w:pPr>
        <w:ind w:left="1800" w:right="400"/>
        <w:spacing w:after="0" w:line="260" w:lineRule="auto"/>
        <w:rPr>
          <w:sz w:val="20"/>
          <w:szCs w:val="20"/>
          <w:color w:val="auto"/>
        </w:rPr>
      </w:pPr>
      <w:r>
        <w:rPr>
          <w:rFonts w:ascii="Arial" w:cs="Arial" w:eastAsia="Arial" w:hAnsi="Arial"/>
          <w:sz w:val="20"/>
          <w:szCs w:val="20"/>
          <w:color w:val="auto"/>
        </w:rPr>
        <w:t>The information required by Items 4(a) - (c) is set forth in Rows 5 - 11 of the cover page for each of the Reporting Persons and is incorporated herein by reference.</w:t>
      </w:r>
    </w:p>
    <w:p>
      <w:pPr>
        <w:spacing w:after="0" w:line="190" w:lineRule="exact"/>
        <w:rPr>
          <w:sz w:val="20"/>
          <w:szCs w:val="20"/>
          <w:color w:val="auto"/>
        </w:rPr>
      </w:pPr>
    </w:p>
    <w:p>
      <w:pPr>
        <w:ind w:left="1800" w:right="160"/>
        <w:spacing w:after="0" w:line="250" w:lineRule="auto"/>
        <w:rPr>
          <w:sz w:val="20"/>
          <w:szCs w:val="20"/>
          <w:color w:val="auto"/>
        </w:rPr>
      </w:pPr>
      <w:r>
        <w:rPr>
          <w:rFonts w:ascii="Arial" w:cs="Arial" w:eastAsia="Arial" w:hAnsi="Arial"/>
          <w:sz w:val="20"/>
          <w:szCs w:val="20"/>
          <w:color w:val="auto"/>
        </w:rPr>
        <w:t>The percentages set forth herein are calculated based upon 20,676,992 Shares outstanding as of November 4, 2021 as reported in the Company's Quarterly Report on Form 10-Q for the quarterly period ended September 30, 2021, filed with the Securities and Exchange Commission on November 10, 2021.</w:t>
      </w:r>
    </w:p>
    <w:p>
      <w:pPr>
        <w:sectPr>
          <w:pgSz w:w="11900" w:h="16838" w:orient="portrait"/>
          <w:cols w:equalWidth="0" w:num="1">
            <w:col w:w="11240"/>
          </w:cols>
          <w:pgMar w:left="320" w:top="472" w:right="339" w:bottom="1440" w:gutter="0" w:footer="0" w:header="0"/>
          <w:type w:val="continuous"/>
        </w:sectPr>
      </w:pPr>
    </w:p>
    <w:bookmarkStart w:id="5" w:name="page6"/>
    <w:bookmarkEnd w:id="5"/>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87650L103</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6 of 7 Pages</w:t>
      </w:r>
    </w:p>
    <w:p>
      <w:pPr>
        <w:sectPr>
          <w:pgSz w:w="11900" w:h="16838" w:orient="portrait"/>
          <w:cols w:equalWidth="0" w:num="1">
            <w:col w:w="11240"/>
          </w:cols>
          <w:pgMar w:left="320" w:top="472" w:right="339" w:bottom="1440" w:gutter="0" w:footer="0" w:header="0"/>
        </w:sectPr>
      </w:pPr>
    </w:p>
    <w:p>
      <w:pPr>
        <w:spacing w:after="0" w:line="342"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35" w:lineRule="exact"/>
        <w:rPr>
          <w:sz w:val="20"/>
          <w:szCs w:val="20"/>
          <w:color w:val="auto"/>
        </w:rPr>
      </w:pPr>
    </w:p>
    <w:p>
      <w:pPr>
        <w:ind w:left="1800" w:right="140"/>
        <w:spacing w:after="0" w:line="291" w:lineRule="auto"/>
        <w:rPr>
          <w:sz w:val="20"/>
          <w:szCs w:val="20"/>
          <w:color w:val="auto"/>
        </w:rPr>
      </w:pPr>
      <w:r>
        <w:rPr>
          <w:rFonts w:ascii="Arial" w:cs="Arial" w:eastAsia="Arial" w:hAnsi="Arial"/>
          <w:sz w:val="18"/>
          <w:szCs w:val="18"/>
          <w:color w:val="auto"/>
        </w:rPr>
        <w:t>See Item 2. The RTW Funds have the right to receive or the power to direct the receipt of dividends from, or the proceeds from the sale of, the Shares reported herein. RTW Master Fund Ltd., an RTW Fund, has the right to receive or the power to direct the receipt of dividends or the proceeds from the sale of more than 5% of the Shares.</w:t>
      </w:r>
    </w:p>
    <w:p>
      <w:pPr>
        <w:spacing w:after="0" w:line="159" w:lineRule="exact"/>
        <w:rPr>
          <w:sz w:val="20"/>
          <w:szCs w:val="20"/>
          <w:color w:val="auto"/>
        </w:rPr>
      </w:pPr>
    </w:p>
    <w:p>
      <w:pPr>
        <w:ind w:left="120"/>
        <w:spacing w:after="0"/>
        <w:tabs>
          <w:tab w:leader="none" w:pos="1780" w:val="left"/>
          <w:tab w:leader="none" w:pos="3640" w:val="left"/>
          <w:tab w:leader="none" w:pos="4240" w:val="left"/>
          <w:tab w:leader="none" w:pos="6100" w:val="left"/>
          <w:tab w:leader="none" w:pos="6560" w:val="left"/>
          <w:tab w:leader="none" w:pos="7140" w:val="left"/>
          <w:tab w:leader="none" w:pos="8540" w:val="left"/>
          <w:tab w:leader="none" w:pos="9440" w:val="left"/>
          <w:tab w:leader="none" w:pos="1070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w:t>
        <w:tab/>
        <w:t>AND</w:t>
        <w:tab/>
        <w:t>CLASSIFICATION</w:t>
        <w:tab/>
        <w:t>OF</w:t>
        <w:tab/>
        <w:t>THE</w:t>
        <w:tab/>
        <w:t>SUBSIDIARY</w:t>
        <w:tab/>
        <w:t>WHICH</w:t>
        <w:tab/>
        <w:t>ACQUIRED</w:t>
        <w:tab/>
        <w:t>THE</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b w:val="1"/>
          <w:bCs w:val="1"/>
          <w:color w:val="auto"/>
        </w:rPr>
        <w:t>SECURITY BEING REPORTED ON BY THE PARENT HOLDING COMPANY.</w:t>
      </w:r>
    </w:p>
    <w:p>
      <w:pPr>
        <w:spacing w:after="0" w:line="213"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Each of the Reporting Persons hereby makes the following certification:</w:t>
      </w:r>
    </w:p>
    <w:p>
      <w:pPr>
        <w:spacing w:after="0" w:line="229" w:lineRule="exact"/>
        <w:rPr>
          <w:sz w:val="20"/>
          <w:szCs w:val="20"/>
          <w:color w:val="auto"/>
        </w:rPr>
      </w:pPr>
    </w:p>
    <w:p>
      <w:pPr>
        <w:ind w:left="1800" w:right="140"/>
        <w:spacing w:after="0" w:line="282" w:lineRule="auto"/>
        <w:rPr>
          <w:sz w:val="20"/>
          <w:szCs w:val="20"/>
          <w:color w:val="auto"/>
        </w:rPr>
      </w:pPr>
      <w:r>
        <w:rPr>
          <w:rFonts w:ascii="Arial" w:cs="Arial" w:eastAsia="Arial" w:hAnsi="Arial"/>
          <w:sz w:val="18"/>
          <w:szCs w:val="18"/>
          <w:color w:val="auto"/>
        </w:rPr>
        <w:t>By signing below each Reporting Person certifies that, to the best of his or its knowledge and belief, the securities referred to above were acquired and are held in the ordinary course of business and were not acquired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472" w:right="339" w:bottom="1440" w:gutter="0" w:footer="0" w:header="0"/>
          <w:type w:val="continuous"/>
        </w:sectPr>
      </w:pPr>
    </w:p>
    <w:bookmarkStart w:id="6" w:name="page7"/>
    <w:bookmarkEnd w:id="6"/>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87650L103</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7 of 7 Pages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his or its knowledge and belief, each of the undersigned certify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DATED: February 14, 2022</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RTW INVESTMENTS, LP</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00" w:type="dxa"/>
            <w:vAlign w:val="bottom"/>
          </w:tcPr>
          <w:p>
            <w:pPr>
              <w:spacing w:after="0"/>
              <w:rPr>
                <w:sz w:val="20"/>
                <w:szCs w:val="20"/>
                <w:color w:val="auto"/>
              </w:rPr>
            </w:pPr>
            <w:r>
              <w:rPr>
                <w:rFonts w:ascii="Arial" w:cs="Arial" w:eastAsia="Arial" w:hAnsi="Arial"/>
                <w:sz w:val="20"/>
                <w:szCs w:val="20"/>
                <w:color w:val="auto"/>
              </w:rPr>
              <w:t>By:</w:t>
            </w:r>
          </w:p>
        </w:tc>
        <w:tc>
          <w:tcPr>
            <w:tcW w:w="300" w:type="dxa"/>
            <w:vAlign w:val="bottom"/>
          </w:tcPr>
          <w:p>
            <w:pPr>
              <w:spacing w:after="0"/>
              <w:rPr>
                <w:sz w:val="20"/>
                <w:szCs w:val="20"/>
                <w:color w:val="auto"/>
              </w:rPr>
            </w:pPr>
          </w:p>
        </w:tc>
        <w:tc>
          <w:tcPr>
            <w:tcW w:w="61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Roderick Wong</w:t>
            </w:r>
          </w:p>
        </w:tc>
      </w:tr>
      <w:tr>
        <w:trPr>
          <w:trHeight w:val="199"/>
        </w:trPr>
        <w:tc>
          <w:tcPr>
            <w:tcW w:w="800" w:type="dxa"/>
            <w:vAlign w:val="bottom"/>
            <w:gridSpan w:val="2"/>
          </w:tcPr>
          <w:p>
            <w:pPr>
              <w:spacing w:after="0" w:line="199" w:lineRule="exact"/>
              <w:rPr>
                <w:sz w:val="20"/>
                <w:szCs w:val="20"/>
                <w:color w:val="auto"/>
              </w:rPr>
            </w:pPr>
            <w:r>
              <w:rPr>
                <w:rFonts w:ascii="Arial" w:cs="Arial" w:eastAsia="Arial" w:hAnsi="Arial"/>
                <w:sz w:val="20"/>
                <w:szCs w:val="20"/>
                <w:color w:val="auto"/>
              </w:rPr>
              <w:t>Name:</w:t>
            </w:r>
          </w:p>
        </w:tc>
        <w:tc>
          <w:tcPr>
            <w:tcW w:w="6180" w:type="dxa"/>
            <w:vAlign w:val="bottom"/>
          </w:tcPr>
          <w:p>
            <w:pPr>
              <w:spacing w:after="0" w:line="199" w:lineRule="exact"/>
              <w:rPr>
                <w:sz w:val="20"/>
                <w:szCs w:val="20"/>
                <w:color w:val="auto"/>
              </w:rPr>
            </w:pPr>
            <w:r>
              <w:rPr>
                <w:rFonts w:ascii="Arial" w:cs="Arial" w:eastAsia="Arial" w:hAnsi="Arial"/>
                <w:sz w:val="20"/>
                <w:szCs w:val="20"/>
                <w:color w:val="auto"/>
              </w:rPr>
              <w:t>Roderick Wong</w:t>
            </w:r>
          </w:p>
        </w:tc>
      </w:tr>
      <w:tr>
        <w:trPr>
          <w:trHeight w:val="250"/>
        </w:trPr>
        <w:tc>
          <w:tcPr>
            <w:tcW w:w="500" w:type="dxa"/>
            <w:vAlign w:val="bottom"/>
          </w:tcPr>
          <w:p>
            <w:pPr>
              <w:spacing w:after="0"/>
              <w:rPr>
                <w:sz w:val="20"/>
                <w:szCs w:val="20"/>
                <w:color w:val="auto"/>
              </w:rPr>
            </w:pPr>
            <w:r>
              <w:rPr>
                <w:rFonts w:ascii="Arial" w:cs="Arial" w:eastAsia="Arial" w:hAnsi="Arial"/>
                <w:sz w:val="20"/>
                <w:szCs w:val="20"/>
                <w:color w:val="auto"/>
              </w:rPr>
              <w:t>Title:</w:t>
            </w:r>
          </w:p>
        </w:tc>
        <w:tc>
          <w:tcPr>
            <w:tcW w:w="6480" w:type="dxa"/>
            <w:vAlign w:val="bottom"/>
            <w:gridSpan w:val="2"/>
          </w:tcPr>
          <w:p>
            <w:pPr>
              <w:ind w:left="80"/>
              <w:spacing w:after="0"/>
              <w:rPr>
                <w:sz w:val="20"/>
                <w:szCs w:val="20"/>
                <w:color w:val="auto"/>
              </w:rPr>
            </w:pPr>
            <w:r>
              <w:rPr>
                <w:rFonts w:ascii="Arial" w:cs="Arial" w:eastAsia="Arial" w:hAnsi="Arial"/>
                <w:sz w:val="20"/>
                <w:szCs w:val="20"/>
                <w:color w:val="auto"/>
              </w:rPr>
              <w:t>Managing Partner</w:t>
            </w: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4316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RODERICK WONG</w:t>
      </w:r>
    </w:p>
    <w:sectPr>
      <w:pgSz w:w="11900" w:h="16838" w:orient="portrait"/>
      <w:cols w:equalWidth="0" w:num="1">
        <w:col w:w="11240"/>
      </w:cols>
      <w:pgMar w:left="320" w:top="4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3"/>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2022-02-14T07:20:27Z</dcterms:created>
  <dcterms:modified xsi:type="dcterms:W3CDTF">2022-02-14T07:20:27Z</dcterms:modified>
</cp:coreProperties>
</file>