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467389.xml.htm"/>
      <w:bookmarkStart w:id="1" w:name="kswkform4_178846738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Lin Elizabeth Yeu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TARSUS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17700 LAGUNA CANYON ROAD, FLOOR 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Tarsus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TARS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9"/>
        <w:gridCol w:w="901"/>
        <w:gridCol w:w="771"/>
        <w:gridCol w:w="598"/>
        <w:gridCol w:w="347"/>
        <w:gridCol w:w="843"/>
        <w:gridCol w:w="453"/>
        <w:gridCol w:w="752"/>
        <w:gridCol w:w="1160"/>
        <w:gridCol w:w="995"/>
        <w:gridCol w:w="101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4,601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73.86</w:t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18,707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5,387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</w:t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13,320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1,590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</w:t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4,770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Spouse's Roth IRA</w:t>
            </w:r>
          </w:p>
        </w:tc>
      </w:tr>
      <w:tr>
        <w:trPr/>
        <w:tc>
          <w:tcPr>
            <w:tcW w:w="23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12,040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by an automatic sale pursuant to a Rule 10b5-1 trading plan adopted by the Reporting Person on May 29,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sales reported in this Form 4 were effected by an automatic sale pursuant to a Rule 10b5-1 trading plan adopted by the Reporting Person on June 1,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Farrow,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42190" TargetMode="External"/><Relationship Id="rId5" Type="http://schemas.openxmlformats.org/officeDocument/2006/relationships/hyperlink" Target="http://www.sec.gov/cgi-bin/browse-edgar?action=getcompany&amp;CIK=000181979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659</Words>
  <Characters>3514</Characters>
  <CharactersWithSpaces>4082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