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6992620" cy="5212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21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Goldberg Andrew D.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spacing w:after="0" w:line="169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 xml:space="preserve">Tarsus Pharmaceuticals, Inc. </w:t>
              </w:r>
            </w:hyperlink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TARS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]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2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TARSUS PHARMACEUTICALS, INC.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15440 LAGUNA CANYON ROAD, SUITE 160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92618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6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6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12.89</w:t>
            </w: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06/16/2022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06/15/2032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jc w:val="right"/>
              <w:ind w:right="11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06/16/2022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-2551430</wp:posOffset>
            </wp:positionV>
            <wp:extent cx="29210" cy="25565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556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 w:right="36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Annual option granted in connection with the Reporting Person's service as a non-employee director as of the Company's 2022 annual meeting of stockholders. The option will vest in full on the one-year anniversary of the date of grant, subject to the non-employee director's continuous service.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one share of the Company's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RSUs granted in connection with the Reporting Person's service as a non-employee director as of the Company's 2022 annual meeting of stockholders. The RSUs will vest in full on the one-year anniversary of the date of grant, subject to the non-employee director's continuous service.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Leonard M. Greenstein,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07/01/2022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14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1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27722" TargetMode="External"/><Relationship Id="rId13" Type="http://schemas.openxmlformats.org/officeDocument/2006/relationships/hyperlink" Target="http://www.sec.gov/cgi-bin/browse-edgar?action=getcompany&amp;CIK=00018197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2022-07-01T11:22:45Z</dcterms:created>
  <dcterms:modified xsi:type="dcterms:W3CDTF">2022-07-01T11:22:45Z</dcterms:modified>
</cp:coreProperties>
</file>