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ANNUAL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56"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001-39614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16097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1057275"/>
                    </a:xfrm>
                    <a:prstGeom prst="rect">
                      <a:avLst/>
                    </a:prstGeom>
                  </pic:spPr>
                </pic:pic>
              </a:graphicData>
            </a:graphic>
          </wp:inline>
        </w:drawing>
      </w:r>
      <w:bookmarkStart w:id="0" w:name="i-1"/>
      <w:bookmarkEnd w:id="0"/>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60"/>
        <w:jc w:val="center"/>
        <w:rPr/>
      </w:pPr>
      <w:r>
        <w:rPr/>
      </w:r>
    </w:p>
    <w:tbl>
      <w:tblPr>
        <w:tblW w:w="4241" w:type="dxa"/>
        <w:jc w:val="center"/>
        <w:tblInd w:w="0" w:type="dxa"/>
        <w:tblLayout w:type="fixed"/>
        <w:tblCellMar>
          <w:top w:w="28" w:type="dxa"/>
          <w:left w:w="28" w:type="dxa"/>
          <w:bottom w:w="28" w:type="dxa"/>
          <w:right w:w="28" w:type="dxa"/>
        </w:tblCellMar>
      </w:tblPr>
      <w:tblGrid>
        <w:gridCol w:w="1080"/>
        <w:gridCol w:w="950"/>
        <w:gridCol w:w="955"/>
        <w:gridCol w:w="109"/>
        <w:gridCol w:w="109"/>
        <w:gridCol w:w="109"/>
        <w:gridCol w:w="272"/>
        <w:gridCol w:w="272"/>
        <w:gridCol w:w="385"/>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Irvine,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27" w:type="dxa"/>
        <w:jc w:val="center"/>
        <w:tblInd w:w="0" w:type="dxa"/>
        <w:tblLayout w:type="fixed"/>
        <w:tblCellMar>
          <w:top w:w="28" w:type="dxa"/>
          <w:left w:w="28" w:type="dxa"/>
          <w:bottom w:w="28" w:type="dxa"/>
          <w:right w:w="28" w:type="dxa"/>
        </w:tblCellMar>
      </w:tblPr>
      <w:tblGrid>
        <w:gridCol w:w="1171"/>
        <w:gridCol w:w="1027"/>
        <w:gridCol w:w="1041"/>
        <w:gridCol w:w="424"/>
        <w:gridCol w:w="424"/>
        <w:gridCol w:w="42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76" w:before="0" w:after="0"/>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20"/>
        </w:rPr>
        <w:t>No ☐</w:t>
      </w:r>
    </w:p>
    <w:p>
      <w:pPr>
        <w:pStyle w:val="TextBody"/>
        <w:bidi w:val="0"/>
        <w:spacing w:lineRule="auto" w:line="276" w:before="0" w:after="0"/>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Yes ☐ No </w:t>
      </w:r>
      <w:r>
        <w:rPr>
          <w:color w:val="000000"/>
        </w:rPr>
        <w:t>☒</w:t>
      </w:r>
    </w:p>
    <w:p>
      <w:pPr>
        <w:pStyle w:val="TextBody"/>
        <w:bidi w:val="0"/>
        <w:spacing w:lineRule="auto" w:line="276"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bl>
    <w:p>
      <w:pPr>
        <w:pStyle w:val="TextBody"/>
        <w:bidi w:val="0"/>
        <w:spacing w:before="0" w:after="0"/>
        <w:ind w:left="0" w:right="0" w:firstLine="99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 of the registrant’s executive officers during the relevant recovery period pursuant to §240.10D-1(b).☐</w:t>
      </w:r>
    </w:p>
    <w:p>
      <w:pPr>
        <w:pStyle w:val="TextBody"/>
        <w:bidi w:val="0"/>
        <w:spacing w:lineRule="auto" w:line="276"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 Yes ☐ 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registrant’s voting and non-voting common equity held by non-affiliates of the registrant, based on the closing price of the registrant’s common stock as reported by the Nasdaq Global Select Market on June 30, 2025, was approximately $1.7 billion. Shares of common stock held by each executive officer, director, and holder of 10% or more of the outstanding common stock have been excluded in that such persons may be deemed to be affiliates. This determination of affiliate status is not necessarily a conclusive determination for other purposes.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As of February 17, 2026, the number of outstanding shares of the registrant’s common stock, par value $0.0001 per share, was 42,557,492.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information called for by Part III of this Annual Report on Form 10-K is hereby incorporated by reference to portions of the registrant’s definitive proxy statement for its 2026 annual meeting of stockholders, which will be filed with the Securities and Exchange Commission not later than 120 days after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3519"/>
        <w:gridCol w:w="3078"/>
        <w:gridCol w:w="3141"/>
        <w:gridCol w:w="136"/>
        <w:gridCol w:w="136"/>
        <w:gridCol w:w="195"/>
      </w:tblGrid>
      <w:tr>
        <w:trPr/>
        <w:tc>
          <w:tcPr>
            <w:tcW w:w="3519"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0">
              <w:r>
                <w:rPr>
                  <w:rStyle w:val="InternetLink"/>
                  <w:rFonts w:ascii="Times New Roman;serif" w:hAnsi="Times New Roman;serif"/>
                  <w:b w:val="false"/>
                  <w:color w:val="0000FF"/>
                  <w:sz w:val="20"/>
                  <w:u w:val="single"/>
                </w:rPr>
                <w:t>Part I</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0">
              <w:r>
                <w:rPr>
                  <w:rStyle w:val="InternetLink"/>
                  <w:rFonts w:ascii="Times New Roman;serif" w:hAnsi="Times New Roman;serif"/>
                  <w:b w:val="false"/>
                  <w:color w:val="0000FF"/>
                  <w:sz w:val="20"/>
                  <w:u w:val="single"/>
                </w:rPr>
                <w:t>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3">
              <w:r>
                <w:rPr>
                  <w:rStyle w:val="InternetLink"/>
                  <w:rFonts w:ascii="Times New Roman;serif" w:hAnsi="Times New Roman;serif"/>
                  <w:b w:val="false"/>
                  <w:color w:val="0000FF"/>
                  <w:sz w:val="20"/>
                  <w:u w:val="single"/>
                </w:rPr>
                <w:t>Item 1. 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3">
              <w:r>
                <w:rPr>
                  <w:rStyle w:val="InternetLink"/>
                  <w:rFonts w:ascii="Times New Roman;serif" w:hAnsi="Times New Roman;serif"/>
                  <w:b w:val="false"/>
                  <w:color w:val="0000FF"/>
                  <w:sz w:val="20"/>
                  <w:u w:val="single"/>
                </w:rPr>
                <w:t>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
              <w:r>
                <w:rPr>
                  <w:rStyle w:val="InternetLink"/>
                  <w:rFonts w:ascii="Times New Roman;serif" w:hAnsi="Times New Roman;serif"/>
                  <w:b w:val="false"/>
                  <w:color w:val="0000FF"/>
                  <w:sz w:val="20"/>
                  <w:u w:val="single"/>
                </w:rPr>
                <w:t>Item 1A. 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
              <w:r>
                <w:rPr>
                  <w:rStyle w:val="InternetLink"/>
                  <w:rFonts w:ascii="Times New Roman;serif" w:hAnsi="Times New Roman;serif"/>
                  <w:b w:val="false"/>
                  <w:color w:val="0000FF"/>
                  <w:sz w:val="20"/>
                  <w:u w:val="single"/>
                </w:rPr>
                <w:t>38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9">
              <w:r>
                <w:rPr>
                  <w:rStyle w:val="InternetLink"/>
                  <w:rFonts w:ascii="Times New Roman;serif" w:hAnsi="Times New Roman;serif"/>
                  <w:b w:val="false"/>
                  <w:color w:val="0000FF"/>
                  <w:sz w:val="20"/>
                  <w:u w:val="single"/>
                </w:rPr>
                <w:t>Item 1B. 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9">
              <w:r>
                <w:rPr>
                  <w:rStyle w:val="InternetLink"/>
                  <w:rFonts w:ascii="Times New Roman;serif" w:hAnsi="Times New Roman;serif"/>
                  <w:b w:val="false"/>
                  <w:color w:val="0000FF"/>
                  <w:sz w:val="20"/>
                  <w:u w:val="single"/>
                </w:rPr>
                <w:t>96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25">
              <w:r>
                <w:rPr>
                  <w:rStyle w:val="InternetLink"/>
                  <w:rFonts w:ascii="Times New Roman;serif" w:hAnsi="Times New Roman;serif"/>
                  <w:b w:val="false"/>
                  <w:color w:val="0000FF"/>
                  <w:sz w:val="20"/>
                  <w:u w:val="single"/>
                </w:rPr>
                <w:t>Item 2. 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25">
              <w:r>
                <w:rPr>
                  <w:rStyle w:val="InternetLink"/>
                  <w:rFonts w:ascii="Times New Roman;serif" w:hAnsi="Times New Roman;serif"/>
                  <w:b w:val="false"/>
                  <w:color w:val="0000FF"/>
                  <w:sz w:val="20"/>
                  <w:u w:val="single"/>
                </w:rPr>
                <w:t>97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28">
              <w:r>
                <w:rPr>
                  <w:rStyle w:val="InternetLink"/>
                  <w:rFonts w:ascii="Times New Roman;serif" w:hAnsi="Times New Roman;serif"/>
                  <w:b w:val="false"/>
                  <w:color w:val="0000FF"/>
                  <w:sz w:val="20"/>
                  <w:u w:val="single"/>
                </w:rPr>
                <w:t>Item 3. 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28">
              <w:r>
                <w:rPr>
                  <w:rStyle w:val="InternetLink"/>
                  <w:rFonts w:ascii="Times New Roman;serif" w:hAnsi="Times New Roman;serif"/>
                  <w:b w:val="false"/>
                  <w:color w:val="0000FF"/>
                  <w:sz w:val="20"/>
                  <w:u w:val="single"/>
                </w:rPr>
                <w:t>97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1">
              <w:r>
                <w:rPr>
                  <w:rStyle w:val="InternetLink"/>
                  <w:rFonts w:ascii="Times New Roman;serif" w:hAnsi="Times New Roman;serif"/>
                  <w:b w:val="false"/>
                  <w:color w:val="0000FF"/>
                  <w:sz w:val="20"/>
                  <w:u w:val="single"/>
                </w:rPr>
                <w:t>Item 4. 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1">
              <w:r>
                <w:rPr>
                  <w:rStyle w:val="InternetLink"/>
                  <w:rFonts w:ascii="Times New Roman;serif" w:hAnsi="Times New Roman;serif"/>
                  <w:b w:val="false"/>
                  <w:color w:val="0000FF"/>
                  <w:sz w:val="20"/>
                  <w:u w:val="single"/>
                </w:rPr>
                <w:t>97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4">
              <w:r>
                <w:rPr>
                  <w:rStyle w:val="InternetLink"/>
                  <w:rFonts w:ascii="Times New Roman;serif" w:hAnsi="Times New Roman;serif"/>
                  <w:b w:val="false"/>
                  <w:color w:val="0000FF"/>
                  <w:sz w:val="20"/>
                  <w:u w:val="single"/>
                </w:rPr>
                <w:t>Part II</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4">
              <w:r>
                <w:rPr>
                  <w:rStyle w:val="InternetLink"/>
                  <w:rFonts w:ascii="Times New Roman;serif" w:hAnsi="Times New Roman;serif"/>
                  <w:b w:val="false"/>
                  <w:color w:val="0000FF"/>
                  <w:sz w:val="20"/>
                  <w:u w:val="single"/>
                </w:rPr>
                <w:t>98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7">
              <w:r>
                <w:rPr>
                  <w:rStyle w:val="InternetLink"/>
                  <w:rFonts w:ascii="Times New Roman;serif" w:hAnsi="Times New Roman;serif"/>
                  <w:b w:val="false"/>
                  <w:color w:val="000080"/>
                  <w:sz w:val="20"/>
                  <w:u w:val="single"/>
                </w:rPr>
                <w:t>Item 5. Market for Registrant</w:t>
              </w:r>
            </w:hyperlink>
            <w:hyperlink w:anchor="ib2015f1968be49f29f4e21ebc34be7a7_37">
              <w:r>
                <w:rPr>
                  <w:rStyle w:val="InternetLink"/>
                  <w:rFonts w:ascii="Times New Roman;serif" w:hAnsi="Times New Roman;serif"/>
                  <w:b w:val="false"/>
                  <w:color w:val="000080"/>
                  <w:sz w:val="20"/>
                  <w:u w:val="single"/>
                </w:rPr>
                <w:t>’</w:t>
              </w:r>
            </w:hyperlink>
            <w:hyperlink w:anchor="ib2015f1968be49f29f4e21ebc34be7a7_37">
              <w:r>
                <w:rPr>
                  <w:rStyle w:val="InternetLink"/>
                  <w:rFonts w:ascii="Times New Roman;serif" w:hAnsi="Times New Roman;serif"/>
                  <w:b w:val="false"/>
                  <w:color w:val="000080"/>
                  <w:sz w:val="20"/>
                  <w:u w:val="single"/>
                </w:rPr>
                <w: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37">
              <w:r>
                <w:rPr>
                  <w:rStyle w:val="InternetLink"/>
                  <w:rFonts w:ascii="Times New Roman;serif" w:hAnsi="Times New Roman;serif"/>
                  <w:b w:val="false"/>
                  <w:color w:val="0000FF"/>
                  <w:sz w:val="20"/>
                  <w:u w:val="single"/>
                </w:rPr>
                <w:t>98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40">
              <w:r>
                <w:rPr>
                  <w:rStyle w:val="InternetLink"/>
                  <w:rFonts w:ascii="Times New Roman;serif" w:hAnsi="Times New Roman;serif"/>
                  <w:b w:val="false"/>
                  <w:color w:val="0000FF"/>
                  <w:sz w:val="20"/>
                  <w:u w:val="single"/>
                </w:rPr>
                <w:t>Item 6. [Reserved.]</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40">
              <w:r>
                <w:rPr>
                  <w:rStyle w:val="InternetLink"/>
                  <w:rFonts w:ascii="Times New Roman;serif" w:hAnsi="Times New Roman;serif"/>
                  <w:b w:val="false"/>
                  <w:color w:val="0000FF"/>
                  <w:sz w:val="20"/>
                  <w:u w:val="single"/>
                </w:rPr>
                <w:t>99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43">
              <w:r>
                <w:rPr>
                  <w:rStyle w:val="InternetLink"/>
                  <w:rFonts w:ascii="Times New Roman;serif" w:hAnsi="Times New Roman;serif"/>
                  <w:b w:val="false"/>
                  <w:color w:val="000080"/>
                  <w:sz w:val="20"/>
                  <w:u w:val="single"/>
                </w:rPr>
                <w:t>Item 7. Management</w:t>
              </w:r>
            </w:hyperlink>
            <w:hyperlink w:anchor="ib2015f1968be49f29f4e21ebc34be7a7_43">
              <w:r>
                <w:rPr>
                  <w:rStyle w:val="InternetLink"/>
                  <w:rFonts w:ascii="Times New Roman;serif" w:hAnsi="Times New Roman;serif"/>
                  <w:b w:val="false"/>
                  <w:color w:val="000080"/>
                  <w:sz w:val="20"/>
                  <w:u w:val="single"/>
                </w:rPr>
                <w:t>’</w:t>
              </w:r>
            </w:hyperlink>
            <w:hyperlink w:anchor="ib2015f1968be49f29f4e21ebc34be7a7_43">
              <w:r>
                <w:rPr>
                  <w:rStyle w:val="InternetLink"/>
                  <w:rFonts w:ascii="Times New Roman;serif" w:hAnsi="Times New Roman;serif"/>
                  <w:b w:val="false"/>
                  <w:color w:val="000080"/>
                  <w:sz w:val="20"/>
                  <w:u w:val="single"/>
                </w:rPr>
                <w: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43">
              <w:r>
                <w:rPr>
                  <w:rStyle w:val="InternetLink"/>
                  <w:rFonts w:ascii="Times New Roman;serif" w:hAnsi="Times New Roman;serif"/>
                  <w:b w:val="false"/>
                  <w:color w:val="0000FF"/>
                  <w:sz w:val="20"/>
                  <w:u w:val="single"/>
                </w:rPr>
                <w:t>100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76">
              <w:r>
                <w:rPr>
                  <w:rStyle w:val="InternetLink"/>
                  <w:rFonts w:ascii="Times New Roman;serif" w:hAnsi="Times New Roman;serif"/>
                  <w:b w:val="false"/>
                  <w:color w:val="0000FF"/>
                  <w:sz w:val="20"/>
                  <w:u w:val="single"/>
                </w:rPr>
                <w:t>Item 7A. 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76">
              <w:r>
                <w:rPr>
                  <w:rStyle w:val="InternetLink"/>
                  <w:rFonts w:ascii="Times New Roman;serif" w:hAnsi="Times New Roman;serif"/>
                  <w:b w:val="false"/>
                  <w:color w:val="0000FF"/>
                  <w:sz w:val="20"/>
                  <w:u w:val="single"/>
                </w:rPr>
                <w:t>112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79">
              <w:r>
                <w:rPr>
                  <w:rStyle w:val="InternetLink"/>
                  <w:rFonts w:ascii="Times New Roman;serif" w:hAnsi="Times New Roman;serif"/>
                  <w:b w:val="false"/>
                  <w:color w:val="0000FF"/>
                  <w:sz w:val="20"/>
                  <w:u w:val="single"/>
                </w:rPr>
                <w:t>Item 8. 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79">
              <w:r>
                <w:rPr>
                  <w:rStyle w:val="InternetLink"/>
                  <w:rFonts w:ascii="Times New Roman;serif" w:hAnsi="Times New Roman;serif"/>
                  <w:b w:val="false"/>
                  <w:color w:val="0000FF"/>
                  <w:sz w:val="20"/>
                  <w:u w:val="single"/>
                </w:rPr>
                <w:t>113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48">
              <w:r>
                <w:rPr>
                  <w:rStyle w:val="InternetLink"/>
                  <w:rFonts w:ascii="Times New Roman;serif" w:hAnsi="Times New Roman;serif"/>
                  <w:b w:val="false"/>
                  <w:color w:val="0000FF"/>
                  <w:sz w:val="20"/>
                  <w:u w:val="single"/>
                </w:rPr>
                <w:t>Item 9. Changes in and Disagreements With Accountants on Accounting and Financial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48">
              <w:r>
                <w:rPr>
                  <w:rStyle w:val="InternetLink"/>
                  <w:rFonts w:ascii="Times New Roman;serif" w:hAnsi="Times New Roman;serif"/>
                  <w:b w:val="false"/>
                  <w:color w:val="0000FF"/>
                  <w:sz w:val="20"/>
                  <w:u w:val="single"/>
                </w:rPr>
                <w:t>150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51">
              <w:r>
                <w:rPr>
                  <w:rStyle w:val="InternetLink"/>
                  <w:rFonts w:ascii="Times New Roman;serif" w:hAnsi="Times New Roman;serif"/>
                  <w:b w:val="false"/>
                  <w:color w:val="0000FF"/>
                  <w:sz w:val="20"/>
                  <w:u w:val="single"/>
                </w:rPr>
                <w:t>Item 9A. 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51">
              <w:r>
                <w:rPr>
                  <w:rStyle w:val="InternetLink"/>
                  <w:rFonts w:ascii="Times New Roman;serif" w:hAnsi="Times New Roman;serif"/>
                  <w:b w:val="false"/>
                  <w:color w:val="0000FF"/>
                  <w:sz w:val="20"/>
                  <w:u w:val="single"/>
                </w:rPr>
                <w:t>150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54">
              <w:r>
                <w:rPr>
                  <w:rStyle w:val="InternetLink"/>
                  <w:rFonts w:ascii="Times New Roman;serif" w:hAnsi="Times New Roman;serif"/>
                  <w:b w:val="false"/>
                  <w:color w:val="0000FF"/>
                  <w:sz w:val="20"/>
                  <w:u w:val="single"/>
                </w:rPr>
                <w:t>Item 9B. 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54">
              <w:r>
                <w:rPr>
                  <w:rStyle w:val="InternetLink"/>
                  <w:rFonts w:ascii="Times New Roman;serif" w:hAnsi="Times New Roman;serif"/>
                  <w:b w:val="false"/>
                  <w:color w:val="0000FF"/>
                  <w:sz w:val="20"/>
                  <w:u w:val="single"/>
                </w:rPr>
                <w:t>153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0">
              <w:r>
                <w:rPr>
                  <w:rStyle w:val="InternetLink"/>
                  <w:rFonts w:ascii="Times New Roman;serif" w:hAnsi="Times New Roman;serif"/>
                  <w:b w:val="false"/>
                  <w:color w:val="0000FF"/>
                  <w:sz w:val="20"/>
                  <w:u w:val="single"/>
                </w:rPr>
                <w:t>Item 9C. 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0">
              <w:r>
                <w:rPr>
                  <w:rStyle w:val="InternetLink"/>
                  <w:rFonts w:ascii="Times New Roman;serif" w:hAnsi="Times New Roman;serif"/>
                  <w:b w:val="false"/>
                  <w:color w:val="0000FF"/>
                  <w:sz w:val="20"/>
                  <w:u w:val="single"/>
                </w:rPr>
                <w:t>153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3">
              <w:r>
                <w:rPr>
                  <w:rStyle w:val="InternetLink"/>
                  <w:rFonts w:ascii="Times New Roman;serif" w:hAnsi="Times New Roman;serif"/>
                  <w:b w:val="false"/>
                  <w:color w:val="0000FF"/>
                  <w:sz w:val="20"/>
                  <w:u w:val="single"/>
                </w:rPr>
                <w:t>Part III</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3">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6">
              <w:r>
                <w:rPr>
                  <w:rStyle w:val="InternetLink"/>
                  <w:rFonts w:ascii="Times New Roman;serif" w:hAnsi="Times New Roman;serif"/>
                  <w:b w:val="false"/>
                  <w:color w:val="0000FF"/>
                  <w:sz w:val="20"/>
                  <w:u w:val="single"/>
                </w:rPr>
                <w:t>Item 10. 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6">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9">
              <w:r>
                <w:rPr>
                  <w:rStyle w:val="InternetLink"/>
                  <w:rFonts w:ascii="Times New Roman;serif" w:hAnsi="Times New Roman;serif"/>
                  <w:b w:val="false"/>
                  <w:color w:val="0000FF"/>
                  <w:sz w:val="20"/>
                  <w:u w:val="single"/>
                </w:rPr>
                <w:t>Item 11. 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69">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2">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2">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5">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5">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8">
              <w:r>
                <w:rPr>
                  <w:rStyle w:val="InternetLink"/>
                  <w:rFonts w:ascii="Times New Roman;serif" w:hAnsi="Times New Roman;serif"/>
                  <w:b w:val="false"/>
                  <w:color w:val="0000FF"/>
                  <w:sz w:val="20"/>
                  <w:u w:val="single"/>
                </w:rPr>
                <w:t>Item 14. Principal Accounting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78">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1">
              <w:r>
                <w:rPr>
                  <w:rStyle w:val="InternetLink"/>
                  <w:rFonts w:ascii="Times New Roman;serif" w:hAnsi="Times New Roman;serif"/>
                  <w:b w:val="false"/>
                  <w:color w:val="0000FF"/>
                  <w:sz w:val="20"/>
                  <w:u w:val="single"/>
                </w:rPr>
                <w:t>Part IV</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1">
              <w:r>
                <w:rPr>
                  <w:rStyle w:val="InternetLink"/>
                  <w:rFonts w:ascii="Times New Roman;serif" w:hAnsi="Times New Roman;serif"/>
                  <w:b w:val="false"/>
                  <w:color w:val="0000FF"/>
                  <w:sz w:val="20"/>
                  <w:u w:val="single"/>
                </w:rPr>
                <w:t>155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4">
              <w:r>
                <w:rPr>
                  <w:rStyle w:val="InternetLink"/>
                  <w:rFonts w:ascii="Times New Roman;serif" w:hAnsi="Times New Roman;serif"/>
                  <w:b w:val="false"/>
                  <w:color w:val="0000FF"/>
                  <w:sz w:val="20"/>
                  <w:u w:val="single"/>
                </w:rPr>
                <w:t>Item 15. Exhibits,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4">
              <w:r>
                <w:rPr>
                  <w:rStyle w:val="InternetLink"/>
                  <w:rFonts w:ascii="Times New Roman;serif" w:hAnsi="Times New Roman;serif"/>
                  <w:b w:val="false"/>
                  <w:color w:val="0000FF"/>
                  <w:sz w:val="20"/>
                  <w:u w:val="single"/>
                </w:rPr>
                <w:t>155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7">
              <w:r>
                <w:rPr>
                  <w:rStyle w:val="InternetLink"/>
                  <w:rFonts w:ascii="Times New Roman;serif" w:hAnsi="Times New Roman;serif"/>
                  <w:b w:val="false"/>
                  <w:color w:val="0000FF"/>
                  <w:sz w:val="20"/>
                  <w:u w:val="single"/>
                </w:rPr>
                <w:t>Item 16. Form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87">
              <w:r>
                <w:rPr>
                  <w:rStyle w:val="InternetLink"/>
                  <w:rFonts w:ascii="Times New Roman;serif" w:hAnsi="Times New Roman;serif"/>
                  <w:b w:val="false"/>
                  <w:color w:val="0000FF"/>
                  <w:sz w:val="20"/>
                  <w:u w:val="single"/>
                </w:rPr>
                <w:t>157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90">
              <w:r>
                <w:rPr>
                  <w:rStyle w:val="InternetLink"/>
                  <w:rFonts w:ascii="Times New Roman;serif" w:hAnsi="Times New Roman;serif"/>
                  <w:b w:val="false"/>
                  <w:color w:val="0000FF"/>
                  <w:sz w:val="20"/>
                  <w:u w:val="single"/>
                </w:rPr>
                <w:t>Signatures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90">
              <w:r>
                <w:rPr>
                  <w:rStyle w:val="InternetLink"/>
                  <w:rFonts w:ascii="Times New Roman;serif" w:hAnsi="Times New Roman;serif"/>
                  <w:b w:val="false"/>
                  <w:color w:val="0000FF"/>
                  <w:sz w:val="20"/>
                  <w:u w:val="single"/>
                </w:rPr>
                <w:t>158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certain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future revenue, business strategy, product and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Factors that may cause actual results to differ from expected results include,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plans related to the continued commercialization of XDEMVY and our product candidates, if approved, including commercialization timelines and sales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statements regarding our ability to achieve distribution and patient access for XDEMVY and timing and breadth of payer coverage; our expectations of the potential market size, pricing, gross-to-net yields, eye care professional and patient acceptance of our product and product candidates, opportunity and patient populations for our product and product candidates, including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or likelihood of regulatory filings and approval for our product candidates and our ability to meet existing or future regulatory standards or comply with post-approval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existing regulations and regulatory developments in the U.S. and other jurisdictions;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plans and ability to obtain, maintain, or protect intellectual property rights, including extensions of existing patent terms where available;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including those described in the section titled “Risk Factors” elsewhere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Annual Report on Form 10-K to the “Company,” “we,” “us,” “our,” “Tarsus,” and “Tarsus Pharmaceuticals” refer to Tarsus Pharmaceuticals, Inc. We primarily conduct our business activities as Tarsus Pharmaceuticals.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Tarsus Pharmaceuticals, Tarsus, and Tarsus Pharmaceuticals, Inc., our logo, XDEMVY, and other registered or common law trade names, trademarks or service marks of Tarsus appearing in this report are the property of the Company. This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 ™ or SM symbols, but such references are not intended to indicate, in any way, that we will not assert, to the fullest extent under applicable law, our rights or the right of the applicable licensor to these trade names, trademarks and service marks.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While we have generated revenue from the launch of XDEMVY, we have continued to incur losses and negative cash flows from operations since our inception and anticipate that we could continue to incur significant expenses and potential losses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obtained regulatory approval for XDEMVY in the U.S. in July 2023 and commenced the commercial launch of XDEMVY in August 2023. We have limited experience as a commercial company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heavily dependent on the continued successful commercialization of XDEMVY and the successful development, regulatory approvals,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may not ultimately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sizes of the market opportunity for our product or product candidates, particularly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commercialization of our product or our product candidates including,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TP-04 for the potential treatment of ocular rosacea and TP-05 for potential Lyme disease prophylaxis and community malaria reduction, is dependent on intellectual property we license from Elanco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Tiergesundheit AG (“Elanco”). If we breach our agreements with Elanco or the agreements are terminated, we could lose license rights that are important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990"/>
        <w:jc w:val="left"/>
        <w:rPr/>
      </w:pPr>
      <w:r>
        <w:rPr>
          <w:rFonts w:ascii="Times New Roman;serif" w:hAnsi="Times New Roman;serif"/>
          <w:b w:val="false"/>
          <w:color w:val="000000"/>
          <w:sz w:val="20"/>
        </w:rPr>
        <w:t>We are a commercial stage biopharmaceutical company focused on the development and commercialization of therapeutics, starting with eye care. We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August 2023 after receiving U.S. Food and Drug Administration (“FDA”) approval in July 2023.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is 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(“blephar” is a reference to eyelid and “itis” is a reference to inflammation) is a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 (“GABA-Cl”)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trial (the “Saturn-2 trial”), a Phase 2b/3 trial (the “Saturn-1 trial”), four Phase 2 trials, and a Phase 1 trial (the “Hyperion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patients with Meibomian Gland Disease (“MGD”), including a Phase 2a clinical trial (the “Ersa trial”) and a pilot clinical trial (the “Rhea trial”) involving an XDEMVY vehicle.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the lotilaner API to address several diseases in human medicine, including eye care and infectious disease prevention. 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TP-03 Demodex blepharitis in patients with Meibomian Gland Disease (MGD)</w:t>
      </w:r>
    </w:p>
    <w:p>
      <w:pPr>
        <w:pStyle w:val="TextBody"/>
        <w:bidi w:val="0"/>
        <w:spacing w:lineRule="auto" w:line="288" w:before="240" w:after="283"/>
        <w:ind w:left="0" w:right="0" w:firstLine="1080"/>
        <w:jc w:val="left"/>
        <w:rPr/>
      </w:pPr>
      <w:r>
        <w:rPr>
          <w:rFonts w:ascii="Times New Roman;serif" w:hAnsi="Times New Roman;serif"/>
          <w:b w:val="false"/>
          <w:color w:val="000000"/>
          <w:sz w:val="20"/>
        </w:rPr>
        <w:t xml:space="preserve">MGD is commonly characterized by functional and structural dysfunction of the meibomian glands within the eyelid margin, leading to blockage and/or thickened, decreased meibum production. If left untreated, MGD can lead to permanent changes to the tear film and progressive gland loss. Approximately 30-40 million Americans are impacted by MGD. Currently, there are no FDA-approved pharmacologic therapies for MGD patients.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are key contributors to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causing eyelid inflammation and reduced meibomian gland function.</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0"/>
        </w:rPr>
        <w:t xml:space="preserve">In December 2023, we announced positive topline results from the Ersa trial evaluating XDEMVY administered twice daily (“BID”) or three times a day (“TID”) for six weeks and twelve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at the American Academy of Optometry (“AAOpt”) Annual Meeting 2024, and in April 2025 at the American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the presence and quality of liquid secretion as measured by the Meibomian Gland Secretion Score; (ii) the number of glands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and sales teams are sharing some of this data with eye care professionals (“ECPs”).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TP-04 for the Potential Treatment of Ocular Rosacea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exploring the therapeutic potential of TP-04 as an investigational sterile aqueous gel formulation of lotilaner, for the treatment of ocular rosacea, a chronic eye disease characterized by prominent and visible blood vessels, or telangiectasia, as well as redness, flushing and inflammation of the eyelid margin and surrounding peri-ocular skin. Ocular rosacea is a highly prevalent disease, with approximately 15-18 million Americans impacted by ocular rosacea and there are currently no FDA-approved therapeutics to treat this disease. One of the potential root causes of ocular rosacea, similar to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is believed to be </w:t>
      </w:r>
      <w:r>
        <w:rPr>
          <w:rFonts w:ascii="Times New Roman;serif" w:hAnsi="Times New Roman;serif"/>
          <w:b w:val="false"/>
          <w:i/>
          <w:color w:val="000000"/>
          <w:sz w:val="20"/>
        </w:rPr>
        <w:t xml:space="preserve">Demodex </w:t>
      </w:r>
      <w:r>
        <w:rPr>
          <w:rFonts w:ascii="Times New Roman;serif" w:hAnsi="Times New Roman;serif"/>
          <w:b w:val="false"/>
          <w:color w:val="000000"/>
          <w:sz w:val="20"/>
        </w:rPr>
        <w:t>mites. As shown below, Figure 1 illustrates visible blood vessels known as telangiectasia, and Figure 2 illustrates eyelid inflammation and redness.</w:t>
      </w:r>
    </w:p>
    <w:p>
      <w:pPr>
        <w:pStyle w:val="TextBody"/>
        <w:bidi w:val="0"/>
        <w:spacing w:lineRule="auto" w:line="288" w:before="240" w:after="283"/>
        <w:ind w:left="0" w:right="0" w:firstLine="250"/>
        <w:jc w:val="center"/>
        <w:rPr>
          <w:rFonts w:ascii="Times New Roman;serif" w:hAnsi="Times New Roman;serif"/>
          <w:b/>
          <w:color w:val="000000"/>
          <w:sz w:val="20"/>
        </w:rPr>
      </w:pPr>
      <w:r>
        <w:rPr>
          <w:rFonts w:ascii="Times New Roman;serif" w:hAnsi="Times New Roman;serif"/>
          <w:b/>
          <w:color w:val="000000"/>
          <w:sz w:val="20"/>
        </w:rPr>
        <w:t>Figure 1: Eyelids With Visible Blood Vessels</w:t>
      </w:r>
    </w:p>
    <w:p>
      <w:pPr>
        <w:pStyle w:val="TextBody"/>
        <w:bidi w:val="0"/>
        <w:spacing w:before="240" w:after="283"/>
        <w:ind w:left="0" w:right="0" w:firstLine="1080"/>
        <w:jc w:val="center"/>
        <w:rPr/>
      </w:pPr>
      <w:r>
        <w:rPr/>
        <w:drawing>
          <wp:inline distT="0" distB="0" distL="0" distR="0">
            <wp:extent cx="3267075" cy="18288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267075" cy="1828800"/>
                    </a:xfrm>
                    <a:prstGeom prst="rect">
                      <a:avLst/>
                    </a:prstGeom>
                  </pic:spPr>
                </pic:pic>
              </a:graphicData>
            </a:graphic>
          </wp:inline>
        </w:drawing>
      </w:r>
      <w:bookmarkStart w:id="1" w:name="i-2"/>
      <w:bookmarkEnd w:id="1"/>
    </w:p>
    <w:p>
      <w:pPr>
        <w:pStyle w:val="TextBody"/>
        <w:bidi w:val="0"/>
        <w:spacing w:lineRule="auto" w:line="288" w:before="240" w:after="283"/>
        <w:ind w:left="0" w:right="0" w:firstLine="1080"/>
        <w:jc w:val="center"/>
        <w:rPr>
          <w:rFonts w:ascii="Times New Roman;serif" w:hAnsi="Times New Roman;serif"/>
          <w:b/>
          <w:color w:val="000000"/>
          <w:sz w:val="20"/>
        </w:rPr>
      </w:pPr>
      <w:r>
        <w:rPr>
          <w:rFonts w:ascii="Times New Roman;serif" w:hAnsi="Times New Roman;serif"/>
          <w:b/>
          <w:color w:val="000000"/>
          <w:sz w:val="20"/>
        </w:rPr>
        <w:t>Figure 2: Eyelids With Redness</w:t>
      </w:r>
    </w:p>
    <w:p>
      <w:pPr>
        <w:pStyle w:val="TextBody"/>
        <w:bidi w:val="0"/>
        <w:spacing w:before="240" w:after="283"/>
        <w:ind w:left="0" w:right="0" w:firstLine="990"/>
        <w:jc w:val="center"/>
        <w:rPr/>
      </w:pPr>
      <w:r>
        <w:rPr/>
        <w:drawing>
          <wp:inline distT="0" distB="0" distL="0" distR="0">
            <wp:extent cx="2924175" cy="32575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924175" cy="3257550"/>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990"/>
        <w:jc w:val="left"/>
        <w:rPr/>
      </w:pPr>
      <w:r>
        <w:rPr/>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TP-04 is designed to eradicate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In March 2023, we announced positive topline results from the Phase 1 Galatea trial (the “Galatea Phase 1 trial”) and initiated a Phase 2a trial (the “Galatea trial”) for the potential treatment of papulopustular rosacea. The Galatea trial was a multicenter, randomized, vehicle-controlled trial evaluating the safety, tolerability and efficacy of TP-04. In February 2024, we announced positive topline results from the Galatea trial which demonstrated statistically significant improvements (p&lt;0.05) in inflammatory lesions and Investigator’s Global Assessment (“IGA”) score (change in baseline and success rate) were observed compared to vehicle at Week 12. TP-04 was generally well tolerated.</w:t>
      </w:r>
    </w:p>
    <w:p>
      <w:pPr>
        <w:pStyle w:val="TextBody"/>
        <w:bidi w:val="0"/>
        <w:spacing w:before="240" w:after="283"/>
        <w:jc w:val="center"/>
        <w:rPr/>
      </w:pPr>
      <w:r>
        <w:rPr/>
        <w:drawing>
          <wp:inline distT="0" distB="0" distL="0" distR="0">
            <wp:extent cx="6648450" cy="2286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6648450" cy="2286000"/>
                    </a:xfrm>
                    <a:prstGeom prst="rect">
                      <a:avLst/>
                    </a:prstGeom>
                  </pic:spPr>
                </pic:pic>
              </a:graphicData>
            </a:graphic>
          </wp:inline>
        </w:drawing>
      </w:r>
      <w:bookmarkStart w:id="3" w:name="i-4"/>
      <w:bookmarkEnd w:id="3"/>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review of this data with the FDA and key opinion leaders (“KOLs”), we decided to pursue development of TP-04 for the potential treatment for ocular rosacea. In December 2025, we initiated a Phase 2 trial for the potential treatment of ocular rosacea with topline results expected in the first half of 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TP-05 for the Potential Prevention of 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exploring the therapeutic potential of TP-05 as a systemic prophylactic for Lyme disease designed to eradicate the tick before it can transmit the </w:t>
      </w:r>
      <w:r>
        <w:rPr>
          <w:rFonts w:ascii="Times New Roman;serif" w:hAnsi="Times New Roman;serif"/>
          <w:b w:val="false"/>
          <w:i/>
          <w:color w:val="000000"/>
          <w:sz w:val="20"/>
        </w:rPr>
        <w:t xml:space="preserve">Borrelia </w:t>
      </w:r>
      <w:r>
        <w:rPr>
          <w:rFonts w:ascii="Times New Roman;serif" w:hAnsi="Times New Roman;serif"/>
          <w:b w:val="false"/>
          <w:color w:val="000000"/>
          <w:sz w:val="20"/>
        </w:rPr>
        <w:t>bacteria that causes Lyme disease. There are approximately 80 million people in the U.S. at risk of Lyme disease exposure with nearly 30 million of which are moderate to high risk. Further, there are approximately 400,000 reported cases of Lyme disease in the U.S. each year, but it is believed that the actual number of cases could be much higher.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Lyme disease can potentially cause severe, often debilitating symptoms with permanent and irreversible damage. The disease can result in inflammation, nerve, joint and muscle pain or swelling, numbness, shortness of breath and, in severe cases, neurological complications such as facial palsy, vision issues and meningitis, including severe headaches and neck stiffness. Lyme disease can often go undetected and untreated because the ticks are not always noticed before they transmit the disease. People who are in high-risk areas and/or spend extended amounts of time outdoors in wooded, grassy areas are at higher risk of contracting the infection. Data from the Centers for Disease Control and Prevention (“CDC”) show that the risk of Lyme disease is spreading to new geographic areas, resulting in a significant need for prophylactic solutions.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Currently, there are no FDA-approved pharmacological prophylactic options for Lyme disease. We believe TP-05 is currently the only on-demand, oral tablet in development that targets ticks and potentially prevents Lyme disease transmission. It is designed to rapidly and durably provide systemic levels of lotilaner potentially sufficient to kill infected ticks attached to the human body through selective targeting of parasite-specific GABA-CI channels, before they can transmit the </w:t>
      </w:r>
      <w:r>
        <w:rPr>
          <w:rFonts w:ascii="Times New Roman;serif" w:hAnsi="Times New Roman;serif"/>
          <w:b w:val="false"/>
          <w:i/>
          <w:color w:val="000000"/>
          <w:sz w:val="20"/>
        </w:rPr>
        <w:t xml:space="preserve">Borrelia </w:t>
      </w:r>
      <w:r>
        <w:rPr>
          <w:rFonts w:ascii="Times New Roman;serif" w:hAnsi="Times New Roman;serif"/>
          <w:b w:val="false"/>
          <w:color w:val="000000"/>
          <w:sz w:val="20"/>
        </w:rPr>
        <w:t>bacteria.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we announced positive topline results from the completed Phase 1 Callisto trial (the “Callisto trial”) and enrollment of the first patient in the Phase 2a clinical trial (the “Carpo trial”). The Carpo trial was designed to evaluate TP-05, for the potential prevention of Lyme disease in humans. The Carpo trial was a randomized, double-blind, placebo-controlled trial that evaluated the efficacy of TP-05 in killing lab grown, non-disease carrying ticks after they have attached to the skin of healthy volunteers, as well as confirm the safety, tolerability, and blood concentration of TP-05. Sterile, non-pathogenic nymphal ticks were placed on the skin of healthy human volunteers at two separate instances (one day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dosing and 30 days after dosing). Tick mortality was evaluated within 24 hours of attachment after each placement. In most cases, ticks must be attached for 36-48 hours or more before Lyme disease can be transmitted, so killing ticks within 24 hours of attachment can greatly increase the probability of disease prevention.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announced positive topline results from the Carpo trial which demonstrated a statistically significant increase in tick mortality compared to vehicle (p &lt; 0.0001), regardless of treatment arm, and was well tolerated.</w:t>
      </w:r>
    </w:p>
    <w:p>
      <w:pPr>
        <w:pStyle w:val="TextBody"/>
        <w:bidi w:val="0"/>
        <w:spacing w:before="240" w:after="283"/>
        <w:jc w:val="center"/>
        <w:rPr/>
      </w:pPr>
      <w:r>
        <w:rPr/>
        <w:drawing>
          <wp:inline distT="0" distB="0" distL="0" distR="0">
            <wp:extent cx="4114800" cy="25146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4114800" cy="2514600"/>
                    </a:xfrm>
                    <a:prstGeom prst="rect">
                      <a:avLst/>
                    </a:prstGeom>
                  </pic:spPr>
                </pic:pic>
              </a:graphicData>
            </a:graphic>
          </wp:inline>
        </w:drawing>
      </w:r>
      <w:bookmarkStart w:id="4" w:name="i-5"/>
      <w:bookmarkEnd w:id="4"/>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Given ongoing discussions with the FDA about our Lyme disease program, they agreed to our proposed approach for a Phase 2 clinical trial of TP-05 (an investigational oral tablet), which would include several hundred subjects with planned study initiation expected in the second quarter of 2026. Additionally, the FDA confirmed that a Phase 3 trial would require a disease prevention field study that would likely require the enrollment of thousands of patients. We believe that partnering this program, following completion of the Phase 2 clinical trial, could be the best approach to potentially deliver this prophylactic therapy candidate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following chart presents our wholly owned product candidates and clinical development status:</w:t>
      </w:r>
    </w:p>
    <w:p>
      <w:pPr>
        <w:pStyle w:val="TextBody"/>
        <w:bidi w:val="0"/>
        <w:spacing w:before="240" w:after="283"/>
        <w:jc w:val="center"/>
        <w:rPr/>
      </w:pPr>
      <w:r>
        <w:rPr/>
        <w:drawing>
          <wp:inline distT="0" distB="0" distL="0" distR="0">
            <wp:extent cx="5943600" cy="31908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5943600" cy="3190875"/>
                    </a:xfrm>
                    <a:prstGeom prst="rect">
                      <a:avLst/>
                    </a:prstGeom>
                  </pic:spPr>
                </pic:pic>
              </a:graphicData>
            </a:graphic>
          </wp:inline>
        </w:drawing>
      </w:r>
      <w:bookmarkStart w:id="5" w:name="i-6"/>
      <w:bookmarkEnd w:id="5"/>
    </w:p>
    <w:p>
      <w:pPr>
        <w:pStyle w:val="TextBody"/>
        <w:bidi w:val="0"/>
        <w:spacing w:before="0" w:after="0"/>
        <w:ind w:left="0" w:right="0" w:firstLine="90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Strategy</w:t>
      </w:r>
    </w:p>
    <w:p>
      <w:pPr>
        <w:pStyle w:val="TextBody"/>
        <w:bidi w:val="0"/>
        <w:spacing w:lineRule="auto" w:line="288" w:before="24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ambition is to become a leader in eye care. We have been intentional about charting a new course in eye care that is grounded in addressing the root cause of disease and we intend to achieve this ambition by pursuing the following key strategic objectives: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Continue to accelerate the launch trajectory of our first marketed product, XDEMVY</w:t>
      </w:r>
      <w:r>
        <w:rPr>
          <w:rFonts w:ascii="Times New Roman;serif" w:hAnsi="Times New Roman;serif"/>
          <w:b w:val="false"/>
          <w:color w:val="000000"/>
          <w:sz w:val="20"/>
        </w:rPr>
        <w:t xml:space="preserve">. We launched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FDA approval in July 2023. XDEMVY has delivered remarkable results for patients and has generated more than $646 million in net product sales launch-to-date.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Continue to pursue a potentially transformative opportunity in ocular rosacea.</w:t>
      </w:r>
      <w:r>
        <w:rPr>
          <w:color w:val="000000"/>
        </w:rPr>
        <w:t xml:space="preserve"> </w:t>
      </w:r>
      <w:r>
        <w:rPr>
          <w:rFonts w:ascii="Times New Roman;serif" w:hAnsi="Times New Roman;serif"/>
          <w:b w:val="false"/>
          <w:color w:val="000000"/>
          <w:sz w:val="20"/>
        </w:rPr>
        <w:t>Ocular rosacea is our next opportunity to create another potential blockbuster category in eye care. Ocular rosacea is another common eye disease that has been underdiagnosed and under treated for years because there are no FDA-approved therapeutics. In December 2025, we initiated a Phase 2 trial for the potential treatment of ocular rosacea with topline results expected in the first half of 2027.</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Continue to advance and expand our pipeline, bringing novel products utilizing lotilaner to unmet needs across human medicine, including Lyme disease prophylaxis.</w:t>
      </w:r>
      <w:r>
        <w:rPr>
          <w:color w:val="000000"/>
        </w:rPr>
        <w:t xml:space="preserve"> </w:t>
      </w:r>
      <w:r>
        <w:rPr>
          <w:rFonts w:ascii="Times New Roman;serif" w:hAnsi="Times New Roman;serif"/>
          <w:b w:val="false"/>
          <w:color w:val="000000"/>
          <w:sz w:val="20"/>
        </w:rPr>
        <w:t>The mechanism of lotilaner coupled with our insights into disease where it can demonstrate clinical benefit, provides an opportunity to expand into new indications for treatment or prevention. Given ongoing discussions with the FDA about our Lyme disease prevention program, they agreed to our proposed approach for a Phase 2 clinical trial, which would include several hundred subjects, with trial initiation expected in the second quarter of 2026. We believe that partnering this program, following completion of the Phase 2 clinical trial, could be the best approach to potentially deliver this prophylactic therapy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Evaluate and strategically enter collaborations to maximize the potential of our pipeline and the scope of our eye care product offerings.</w:t>
      </w:r>
      <w:r>
        <w:rPr>
          <w:color w:val="000000"/>
        </w:rPr>
        <w:t xml:space="preserve"> </w:t>
      </w:r>
      <w:r>
        <w:rPr>
          <w:rFonts w:ascii="Times New Roman;serif" w:hAnsi="Times New Roman;serif"/>
          <w:b w:val="false"/>
          <w:color w:val="000000"/>
          <w:sz w:val="20"/>
        </w:rPr>
        <w:t xml:space="preserve">Apart from the development and license agreement (the “China Out-License”) with Xi An Grand Chang An Pharmaceutical Co., Ltd. (“GrandPharma”) of TP-03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within the China Territory, as described below within</w:t>
      </w:r>
      <w:r>
        <w:rPr>
          <w:color w:val="000000"/>
        </w:rPr>
        <w:t xml:space="preserve"> </w:t>
      </w:r>
      <w:r>
        <w:rPr>
          <w:rFonts w:ascii="Times New Roman;serif" w:hAnsi="Times New Roman;serif"/>
          <w:b w:val="false"/>
          <w:i/>
          <w:color w:val="000000"/>
          <w:sz w:val="20"/>
        </w:rPr>
        <w:t>License Agreements: GrandPharma Agreement</w:t>
      </w:r>
      <w:r>
        <w:rPr>
          <w:rFonts w:ascii="Times New Roman;serif" w:hAnsi="Times New Roman;serif"/>
          <w:b w:val="false"/>
          <w:color w:val="000000"/>
          <w:sz w:val="20"/>
        </w:rPr>
        <w:t xml:space="preserve">, we have retained our rights globally to all of our indications for use in humans, including for XDEMVY and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TP-04 for the potential treatment of ocular rosacea and TP-05 for potential Lyme disease prophylaxis and community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malaria reduction. Given the potential to treat patients worldwide we may opportunistically enter into additional strategic collaborations around certain product candidates, diseases and/or geographic regions.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Continue innovating and planning for growth.</w:t>
      </w:r>
      <w:r>
        <w:rPr>
          <w:color w:val="000000"/>
        </w:rPr>
        <w:t xml:space="preserve"> </w:t>
      </w:r>
      <w:r>
        <w:rPr>
          <w:rFonts w:ascii="Times New Roman;serif" w:hAnsi="Times New Roman;serif"/>
          <w:b w:val="false"/>
          <w:color w:val="000000"/>
          <w:sz w:val="20"/>
        </w:rPr>
        <w:t>We have assembled an exceptional management team with decades of deep strategic expertise building new markets across eye care and biotechnology. This team, coupled with their strong execution capabilities and financial discipline will potentially enable further innovation and growth both organically and through business development.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Additional Potential Growth Drivers in 2026 and Beyond</w:t>
      </w:r>
    </w:p>
    <w:p>
      <w:pPr>
        <w:pStyle w:val="TextBody"/>
        <w:bidi w:val="0"/>
        <w:spacing w:before="0" w:after="0"/>
        <w:jc w:val="left"/>
        <w:rPr/>
      </w:pPr>
      <w:r>
        <w:rPr/>
      </w:r>
    </w:p>
    <w:p>
      <w:pPr>
        <w:pStyle w:val="TextBody"/>
        <w:bidi w:val="0"/>
        <w:spacing w:lineRule="auto" w:line="288" w:before="0" w:after="0"/>
        <w:ind w:left="0" w:right="0" w:firstLine="990"/>
        <w:jc w:val="left"/>
        <w:rPr/>
      </w:pPr>
      <w:r>
        <w:rPr>
          <w:rFonts w:ascii="Times New Roman;serif" w:hAnsi="Times New Roman;serif"/>
          <w:b w:val="false"/>
          <w:color w:val="000000"/>
          <w:sz w:val="20"/>
        </w:rPr>
        <w:t xml:space="preserve">In Europe, we are on track for the potential approval of a preservative-free formulation of TP-03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expected in 2027. </w:t>
      </w:r>
    </w:p>
    <w:p>
      <w:pPr>
        <w:pStyle w:val="TextBody"/>
        <w:bidi w:val="0"/>
        <w:spacing w:before="0" w:after="0"/>
        <w:jc w:val="left"/>
        <w:rPr/>
      </w:pPr>
      <w:r>
        <w:rPr/>
      </w:r>
    </w:p>
    <w:p>
      <w:pPr>
        <w:pStyle w:val="TextBody"/>
        <w:bidi w:val="0"/>
        <w:spacing w:lineRule="auto" w:line="288" w:before="0" w:after="0"/>
        <w:ind w:left="0" w:right="0" w:firstLine="990"/>
        <w:jc w:val="left"/>
        <w:rPr/>
      </w:pPr>
      <w:r>
        <w:rPr>
          <w:rFonts w:ascii="Times New Roman;serif" w:hAnsi="Times New Roman;serif"/>
          <w:b w:val="false"/>
          <w:color w:val="000000"/>
          <w:sz w:val="20"/>
        </w:rPr>
        <w:t xml:space="preserve">Ongoing discussions continue with regulatory authorities in Japan on a potential path to approval of TP-03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The Elara prevalence trial showed high prevalence and significant impact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Japan, consistent with U.S. findings.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erif" w:hAnsi="Times New Roman;serif"/>
          <w:b w:val="false"/>
          <w:color w:val="000000"/>
          <w:sz w:val="20"/>
        </w:rPr>
        <w:t xml:space="preserve">Our partner in Greater China, GrandPharma, expects potential approval of TP-03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2026.</w:t>
      </w:r>
    </w:p>
    <w:p>
      <w:pPr>
        <w:pStyle w:val="TextBody"/>
        <w:bidi w:val="0"/>
        <w:spacing w:lineRule="auto" w:line="268" w:before="240" w:after="283"/>
        <w:jc w:val="left"/>
        <w:rPr/>
      </w:pPr>
      <w:r>
        <w:rPr>
          <w:rFonts w:ascii="Times New Roman;serif" w:hAnsi="Times New Roman;serif"/>
          <w:b/>
          <w:color w:val="000000"/>
          <w:sz w:val="20"/>
        </w:rPr>
        <w:t xml:space="preserve">Commercial Strategy for </w:t>
      </w:r>
      <w:r>
        <w:rPr>
          <w:rFonts w:ascii="Times New Roman;serif" w:hAnsi="Times New Roman;serif"/>
          <w:b/>
          <w:i/>
          <w:color w:val="000000"/>
          <w:sz w:val="20"/>
        </w:rPr>
        <w:t>Demodex</w:t>
      </w:r>
      <w:r>
        <w:rPr>
          <w:color w:val="000000"/>
        </w:rPr>
        <w:t xml:space="preserve"> </w:t>
      </w:r>
      <w:r>
        <w:rPr>
          <w:rFonts w:ascii="Times New Roman;serif" w:hAnsi="Times New Roman;serif"/>
          <w:b/>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August 2023 we launched XDEMVY in the U.S. with a specialty sales force, social and digital media, and ECP education campaigns and targeted prescribing ophthalmologists and optometrists. During 2024, we continued to work with KOLs and various associations to increase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awareness and education, and we have highlighted prevalence, impact, and simplicity of diagnosis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During 2025, we continued to educate ECPs about 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simplicity and efficiency of diagnosis, and the positive profile of XDEMVY. We also initiated direct-to-consumer (“DTC”) campaigns in streaming and traditional television for creative and memorable visuals to illustrate the damaging impact of the disease, with the goal of supporting patients in their journey and encouraging them to consult with ECPs to explore XDEMVY as a potential treatment option.</w:t>
      </w:r>
    </w:p>
    <w:p>
      <w:pPr>
        <w:pStyle w:val="TextBody"/>
        <w:bidi w:val="0"/>
        <w:spacing w:lineRule="auto" w:line="288" w:before="240" w:after="283"/>
        <w:jc w:val="left"/>
        <w:rPr/>
      </w:pPr>
      <w:r>
        <w:rPr>
          <w:rFonts w:ascii="Times New Roman;serif" w:hAnsi="Times New Roman;serif"/>
          <w:b/>
          <w:color w:val="000000"/>
          <w:sz w:val="20"/>
        </w:rPr>
        <w:t xml:space="preserve">Blepharitis and </w:t>
      </w:r>
      <w:r>
        <w:rPr>
          <w:rFonts w:ascii="Times New Roman;serif" w:hAnsi="Times New Roman;serif"/>
          <w:b/>
          <w:i/>
          <w:color w:val="000000"/>
          <w:sz w:val="20"/>
        </w:rPr>
        <w:t>Demodex</w:t>
      </w:r>
      <w:r>
        <w:rPr>
          <w:color w:val="000000"/>
        </w:rPr>
        <w:t xml:space="preserve"> </w:t>
      </w:r>
      <w:r>
        <w:rPr>
          <w:rFonts w:ascii="Times New Roman;serif" w:hAnsi="Times New Roman;serif"/>
          <w:b/>
          <w:color w:val="000000"/>
          <w:sz w:val="20"/>
        </w:rPr>
        <w:t>Blepharitis Overview</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Blepharitis is a common, chronic ophthalmic lid margin disease, which may lead to or exacerbate ocular surface disease. Blepharitis is primarily diagnosed and treated by ECPs, including ophthalmologists and optometrists.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typically presents bilaterally in patients with the disease. There are two species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folliculorum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brevis</w:t>
      </w:r>
      <w:r>
        <w:rPr>
          <w:rFonts w:ascii="Times New Roman;serif" w:hAnsi="Times New Roman;serif"/>
          <w:b w:val="false"/>
          <w:color w:val="000000"/>
          <w:sz w:val="20"/>
        </w:rPr>
        <w:t xml:space="preserve">, that live on the skin of the face and eyelids.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i/>
          <w:color w:val="000000"/>
          <w:sz w:val="20"/>
        </w:rPr>
        <w:t>folliculorum,</w:t>
      </w:r>
      <w:r>
        <w:rPr>
          <w:color w:val="000000"/>
        </w:rPr>
        <w:t xml:space="preserve"> </w:t>
      </w:r>
      <w:r>
        <w:rPr>
          <w:rFonts w:ascii="Times New Roman;serif" w:hAnsi="Times New Roman;serif"/>
          <w:b w:val="false"/>
          <w:color w:val="000000"/>
          <w:sz w:val="20"/>
        </w:rPr>
        <w:t xml:space="preserve">which is commonly found in the follicle, is the more common sub-species of mite that causes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infestation is a major cause of blepharitis, and we estimate that the number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patients in the U.S. may be as many as approximately 25 million Americans based on an extrapolation from the Titan study (as defined below) indicating 58% of patients presenting to U.S. eye care clinics have collarettes, the pathognomonic sign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that at least 45 million people annually visit an eye care clinic. Collarettes are composed of partially digested epithelial cells, mite waste products and eggs, among other things. These collarettes are typically found at the base of the lash but can migrate away as the hair shaft grows. Other bothersome signs and symptoms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include missing or misdirected eyelashes, crusting, redness of the lid margin, inflammation of the lid margin, inflammation of the conjunctiva and/or inflammation of the cornea, also known as blepharoconjunctivitis and blepharokeratitis.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is a progressive disease that often manifests with more severe signs and symptoms if left untreated, such as blurring of vision, missing eyelashes, MGD, corneal damage and potentially, in extreme cases, blindness. Furthermore,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can negatively impact daily activities.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are the most common ectoparasite found on humans and are more likely to cause infestation and disease with aging, which is one main risk factor for the disease, though other frequently presenting patients can also suffer from common comorbid conditions such as contact lens intolerance, dry eye, and cataracts. These patients commonly present to the offices of ECPs for other ophthalmic diseases besides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such as cataract surgery evaluation, dry eye, and contact lens discomfort. According to studies we have conducted, approximately 56% of cataract patients have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infestation, which may increase the risk for infection after cataract and refractive surgery. Additionally, the primary reason people stop wearing contact lenses is due to discomfort; blepharitis has been shown to cause contact lens intolerance.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following images illustrate representative eyelids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demonstrating the characteristic pathognomonic sign of collarettes:</w:t>
      </w:r>
    </w:p>
    <w:p>
      <w:pPr>
        <w:pStyle w:val="TextBody"/>
        <w:bidi w:val="0"/>
        <w:spacing w:lineRule="auto" w:line="288" w:before="240" w:after="283"/>
        <w:ind w:left="0" w:right="0" w:firstLine="250"/>
        <w:jc w:val="center"/>
        <w:rPr/>
      </w:pPr>
      <w:r>
        <w:rPr>
          <w:rFonts w:ascii="Times New Roman;serif" w:hAnsi="Times New Roman;serif"/>
          <w:b/>
          <w:color w:val="000000"/>
          <w:sz w:val="20"/>
        </w:rPr>
        <w:t xml:space="preserve">Figure 3: Eyelids With </w:t>
      </w:r>
      <w:r>
        <w:rPr>
          <w:rFonts w:ascii="Times New Roman;serif" w:hAnsi="Times New Roman;serif"/>
          <w:b/>
          <w:i/>
          <w:color w:val="000000"/>
          <w:sz w:val="20"/>
        </w:rPr>
        <w:t xml:space="preserve">Demodex </w:t>
      </w:r>
      <w:r>
        <w:rPr>
          <w:rFonts w:ascii="Times New Roman;serif" w:hAnsi="Times New Roman;serif"/>
          <w:b/>
          <w:color w:val="000000"/>
          <w:sz w:val="20"/>
        </w:rPr>
        <w:t>Blepharitis</w:t>
      </w:r>
    </w:p>
    <w:p>
      <w:pPr>
        <w:pStyle w:val="TextBody"/>
        <w:bidi w:val="0"/>
        <w:spacing w:before="240" w:after="283"/>
        <w:jc w:val="center"/>
        <w:rPr/>
      </w:pPr>
      <w:r>
        <w:rPr/>
        <w:drawing>
          <wp:inline distT="0" distB="0" distL="0" distR="0">
            <wp:extent cx="6515100" cy="9334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6515100" cy="933450"/>
                    </a:xfrm>
                    <a:prstGeom prst="rect">
                      <a:avLst/>
                    </a:prstGeom>
                  </pic:spPr>
                </pic:pic>
              </a:graphicData>
            </a:graphic>
          </wp:inline>
        </w:drawing>
      </w:r>
      <w:bookmarkStart w:id="6" w:name="i-7"/>
      <w:bookmarkEnd w:id="6"/>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following figures illustrate how </w:t>
      </w:r>
      <w:r>
        <w:rPr>
          <w:rFonts w:ascii="Times New Roman;serif" w:hAnsi="Times New Roman;serif"/>
          <w:b w:val="false"/>
          <w:i/>
          <w:color w:val="000000"/>
          <w:sz w:val="20"/>
        </w:rPr>
        <w:t>Demodex folliculorum</w:t>
      </w:r>
      <w:r>
        <w:rPr>
          <w:color w:val="000000"/>
        </w:rPr>
        <w:t xml:space="preserve"> </w:t>
      </w:r>
      <w:r>
        <w:rPr>
          <w:rFonts w:ascii="Times New Roman;serif" w:hAnsi="Times New Roman;serif"/>
          <w:b w:val="false"/>
          <w:color w:val="000000"/>
          <w:sz w:val="20"/>
        </w:rPr>
        <w:t>mites enter and reside in the eyelash follicles:</w:t>
      </w:r>
    </w:p>
    <w:p>
      <w:pPr>
        <w:pStyle w:val="TextBody"/>
        <w:bidi w:val="0"/>
        <w:spacing w:lineRule="auto" w:line="288" w:before="240" w:after="283"/>
        <w:ind w:left="0" w:right="0" w:firstLine="250"/>
        <w:jc w:val="center"/>
        <w:rPr/>
      </w:pPr>
      <w:r>
        <w:rPr>
          <w:rFonts w:ascii="Times New Roman;serif" w:hAnsi="Times New Roman;serif"/>
          <w:b/>
          <w:color w:val="000000"/>
          <w:sz w:val="20"/>
        </w:rPr>
        <w:t>Figure 4:</w:t>
      </w:r>
      <w:r>
        <w:rPr>
          <w:color w:val="000000"/>
        </w:rPr>
        <w:t xml:space="preserve"> </w:t>
      </w:r>
      <w:r>
        <w:rPr>
          <w:rFonts w:ascii="Times New Roman;serif" w:hAnsi="Times New Roman;serif"/>
          <w:b/>
          <w:i/>
          <w:color w:val="000000"/>
          <w:sz w:val="20"/>
        </w:rPr>
        <w:t>Demodex folliculorum</w:t>
      </w:r>
      <w:r>
        <w:rPr>
          <w:color w:val="000000"/>
        </w:rPr>
        <w:t xml:space="preserve"> </w:t>
      </w:r>
      <w:r>
        <w:rPr>
          <w:rFonts w:ascii="Times New Roman;serif" w:hAnsi="Times New Roman;serif"/>
          <w:b/>
          <w:color w:val="000000"/>
          <w:sz w:val="20"/>
        </w:rPr>
        <w:t>Mites Entering and Residing in Eyelash Follicles</w:t>
      </w:r>
    </w:p>
    <w:p>
      <w:pPr>
        <w:pStyle w:val="TextBody"/>
        <w:bidi w:val="0"/>
        <w:spacing w:before="240" w:after="283"/>
        <w:jc w:val="center"/>
        <w:rPr/>
      </w:pPr>
      <w:r>
        <w:rPr/>
        <w:drawing>
          <wp:inline distT="0" distB="0" distL="0" distR="0">
            <wp:extent cx="6515100" cy="37147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6515100" cy="3714750"/>
                    </a:xfrm>
                    <a:prstGeom prst="rect">
                      <a:avLst/>
                    </a:prstGeom>
                  </pic:spPr>
                </pic:pic>
              </a:graphicData>
            </a:graphic>
          </wp:inline>
        </w:drawing>
      </w:r>
      <w:bookmarkStart w:id="7" w:name="i-8"/>
      <w:bookmarkEnd w:id="7"/>
    </w:p>
    <w:p>
      <w:pPr>
        <w:pStyle w:val="TextBody"/>
        <w:bidi w:val="0"/>
        <w:spacing w:lineRule="auto" w:line="288" w:before="240" w:after="283"/>
        <w:ind w:left="0" w:right="0" w:firstLine="990"/>
        <w:jc w:val="left"/>
        <w:rPr/>
      </w:pP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infestation can lead to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three main ways: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Mechanical:</w:t>
            </w:r>
            <w:r>
              <w:rPr>
                <w:color w:val="000000"/>
              </w:rPr>
              <w:t xml:space="preserve"> </w:t>
            </w:r>
            <w:r>
              <w:rPr>
                <w:rFonts w:ascii="Times New Roman;serif" w:hAnsi="Times New Roman;serif"/>
                <w:b w:val="false"/>
                <w:color w:val="000000"/>
                <w:sz w:val="20"/>
              </w:rPr>
              <w:t>Overcrowded mites scrape the epithelial cell lining of the eyelash follicles with their claws and lay eggs, causing follicular distention, misdirected lashes, eyelash loss and irritation. Dead mites and collarettes also obstruct the hair follicle opening, leading to inflammation.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Chemical:</w:t>
            </w:r>
            <w:r>
              <w:rPr>
                <w:color w:val="000000"/>
              </w:rPr>
              <w:t xml:space="preserve"> </w:t>
            </w:r>
            <w:r>
              <w:rPr>
                <w:rFonts w:ascii="Times New Roman;serif" w:hAnsi="Times New Roman;serif"/>
                <w:b w:val="false"/>
                <w:color w:val="000000"/>
                <w:sz w:val="20"/>
              </w:rPr>
              <w:t>Mites excrete digestive enzymes as they feed and exude digestive waste when they die, resulting in inflammation, redness, irritation and epithelial hyperplasia.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Bacterial:</w:t>
            </w:r>
            <w:r>
              <w:rPr>
                <w:color w:val="000000"/>
              </w:rPr>
              <w:t xml:space="preserve"> </w:t>
            </w:r>
            <w:r>
              <w:rPr>
                <w:rFonts w:ascii="Times New Roman;serif" w:hAnsi="Times New Roman;serif"/>
                <w:b w:val="false"/>
                <w:color w:val="000000"/>
                <w:sz w:val="20"/>
              </w:rPr>
              <w:t>Bacteria living on the mite surface or in its gut may cause inflammation of the surrounding ocular tissues.</w:t>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Despite the high prevalence of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growing awareness of the disease among ECPs, there were no FDA-approved therapeutics for the treatment of blepharitis, let alone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prior to the approval of XDEMVY in July 2023. Although we believe blepharitis and</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are significantly under-diagnosed diseases with limited treatment alternatives, there are already approximately 1.5 million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diagnoses in the U.S. based on the Titan study and data that show blepharitis classified per International Classification of Diseases, Tenth Revision, Clinical Modification (“ICD-10-CM”). According to the Titan real-world prevalence study, 75% of patients using tea tree oils and 57% of those using lid wipes were found to have a high prevalence of collarettes, indicating that current management tools for this disease are ineffective. The Titan study was an Institutional Review Board (“IRB”) approved, retrospective chart review of 1,032 patients across six U.S. based ophthalmology/optometry practices and conducted by seven investigators. The study was designed to better understand 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via collarettes in U.S. eye care clinics.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Prior to the commercial launch of XDEMVY, we conducted epidemiology and market research on the prevalence of blepharitis and potential adoption of XDEMVY. Our research indicates approximately 58% of patients presenting to ECP offices have collarettes and, based on the Gao et al 2005 study (the “Gao study”), all patients with collarettes were also found to have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Subsequent studies, including the XDEMVY pivotal Saturn-1 and Saturn-2 trials, that had &gt;800 patients in total, consistently demonstrated a correlation between the presence of collarettes and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We believe there is a significant opportunity to continue to increase the diagnosis rate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as we build a significant new market with XDEMVY, a therapy that addresses the underlying root cause of the disease.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can be diagnosed by ECPs with a slit lamp examination, by confirming the presence of collarettes. The slit lamp examination is routinely performed by ECPs as part of standard practice during a customary eye examination, so diagnosing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via presence of collarettes would not involve any additional equipment or workflow alterations on the part of the ECP.</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Further, patients continue to have underlying risk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infestation, as there could be a recurrence or reinfestation based on the presence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in the facial pores or elsewhere even after eradication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from the eyelid, that may potentially necessitate retreatment. Based on the Saturn-1 extension trial, the data showed that approximately 40% of patients had recurrence of disease at one year. Based on our commercial experience thus far, retreatment rates are currently in the low double-digits and we expect a long-term retreatment rate of approximately 20%.</w:t>
      </w:r>
    </w:p>
    <w:p>
      <w:pPr>
        <w:pStyle w:val="TextBody"/>
        <w:bidi w:val="0"/>
        <w:spacing w:lineRule="auto" w:line="288" w:before="240" w:after="283"/>
        <w:jc w:val="left"/>
        <w:rPr/>
      </w:pPr>
      <w:r>
        <w:rPr>
          <w:rFonts w:ascii="Times New Roman;serif" w:hAnsi="Times New Roman;serif"/>
          <w:b/>
          <w:color w:val="000000"/>
          <w:sz w:val="20"/>
        </w:rPr>
        <w:t xml:space="preserve">Our Approach: Treating </w:t>
      </w:r>
      <w:r>
        <w:rPr>
          <w:rFonts w:ascii="Times New Roman;serif" w:hAnsi="Times New Roman;serif"/>
          <w:b/>
          <w:i/>
          <w:color w:val="000000"/>
          <w:sz w:val="20"/>
        </w:rPr>
        <w:t>Demodex</w:t>
      </w:r>
      <w:r>
        <w:rPr>
          <w:color w:val="000000"/>
        </w:rPr>
        <w:t xml:space="preserve"> </w:t>
      </w:r>
      <w:r>
        <w:rPr>
          <w:rFonts w:ascii="Times New Roman;serif" w:hAnsi="Times New Roman;serif"/>
          <w:b/>
          <w:color w:val="000000"/>
          <w:sz w:val="20"/>
        </w:rPr>
        <w:t>Mites, a Root Cause of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Prior to XDEMVY,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was generally managed with a variety of over-the-counter remedies such as tea tree oil, lid wipes and artificial tears, as well as off-label prescription antibiotics and products for dry eye. To address these limitations and high unmet need for effectively treating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we developed and continue to commercialize XDEMVY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which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a novel therapeutic based on the drug lotilaner, which is designed to paralyze and eradicate mites and other parasites through the inhibition of parasite-specific GABA-Cl channels. XDEMVY met all endpoints in its clinical trials and was generally well tolerated throughout each of these trials. As a result, XDEMVY was approved by the FDA in July 2023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began commercializing XDEMVY in August 2023. </w:t>
      </w:r>
    </w:p>
    <w:p>
      <w:pPr>
        <w:pStyle w:val="TextBody"/>
        <w:bidi w:val="0"/>
        <w:spacing w:lineRule="auto" w:line="288" w:before="240" w:after="283"/>
        <w:ind w:left="0" w:right="0" w:firstLine="250"/>
        <w:jc w:val="left"/>
        <w:rPr>
          <w:rFonts w:ascii="Times New Roman;serif" w:hAnsi="Times New Roman;serif"/>
          <w:b/>
          <w:color w:val="000000"/>
          <w:sz w:val="20"/>
        </w:rPr>
      </w:pPr>
      <w:r>
        <w:rPr>
          <w:rFonts w:ascii="Times New Roman;serif" w:hAnsi="Times New Roman;serif"/>
          <w:b/>
          <w:color w:val="000000"/>
          <w:sz w:val="20"/>
        </w:rPr>
        <w:t>XDEMVY Eye Drops – Mechanism of Action</w:t>
      </w:r>
    </w:p>
    <w:tbl>
      <w:tblPr>
        <w:tblW w:w="10205" w:type="dxa"/>
        <w:jc w:val="left"/>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990"/>
              <w:jc w:val="left"/>
              <w:rPr/>
            </w:pPr>
            <w:r>
              <w:rPr>
                <w:rFonts w:ascii="Times New Roman;serif" w:hAnsi="Times New Roman;serif"/>
                <w:b w:val="false"/>
                <w:color w:val="000000"/>
                <w:sz w:val="20"/>
              </w:rPr>
              <w:t xml:space="preserve">The active ingredient in XDEMVY is lotilaner, a member of a class of anti-parasitic molecules called isoxazolines. It is a potent non-competitive antagonist of insect and arachnid GABA-Cl channels. Lotilaner is designed to eradicate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GABA-Cl channels, causing mite paralysis and eventual death. It has demonstrated no binding to human GABA-Cl and other ion channels (e.g. hERG) and thus likely has no impact on the human nervous system. Lotilaner is a lipophilic molecule, which may promote its uptake in the oily sebum of the hair follicle, where the mites reside. In clinical trials, XDEMVY was topically applied to the eye BID to better ensure delivery of the drug to the eyelid margin. Following mite eradication, collarettes eventually clear from the eyelid since they are composed of mite-related waste.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The following figures illustrate the intended paralysis of mites in the hair follicle by XDEMVY administration:</w:t>
      </w:r>
    </w:p>
    <w:p>
      <w:pPr>
        <w:pStyle w:val="TextBody"/>
        <w:bidi w:val="0"/>
        <w:spacing w:lineRule="auto" w:line="288" w:before="240" w:after="283"/>
        <w:ind w:left="0" w:right="0" w:firstLine="250"/>
        <w:jc w:val="center"/>
        <w:rPr/>
      </w:pPr>
      <w:r>
        <w:rPr>
          <w:rFonts w:ascii="Times New Roman;serif" w:hAnsi="Times New Roman;serif"/>
          <w:b/>
          <w:color w:val="000000"/>
          <w:sz w:val="20"/>
        </w:rPr>
        <w:t>Figure 5:</w:t>
      </w:r>
      <w:r>
        <w:rPr>
          <w:color w:val="000000"/>
          <w:shd w:fill="FFFFFF" w:val="clear"/>
        </w:rPr>
        <w:t xml:space="preserve"> </w:t>
      </w:r>
      <w:r>
        <w:rPr>
          <w:rFonts w:ascii="Times New Roman;serif" w:hAnsi="Times New Roman;serif"/>
          <w:b/>
          <w:color w:val="000000"/>
          <w:sz w:val="20"/>
          <w:shd w:fill="FFFFFF" w:val="clear"/>
        </w:rPr>
        <w:t>Progression of XDEMVY Application, Mite Paralysis and Eradication</w:t>
      </w:r>
    </w:p>
    <w:p>
      <w:pPr>
        <w:pStyle w:val="TextBody"/>
        <w:bidi w:val="0"/>
        <w:spacing w:before="240" w:after="283"/>
        <w:ind w:left="0" w:right="0" w:firstLine="250"/>
        <w:jc w:val="center"/>
        <w:rPr/>
      </w:pPr>
      <w:r>
        <w:rPr/>
        <w:drawing>
          <wp:inline distT="0" distB="0" distL="0" distR="0">
            <wp:extent cx="6353175" cy="306705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6353175" cy="3067050"/>
                    </a:xfrm>
                    <a:prstGeom prst="rect">
                      <a:avLst/>
                    </a:prstGeom>
                  </pic:spPr>
                </pic:pic>
              </a:graphicData>
            </a:graphic>
          </wp:inline>
        </w:drawing>
      </w:r>
      <w:bookmarkStart w:id="8" w:name="i-9"/>
      <w:bookmarkEnd w:id="8"/>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Clinical Development Program</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one Phase 3 trial, one Phase 2b/3 trial, four Phase 2 trials, and one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all of which met primary, secondary and/or certain exploratory endpoints, while demonstrating XDEMVY was well tolerated. These pivotal trial results (Phase 2b/3 and Phase 3) supported the FDA approval of XDEMVY in July 2023.</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also completed, and/or have ongoing clinical trials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patients with MGD including the Ersa trial involving XDEMVY, and the Rhea trial involving a XDEMVY vehicle; TP-04 for the potential treatment of ocular rosacea, and TP-05 for potential Lyme disease prophylaxis, among others.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Saturn-2 Trial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May 2021, we initiated the Saturn-2 trial; a randomized, controlled, multicenter, double-masked trial studying the safety and efficacy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The Saturn-2 trial was similar in design and size to the Saturn-1 trial, which met the primary and all secondary endpoints. The Saturn-2 trial’s primary endpoint was the proportion of patients achieving collarette cure, defined as zero to two collarettes per lid. Secondary endpoints included the eradication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and the proportion of patients achieving a cure based on a composite of collarette cure and erythema cure (eyelid redness). 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2022, we announced positive topline results of the Saturn-2 trial, our second XDEMVY pivotal trial. The Saturn-2 trial enrolled 412 adults having, among other things, more than ten collarettes per lid and at least mild lid erythema. All pre-specified primary and secondary endpoints were met, XDEMVY was well tolerated and improvement in lids (reduction of collarettes to no more than 2 collarettes per upper lid) was demonstrated in 55% of patients treated with XDEMVY.</w:t>
      </w:r>
    </w:p>
    <w:p>
      <w:pPr>
        <w:pStyle w:val="TextBody"/>
        <w:bidi w:val="0"/>
        <w:spacing w:lineRule="auto" w:line="288" w:before="240" w:after="283"/>
        <w:ind w:left="0" w:right="0" w:firstLine="540"/>
        <w:jc w:val="left"/>
        <w:rPr>
          <w:rFonts w:ascii="Times New Roman;serif" w:hAnsi="Times New Roman;serif"/>
          <w:b/>
          <w:i/>
          <w:color w:val="000000"/>
          <w:sz w:val="20"/>
          <w:u w:val="single"/>
        </w:rPr>
      </w:pPr>
      <w:r>
        <w:rPr>
          <w:rFonts w:ascii="Times New Roman;serif" w:hAnsi="Times New Roman;serif"/>
          <w:b/>
          <w:i/>
          <w:color w:val="000000"/>
          <w:sz w:val="20"/>
          <w:u w:val="single"/>
        </w:rPr>
        <w:t>Primary Endpoint: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55% of patients on XDEMVY achieved complete collarette cure, defined as zero to two collarettes per lid at day 43, compared to 12% on vehicle (p&lt;0.0001).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u w:val="single"/>
        </w:rPr>
      </w:pPr>
      <w:r>
        <w:rPr>
          <w:rFonts w:ascii="Times New Roman;serif" w:hAnsi="Times New Roman;serif"/>
          <w:b/>
          <w:i/>
          <w:color w:val="000000"/>
          <w:sz w:val="20"/>
          <w:u w:val="single"/>
        </w:rPr>
        <w:t>Secondary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50% of patients on XDEMVY achieved mite eradication defined as zero mites per lash at day 43, compared to 14% on vehicle (p&lt;0.0001).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30% of patients on XDEMVY compared to 9% of patients on vehicle (p&lt;0.0001) achieved complete lid erythema cure at day 43.</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19% of patients on XDEMVY achieved a complete composite cure, based on achieving both complete collarette cure and complete lid erythema cure, compared to 4% on vehicle (p&lt;0.0001) at day 43.</w:t>
      </w:r>
    </w:p>
    <w:p>
      <w:pPr>
        <w:pStyle w:val="TextBody"/>
        <w:bidi w:val="0"/>
        <w:spacing w:lineRule="auto" w:line="288" w:before="240" w:after="283"/>
        <w:ind w:left="0" w:right="0" w:firstLine="540"/>
        <w:jc w:val="left"/>
        <w:rPr>
          <w:rFonts w:ascii="Times New Roman;serif" w:hAnsi="Times New Roman;serif"/>
          <w:b/>
          <w:i/>
          <w:color w:val="000000"/>
          <w:sz w:val="20"/>
          <w:u w:val="single"/>
        </w:rPr>
      </w:pPr>
      <w:r>
        <w:rPr>
          <w:rFonts w:ascii="Times New Roman;serif" w:hAnsi="Times New Roman;serif"/>
          <w:b/>
          <w:i/>
          <w:color w:val="000000"/>
          <w:sz w:val="20"/>
          <w:u w:val="single"/>
        </w:rPr>
        <w:t>Safety Profile: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Consistent with the results from the Saturn-1 trial, the Saturn-2 trial demonstrated that XDEMVY was well tolerated with a safety profile similar to the vehicle group.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91% of XDEMVY patients reported that the drop comfort was neutral to very comfortable.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There were no serious treatment-related adverse events nor any treatment-related adverse events leading to treatment discontinuation. </w:t>
      </w:r>
    </w:p>
    <w:p>
      <w:pPr>
        <w:pStyle w:val="TextBody"/>
        <w:bidi w:val="0"/>
        <w:spacing w:lineRule="auto" w:line="288" w:before="240" w:after="283"/>
        <w:ind w:left="0" w:right="0" w:hanging="180"/>
        <w:jc w:val="left"/>
        <w:rPr>
          <w:rFonts w:ascii="Times New Roman;serif" w:hAnsi="Times New Roman;serif"/>
          <w:b/>
          <w:i/>
          <w:color w:val="000000"/>
          <w:sz w:val="20"/>
          <w:u w:val="single"/>
        </w:rPr>
      </w:pPr>
      <w:r>
        <w:rPr>
          <w:rFonts w:ascii="Times New Roman;serif" w:hAnsi="Times New Roman;serif"/>
          <w:b/>
          <w:i/>
          <w:color w:val="000000"/>
          <w:sz w:val="20"/>
          <w:u w:val="single"/>
        </w:rPr>
        <w:t>Additional Analysis: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89% of patients on XDEMVY achieved a clinically meaningful collarette reduction, defined as zero to ten collarettes per lid at day 43 compared to 33% of those on vehicle (p&lt;0.0001).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Saturn-1 Trial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September 2020, we commenced the Saturn-1 trial; a randomized, controlled, multicenter, double-masked Phase 2b/3 trial that evaluated the safety and efficacy of XDEMVY in adults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The Saturn-1 trial enrolled 421 adult patients having more than ten collarettes on the upper lid and at least mild erythema of the upper eyelid margin. Each patient had at least 1.5 mites per lash on the upper and lower eyelids combined. One drop of XDEMVY was self-administered twice per day in each eye for six weeks. Enrolled patients received no treatment for blepharitis symptoms (i.e. lid hygiene) during the trial or 14 days prior to enrollment. The primary endpoint was complete collarette cure (grade zero defined as - zero to two collarettes per lid) and the secondary endpoints included complete mite eradication (mite density of zero mites per lash) and composite cure (the presence of zero to two collarettes on the upper eyelid and the absence of erythema (redness).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June 2021, we announced positive results of the Saturn-1 trial. The pre-specified primary and secondary endpoints were met, and improvement in lids (reduction of collarettes to no more than 2 collarettes per upper lid) was demonstrated in 44% of patients treated with XDEMVY.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44% of patients on XDEMVY achieved the primary endpoint of complete collarette reduction at day 43 compared to 7% on vehicle (p&lt;0.0001). 81% of patients achieved a significant, clinically meaningful collarette count reduction defined as zero to ten collarettes per lid at day 43 compared to 23% of those on vehicle (p&lt;0.0001). Additionally, a significant, clinically meaningful collarette reduction was seen in 23% of patients on XDEMVY compared to 11% on vehicle as early as day 8 (p=0.03).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secondary endpoint of complete mite eradication achieved statistically significant results by day 15, and 68% of patients on XDEMVY achieved mite eradication compared to 17% on vehicle (p&lt;0.0001) at day 43.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composite cure, 13.4% of patients on TP-03 achieved a complete cure based on a composite endpoint of collarette cure and erythema cure compared to 1.0% on vehicle (p&lt;0.0001) at day 43. Results for complete erythema cure (19% of patients on XDEMVY compared to 7% of patients on vehicle, p&lt;0.0001) and one grade or more erythema improvement (45% of patients on XDEMVY compared to 28% of patients on vehicle, p=0.0002) were also statistically significant. Additionally, 92% of XDEMVY patients reported that the drop comfort was neutral to very comfortable. There were no serious treatment-related adverse events nor any treatment-related adverse events leading to treatment discontinuation.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July 2021, we presented additional data from the Saturn-1 trial at the American Society of Cataract and Refractive Surgery 2021 Annual Meeting demonstrating high treatment response rates, and reinforcing the potential of XDEMVY to be the standard of care for</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95% of XDEMVY patients showed a significant improvement in mite count, achieving ≤0.5 mites per lash.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93% of XDEMVY patients improved by at least one collarette grade.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also announced results from an additional Saturn-1 trial safety analysis, which reinforced XDEMVY’s positive profile, revealing that XDEMVY had no clinically significant adverse effect on multiple safety measures including corrected distance visual acuity (“CDVA”), corneal staining, and intraocular pressure (“IOP”), and no significant findings from slit lamp biomicroscopy or fundus exam in the study. In addition, no impact to endothelial cell density (“ECD”) was demonstrated in a subset of 21 patients. ECD was further evaluated as part of the Saturn-2 trial plan and also demonstrated no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Phase 2 Clinical Trials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completed four Phase 2 clinical trials for XDEMVY, along with one additional ex vivo study, which included our Mars, Jupiter, Io, and Europa clinical trials.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The primary, secondary and/or certain exploratory endpoints were met, as applicable, in such trials, and showed statistically significant cure and eradication rates in Io and Europa. XDEMVY was generally well tolerated throughout these trials.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Additional Product Candidates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TP-04 Topical Sterile Ophthalmic Gel Formulation for the Potential Treatment of Ocular Rosacea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Ocular Rosacea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Rosacea is a chronic skin disease characterized by facial redness, inflammatory lesions, burning and stinging, which can flare up in response to certain triggers such as sun exposure or emotional stress. Approximately 10% of people in the U.S., or nearly 30 million Americans, are affected by rosacea and a study estimates rosacea prevalence can represent up to 5.4% of the global population. A type of rosacea that impacts the periorbital area called ocular rosacea is a highly prevalent condition, affecting approximately 15 to 18 million people in the U.S., and is generally believed to be strongly associated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There is currently no FDA-approved therapy for ocular rosacea.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Hallmarks of ocular rosacea include telangiectasias (prominent and visible blood vessels) and erythema (flushing or redness). Clinical symptoms can range from bloodshot appearance, foreign body sensation, burning or stinging, light sensitivity and blurred vision. Ocular rosacea can also lead to inflammatory MGD, conjunctivitis, and decreased visual acuity caused by corneal complications. The cause of rosacea remains multifactorial but there is increasing evidence that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play a role in the disease. Studies have found a correlation between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infestation and rosacea, with a higher density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found in the skin of rosacea patients.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Our Approach: TP-04 Topical Formulation for Ocular Rosacea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There are no FDA-approved therapeutics for ocular rosacea available today. Treatment options include topical anti-inflammatories including steroids for acute flares, and topical and/or oral antibiotics (e.g. tetracyclines, azithromycin). To address this unmet need in the ocular rosacea market, we are developing lotilaner as a topical sterile ophthalmic gel, TP-04. TP-04 is designed to be active after topical administration with no systemic activity. Lotilaner’s mechanism of targeting and killing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has been established through our preclinical study and clinical trials evaluating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which is why we believe it may be effective in another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driven disease. We believe we can potentially improve upon existing treatments with an API that is potentially more effective (longer half-life, more lipophilic, greater therapeutic window). We believe a longer half-life leads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completed the initial preclinical studies and a Phase 1 trial for TP-04 and have selected a uniquely tailored sterile topical ophthalmic formulation for early clinical studies. We intend to leverage systemic preclinical data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XDEMVY program such as embryofetal development studies, genotoxicity studies and safety pharmacology studies, and augment with the dermal toxicology studies. In March 2023, we initiated the Galatea trial evaluating TP-04, a novel gel formulation of lotilaner, for the potential treatment of papulopustular rosacea also believed to be caused by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In February 2024, we announced positive topline results from the Galatea trial, which demonstrated statistically significant improvements (p&lt;0.05) in inflammatory lesions and IGA score (change in baseline and success rate) were observed compared to vehicle at week 12. TP-04 was generally well tolerated. After review of this data with the FDA and KOLs, we decided to pursue development of TP-04 for the potential treatment of ocular rosacea. In December 2025, we initiated a Phase 2 trial for the potential treatment of ocular rosacea with topline results expected in the first half of 2027.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TP-05 Oral Formulation for Prophylactic Protection against Lyme Disease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Lyme disease is the most common vector-borne disease in the U.S., caused by infection of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bacteria following a bite by a tick vector, predominantly ticks of the Ixodes genus (namely Ixodes scapularis in the U.S.). There are approximately 80 million people in the U.S. at risk of Lyme disease exposure with more than 30 million of which are moderate to high risk, according to a report commissioned by the Company. Further, there are approximately 400,000 estimated cases in the U.S. each year, which we estimate has a greater than $1.3 billion impact to the U.S. healthcare system as a result of Lyme disease. Lyme disease occurs most commonly in geographical areas where the Ixodes scapularis tick is prevalent, namely in the Northeast and Mid-Atlantic regions of the U.S., but also in other regions of the U.S. Lyme disease also occurs in certain parts of Europe, typically resulting from a different Ixodes species vector.</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mechanism of Lyme disease infection is well understood.</w:t>
      </w:r>
      <w:r>
        <w:rPr>
          <w:color w:val="000000"/>
        </w:rPr>
        <w:t xml:space="preserve">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 xml:space="preserve">bacteria colonizes the salivary glands of the ticks, and the infected saliva is transmitted to the human host when a tick attaches to a person for feeding. The transfer usually occurs at the conclusion of the feeding and therefore, the probability of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 xml:space="preserve">transmission, and thus the risk of Lyme disease, increases with the duration of the tick’s attachment.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 xml:space="preserve">is rarely transferred during the first or even second day of feeding but transfers quite efficiently during and after the third day of feeding (greater than 48 hours). This window from the time of bite to the time of transmission offers an opportunity for intervention to prevent Lyme disease if the tick can be killed prior to the transfer of the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bacteria.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Lyme disease can be a serious condition that may affect multiple organ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 Because many people are either undiagnosed or misdiagnosed, the treatment of Lyme disease with antibiotics may be commonly delayed or absent.</w:t>
      </w:r>
    </w:p>
    <w:p>
      <w:pPr>
        <w:pStyle w:val="TextBody"/>
        <w:bidi w:val="0"/>
        <w:spacing w:lineRule="auto" w:line="288" w:before="24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Current Lyme Disease Prophylaxis Options and Their Limitations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post-bite.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there are currently no FDA-approved small molecules or biologics for the prevention of Lyme disease. A vaccine for Lyme disease, LYMERix, was developed and launched by SmithKline Beecham in 1999. Approximately 1.5 million doses of the vaccine were sold in 1999, but the product was quickly removed from the market following negative press and a class-action litigation claiming a dangerous side effect profile. We are aware of vaccines currently under development including a multivalent recombinant protein vaccine, VLA-15, being developed by Valneva in partnership with Pfizer for Lyme disease; mRNA-based vaccine mRNA-1982/1975, being developed by Moderna and eliciting high levels of anti-OspA antibodies; a pre-exposure prophylaxis injectable therapy being developed by MassBiologics and licensed to Tonix Pharmaceuticals involving a human anti-Lyme monoclonal antibody; and an investigational multivalent protein subunit vaccine candidate adjuvanted with CpG 1018 being developed by Dynavax, who was recently acquired by Sanofi, with plans to initiate clinical development in 2027.</w:t>
      </w:r>
    </w:p>
    <w:p>
      <w:pPr>
        <w:pStyle w:val="TextBody"/>
        <w:bidi w:val="0"/>
        <w:spacing w:lineRule="auto" w:line="288" w:before="24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Our Approach: TP-05 Oral Formulation for the Prophylactic Protection against 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Since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 xml:space="preserve">is usually transferred during the second or third day following a tick bite, our approach is to eradicate the tick before it can transmit the bacteria. To do this, we are developing TP-05 as an oral tablet formulation of lotilaner. We are targeting potentially at least 30 days of prophylactic protection against Lyme disease with a simple oral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regimen of TP-05. Given that lotilaner was developed specifically, in part, to eradicate ticks with systemic administration to domesticated animals such as dogs or cats, the pharmacology of lotilaner for Lyme disease prophylaxis is well understood. Similar to its mechanism against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lotilaner is a potent non-competitive antagonist of tick GABA-Cl channels. Antagonism of these channels in ticks induces paralysis and eventual death. While lotilaner results in the paralysis and eventual death of the </w:t>
      </w:r>
      <w:r>
        <w:rPr>
          <w:rFonts w:ascii="Times New Roman;serif" w:hAnsi="Times New Roman;serif"/>
          <w:b w:val="false"/>
          <w:i/>
          <w:color w:val="000000"/>
          <w:sz w:val="20"/>
        </w:rPr>
        <w:t>I. scapularis</w:t>
      </w:r>
      <w:r>
        <w:rPr>
          <w:color w:val="000000"/>
        </w:rPr>
        <w:t xml:space="preserve"> </w:t>
      </w:r>
      <w:r>
        <w:rPr>
          <w:rFonts w:ascii="Times New Roman;serif" w:hAnsi="Times New Roman;serif"/>
          <w:b w:val="false"/>
          <w:color w:val="000000"/>
          <w:sz w:val="20"/>
        </w:rPr>
        <w:t xml:space="preserve">vector, it does also result in the death of </w:t>
      </w:r>
      <w:r>
        <w:rPr>
          <w:rFonts w:ascii="Times New Roman;serif" w:hAnsi="Times New Roman;serif"/>
          <w:b w:val="false"/>
          <w:i/>
          <w:color w:val="000000"/>
          <w:sz w:val="20"/>
        </w:rPr>
        <w:t>Borrelia burgdorferi</w:t>
      </w:r>
      <w:r>
        <w:rPr>
          <w:rFonts w:ascii="Times New Roman;serif" w:hAnsi="Times New Roman;serif"/>
          <w:b w:val="false"/>
          <w:color w:val="000000"/>
          <w:sz w:val="20"/>
        </w:rPr>
        <w:t>, a non-free-living bacterium whose entire survival is conditional upon its living host. The high selectivity for insect and arachnid GABA-Cl channels over human channels where there has been no demonstrated binding, is a highly advantageous part of the profile of the molecule. Extensive preclinical systemic toxicology and safety pharmacology studies have been performed by third parties to date and support advancing TP-05 into clinical development. Lotilaner has a long, approximately 30-day systemic half-life in dogs, which we believe could provide for a convenient oral tablet administration.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2022, we announced positive topline results from the Phase 1 Callisto trial for TP-05, a novel, oral, non-vaccine therapeutic for the potential prevention of Lyme disease. The Callisto trial was a randomized, double-blind, single and multiple-ascending dose trial that evaluated the safety, tolerability, and pharmacokinetic (“PK”) of TP-05 in healthy subjects. Results from the trial showed that TP-05 was well tolerated with no dose-related or drug-related serious adverse events. PK data from the trial demonstrated rapid absorption and an extended half-life of TP-05 that potentially supports a convenient oral regiment supporting its potential as a rapid onset, prophylactic therapy for Lyme disease. Additionally, exploratory ex-vivo tick kill modeling that utilized serum from TP-05 treated subjects demonstrated potent, rapid killing of adult and nymph ticks.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2022, we also announced the initiation of the Phase 2a Carpo trial, designed to evaluate TP-05, for the potential prevention of Lyme disease in humans. The Carpo trial was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which demonstrated statistical significance in mortality of ticks compared to vehicle (p&lt;0.001), regardless of treatment arm, and was well tolerated.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Given ongoing discussions with the FDA regarding our Lyme disease program, they agreed to our proposed approach for a Phase 2 clinical trial of TP-05 (an investigational oral tablet), which would include several hundred subjects with planned trial initiation in the second quarter of 2026. Additionally, the FDA confirmed that a Phase 3 clinical trial would require a disease prevention field study that would likely require the enrollment of thousands of patients. We continue to believe that the best approach to get this potential prophylactic therapy to patients could be to partner this program following completion of the Phase 2 trial.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w:t>
      </w:r>
      <w:r>
        <w:rPr>
          <w:rFonts w:ascii="Times New Roman;serif" w:hAnsi="Times New Roman;serif"/>
          <w:b w:val="false"/>
          <w:i/>
          <w:color w:val="000000"/>
          <w:sz w:val="20"/>
        </w:rPr>
        <w:t>Borrelia</w:t>
      </w:r>
      <w:r>
        <w:rPr>
          <w:color w:val="000000"/>
        </w:rPr>
        <w:t xml:space="preserve"> </w:t>
      </w:r>
      <w:r>
        <w:rPr>
          <w:rFonts w:ascii="Times New Roman;serif" w:hAnsi="Times New Roman;serif"/>
          <w:b w:val="false"/>
          <w:color w:val="000000"/>
          <w:sz w:val="20"/>
        </w:rPr>
        <w:t>bacteria that causes Lyme disease.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Chemistry, Manufacturing and Controls (“CMC”)</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and currently have no plans to establish facilities for manufacturing, storing, distributing or testing our product or product candidates. We rely and expect to continue to rely for the foreseeable future on contract manufacturing organizations (“CMOs”) to manufacture and supply our preclinical and clinical materials to be used during the development of our product candidates. We have assembled a team of employees and consultants to oversee our technical quality and CMOs.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product, XDEMVY, is a presentation of lotilaner, the API, formulated into a topical eye drop formulation. We believe that the existing capacity of our current API supplier is sufficient to support ongoing commercial activities. Our current supplier currently manufactures current good manufacturing practice (“cGMP”) lotilaner at multiple geographically distinct facilities.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have relied on a single supplier for both non-clinical and clinical supply for lotilaner under cGMP protocols and a single CMO to manufacture XDEMVY and to perform analytical testing services, we have identified and are in the process of qualifying an additional manufacturer to provide lotilaner and drug product manufacturing and analytical testing services in the U.S. The drug product manufacturing is a compounding and aseptic filling operation that we believe could be transferred to additional CMOs as necessary. We have suppliers for TP-04 topical formulation for ocular rosacea and TP-05 oral formulation for our Phase 1 and 2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third-party service providers, our third-party supply chain providers, their facilities and XDEMVY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XDEMVY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commercial supplies of XDEMVY, clinical supplies of TP-03 or our other product candidates. Contract manufacturers at times encounter difficulties involving production yields, quality control and quality assurance, as well as shortages of qualified personnel.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products or product candidates that we successfully develop and commercialize will compete with existing approaches and new therapies that may become available in the future. We believe that the key competitive factors affecting the success of any of our products or product candidates will include efficacy, combinability, safety profile, convenience, cost, level of promotional activity devoted to them and intellectual property protection.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than XDEMVY, there are currently no other on-label prescription pharmaceutical treatments available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specifically in the U.S. Other than XDEMVY, current treatments for blepharitis in the U.S. include over the counter and off-label remedies such as tea tree oil, lid wipes and artificial tears. We are aware of other companies that may be developing potential prescription therapies for blepharitis, including Azura Ophthalmics, Aperta Biosciences, LLC, Formosa Pharmaceuticals, Inc., Glaukos Corp., Atticus Medical, Hovione Scientia, Premark Pharma, Viatris, and Quorum Innovations. To our knowledge, Azura Ophthalmics, Atticus Medical, and Glaukos Corp. are the only companies currently focused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are in the pre-clinical or clinical stages for the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indication (Atticus has publicly disclosed plans to initiate a Phase 2 trial, and Aperta Biosciences, LLC and Glaukos have initiated Phase 2 trials). Premark Pharma, and Azura Ophthalmics are the only companies with blepharitis programs that have successfully completed Phase 2 trials, and Viatris has initiated a Phase 3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continued to be one of the fastest growing therapeutics in eye care,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Net product sales of $151.7 million and $451.4 million for the fourth quarter and full year 2025, respectively.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Delivered approximately 130,000 and 400,000 bottles to patients during the fourth quarter and full year 2025, respectively.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Maintained over 90% of commercial, Medicare, and Medicaid covered lives, and recognized a gross-to-net discount of approximately 44% and 45% during the fourth quarter and full year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 xml:space="preserve">• </w:t>
      </w:r>
      <w:r>
        <w:rPr>
          <w:rFonts w:ascii="Times New Roman;serif" w:hAnsi="Times New Roman;serif"/>
          <w:b w:val="false"/>
          <w:color w:val="000000"/>
          <w:sz w:val="20"/>
        </w:rPr>
        <w:t>DTC campaign on streaming platforms and network television generated a positive return on investment in 2025 that continues to grow.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Unaided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now approximately 25% vs. 2% of patients surveyed at the beginning of the campaign.</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continued to execute on our category-creating strategy, advancing a robust pipeline.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There are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are initially targeting the approximately 9 million people who are proactively seeking treatment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or seeking treatment for complementary eye conditions or treatments.</w:t>
      </w:r>
    </w:p>
    <w:p>
      <w:pPr>
        <w:pStyle w:val="TextBody"/>
        <w:bidi w:val="0"/>
        <w:spacing w:before="0" w:after="0"/>
        <w:ind w:left="0" w:right="0" w:firstLine="990"/>
        <w:jc w:val="left"/>
        <w:rPr/>
      </w:pPr>
      <w:r>
        <w:rPr/>
      </w:r>
    </w:p>
    <w:p>
      <w:pPr>
        <w:pStyle w:val="TextBody"/>
        <w:bidi w:val="0"/>
        <w:spacing w:before="0" w:after="0"/>
        <w:jc w:val="center"/>
        <w:rPr/>
      </w:pPr>
      <w:r>
        <w:rPr/>
        <w:drawing>
          <wp:inline distT="0" distB="0" distL="0" distR="0">
            <wp:extent cx="6515100" cy="364807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6515100" cy="3648075"/>
                    </a:xfrm>
                    <a:prstGeom prst="rect">
                      <a:avLst/>
                    </a:prstGeom>
                  </pic:spPr>
                </pic:pic>
              </a:graphicData>
            </a:graphic>
          </wp:inline>
        </w:drawing>
      </w:r>
      <w:bookmarkStart w:id="9" w:name="i-10"/>
      <w:bookmarkEnd w:id="9"/>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observed increased adoption and utilization in the additional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 segments noted above, which was further validated by our latest market research detailing, more than 90% of ECPs surveyed are prescribing XDEMVY across each of these additional patient segments. And over 80% of the ECPs indicated they plan to increase utilization across these segments.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Outside the U.S., we intend to further develop commercialization strategies for TP-03, which may include collaborations with other companies. In March 2021, we entered into the China Out-License with LianBio Ophthalmology Limited (“LianBio”), granting exclusive commercial rights of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within the China Territory. In March 2024, we executed an agreement with GrandPharma and LianBio to transition these rights to GrandPharma. The terms of this agreement are further described below in the section “</w:t>
      </w:r>
      <w:r>
        <w:rPr>
          <w:rFonts w:ascii="Times New Roman;serif" w:hAnsi="Times New Roman;serif"/>
          <w:b w:val="false"/>
          <w:i/>
          <w:color w:val="000000"/>
          <w:sz w:val="20"/>
        </w:rPr>
        <w:t>License Agreements: GrandPharma Agreement</w:t>
      </w:r>
      <w:r>
        <w:rPr>
          <w:rFonts w:ascii="Times New Roman;serif" w:hAnsi="Times New Roman;serif"/>
          <w:b w:val="false"/>
          <w:color w:val="000000"/>
          <w:sz w:val="20"/>
        </w:rPr>
        <w:t xml:space="preserve">.” We are also exploring development and commercialization opportunities in other markets, including Europe and Japan.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intend to pursue, when possible, composition, method of use, dosing and formulation patent protection, as well as manufacturing and drug development processes and technology.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XDEMVY, TP-03, TP-04, TP-05 or future pipeline product candidates and alternative technologies. Some of our issued patents and patent applications are exclusively licensed to us in therapeutic fields of use from Elanco. </w:t>
      </w:r>
    </w:p>
    <w:p>
      <w:pPr>
        <w:pStyle w:val="TextBody"/>
        <w:bidi w:val="0"/>
        <w:spacing w:lineRule="auto" w:line="25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material licensed-in portfolio includes approximately 37 issued patents and approximately 15 pending patent applications from Elanco. These patents and patent applications relate to lotilaner and are issued or pending in, for example, the U.S., Argentina, Australia, Brazil, Canada, Chile, China, Columbia, several European territories, India, Japan, South Korea, Mexico, New Zealand, the Russian Federation, South Africa and Taiwan. The issued patents include composition of matter claims. The estimated natural expiration dates of the issued material in-licensed patents are approximately 2029 or 2030 with a potential extension until 2032.</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Approximately 88 of our owned material patents and pending patent applications include treatment and composition of matter claims which relate to XDEMVY or TP-03 with respect to our lead indication (e.g., isoxazoline parasiticides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as well as other conditions. These pending material patent applications include applications in the U.S., Australia, Brazil, Canada, China, several European territories, Hong Kong, Israel, India, Japan, South Korea, Macau, Mexico, New Zealand, the Russian Federation, and South Africa. We have a total of approximately 48 material XDEMVY or TP-03-related issued patents worldwide. The estimated natural expiration dates of these issued patents are in 2038, and if additional patents issue on the material XDEMVY or TP-03-related pending applications of ours, the estimated natural expiration dates are in approximately 2038 or 2040.</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also protect our brand through trademark rights. As of December 31, 2025, we own: i) approximately 7 trademark registrations in the U.S., ii) approximately 5 pending trademark applications in the U.S., iii) approximately 75 trademark registrations in foreign countries, and iv) approximately 14 pending trademark applications in foreign countries. In order to supplement the protection of our brand, we also own at least 121 registered internet domain names.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 (the “Board”).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a set of comprehensive cybersecurity and data protection policies and procedures in place. Our employees and contractors receive regular cybersecurity awareness trainings, including specific topics related to social engineering and email fraud. We have capable employees and consultants with significant expertise and certifications in cybersecurity related to our industry, as well as access to additional resources and other third parties as needed. 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general controls (“ITGCs”) are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We conduct cybersecurity penetration testing annually to identify and remediate cybersecurity gaps. We also perform cybersecurity assessments of all our third-party providers who have access to our information technology systems and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Artificial Intelligence Policy and Governance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2025, we implemented an Artificial Intelligence (“AI”) Policy (the “AI Policy”), to define the requirements for the safe, ethical and compliant adoption of AI, including Generative AI technologies to support operational efficiency, innovation and decision-making across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utilization of AI tools is governed by the AI Policy, which sets the framework for evaluating, approving and monitoring AI tools. Under this policy: (i) business functions seeking to utilize new AI tools must submit a business justification, (ii) the Information Technology department conducts a risk assessment (covering security, privacy, legal, reputational and compliance dimensions), involving the Legal and Compliance departments as needed, and (iii) based on the results of the risk assessment adds the tool to our official approved list of AI tools. Only tools on our official approved AI list may be used to process company data. Use of non-approved tools is limited to general, non-confidential research. Inputting proprietary, confidential or personally identifiable information into non-approved AI tools is prohibited.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cross-functional governance structure involving IT, Legal, Compliance and business leadership for the adoption and use of AI. Employees are required to validate AI-generated outputs before use, disclose when AI was used to generate an output, report any suspected misuse or incident, and adhere to policy discipline. AI-generated work product created in the course of employment is owned by the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monitor developments in U.S. federal and state regulatory frameworks related to AI and data privacy, including emerging guidance from the Federal Trade Commission (“FTC”), the FDA and other regulators and update our internal policies and controls as appropriate to ensure compliance with applicable U.S. laws and expectations.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this governance approach enables us to harness the benefits of AI while managing key associated risks, including data privacy and security, accuracy and bias of outputs, third-party vendor risk, and evolving regulatory compliance expectations.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Elanco In-License Agreement for Skin and Eye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January 2019, we entered into a license agreement with Elanco Tiergesundheit AG (“Elanco”) granting us exclusive worldwide rights to certain intellectual property for the development and commercialization of lotilaner in the treatment, palliation, prevention or cure of any eye or skin disease or condition in humans (as amended and restated in June 2022, the “Eye and Derm Elanco Agreement”). We have sole financial responsibility for related development, regulatory, and commercialization activities.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Elanco’s consent, additional third parties.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Under the Eye and Derm Elanco Agreement, we have made cash payments to Elanco totaling $14.0 million for clinical milestone achievements, including: a $1.0 million upfront payment at contract execution in January 2019, and a total of $4.0 million for three specified clinical milestone achievements in September 2020, April 2021, and March 2023, which were all recorded as research and development expense in the Statements of Operations and Comprehensive Loss in the respective periods incurred. Additionally, a sales-based milestone of $5.0 million and a commercial milestone of $4.0 million were achieved and are recorded to intangible assets, net in the accompanying Balance Sheets as of years ended December 31, 2025 and 2024, respectively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the Eye and Derm Elanco Agreement, we are obligated to make a cash payment to Elanco upon our achievement of the last clinical milestone of $2.0 million in the treatment of human skin diseases under lotilaner and an aggregate maximum of $70.0 million for various commercial and sales threshold milestones for the treatment of human skin diseases and the treatment of blepharitis in humans using lotilaner.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our obligations or the terms of the underlying agreement. The amended Eye and Derm Elanco Agreement included certain conforming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receive certain payments from sublicensees, we are obligated to pay Elanco a variable percentage of such proceeds in the mid-to-high single digits, which decreases after specified milestones are achieved, excluding sublicense revenue. We also owe Elanco tiered royalties in the mid-to-high single digits on our and our sublicensees’ future net sales during the royalty term. The royalty term for a licensed product in any country begins upon its first commercial sale and continues until the latest of (i) expiration of the last-to-expire of the licensed patents with at least one valid claim, (ii) expiration of regulatory exclusivity, or (iii) ten years after the first commercial sale of such licensed product in such country. Following the commercialization of XDEMVY in August 2023, we began accruing royalties payable, which were recorded to cost of sales in the accompanying Statements of Operations and Comprehensive Loss for the years ended December 31, 2025 and 2024, and other accrued liabilities in the accompanying Balance Sheets.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Eye and Derm Elanco Agreement expires on a licensed-product by licensed-product and country-by-country basis upon expiration of the applicable royalty term for each licensed product in such country. The achievement deadlines for eye-related diligence milestones range between 18 months to six years following contract execution. The achievement deadlines for dermatological diligence milestones range between 24 months to nine years after contract execution. All eye-related and dermatological diligence milestones have been achieved.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Either party may terminate the Eye and Derm Elanco Agreement upon a material breach by the other party, in the country to which the breach relates, that is not cured within 60 days after receiving written notice. Elanco may also terminate the Eye and Derm Elanco Agreement if we fail to comply with our development obligations and do not cure the breach within 60 days. If we fail to meet any diligence milestone by the achievement deadline for any reason within our reasonable control, and it remains unmet for 120 days after Elanco’s notice, Elanco may terminate the Eye and Derm Elanco Agreement. Failure to meet certain dermatological milestones by the achievement deadlines for any reasons within our reasonable control, that remain unmet for 120 days after Elanco’s notice may result in Elanco limiting our field of use to the treatment, palliation, prevention or cure of eye diseases or conditions in humans only. If Elanco terminates the Eye and Derm Elanco Agreement for our failure to achieve a development milestone by the specified achievement deadline, we must grant Elanco a non-exclusive, sublicensable, royalty free license to our patents and know-how related to lotilaner to develop, manufacture and commercialize lotilaner and any licensed products for the treatment, palliation, prevention or cure of any human eye or skin diseases or conditions. Elanco may also terminate the Eye and Derm Elanco Agreement if we, our affiliates or sublicensees challenge Elanco’s licensed patents and the challenge is not withdrawn within 30 days after Elanco’s notice to us, except where we terminate the Eye and Derm Elanco Agreement for a challenge by a sublicensee if we terminate the sublicense with such sublicensee within that 30 day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terms of the Eye and Derm Elanco Agreement, we granted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granted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we entered into a license agreement with Elanco granting us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Elanco’s consent, additional third parties.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All Human Uses Elanco Agreement, we made a cash payment to Elanco of $0.5 million for a clinical milestone that was achieved in December 2022 upon enrollment of the first patient in the Phase 2a Carpo trial, for the potential treatment of Lyme disease. We are required to make additional cash payments to Elanco upon the achievement of various clinical milestones for an aggregate maximum of $4.0 million and various commercial and sales threshold milestones for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aggregate maximum of $77.0 million. In addition, we are obligated to pay contractual royalties to Elanco for sales in certain countries. If we receive payments from sublicensees, we are obligated to pay Elanco a variable percentage beginning in the low-to-mid double digits of such proceeds, until achievement of the first appliable regulatory approval of a product covered under the license. We are obligated to pay Elanco tiered royalties in the mid-to-high single digits on our and our sublicensees’ future net sales during the royalty term. For any licensed product in a given country, the royalty term begins upon the first commercial sale and continues until the latest of (a) expiration of the last-to-expire of the licensed patents which has at least one valid claim, (b) the expiration of regulatory exclusivity, or (c) ten years after the first commercial sale of the licensed product in such country. The All Human Uses Elanco Agreement expires on a licensed-product by licensed-product and country-by-country basis upon the expiration of the applicable royalty term with respect to such licensed product in such country. The deadlines for achieving diligence milestones range between 24 months to six years following contract execution.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Either party may terminate the All Human Uses Elanco Agreement upon a material breach by the other party, in the country to which the breach relates, that is not cured within 60 days after written notice. Elanco may also terminate the All Human Uses Elanco Agreement if we fail to comply with our development obligations and do not cure the breach within 60 days. If we do not meet any diligence milestone by its achievement deadline for any reason within our reasonable control, and the milestone remains unmet for 120 days after Elanco’s notice, Elanco may terminate the All Human Uses Elanco Agreement. If Elanco terminates the All Human Uses Elanco Agreement for our failure to achieve a development milestone by the specified achievement deadline, then we must grant Elanco a non-exclusive, sublicensable, royalty-free license to our patents and know-how related to lotilaner to develop, manufacture and commercialize lotilaner and any licensed products for human applications other than the treatment, palliation, prevention or cure of any eye or skin diseases or conditions. Elanco may also terminate the All Human Uses Elanco Agreement if we, our affiliates or sublicensees challenge Elanco’s licensed patents and the challenge is not withdrawn within 30 days after Elanco’s notice to us, except where we terminate the All Human Uses Elanco Agreement for a challenge by a sublicensee if we terminate the sublicense with such sublicensee within that 30-day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terms of the All Human Uses Elanco Agreement, we granted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and other non-human-use applications,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and other non-human applications.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GrandPharma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we entered into the China Out-License with LianBio (the “China Out-License”) for its exclusive development and commercialization rights of TP-03 (lotilaner ophthalmic solution) 0.25% in The People’s Republic of China, Macau, Hong Kong, and Taiwan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and in March 2024 made a special cash dividend payment to us for $0.7 million (equivalent to $4.80 per share - see </w:t>
      </w:r>
      <w:r>
        <w:rPr>
          <w:rFonts w:ascii="Times New Roman;serif" w:hAnsi="Times New Roman;serif"/>
          <w:b w:val="false"/>
          <w:i/>
          <w:color w:val="000000"/>
          <w:sz w:val="20"/>
        </w:rPr>
        <w:t>Note 3</w:t>
      </w:r>
      <w:r>
        <w:rPr>
          <w:rFonts w:ascii="Times New Roman;serif" w:hAnsi="Times New Roman;serif"/>
          <w:b w:val="false"/>
          <w:color w:val="000000"/>
          <w:sz w:val="20"/>
        </w:rPr>
        <w:t xml:space="preserve">). In March 2024, we executed an agreement with GrandPharma and LianBio (the “Novation Agreement”) to transfer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Upon execution of the Novation Agreement, the China Out-License with LianBio was assigned to GrandPharma, and we received a one-time payment of $2.5 million (the “Termination Payment”) in April 2024. The Termination Payment was recorded as license fees and collaboration revenue in the accompanying Statement of Operations and Comprehensive Loss for the year ended December 31, 2024. The Novation Agreement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Simultaneous with the execution of the Novation Agreement, we entered into a warrant termination agreement (the “Warrant Termination Agreement”) pursuant to which we received a cancellation payment of $0.4 million (the “Warrant Cancellation Payment”). This Warrant Cancellation Payment was recorded as license fees and collaboration revenue in the accompanying Statement of Operations and Comprehensive Loss for the twelve months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December 31, 2025, we received aggregate payments from LianBio totaling $86.1 million comprised of: (i) $15.0 million of initial consideration; (ii) $67.5 million for the achievement of specified milestones;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are eligible to receive further consideration from GrandPharma upon the achievement of additional TP-03 events, including: (i) additional regulatory and/or patent issuance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U.S. and other countries, as appropriate, along with subsequent compliance with appropriate federal, state, local and foreign statutes and regulations, require the expenditure of substantial time and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 Drug Regulation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U.S.,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considered small molecule drugs and must be approved by the FDA through the NDA process before they may be legally marketed in the U.S. The process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completion of extensive preclinical studies in accordance with applicable regulations, including studies conducted in accordance with good laboratory practice (“GLP”) requirements;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submission to the FDA of an IND, which must become effective before human clinical trials may begin in the U.S.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approval by an independent IRB or independent ethics committee at each clinical trial site before each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of adequate and well-controlled human clinical trials in accordance with applicable IND regulations, good clinical practices (“GCP”), requirements and other clinical trial-related regulations to establish substantial evidence of the safety and efficacy of the investigational product for each proposed indication;</w:t>
            </w:r>
          </w:p>
        </w:tc>
      </w:tr>
    </w:tbl>
    <w:tbl>
      <w:tblPr>
        <w:tblW w:w="39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65"/>
        <w:gridCol w:w="865"/>
        <w:gridCol w:w="1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submission to the FDA of an NDA;</w:t>
            </w:r>
          </w:p>
        </w:tc>
      </w:tr>
    </w:tbl>
    <w:tbl>
      <w:tblPr>
        <w:tblW w:w="95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3"/>
        <w:gridCol w:w="2503"/>
        <w:gridCol w:w="3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determination by the FDA within 60 days of its receipt of an NDA to accept the submission for review;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satisfactory completion of an FDA pre-approval inspection of the manufacturing facility or facilities where the drug will be produced to assess compliance with cGMP requirements, and of selected clinical investigational sites to assess compliance with GCP;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potential FDA audit of the preclinical study and/or clinical trial sites that generated the data in support of the NDA filing;</w:t>
            </w:r>
          </w:p>
        </w:tc>
      </w:tr>
    </w:tbl>
    <w:tbl>
      <w:tblPr>
        <w:tblW w:w="8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1"/>
        <w:gridCol w:w="2191"/>
        <w:gridCol w:w="3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user fees for FDA review of the NDA as well as annual fees after NDA approval;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FDA review and approval of the NDA, including consideration of the views of any FDA advisory committee, prior to any commercial marketing or sale of the drug in the U.S.;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compliance with any post-approval requirements, including the potential requirement to implement a risk evaluation and migration strategy (“REMS”) and the potential requirement to conduct post-approval studies.</w:t>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Preclinical Studies and IND Submission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Trials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stage of development involves the administration of the investigational product to healthy volunteers or patients under the supervision of qualified investigators, generally physicians not employed by or under the trial sponsor’s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sponsor who wishes to conduct a clinical trial outside of the U.S.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Clinical trials in the U.S. generally are conducted in three sequential phases, known as Phase 1, Phase 2 and Phase 3. Although the phases are usually conducted sequentially, they may overlap or be combined.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Phase 2b/3 clinical trial has elements of a late Phase 2 trial and a Phase 3 trial. We have designated the Saturn-1 trial as a Phase 2b/3 trial as it is both our first multi-center trial based in the U.S., and also a pivotal trial for the U.S.</w:t>
            </w:r>
          </w:p>
        </w:tc>
      </w:tr>
    </w:tbl>
    <w:p>
      <w:pPr>
        <w:pStyle w:val="TextBody"/>
        <w:bidi w:val="0"/>
        <w:spacing w:lineRule="auto" w:line="288" w:before="16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Phase 1, Phase 2 and Phase 3 clinical trials may not be completed successfully within any specified period, if at all. The FDA or the sponsor may suspend or terminate a clinical trial at any time on various grounds,</w:t>
      </w:r>
      <w:r>
        <w:rPr>
          <w:color w:val="000000"/>
        </w:rPr>
        <w:t xml:space="preserve"> </w:t>
      </w:r>
      <w:r>
        <w:rPr>
          <w:rFonts w:ascii="Times New Roman;serif" w:hAnsi="Times New Roman;serif"/>
          <w:b w:val="false"/>
          <w:color w:val="000000"/>
          <w:sz w:val="20"/>
        </w:rPr>
        <w:t>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Equivalent, and similarly detailed, obligations will apply to the conduct of clinical trials in third countries including the European Union (“EU”).</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NDA Review and Marketing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Prescription Drug User Fee Act (the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FDA conducts a preliminary review of all submitted NDAs before it accepts them for filing to determine if they are sufficiently complete to permit a substantive review, and the FDA may request additional information rather than accepting the NDA for filing. In this event, the application must be resubmitted with the additional information. The resubmitted application is also subject to review before the FDA accepts it for filing. The FDA must make a decision on accepting an NDA for filing within 60 days of receipt. Once the submission is accepted for filing, the FDA begins an in-depth review of the NDA to determine, among other things, whether the drug is safe and effective and whether the facility in which it is manufactured, processed, packaged or held meets standards designed to assure the product’s continued safety, quality and purity.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PDUFA, the FDA has agreed to certain performance goals in the review of NDAs through a two-tiered classification system, (i) standard review; and (ii)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may also audit data from clinical trials to ensure compliance with GCP requirements.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Post-Approval Requirements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physicians may prescribe legally available drugs for off-label uses, manufacturers may not market or promote such uses. Prescription drug promotional materials must be submitted to the FDA in conjunction with their first use or first publication.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FDA may also place other conditions on approvals including the requirement for a REMS, to assure the safe use of the product. If the FDA concludes that a REMS is needed, the NDA sponsor must submit a proposed REMS. The FDA will not approve the NDA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restrictions on the marketing or manufacturing of the product, suspension of the approval, complete withdrawal of the product from the market, or product recalls;</w:t>
            </w:r>
          </w:p>
        </w:tc>
      </w:tr>
    </w:tbl>
    <w:tbl>
      <w:tblPr>
        <w:tblW w:w="6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13"/>
        <w:gridCol w:w="1513"/>
        <w:gridCol w:w="21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fines, warning letters, or holds on post-approval clinical trials;</w:t>
            </w:r>
          </w:p>
        </w:tc>
      </w:tr>
    </w:tbl>
    <w:tbl>
      <w:tblPr>
        <w:tblW w:w="87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58"/>
        <w:gridCol w:w="2258"/>
        <w:gridCol w:w="3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refusal of the FDA to approve pending applications or supplements to approved applications;</w:t>
            </w:r>
          </w:p>
        </w:tc>
      </w:tr>
    </w:tbl>
    <w:tbl>
      <w:tblPr>
        <w:tblW w:w="49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7"/>
        <w:gridCol w:w="115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suspension or revocation of product approvals;</w:t>
            </w:r>
          </w:p>
        </w:tc>
      </w:tr>
    </w:tbl>
    <w:tbl>
      <w:tblPr>
        <w:tblW w:w="79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28"/>
        <w:gridCol w:w="2028"/>
        <w:gridCol w:w="2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product seizure or detention, or refusal to permit the import or export of products; or</w:t>
            </w:r>
          </w:p>
        </w:tc>
      </w:tr>
    </w:tbl>
    <w:tbl>
      <w:tblPr>
        <w:tblW w:w="59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34"/>
        <w:gridCol w:w="1434"/>
        <w:gridCol w:w="2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injunctions or the imposition of civil or criminal penalties.</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Regulatory Matters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Pharmaceutical companies are subject to additional healthcare regulation and enforcement by the federal government and by authorities in the states and foreign jurisdictions in which they conduct their business. For example, in the U.S., sales, marketing and scientific and educational programs also must comply with state and federal fraud and abuse laws, false claims laws, transparency laws, government price reporting, and health information privacy and security laws. These laws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Anti-Kickback Statute (“AKS”) which prohibits, among other things, knowingly and willfully offering, paying, soliciting or receiving remuneration (i.e., anything of value), directly or indirectly, in cash or in kind, to induce or in return either for the referral of an individual for, or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one hand and prescribers, purchasers, and formulary managers on the other. Although there are a number of statutory exceptions and regulatory safe harbors protecting certain common business arrangements and activities from prosecution or regulatory sanctions, the exceptions and safe harbors are drawn narrowly and practices that involve remuneration intended to induce prescribing, purchasing or recommending may be subject to scrutiny if they do not fit squarely within an exception or safe harbor. Our practices may not in all cases meet all of the criteria for safe harbor protection from AKS liability. Moreover, there are no safe harbors for many common practices, such as educational and research grants, charitable donations, product support and patient assistance programs. The regulatory safe harbors also are subject to regulatory revision and interpretation by a number of government agencies. Liability under the AKS may be established without proving actual knowledge of the statute or specific intent to violate it. In addition, the government may assert that a claim including items or services resulting from a violation of the AKS constitutes a false or fraudulent claim for purposes of the federal civil False Claims Act (discussed below). Violations of the AKS are punishable by imprisonment, criminal fines, damages, civil monetary penalties, and exclusion from participation in federal healthcare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civil False Claims Act (“FCA”) which prohibits any person from, among other things,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Attorney General or as a qui tam action by a private individual in the name of the government. Such private individuals may share in amounts paid by the entity to the government in recovery or settlement.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FCA liability is potentially significant in the healthcare industry because the statute provides for treble damages and significant mandatory penalties per false or fraudulent claim or statement for violations, as well as exclusion from participation in federal healthcare programs. Pharmaceutical and other healthcare companies also are subject to other federal false claims laws, including, among others, federal criminal healthcare fraud and false statement statutes that extend to non-government health benefit programs;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HIPAA and its implementing regulations, also imposes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federal consumer protection and unfair competition laws, which broadly regulate marketplace activities and activities that potentially harm consumers;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FDCA, which prohibits, among other things, the adulteration or misbranding of drugs, biologics and medical devices, including off-label or pre-approval promotion;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analogous state and foreign laws and regulations, such as state anti-kickback and false claims laws which may apply to sales or marketing arrangements and claims involving healthcare items or services reimbursed by non- governmental third-party payers,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state and local laws that require the licensure and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California has enacted the California Consumer Privacy Act (“CCPA”), as amended by the California Privacy Rights Act (“CPRA”). The CCPA created new transparency requirements, granted California consumers (as that word is broadly defined in the law) several new rights with regard their personal information,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In addition, the CPRA introduced significant amendments to the CCPA and established and funded a dedicated California privacy regulator, the California Privacy Protection Agency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Failure to comply with the CCPA and other state law may result in, among other things, significant civil penalties and injunctive relief, or potential statutory or actual damages. These laws could impact our business activities depending on how they are interpreted and exemplify the vulnerability of our business to not only cyber threats but also the evolving regulatory environment related to personal data and protected health information. We have implemented processes to manage compliance with the CCPA and other state laws and we continue to assess their impact on our business as additional information and guidance becomes available.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 Patent-Term Restoration and Marketing Exclusivity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approval of any future product candidates, some of our U.S. patents may be eligible for limited patent term extension under the Drug Price Competition and Patent Term Restoration Act of 1984, also known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European Union Drug Development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Similar to the U.S.,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27 member states of the EU (the “EU Member States”) have transposed and applied the provisions of the Directive differently. This has led to significant variations in the member state regimes. Under the regime of the Clinical Trials Directive, before a clinical trial can be initiated it must be approved in each of the EU countries where the trial is to be conducted by two distinct bodies: the National Competent Authority (“NCA”), and one or more ethics committees. Under the regime of the Clinical Trials Directive all suspected unexpected serious adverse reactions to the investigated drug that occur during the clinical trial have to be reported to the NCA and ECs of the Member State where they occurred.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streamline the regulation of clinical trials across the EU, the EU legislator has adopted Regulation (EU) No 536/2014 (the “EU Clinical Trials Regulation”). The new EU Clinical Trials Regulation, which has repealed and replaced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the EU Clinical Trials Directive, introduced a complete overhaul of the former regulation of clinical trials for medicinal products in the EU.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The EU Clinical Trials Regulation is applicable as of January 31, 2022 and is applicable directly in all countries of the European Economic Area (“EEA”) (which is comprised of 27 Member States of the EU plus Norway, Iceland and Liechtenstein). Clinical trials that were authorized under the Clinical Trials Directive before January 31, 2023 can continue to be conducted under the Clinical Trials Directive until January 31, 2025.</w:t>
      </w:r>
      <w:r>
        <w:rPr>
          <w:color w:val="000000"/>
        </w:rPr>
        <w:t xml:space="preserve"> </w:t>
      </w:r>
      <w:r>
        <w:rPr>
          <w:rFonts w:ascii="Times New Roman;serif" w:hAnsi="Times New Roman;serif"/>
          <w:b w:val="false"/>
          <w:color w:val="000000"/>
          <w:sz w:val="20"/>
        </w:rPr>
        <w:t>An application to transition ongoing trials from the current Clinical Trials Directive to the new EU Clinical Trials Regulation will need to be submitted and authorized in time before the end of the transitional period. From January 31, 2023 onwards, the application for new clinical trials must be done in accordance with the new EU Clinical Trials Regulation. The EU Clinical Trials Regulation is intended to simplify and streamline the approval of clinical trials in the EEA.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European Union Drug Review and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Marketing Authorization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EEA, medicinal products can only be commercialized after obtaining a marketing authorization (“MA”). There are a number of types of marketing authorizations.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Community MA is adopted by the European Commission in the form of a decision through the Centralized Procedure (the “Centralized Procedure”). The decision, which is based on the opinion of the Committee for Medicinal Products for Human Use (“CHMP”) of the European Medicine Agency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tc>
      </w:tr>
    </w:tbl>
    <w:p>
      <w:pPr>
        <w:pStyle w:val="TextBody"/>
        <w:bidi w:val="0"/>
        <w:spacing w:lineRule="auto" w:line="288" w:before="16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MAs based on the Mutual Recognition Procedure or the Decentralized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Reference Member State, the product is subsequently granted a national MA in all the Member States (i.e., in the Reference Member State and the Concerned Member States).</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Regulatory data protection and market exclusivity in the EU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EU, new medicinal products are granted a protection period of 8 years of data exclusivity and an additional 2 years of market exclusivity. As such, for a period of 8 years, generics cannot use the data of the innovator to obtain a marketing authorization. Only after 8 years have lapsed, other parties that apply for a marketing authorization (generics or biosimilars) may make reference to the dossier of the originator product. Only after another 2 years (i.e. a total of 10 years) may such generic or biosimilar medicinal product be placed on the market. In April 2023, the European Commission published a proposal to reform this system. In this proposal, the current standard period of regulatory data protection will be reduced from eight years to six years. The legislative process for this reform is expected to take several years. It is currently uncertain if the proposal will be adopted in its current form and it is uncertain if and when the revised legislation would enter into force.</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Data privacy regulations in the EU including the United Kingdom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noted above, pharmaceutical companies are subject to additional healthcare regulation and enforcement by the federal government and by authorities in the states and foreign jurisdictions in which they conduct their business. Specifically in Europe, the EU’s General Data Protection Regulation (“GDPR”) imposes strict requirements on controllers and processors of personal data, including special protections for “special category data,” which includes health, biometric and genetic information of data subjects located in the EEA and United Kingdom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Failure to comply with the requirements of the GDPR and the related national data protection laws of the EEA Member States and the UK, which may deviate slightly from the GDPR, may result in fines of up to 4% of total global annual revenue, or €20.0 million (₤17.5 million under the UK GDPR), whichever is greater, and in addition to such fines, we may be the subject of litigation and/or adverse publicity, which could have a material adverse effect on our reputation and business. As a result of the implementation of the GDPR, we are required to implement a number of measures to ensure compliance with the data protection regime. The GDPR (i) requires us to inform data subjects of how we process their personal data and how they can exercise their rights, (ii) requires us to ensure we have a valid legal basis to process personal data (if this is consent, the requirements for obtaining consent carries a higher threshold), (iii) requires us to appoint a data protection officer where sensitive personal data (i.e., health data) is processed on a large scale, (iv) introduces mandatory data breach notification requirements throughout the EEA and UK, (v) requires us to maintain records of our processing activities and document data protection impact assessments where there is high risk processing, (vi) imposes additional obligations on us when we are contracting with service providers, requires (vii) appropriate technical and organizational measures to be put in place to safeguard personal data and (viii) requires us to adopt appropriate privacy governance including policies, procedures, training and data audit.</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subject to the supervision of local data protection authorities in those jurisdictions in which we are, or plan to be monitoring the behavior of individuals in the EEA or UK (i.e., undertaking clinical trials). We may depend on a number of third parties in relation to the provision of our services, a number of which process personal data of EU and/or UK individuals on our behalf. With each such provider we enter or intend to enter into contractual arrangements under which the provider is contractually obligated to only process personal data according to our instructions, and conduct or intend to conduct diligence to ensure that they have sufficient technical and organizational security measures in place.</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evolving European privacy laws on electronic marketing and cookies. The EU is in the process of replacing the e-Privacy Directive (2002/58/EC) with a new set of rules taking the form of a regulation, which will be directly implemented in the laws of each European member state, without the need for further enactment. While the e-Privacy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was originally intended to be adopted on May 25, 2018 (alongside the GDPR), it is still going through the European legislative process. Draft regulations were rejected by the Permanent Representatives Committee of the Council of EU on November 22, 2019; it is not clear when, or even if, new regulations will be adopted. </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Compliance with data protection laws and regulations requires that we take on more onerous obligations in our contracts, restrict our ability to collect, use and disclose data, and, in some cases, impacts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As such, these laws could impact our business activities depending on how they are interpreted and exemplify the vulnerability of our business to not only cyber threats but also the evolving regulatory environment related to personal data and protected health information. We have, and are continuing to implement processes to manage compliance with European privacy regulations and we continue to assess their impact on our business as additional information and guidance becomes available.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Coverage and Reimbursement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Sales of our products will depend, in part, on the extent to which our products will be covered by third-party payers, such as government health programs, commercial insurance, and managed healthcare organizations. In the U.S., for example, principal decisions about reimbursement for new products are typically made by CMS, the agency that administers the Medicare program through regional contractors, state Medicaid programs, third-party payers, and insurance plans. These entities decide whether and to what extent a new product will be covered and reimbursed based on clinical needs and economic impact. To date, no uniform policy of coverage and reimbursement for drug products exists. Accordingly, decisions regarding the extent of coverage and amount of reimbursement to be provided for any of our products will be made on a payer-by-payer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Increasingly, third-party payers are requiring that drug companies provide them with discounts usually in the form of rebates from list prices and are challenging the prices charged for medical products. Further, such payers are examining the medical necessity and reviewing the cost effectiveness of newly launched drugs. There may be especially significant delays in obtaining coverage and reimbursement for newly approved drugs or new indications for products as several large payers have implemented new to market blocks that can last anywhere between six to twelve months. Third-party payers may limit coverage to specific product candidates on an approved list, known as a formulary, which might not include all FDA-approved drugs for a particular indication. We may need to conduct additional expensive pharmaco-economic Phase 4 real-world studies to demonstrate the medical necessity and cost effectiveness of our products. As a result, the coverage determination process is often a time-consuming and costly process that will require us to provide scientific and clinical support for the use of our products, with no assurance that coverage and adequate reimbursement will be obtained. Additionally, maintaining coverage for a product is often evaluated annually by payers and additional barriers may be placed impacting access. We are committed to partnering with payers to ensure broad access and affordability.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Pharmaceutical Pricing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participate in the Medicaid Drug Rebate Program and Medicare Part D Coverage Gap Discounts Program (“Medicare Part D”). Participation is required for federal funds to be available for our covered outpatient drugs under Medicaid and Medicare Part B (“Medicare Part B”), and under Medicare Part D, respectively. Under the Medicaid Drug Rebate Program, we are required to pay a mandatory rebate to each state Medicaid program for our covered outpatient drugs that are dispensed to Medicaid beneficiaries and paid for by a state Medicaid program as a condition of having federal funds being made available to the states for our drugs under Medicaid.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Under the Medicare Part D Coverage Gap Discount Program, manufacturers, including us, are currently required to provide to CMS a 70% discount on brand name prescription drugs utilized by Medicare Part D beneficiaries when those beneficiaries are in the coverage gap phase of the Medicare Part D benefit design. The Inflation Reduction Act (“IRA”) of 2022 sunsets the coverage gap discount program starting in 2025 and replaces it with a new manufacturer discount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the IRA (addressed further in the section on “Healthcare Reform”) establishes a Medicare Part D inflation rebate scheme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(addressed further in the section on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the VA, U.S. Department of Defense (“DoD”), Public Health Service and U.S. Coast Guard - that is no higher than the statutory Federal Ceiling Price (“FCP”). Manufacturers also are obligated to calculate and submit to the VA on a quarterly and annual basis, their Non-Federal Average Manufacturer Price (“Non-FAMP”), which the VA uses to calculate the FCP.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Healthcare Reform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and/or lower cost over the counter alternatives for branded prescription drugs. For example, the ACA substantially changed the way healthcare is financed by both the government and private insurers, and significantly impacts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ACA made several changes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Medicaid Drug Rebate Program, including increasing pharmaceutical manufacturers’ rebate liability by raising the minimum basic Medicaid rebate. The ACA also expanded the universe of Medicaid utilization subject to drug rebates by requiring pharmaceutical manufacturers to pay rebates on Medicaid managed care utilization and by enlarging the population potentially eligible for Medicaid drug benefits.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There have been judicial challenges to certain aspects of the ACA, as well as efforts by Congress to modify, and by agencies to alter the implementation of, certain aspects of the ACA. For example, Congress eliminated the tax penalty for not complying with the ACA’s individual mandate to carry health insurance. Further, the Bipartisan Budget Act of 2018, among other things, amended the ACA to increase from 50 percent to 70 percent the point-of-sale discount that is owed by pharmaceutical manufacturers who participate in Medicare Part D to close the coverage gap in most Medicare drug plans, commonly referred to as the “donut hole”</w:t>
      </w:r>
      <w:r>
        <w:rPr>
          <w:color w:val="000000"/>
        </w:rPr>
        <w:t xml:space="preserve"> </w:t>
      </w:r>
      <w:r>
        <w:rPr>
          <w:rFonts w:ascii="Times New Roman;serif" w:hAnsi="Times New Roman;serif"/>
          <w:b w:val="false"/>
          <w:color w:val="000000"/>
          <w:sz w:val="20"/>
        </w:rPr>
        <w:t>(the IRA sunsets the coverage gap discount program and replaces it with a new manufacturer discount, beginning in 2025).</w:t>
      </w:r>
    </w:p>
    <w:p>
      <w:pPr>
        <w:pStyle w:val="TextBody"/>
        <w:bidi w:val="0"/>
        <w:spacing w:lineRule="auto" w:line="288" w:before="24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Other legislative changes have been proposed and adopted in the U.S. since the ACA was enacted. These changes included aggregate reductions to Medicare payments to providers of 2% per fiscal year required by the Budget Control Act of 2021, as amended by the American Taxpayer Relief Act of 2012 (“ATRA”).</w:t>
      </w:r>
      <w:r>
        <w:rPr>
          <w:color w:val="000000"/>
        </w:rPr>
        <w:t xml:space="preserve"> </w:t>
      </w:r>
      <w:r>
        <w:rPr>
          <w:rFonts w:ascii="Times New Roman;serif" w:hAnsi="Times New Roman;serif"/>
          <w:b w:val="false"/>
          <w:color w:val="000000"/>
          <w:sz w:val="20"/>
        </w:rPr>
        <w:t>Subsequent legislation extended the 2% reduction, generally to 2031. Sequestration is currently set at 2% and will increase to 2.25% for the first half of fiscal year 2030, to 3% for the second half of fiscal year 2030, and to 4% for the remainder of the sequestration period that lasts through the first six months of fiscal year 2031. ATRA, among other things, also reduced Medicare payments to several types of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payers often follow Medicare coverage policy and payment limitations in setting their own payment rates and in establishing their formulary placement.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the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established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Congress continues to examine various policy proposals that may result in pressure on the prices of prescription drugs with respect to the government health benefit programs and otherwise. The IRA or other legislative changes could impact the market conditions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Finally, some states have established Prescription Drug Affordability Boards (or similar entities) to review high-cost drugs and, in some cases, set upper payment limits. Furthermore, the current presidential administration is also pursuing policies intended to, among other things, lower prescription drug prices and enhance drug price transparency that include potentially requiring the drug manufacturer to offer U.S. patients and Medicaid programs prescription drug Most-Favored Nation (“MFN”) pricing equal to or lower than those paid in other developed nations, with additional mandates for direct-to-patient discounts and repatriation of foreign revenues, and directing the Department of Human Health and Services and other agencies to lower prescription drug costs for Medicare through a variety of initiatives, including by improving upon the Medicare Drug Price Negotiation Program and establishing MFN pricing for pharmaceutical products. These actions, such as those directed by executive orders, may propose policy changes that create additional uncertainty for our business.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 xml:space="preserve">Human Capital </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370 full-time employees. None of our employees are represented by a labor union or subject to a collective bargaining agreement.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human capital objectives are to attract, develop, engage and retain talent. We focus on identifying, recruiting, incentivizing and integrating employees, advisors and consultants, as applicable. To support these objectives, we maintain equity and cash incentive plans designed to attract, retain and motivate personnel by aligning compensation with company and stockholder value creation through stock-based and cash-based awards.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Employee Development and Training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values-based culture and our people are critical to our success. We provide structured development across the employee lifecycle including comprehensive onboarding, role-specific and companywide compliance training, and ongoing technical and professional skill building. We also offer manager and leadership development to create a supportive and professional environment for our employees. We devote significant management time, attention, and financial resources to attracting, developing, retaining, and motivating exceptional talent. </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Diversity, Equity, and Inclusion</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committed to fostering a diverse, equitable, and inclusive workplace that is free from discrimination or harassment based on race, color, citizenship, religion, creed, national origin, ancestry, gender, sexual orientation, gender identity or expression, age, marital status, veteran status, disability, medical condition, or any other status protected by applicable law. Our employment practices, policies and training programs strictly prohibit such discrimination or harassment. We are committed to maintaining an ethical culture and all employees are required to adhere to our Code of Business Conduct and Ethics, which outlines expectations for ethical, honest, and respectful behavior. Management and employees alike are required to complete the Code of Business Conduct and Ethics training annually and are expected to model these values and promote a culture of integrity, respect, and accountability across the organization. </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76"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2016, we were incorporated under the laws of the State of Delaware. Our principal executive offices are currently located at 15440 Laguna Canyon Road, Suite 160, Irvine, California 92618. Our telephone number is (949) 418-1801. Our website address is www.tarsusrx.com. Information contained on the website is not incorporated by reference into this Annual Report.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annual reports on Form 10-K, quarterly reports on Form 10-Q and current reports on Form 8-K, and amendments to those reports filed or furnished pursuant to Sections 13(a) and 15(d) of the Securities Exchange Act of 1934, as amended, may be obtained free of charge at the Investor &amp; News section of our website, www.tarsusrx.com, as soon as reasonably practicable after we electronically file such material with, or furnish it to, the SEC. Additionally, the SEC maintains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 internet site that contains reports, proxy and information statements and other information. The address of the SEC’s website is www.sec.gov. The contents of these websites are not incorporated into this Annual Report on Form 10-K. Further, references to the URLs for these websites are intended to be inactive textual references only.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lineRule="auto" w:line="27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we entered into a lease agreement for 59,626 square feet of new office space, to relocate our corporate headquarters to another location in Irvine, California for a 10-year lease term. We have access to the new facility and began making lease payments in the fourth quarter of 2025. Construction is still in progress on the new facility and we plan to move in during 2026. Until we relocate, we will continue to occupy our original lease for 39,181 square feet of office and laboratory space in Irvine, California. We believe that these spaces will be sufficient to meet our needs for the foreseeable future and that any additional space we may require will be available on commercially reasonable terms.</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before="0" w:after="0"/>
        <w:ind w:left="0" w:right="0" w:firstLine="25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979"/>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240" w:after="283"/>
        <w:jc w:val="left"/>
        <w:rPr/>
      </w:pPr>
      <w:r>
        <w:rPr>
          <w:rFonts w:ascii="Times New Roman;serif" w:hAnsi="Times New Roman;serif"/>
          <w:b/>
          <w:i/>
          <w:color w:val="000000"/>
          <w:sz w:val="20"/>
        </w:rPr>
        <w:t>We are a commercial stage biopharmaceutical company with a limited operating history and a single product approved for commercial sale. While we have generated revenue from the launch of XDEMVY</w:t>
      </w:r>
      <w:r>
        <w:rPr>
          <w:rFonts w:ascii="Times New Roman;serif" w:hAnsi="Times New Roman;serif"/>
          <w:b w:val="false"/>
          <w:i/>
          <w:color w:val="000000"/>
          <w:sz w:val="13"/>
        </w:rPr>
        <w:t>®</w:t>
      </w:r>
      <w:r>
        <w:rPr>
          <w:color w:val="000000"/>
        </w:rPr>
        <w:t xml:space="preserve"> </w:t>
      </w:r>
      <w:r>
        <w:rPr>
          <w:rFonts w:ascii="Times New Roman;serif" w:hAnsi="Times New Roman;serif"/>
          <w:b/>
          <w:i/>
          <w:color w:val="000000"/>
          <w:sz w:val="20"/>
        </w:rPr>
        <w:t>(lotilaner ophthalmic solution) 0.25%, we have continued to incur losses and negative cash flows from operations since our inception and anticipate that we could continue to incur significant expenses and potential losses in the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We have one product,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Facilities (as defined below). For the years ended December 31, 2025, 2024, and 2023, our net losses were $66.4 million, $115.6 million, and $135.9 million, respectively. As of December 31, 2025 and December 31, 2024, we had an accumulated deficit of $426.6 million and $360.2 million, respectively. Additionally, the net losses we incur may fluctuate significantly from quarter to quarter such that a period-to-period comparison of our results of operations may not be a good indicator of our future performance. The size of potential future net losses will depend, in part, on the rate of future growth of our expenses and our ability to generate revenue. We initiated sales and marketing activities to commercialize XDEMVY in August 2023. We could potentially incur operating losses in the future until our revenue from product sales from XDEMVY and any other approved products exceeds expenses. We may never achieve profitability and, even if we do, we may not be able to sustain or increase our profitability. Our prior losses, combined with potential future losses, have had and could continue to have an adverse effect on our accumulated deficit and working capital.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continue incurring significant expenses and potential operating losses in the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develop, manufacture and commercialize our product candidates will depend, in part, on our ability to effectively manage any future growth, and our management may also have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continue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CMO,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including those arising from the use or misuse of AI or automated technologies,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The increasing use of AI technologies, including by us and by third-party vendors, may further increase cybersecurity and data protection risks, including through the processing of sensitive or confidential information in ways that may be difficult to monitor, control, or fully secure. Our inability to use or access our information systems at critical points in time could adversely affect the timely and efficient operation of our business. As another example, any data integrity failure could impact our ability to disclose legally required information such, as for example, payments made under the federal Physician Payments Sunshine Act (or similar state or foreign law equivalents),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which could subject us to liability.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CCPA, which could result in significant legal and financial exposure and reputational damages that could potentially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 However, such coverage may not be adequate to cover any liabilities that we incur.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could adversely affect our business, financial condition or results of operations.</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the U.S. government has made statements and taken certain actions including the imposition of tariffs, that have led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or whether the imposition of tariffs will be upheld by courts or other governmental bodies. For example, on February 20, 2026, the U.S. Supreme Court struck down the international tariffs imposed by President Trump in 2025, but President Trump subsequently expressed his intent to reinstate the tariffs through other means, which he has not yet disclosed. We are closely monitoring changes and developments in international trade policy and assessing the potential impact of these and other trade policy changes on our business operations and financial performance. XDEMVY is currently being filled and finished by a reputable contract manufacturer in Europe, and we are in discussions to potentially add a second contract manufacturer domiciled in the U.S. If tariffs are imposed on any products we import, we believe the potential impact will be insignificant to our gross margins or other operating expenses.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Any unfavorable government policies on international trade, such as capital controls or tariffs, or any countermeasures imposed in response thereto, may negatively affect the demand and competitive position of our product or future products to the extent any of our product candidates are approved for commercial sale, negatively affect our costs, or negatively impact our supply chain, among other potential negative impacts. If any tariffs are reinstated, any new tariffs, legislation and/or regulations are implemented, or if existing trade agreements are renegotiated or, in particular, if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or other governments take retaliatory trade actions due to the recent trade tensions, including U.S.-China trade tensions, such changes could have an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commercialization of XDEMVY becomes unsuccessful or any future approved product launches are unsuccessful, our ability to become or remain profitable may be unsuccessful.</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continue to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If we are unsuccessful in accomplishing our objectives, or if our commercialization efforts do not continue to develop as planned, we may not be able to continue to successfully commercialize XDEMVY or any future approved products, we may require significant additional capital and financial resources, we may not become or remain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continued successful commercialization of XDEMVY and the successful development, regulatory approvals, and commercialization of our current and future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continue to generate revenue and potentially achieve profitability or remain profitable depends significantly on our ability, or any future collaborator’s ability, to achieve a number of challenging objectives,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DTC television advertising campaign;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and developing new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ultimately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treatments included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be 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have been able to successfully commercialize XDEMVY up to this point, ECPs and potential patients may not ultimately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some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completely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requirements and potential additional restrictions by the FDA or other regulatory authorities on direct-to-consumer advertising;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continue to successfully commercialize XDEMVY or successfully commercialize any future approved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August 2023. The success of our continued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substantially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negatively affect the success of our commercialization efforts and business. For example, the commercialization of XDEMVY may not continue to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given our limited experience commercializing products, we do not have a track record of successfully executing on the commercialization of an approved product. If we are unsuccessful in accomplishing our objectives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executing on our business plan, or if the commercialization of XDEMVY or any future approved products does not develop, or continue to develop as planned, we may require significant additional capital and financial resources, we may not become profitable, and we may not be able to compete against more established companies in our industry. </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successfully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For example, we are aware that Glaukos Corp. and Aperta Biosciences have initiated Phase 2 trials and Atticus Medical has publicly disclosed plans to initiate a Phase 2 trial,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continue to successfully commercialize XDEMVY or successfully commercialize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create and implement a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regulations were invalidated by a court, but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IRA established a Medicare Part D inflation rebate scheme, with the first rebate period taking place in the fourth quarter of 2022 through the third quarter of 2023, and a drug price negotiation program, under which the prices for Medicare units of certain high Medicare spend drugs and biologics without generic or biosimilar competition will be capped by reference to, among other things, a specified Non-FAMP,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Finally, in order to be eligible to have its products paid for with federal funds under the Medicaid and Medicare programs and purchased by the VA,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must prioritize our research programs and will need to focus our product candidates on the potential treatment of certain indications. Our resource allocation decisions may cause us to fail to capitalize on the most viable commercial products or profitable market opportunities. Our spending on current and future research and development programs for our product candidates may not yield any commercially viable products. If we do not accurately evaluate the commercial potential or target market for our products, indications, and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further restrict, or no longer allow pharmaceutical DTC campaigns.</w:t>
      </w:r>
    </w:p>
    <w:p>
      <w:pPr>
        <w:pStyle w:val="TextBody"/>
        <w:bidi w:val="0"/>
        <w:spacing w:lineRule="auto" w:line="288" w:before="240" w:after="283"/>
        <w:jc w:val="left"/>
        <w:rPr/>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 xml:space="preserve">or any of our product candidates that are approved for marketing are found to have been improperly promoted for off-label uses by us, or if ECPs misuse our products or use our products off-label, we may become subject to prohibitions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among others.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to satisfy the preclinical study requirements for TP-04 and TP-05 and other indications. For rosacea, we conducted the Phase 1 Galatea trial with TP-04 and initiated the Phase 2a Galatea trial, for the potential treatment of papulopustular rosacea in March 2023. In February 2024 we announced positive topline results, and after review of the Galatea trial data with the FDA and KOLs, we decided to pursue development of TP-04 for the potential treatment for ocular rosacea. In December 2025, we initiated a Phase 2 trial for the potential treatment of ocular rosacea with topline results expected in the first half of 2027. With respect to Lyme disease, in December 2022 we announced positive topline results from the completed Callisto trial and enrollment of the first patient in the Carpo trial. The Carpo trial evaluated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Given ongoing discussion with the FDA about our Lyme disease program, they agreed to our proposed approach for a Phase 2 clinical trial of TP-05 which would include several hundred subjects, with planned trial initiation expected in the second quarter of 2026. Additionally, the FDA confirmed that a Phase 3 clinical trial would require a disease prevention field study that would likely require the enrollment of thousands of patients.</w:t>
      </w:r>
    </w:p>
    <w:p>
      <w:pPr>
        <w:pStyle w:val="TextBody"/>
        <w:bidi w:val="0"/>
        <w:spacing w:lineRule="auto" w:line="268" w:before="0" w:after="0"/>
        <w:ind w:left="0" w:right="0" w:firstLine="979"/>
        <w:jc w:val="left"/>
        <w:rPr/>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of the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accounts receivable collection times;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further example of comprehensive and evolving regulatory requirements is data privacy regulations surrounding personal data and protected health information including the EU’s General Data Protection Regulation, or GDPR, which imposes strict requirements on controllers and processors of personal data, including special protections for “special category data,” which includes health, biometric and genetic information of data subjects located in the EEA and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Furthermore, there are evolving European privacy laws on electronic marketing and cookies.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Moreover, policies such as, for example, MFN pricing policies being considered in the U.S. to set pharmaceutical product prices equal to or lower than those paid in other developed nations, could impact whether or not we will continue to pursue development and commercialization of our products and product candidates outside the U.S., potentially adversely affecting the global market potential of our products or product candidates. If reimbursement of our products is unavailable or limited in scope or amount, or if pricing is set at unsatisfactory levels, our business could be harmed, possibly materially.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and May 2025 (the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and have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in-license, out-license, or other collaborations or strategic alliances, we may agree to and be bound by negative covenants which may limit our development and commercial opportunities. For example,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longer-term planning for commercialization efforts of XDEMVY and our other potential product candidates, and commercializing XDEMVY.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continue to increase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7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marketable securities of $417.3 million as of December 31, 2025 and expected sales of XDEMVY is sufficient to fund our current and planned operations for at least the next twelve months from the date of filing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capital to complete the development and commercialization of XDEMVY and our other product candidates through one or more of: equity or debt financings,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the complexities of our transition to a commercial 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finance our cash needs through existing capital balances, revenue from our net product sales, possible combinations of equity and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Debt financing, if available, may involve agreements that include covenants limiting or restricting our ability to take specific actions. For example, the 2024 Credit Facility with Pharmakon, which provided, among other things, a $75.0 million initial term loan which was drawn in April 2024,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 which First Citizens Bank then assumed.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cash held on deposit at financial institutions in the U.S..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financial institutions’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April 2024 we entered into the 2024 Credit Facility with Pharmakon. The 2024 Credit Facility provided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were met. We did not draw on any of the three additional tranches of $25.0 million, $50.0 million, and $50.0 million respectively, each of which expired on December 31, 2024, June 30, 2025, and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before="0" w:after="0"/>
        <w:ind w:left="0" w:right="0" w:firstLine="979"/>
        <w:jc w:val="left"/>
        <w:rPr/>
      </w:pPr>
      <w:r>
        <w:rPr/>
      </w:r>
    </w:p>
    <w:p>
      <w:pPr>
        <w:pStyle w:val="TextBody"/>
        <w:bidi w:val="0"/>
        <w:spacing w:lineRule="auto" w:line="28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to the stockholders of the acquired company, which would reduce the percentage ownership of our existing stockholders.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76" w:before="0" w:after="0"/>
        <w:ind w:left="0" w:right="0" w:firstLine="979"/>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stock and, prior to our IPO,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the use of Federal NOLs generated after the enactment of the Tax Cuts and Jobs Act of 2017 is subject to limitations based on taxable income.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enacted in July 2025, features several tax reforms, including permitting taxpayers to permanently deduct domestic research and development expenses for amounts paid or incurred in tax years beginning after December 31, 2024. The primary impact of the OBBB Act on our U.S. Federal tax provision is the accelerated expensing of domestic R&amp;D activities which reduces our deferred tax assets and valuation allowance. At the state level, domestic R&amp;D expenditure continues to be capitalized and amortized in jurisdictions that do not conform to the federal provisions of the OBBB Act, which results in an increase in our state tax provision.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 party contract manufacturers rely on single source suppliers for certain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materials to manufacture our products and product candidates, we may experience delays in our commercialization and development efforts, which would have an adverse effect on our business and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continue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ind w:left="0" w:right="0" w:firstLine="979"/>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 or our product candidates, including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If we are not able to maintain the aforementioned patent issuance in China, the likelihood we achieve the associated milestone, as well as commercialization in the China Territory may be substantially decreased.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For example, one of our European patents relating to TP-03 is currently being challenged by third parties in an ongoing opposition proceeding before the European Patent Office.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owned and licensed patent estate includes patent applications, many of which are at an early stage of prosecution. The coverage claimed in a patent application can be significantly reduced before the patent is issued, and its scope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or inadequate payment of fees based on proper entity status,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 TP-04 and TP-05 product candidates. We currently are, and also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and market conditions generally.</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For example, as noted above one of our European patents relating to TP-03 is currently being challenged by third parties in an ongoing opposition proceeding before the European Patent Office.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or the improper use of artificial intelligence or automated tools) of our trade secrets or proprietary information could enable competitors to duplicate or surpass our technological achievements, thus eroding our competitive position in our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increasing use of AI technologies, including generative AI tools, by us, our employees, and third-party vendors may create additional risks to our trade secrets and proprietary information. AI tools may involve the processing, storage, or transmission of data in ways that are not fully transparent and, if used improperly or outside of approved controls, could result in the unintended disclosure, loss, or misuse of confidential or proprietary information. In addition, the use of AI by third parties with whom we share data or collaborate may increase the risk that our trade secrets or proprietary know-how are exposed, incorporated into training data, or otherwise used in ways that could impair our ability to protect or enforce our intellectual property rights.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AI technologies continue to evolve and regulatory and legal standards governing their use remain unsettled, our ability to identify, prevent, or remedy AI-related misuse or misappropriation of our proprietary information may be limited, which could harm our business, financial condition, and competitive position.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 xml:space="preserve">Sequestration is currently set at 2% and will increase to 2.25% for the first half of fiscal year 2030, to 3% for the second half of fiscal year 2030, and to 4%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 In addition, as discussed above, the IRA introduces several changes to the Medicare Part D benefit.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also pursuing policies intended to, among other things, lower prescription drug prices and enhance drug price transparency. These actions, such as those directed by executive orders, may propose policy changes that create additional uncertainty for our business. For example, on April 15, 2025, the presidential administration released an executive order entitled, “Lower Drug Prices by Once Again Putting Americans First,” which among other things, included multiple directives to various agencies aimed at lowering prescription drug prices. Additionally, on September 30, 2025, the presidential administration announced the first agreement with a major pharmaceutical company that requires the drug manufacturer to offer, through a direct-to-consumer platform, U.S. patients and Medicaid programs prescription drug MFN pricing equal to or lower than those paid in other developed nations, with additional mandates for direct-to-patient discounts and repatriation of foreign revenues. Other recent actions and proposals include, for example, (1) rescinding a Biden administration executive order tasking the Center for Medicare and Medicaid Innovation to consider new payment and healthcare models to limit drug spending and eliminating the Biden administration’s executive order that directed the Department of Health and Human Services (“HHS”) to establishing an AI task force and developing a strategic plan; (2) directing HHS and other agencies to lower prescription drug costs for Medicare through a variety of initiatives, including by improving upon the Medicare Drug Price Negotiation Program and establishing MFN pricing for pharmaceutical products; and (3) directing certain federal agencies to enforce existing law regarding hospital and price plan price transparency and by standardizing prices across hospitals and health plans.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direct-to-consumer marketing and telehealth pilot program may be subject to increased regulatory scrutiny.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September 2025, following the issuance of a presidential memorandum, the FDA issued a large wave of untitled letters to numerous pharmaceutical companies across a wide range of products. These letters warned of increased scrutiny of benefit/risk presentations and claims to promote compliance with “fair balance” guidelines in promotional materials, including DTC campaigns, and stated that the FDA intends to take aggressive action to ensure conformity with the law going forward. In addition, the FDA also issued a number of “cease-and-desist” letters to various companies, alleging false or misleading presentations and misbranding, and requiring rapid remedial action. While we have not received such a “cease-and-desist” letter, the increase in enforcement efforts by the FDA could lead us to modify, pause, or withdraw ads, and could delay campaigns, increase compliance costs, or adversely affect demand for our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FDA has also specifically targeted DTC television advertisements. Recent enforcement actions against TV ads have cited misleading efficacy claims and presentations that fail to convey a truthful, non-misleading net impression, even where risk information is present. While we believe that our ads are compliant with the FDA’s requirements, if the FDA were to determine that any of our ads are misleading or unbalanced, we could receive untitled or warning letters and be required to cease dissemination of such ads, undertake corrective advertising, or face other penalties, any of which could harm our reputation and commercial performance.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TV ads must comply with the FDA’s “clear, conspicuous, and neutral” (“CCN”) standards. The final rule was issued on November 21, 2023 and became effective on May 20, 2024, with compliance required as of November 20, 2024. The FDA’s Office of Prescription Drug Promotion (“OPDP”) reviews draft DTC TV ads for CCN compliance, and the agency has emphasized the industry’s obligation to bring ads into compliance. Failure to meet these standards, for example, by using distracting visuals and audio, overly technical wording, or insufficient prominence, could result in enforcement by the FDA, required changes to our ads, or campaign delays.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we have recently entered into agreements with third party telemedicine providers, pursuant to which our telemedicine providers may prescribe our product or other products in their medical discretion to potential customers via telehealth. Telemedicine faces particularly intense scrutiny from regulators due to numerous cases of companies failing to operate in this space with a properly functioning regulatory and compliance infrastructure and we cannot guarantee that we will be able to maintain relationships with telemedicine providers now or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Regulatory expectations and enforcement priorities are evolving and may continue to evolve in the future. If our interpretation of applicable requirements differs from the FDA’s, or if guidance changes, we may incur additional review cycles, production costs, and operational burden (e.g., corrective messaging), and our commercialization plans and revenues could be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We may be subject to federal, state and foreign healthcare and abuse laws and false claims laws, as well as information privacy and security laws and regulations. If we are unable to comply, or have not fully complied, with such laws,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face substantial penalties, criminal sanctions, contractual damages, reputational harm, and diminished profits and future earnings.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Although a recent government shut down occurred from October 1, 2025 through November 12, 2025, it is always uncertain how long any such shutdown will last or whether another shutdown will occur.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2025, we had 42,553,931 shares of common stock outstanding. Shares held by directors, executive officers and other affiliates will be subject to volume limitations under Rule 144 under the Securities Act of 1933, as amended, (“Securities Act”) and various vesting agreements.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transactions at prices and in a manner we determine from time to time. For example, in March 2025, we completed a follow-on public offering of approximately 3.2 million shares of our common stock at a public offering price of $44.50 per share, for aggregate net proceeds of approximately $134.8 million (after deducting underwriting discounts, commissions and other estimated offering-related expenses). In March 2024, we completed a follow-on public offering of approximately 3.3 million shares of our common stock at a public offering price of $32.00 per share and, in lieu of common stock to a certain investor, pre-funded warrants to purchase 312,500 shares of our common stock at a price of $31.9999 per pre-funded warrant, for aggregate net proceeds of $107.7 million (after deducting underwriting discounts, commissions and other estimated offering-related expenses). In December 2023, we raised approximately $19.2 million, after deducting broker commissions and fees, through sales under our 2023 ATM Prospectus.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of December 31, 2025, our officers, directors and the holders of more than 5% of our outstanding stock collectively beneficially own approximately 44% of our common stock. As a result, these stockholders,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will increase our costs significantly, as well as divert significant company resources and management attention.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offer or proxy contest involving our company. The existence of these provisions could negatively affect the price of our common stock and limit opportunities for you to realize value in a corporate transaction.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we’ve continued to maintain a set of comprehensive cybersecurity and data protection policies and procedures. Our employees and contractors receive regular cybersecurity awareness trainings, including specific topics related to social engineering and email frauds. We have capable employees and consultants with significant expertise and certifications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general controls are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of Directors. We conduct cybersecurity penetration testing annually to identify and remediate cybersecurity gaps. We also perform cybersecurity assessments of all our third-party providers who have access to our information technology systems and data.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Primary responsibility for assessing, monitoring and managing our cybersecurity risks rests with the Head of Information Technology (“IT”) who reports to our Chief Financial Officer, to manage the risk assessment and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process. We have a dedicated IT resource with expertise in cybersecurity and risk management who is dedicated to working with our internal IT team on cybersecurity risk management.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also engage other consultants and other third parties in connection with our risk assessment and mitigation processes. These service providers assist with the design and implementation of our cybersecurity policies and procedures, as well as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Board of Directors and Audit Committee are responsible for overseeing our cybersecurity risk management and strategy.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Head of IT provides periodic briefings to the Audit Committee including our cybersecurity risks and activities, any potential cybersecurity incidents and related responses, cybersecurity systems testing and, activities of third parties. Our Audit Committee regularly meets with our Chief Financial Officer and Head of IT about the Company’s ongoing compliance and risk management and reports to the Board of Directors regularly.</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Cybersecurity Threat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date, we are not aware of any cybersecurity threats that have materially affected or are reasonably likely to materially affect the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further discussion of cybersecurity risks, please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of December 31, 2025, the Company had two active leases with combined square footage of 98,807 for office and laboratory suites in Irvine, California. In December 2024, the Company entered into an agreement to terminate its former facility lease agreements and entered into a new lease agreement both with the same landlord, to relocate its corporate headquarters to another location in Irvine, California for a 10-year lease term. In September 2025, the Company gained access to the new facility, and commenced the new lease, however the Company’s headquarters have not yet been relocated. Construction is still in progress on the new facility and the Company plans to move in during 2026. We believe that this space will be sufficient to meet our needs for the foreseeable future and that any additional space we may require will be available on commercially reasonable terms (see </w:t>
      </w:r>
      <w:r>
        <w:rPr>
          <w:rFonts w:ascii="Times New Roman;serif" w:hAnsi="Times New Roman;serif"/>
          <w:b w:val="false"/>
          <w:i/>
          <w:color w:val="000000"/>
          <w:sz w:val="20"/>
        </w:rPr>
        <w:t>Note 9</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common stock has been publicly traded on the Nasdaq Global Market LLC under the symbol “TARS” since our IPO on October 15, 2020. Prior to this date, there was no public market for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Holders of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February 17, 2026, the closing price of our common stock on the Nasdaq was $62.78 per share, and there were approximately 12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and do not anticipate paying cash dividends in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our Annual Meeting of Stockholders within 120 days after December 31, 2025 and is incorporated in this Annual Report on Form 10-K by reference.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Tarsus Pharmaceuticals, Inc. under the Securities Act of 1933, as amended, or the Exchange Act.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graph illustrates a comparison of the total cumulative stockholder return on our common stock since the date of the IPO on October 19, 2020, compared to two indices for each fiscal year end thereafter: the Nasdaq Composite Index and the Nasdaq Biotechnology Index. The graph assumes an initial investment of $100 on the date of the IPO, both in our common stock and each index. Historical stockholder return shown is not necessarily indicative of future performance, and we do not make or endorse any predictions as to future stockholder returns.</w:t>
      </w:r>
    </w:p>
    <w:p>
      <w:pPr>
        <w:pStyle w:val="TextBody"/>
        <w:bidi w:val="0"/>
        <w:spacing w:before="240" w:after="283"/>
        <w:jc w:val="center"/>
        <w:rPr/>
      </w:pPr>
      <w:r>
        <w:rPr/>
        <w:drawing>
          <wp:inline distT="0" distB="0" distL="0" distR="0">
            <wp:extent cx="5572125" cy="2752725"/>
            <wp:effectExtent l="0" t="0" r="0" b="0"/>
            <wp:docPr id="1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 descr=""/>
                    <pic:cNvPicPr>
                      <a:picLocks noChangeAspect="1" noChangeArrowheads="1"/>
                    </pic:cNvPicPr>
                  </pic:nvPicPr>
                  <pic:blipFill>
                    <a:blip r:embed="rId12"/>
                    <a:stretch>
                      <a:fillRect/>
                    </a:stretch>
                  </pic:blipFill>
                  <pic:spPr bwMode="auto">
                    <a:xfrm>
                      <a:off x="0" y="0"/>
                      <a:ext cx="5572125" cy="2752725"/>
                    </a:xfrm>
                    <a:prstGeom prst="rect">
                      <a:avLst/>
                    </a:prstGeom>
                  </pic:spPr>
                </pic:pic>
              </a:graphicData>
            </a:graphic>
          </wp:inline>
        </w:drawing>
      </w:r>
      <w:bookmarkStart w:id="10" w:name="i-11"/>
      <w:bookmarkEnd w:id="1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“Selected Financial Data” and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“Note Regarding Forward-Looking Statements”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We are a commercial stage biopharmaceutical company focused on the development and commercialization of therapeutics, starting with eye care. We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in August 2023 after receiving U.S. Food and Drug Administration (“FDA”) approval in July 2023.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is 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 (“GABA-Cl”)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patients with Meibomian Gland Disease (“MGD”), including the Phase 2a clinical trial (the “Ersa Trial”), and a pilot clinical trial (the “Rhea Trial”) involving an XDEMVY vehicle.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lotilaner API to address several diseases in human medicine, including eye care, and infectious disease prevention. 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before="0" w:after="0"/>
        <w:ind w:left="0" w:right="0" w:firstLine="900"/>
        <w:jc w:val="left"/>
        <w:rPr/>
      </w:pPr>
      <w:r>
        <w:rPr/>
      </w:r>
    </w:p>
    <w:p>
      <w:pPr>
        <w:pStyle w:val="TextBody"/>
        <w:bidi w:val="0"/>
        <w:spacing w:lineRule="auto" w:line="276" w:before="0" w:after="0"/>
        <w:jc w:val="left"/>
        <w:rPr/>
      </w:pPr>
      <w:r>
        <w:rPr>
          <w:rFonts w:ascii="Times New Roman;serif" w:hAnsi="Times New Roman;serif"/>
          <w:b/>
          <w:color w:val="000000"/>
          <w:sz w:val="20"/>
        </w:rPr>
        <w:t>Recent Business and Corporate Highlights</w:t>
      </w:r>
      <w:r>
        <w:rPr>
          <w:color w:val="000000"/>
        </w:rPr>
        <w:t xml:space="preserve"> </w:t>
      </w:r>
    </w:p>
    <w:p>
      <w:pPr>
        <w:pStyle w:val="TextBody"/>
        <w:bidi w:val="0"/>
        <w:spacing w:before="0" w:after="0"/>
        <w:ind w:left="0" w:right="0" w:firstLine="990"/>
        <w:jc w:val="left"/>
        <w:rPr/>
      </w:pPr>
      <w:r>
        <w:rPr/>
      </w:r>
    </w:p>
    <w:p>
      <w:pPr>
        <w:pStyle w:val="TextBody"/>
        <w:bidi w:val="0"/>
        <w:spacing w:lineRule="auto" w:line="268" w:before="0" w:after="0"/>
        <w:jc w:val="left"/>
        <w:rPr/>
      </w:pPr>
      <w:r>
        <w:rPr>
          <w:rFonts w:ascii="Times New Roman;serif" w:hAnsi="Times New Roman;serif"/>
          <w:b/>
          <w:color w:val="000000"/>
          <w:sz w:val="20"/>
          <w:u w:val="single"/>
        </w:rPr>
        <w:t>XDEMVY</w:t>
      </w:r>
      <w:r>
        <w:rPr>
          <w:color w:val="000000"/>
        </w:rPr>
        <w:t xml:space="preserve"> </w:t>
      </w:r>
    </w:p>
    <w:p>
      <w:pPr>
        <w:pStyle w:val="TextBody"/>
        <w:bidi w:val="0"/>
        <w:spacing w:before="0" w:after="0"/>
        <w:ind w:left="0" w:right="0" w:firstLine="99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XDEMVY is one of the best-selling prescription eye drops.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Net product sales were $151.7 million and $451.4 million for the fourth quarter and full year 2025, respectively.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Delivered approximately 130,000 and 400,000 bottles to patients during the fourth quarter and full year 2025, respectively.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Maintained over 90% of commercial, Medicare, and Medicaid covered lives and recognized a gross-to-net discount of approximately 44% and 45% in the fourth quarter and full year 2025, respectively.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Direct-to-consumer (“DTC”) campaign on streaming platforms and network television generated a positive return on investment in 2025 that continues to grow.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14"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Unaided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now approximately 25% versus 2% of patients surveyed at the beginning of the campaign.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continued to execute on our category-creating strategy, advancing a robust pipeline.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Strengthened our leadership with the appointment of David E.I. Pyott, a renowned Biopharmaceutical leader and former Chief Executive Officer and Chairman of Allergan Inc., to the Board of Directors.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Mr. Pyott joined our Board of Directors in February 2026 and brings decades of global leadership experience spanning innovative R&amp;D, product development, and commercial execution. He was instrumental in transforming Allergan from a focused eye care business with approximately $1 billion in revenue into a global specialty pharmaceutical and medical device leader generating more than $7 billion in revenue.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(“AAOpt”) Annual Meeting 2024, and in April 2025 at the American Society of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the presence and quality of liquid secretion as measured by the Meibomian Gland Secretion Score; ii) the number of glands 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is continuing to move forward with sharing this data with ECPs.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Rosacea, Galatea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2024, we announced positive topline results from the Galatea trial, a Phase 2a trial evaluating TP-04, an investigational sterile aqueous gel formulation of lotilaner, for the potential treatment of papulopustular rosacea. The positive topline results demonstrated statistically significant improvements (p&lt;0.05) in inflammatory lesions and Investigator’s Global Assessment score (change in baseline and success rate) were observed compared to vehicle at week 12. TP-04 was generally well tolerated.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review of the Galatea trial data with the FDA and key opinion leaders (“KOLs”), we decided to pursue development of TP-04 for the potential treatment for ocular rosacea, a highly prevalent and underserved eye disease with no FDA-approved therapy. In December 2025, we initiated a Phase 2 trial for the potential treatment of ocular rosacea with topline results expected in the first half of 2027.</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Lyme Disease, Carpo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73685"/>
                <wp:effectExtent l="0" t="0" r="0" b="0"/>
                <wp:wrapNone/>
                <wp:docPr id="115"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announced positive topline results from the Carpo trial, which demonstrated a statistically significant increase in tick mortality compared to vehicle (p&lt;0.001), regardless of treatment arm, and was well tolerated (the “Carpo Trial”). The Carpo Trial was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Given ongoing discussions with the FDA about our Lyme disease program, they agreed to our proposed approach for a Phase 2 clinical trial of TP-05 (an investigational oral tablet), which would include several hundred subjects with planned trial initiation expected in the second quarter of 2026. Additionally, the FDA confirmed that a Phase 3 trial would require a disease prevention field study that would likely require the enrollment of thousands of patients. We believe that partnering this program, following completion of the Phase 2 clinical trial, could be the best approach to potentially deliver this prophylactic therapy candidate to patients.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2026 and Beyond:</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Europe, we are on track for the potential approval of a preservative-free formulation of TP-03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expected in 2027.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Ongoing discussions continue with regulatory authorities in Japan on a potential path to approval of TP-03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The Elara prevalence trial showed high prevalence and significant impact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Japan, consistent with U.S. findings.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partner in Greater China, GrandPharma, expects potential approval of TP-03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To date, we have financed our operations through private placements of preferred stock, convertible promissory notes, net proceeds from issuance of common stock in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and our Open Market Sale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(the “2023 ATM Prospectus”), as well as proceeds from net product sales, our China Out-License, and drawdowns from the loan and security agreement (the “2024 Credit Facility”) with funds associated with Pharmakon Advisors, LP (“Pharmakon”), and the previous loan and security agreement with Hercules Capital, Inc. and Silicon Valley Bank, a division of First Citizens Bank &amp; Trust Company (the “2022 Credit Facility”, and collectively the “Credit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as we advance our other product candidates through clinical trials, regulatory submissions, and potential commercialization. Our net losses were $66.4 million, $115.6 million and $135.9 million for the years ended December 31, 2025, 2024, and 2023,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the clinical development of TP-04 for the potential treatment of ocular rosacea and TP-05 for the potential Lyme disease prophylaxis;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685"/>
                <wp:effectExtent l="0" t="0" r="0" b="0"/>
                <wp:wrapNone/>
                <wp:docPr id="116"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began generating XDEMVY product sales in August 2023, following FDA approval in July 2023. Our reported revenue within license fees and collaboration revenue is from our China Out-License and clinical supply agreement; we expect to report additional revenue under this caption in future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expect to finance our operations through existing capital balances, revenue from product sales,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pPr>
      <w:r>
        <w:rPr>
          <w:rFonts w:ascii="Times New Roman;serif" w:hAnsi="Times New Roman;serif"/>
          <w:b w:val="false"/>
          <w:color w:val="000000"/>
          <w:sz w:val="20"/>
        </w:rPr>
        <w:t>As of December 31, 2025, our aggregate cash, cash equivalents and marketable securities was $417.3 million – see the section below titled “</w:t>
      </w:r>
      <w:r>
        <w:rPr>
          <w:rFonts w:ascii="Times New Roman;serif" w:hAnsi="Times New Roman;serif"/>
          <w:b w:val="false"/>
          <w:i/>
          <w:color w:val="000000"/>
          <w:sz w:val="20"/>
        </w:rPr>
        <w:t>Management’s Discussion and Analysis of Financial Condition and Results of Operations —</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Recent global economic conditions have been marked by </w:t>
      </w:r>
      <w:r>
        <w:rPr>
          <w:rFonts w:ascii="Times New Roman;serif" w:hAnsi="Times New Roman;serif"/>
          <w:b w:val="false"/>
          <w:color w:val="000000"/>
          <w:sz w:val="20"/>
          <w:shd w:fill="FFFFFF" w:val="clear"/>
        </w:rPr>
        <w:t xml:space="preserve">significant volatility and heightened trade tensions. In addition, persistent inflationary pressures, a prolonged higher interest rate environment, energy supply disruptions in certain regions, evolving trade policies, regulatory uncertainty, </w:t>
      </w:r>
      <w:r>
        <w:rPr>
          <w:rFonts w:ascii="Times New Roman;serif" w:hAnsi="Times New Roman;serif"/>
          <w:b w:val="false"/>
          <w:color w:val="000000"/>
          <w:sz w:val="20"/>
        </w:rPr>
        <w:t xml:space="preserve">and ongoing and emerging geopolitical conflicts, including war, </w:t>
      </w:r>
      <w:r>
        <w:rPr>
          <w:rFonts w:ascii="Times New Roman;serif" w:hAnsi="Times New Roman;serif"/>
          <w:b w:val="false"/>
          <w:color w:val="000000"/>
          <w:sz w:val="20"/>
          <w:shd w:fill="FFFFFF" w:val="clear"/>
        </w:rPr>
        <w:t>have contributed to regional and global macroeconomic challenges. These conditions have created uncertainty in global markets and may continue to impact economic conditions for an extended period.</w:t>
      </w:r>
    </w:p>
    <w:p>
      <w:pPr>
        <w:pStyle w:val="TextBody"/>
        <w:bidi w:val="0"/>
        <w:spacing w:lineRule="auto" w:line="288" w:before="0" w:after="0"/>
        <w:ind w:left="0" w:right="0" w:firstLine="990"/>
        <w:jc w:val="left"/>
        <w:rPr/>
      </w:pPr>
      <w:r>
        <w:rPr>
          <w:rFonts w:ascii="Times New Roman;serif" w:hAnsi="Times New Roman;serif"/>
          <w:b w:val="false"/>
          <w:color w:val="000000"/>
          <w:sz w:val="20"/>
        </w:rPr>
        <w:t>For additional information regarding the potential adverse effects of unfavorable global and geopolitical economic conditions on our business, results of operations and financial condition, please see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Item 1A of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3685"/>
                <wp:effectExtent l="0" t="0" r="0" b="0"/>
                <wp:wrapNone/>
                <wp:docPr id="117"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721" w:type="dxa"/>
        <w:jc w:val="center"/>
        <w:tblInd w:w="0" w:type="dxa"/>
        <w:tblLayout w:type="fixed"/>
        <w:tblCellMar>
          <w:top w:w="28" w:type="dxa"/>
          <w:left w:w="28" w:type="dxa"/>
          <w:bottom w:w="28" w:type="dxa"/>
          <w:right w:w="28" w:type="dxa"/>
        </w:tblCellMar>
      </w:tblPr>
      <w:tblGrid>
        <w:gridCol w:w="1384"/>
        <w:gridCol w:w="1216"/>
        <w:gridCol w:w="1224"/>
        <w:gridCol w:w="196"/>
        <w:gridCol w:w="736"/>
        <w:gridCol w:w="109"/>
        <w:gridCol w:w="109"/>
        <w:gridCol w:w="109"/>
        <w:gridCol w:w="109"/>
        <w:gridCol w:w="196"/>
        <w:gridCol w:w="811"/>
        <w:gridCol w:w="109"/>
        <w:gridCol w:w="109"/>
        <w:gridCol w:w="109"/>
        <w:gridCol w:w="109"/>
        <w:gridCol w:w="196"/>
        <w:gridCol w:w="73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2024, we recognized $451.4 million and $180.1 million, respectively from product sales, net of rebates, chargebacks, discounts, and other adjustments. This increase was primarily driven by approximately 400,000 bottles of XDEMVY delivered to patients during the year ended December 31, 2025, compared to approximately 163,000 bottles delivered to patients in the prior year period, as well as an increase in net sales price compared to the prior period driven primarily by an improvement in the gross-to-net discount as we secured greater payer coverage in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Fees and Collaboration Revenue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During the year ended December 31, 2025, we did not recognize any license fees and collaboration revenue. During the year ended December 31, 2024, we recognized $2.9 million of license fees and collaboration revenue including (i) $2.5 million for a termination payment related to the Novation Agreement, and (ii) $0.4 million for a warrant termination payment (see </w:t>
      </w:r>
      <w:r>
        <w:rPr>
          <w:rFonts w:ascii="Times New Roman;serif" w:hAnsi="Times New Roman;serif"/>
          <w:b w:val="false"/>
          <w:i/>
          <w:color w:val="000000"/>
          <w:sz w:val="20"/>
        </w:rPr>
        <w:t>Note 10</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and 2024, we recognized $30.7 million and $12.8 million, respectively, in cost of sales of XDEMVY and gross margins remained consistent at 93% for both periods.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3685"/>
                <wp:effectExtent l="0" t="0" r="0" b="0"/>
                <wp:wrapNone/>
                <wp:docPr id="118"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596"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64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personnel-related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Elanco milestone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erif" w:hAnsi="Times New Roman;serif"/>
          <w:b w:val="false"/>
          <w:color w:val="000000"/>
          <w:sz w:val="20"/>
        </w:rPr>
        <w:t xml:space="preserve">Research and development expenses increased by $10.9 million for the year ended December 31, 2025, as compared to the prior year period. The increase was due to (i) $8.9 million of increased payroll and personnel-related costs (including increased stock-based compensation expense of $3.2 million) for employee additions to drive our product development initiatives, (ii) $1.6 million of increased other indirect expenses, (iii) $3.3 million of increased early-stage programs, and (iv) $2.4 million of increased TP-04 program expenses. These increases were partially offset by (i) $2.7 million of decreased TP-03 expenses, (ii) $2.5 million of decreased milestone expenses related to our in-license agreements in the prior year period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and (iii) $0.1 million of decreased TP-05 program expenses.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$190.0 million for the year ended December 31, 2025, as compared to the prior year period. The increase was primarily due to (i) $112.6 million of increased commercial and marketing costs, including direct to consumer advertising costs, as we expanded our promotional efforts for the commercial launch of XDEMVY, (ii) $46.8 million of increased patient support functions, information technology, legal, and professional expenses, and (iii) $30.6 million of increased payroll and personnel-related costs (including increased stock-based compensation expense of $10.6 million) for commercial and corporate employee additions to support our business growth and commercial leadership hires for XDEMVY. Additionally, our field sales headcount and associated vendor expenses increased in 2025 due to further growth and expansion of our commercial activities for XDEMVY and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by $1.6 million for the year ended December 31, 2025, primarily due to $1.9 million of loss on debt extinguishment related to the 2022 Credit Facility, which was recognized in the prior year period, and $0.7 million of increased interest income earned on our cash, cash equivalents and marketable securities. These increases were partially offset by $1.1 million of increased interest expense related to our 2024 Credit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$2.1 million for the year ended December 31, 2025, primarily due to state income tax expense resulting from states that do not conform to the OBBB Act and therefore continue to require the capitalization and amortization of domestic research and development expenditures. There was no provision for income taxes recorded during the year ended December 31,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and 2023</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73685"/>
                <wp:effectExtent l="0" t="0" r="0" b="0"/>
                <wp:wrapNone/>
                <wp:docPr id="119"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our Credit Facilities. As of December 31, 2025, we had cash, cash equivalents and marketable securities of $417.3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an automatic shelf registration statement on Form S-3 ASR (the “2024 Shelf Registration Statement”). In March 2024, we completed the March 2024 Public Offering. The 2024 Public Offering was an underwritten follow-on public offering under the 2024 Shelf Registration Statement, pursuant to which we sold 2,812,500 shares of our common stock,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our common stock at the public offering price of $32.00 per share, which the underwriters exercised in full in March 2024. We received $107.7 million of aggregate net proceeds,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we completed an underwritten follow-on public offering under the 2024 Shelf Registration Statement pursuant to which we sold 2,808,988 shares of our common stock. The price to the public was $44.50 per share. We also granted the underwriters a 30-day option to purchase up to 421,348 additional shares of our common stock at the public offering price of $44.50 per share, which the underwriters exercised in full in March 2025. We received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sold 1,000,000 shares of our common stock for $20.00 per share under a sales agreement prospectus filed in November 2023, pursuant to the 2023 Shelf Registration Statement (defined below) covering the sale of up to $100.0 million of our common stock pursuant to the 2023 ATM Prospectus with Jefferies LLC (“Jefferies”). This resulted in net proceeds of $19.2 million, after deducting broker commissions and offering related expenses. During the years ended December 31, 2024 and 2025, there were no sales of our common stock pursuant to the 2023 ATM Prospectus.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a warrant termination agreement.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eligible to receive further consideration from GrandPharma upon the achievement of additional TP-03 events, including: (i) additional regulatory approval and/or patent issuance milestones and one-time payments of up to an aggregate of $20.0 million ; (ii) China-based TP-03 sales threshold milestones of up to an aggregate of $100.0 million; and (iii) tiered low-to-high-teen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we executed the 2024 Credit Facility with Pharmakon with maturity in April 2029. The 2024 Credit Facility is collateralized by substantially all of our presently existing and subsequently acquired assets. Upon execution, we made 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sales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73685"/>
                <wp:effectExtent l="0" t="0" r="0" b="0"/>
                <wp:wrapNone/>
                <wp:docPr id="120"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which were met. We did not draw on any of the three additional tranches, each of which expired on December 31, 2024, June 30, 2025, and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2024 Credit Facility bears interest at a floating rate based upon the secured overnight financing rate (“SOFR”), plus a margin of 6.75% per annum. The SOFR is subject to a 3.75% floor. The 2024 Credit Facility contains representations and warranties, affirmative and negative covenants in each case. There is also no warrant coverage to the lenders and no financial covenants associated with the financing.</w:t>
      </w:r>
    </w:p>
    <w:p>
      <w:pPr>
        <w:pStyle w:val="TextBody"/>
        <w:bidi w:val="0"/>
        <w:spacing w:lineRule="auto" w:line="256"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$426.6 million and $360.2 million as of December 31, 2025 and 2024,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of $417.3 million as of December 31, 2025 is sufficient to fund our current and planned operations for at least the next twelve months from the date of filing this Annual Report on Form 10-K.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Sales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Liquidity Risks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we have generated revenue from the launch of XDEMVY, we could incur operating losses in the future as we expand our clinical development programs for our other product candidates and continue to commercialize XDEMVY. We may also encounter unforeseen expenses, difficulties, complications, delays and other currently unknown factors that could adversely affect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685"/>
                <wp:effectExtent l="0" t="0" r="0" b="0"/>
                <wp:wrapNone/>
                <wp:docPr id="121"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Annual Report on Form 10-K titled “Risk Factors” for additional risks associated with our substantial capital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arrangements that contractually obligate us to make payments that will affect our liquidity and cash flows in future periods. Such arrangements include those related to the contractual obligations described below:</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operating lease commitments reflect payments due for our active lease agreement in Irvine, California, for office and laboratory suites. As of December 31, 2025, our contractual commitments for our leases were $28.4 million, which will be paid over a remaining lease term of 9.9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73685"/>
                <wp:effectExtent l="0" t="0" r="0" b="0"/>
                <wp:wrapNone/>
                <wp:docPr id="122"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entered into manufacturing supply agreements for the commercial supply of XDEMVY. These amounts do not represent all of our anticipated purchases, but instead represent the contractually obligated minimum purchases or firm commitments of non-cancelable minimum amounts, as follows:</w:t>
      </w:r>
    </w:p>
    <w:tbl>
      <w:tblPr>
        <w:tblW w:w="2164"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196"/>
        <w:gridCol w:w="64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Milestone Obligations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terms of our Eye and Derm Elanco Agreement, All Human Uses Elanco Agreement, Other In-License Agreement, and February 2026 In-License Agreement require us to make future development milestone payments aggregating up to $11.5 million and future commercial and sales-based milestone payments aggregating up to $341.0 million upon our achievement of the specified milestones. The amount and timing of such obligations are unknown or uncertain as of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and cash equivalents for each of the periods presented below:</w:t>
      </w:r>
    </w:p>
    <w:tbl>
      <w:tblPr>
        <w:tblW w:w="6308" w:type="dxa"/>
        <w:jc w:val="left"/>
        <w:tblInd w:w="0" w:type="dxa"/>
        <w:tblLayout w:type="fixed"/>
        <w:tblCellMar>
          <w:top w:w="28" w:type="dxa"/>
          <w:left w:w="28" w:type="dxa"/>
          <w:bottom w:w="28" w:type="dxa"/>
          <w:right w:w="28" w:type="dxa"/>
        </w:tblCellMar>
      </w:tblPr>
      <w:tblGrid>
        <w:gridCol w:w="1373"/>
        <w:gridCol w:w="1202"/>
        <w:gridCol w:w="1219"/>
        <w:gridCol w:w="196"/>
        <w:gridCol w:w="721"/>
        <w:gridCol w:w="109"/>
        <w:gridCol w:w="109"/>
        <w:gridCol w:w="109"/>
        <w:gridCol w:w="109"/>
        <w:gridCol w:w="196"/>
        <w:gridCol w:w="81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$12.5 million for the year ended December 31, 2025, which primarily consisted of net loss of $66.4 million, partially offset by net increases in non-cash and other charges of $39.3 million and net operating assets and liabilities of $14.6 million. Our cash outflows primarily related to: (i) $638.8 million of vendor payments, (ii) $109.1 million of personnel-related costs, and (iii) $18.8 million of royalty payments. These cash outflows were partially offset by cash receipts including $734.4 million related to XDEMVY net product sales and $17.5 million from stock-related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$83.0 million for the year ended December 31, 2024, which primarily consisted of our net loss of $115.6 million, partially offset by net increases in non-cash and other charges of $28.7 million and net operating assets and liabilities of $3.8 million. Our cash outflows primarily related to: (i) $290.0 million of vendor payments, (ii) $80.1 million of personnel-related costs, and (iii) $6.3 million of royalty payments. These cash outflows were partially offset by cash receipts including $280.7 million related to XDEMVY net product sales and $11.2 million from stock-related activities.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$42.1 million for the year ended December 31, 2025, and related to (i) $393.2 million of purchased marketable securities, (ii) $0.9 million of purchased long-term investments, and (iii) $9.9 million of purchased property, plant and equipment. These cash decreases were partially offset by $361.8 million of proceeds from maturities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3685"/>
                <wp:effectExtent l="0" t="0" r="0" b="0"/>
                <wp:wrapNone/>
                <wp:docPr id="123"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Net cash used in investing activities was $199.2 million for the year ended December 31, 2024, </w:t>
      </w:r>
      <w:r>
        <w:rPr>
          <w:rFonts w:ascii="Times New Roman;serif" w:hAnsi="Times New Roman;serif"/>
          <w:b w:val="false"/>
          <w:color w:val="000000"/>
          <w:sz w:val="20"/>
          <w:shd w:fill="FFFFFF" w:val="clear"/>
        </w:rPr>
        <w:t xml:space="preserve">and consisted of </w:t>
      </w:r>
      <w:r>
        <w:rPr>
          <w:rFonts w:ascii="Times New Roman;serif" w:hAnsi="Times New Roman;serif"/>
          <w:b w:val="false"/>
          <w:color w:val="000000"/>
          <w:sz w:val="20"/>
        </w:rPr>
        <w:t>(i) $262.6 million of purchased marketable securities, (ii) $5.0 million of intangible asset additions, (iii) $3.0 million of purchased long-term investments, and (iv) $1.6 million of purchased property, plant and equipment. These cash decreases were partially offset by $73.0 million</w:t>
      </w:r>
      <w:r>
        <w:rPr>
          <w:color w:val="000000"/>
          <w:shd w:fill="FFFFFF" w:val="clear"/>
        </w:rPr>
        <w:t xml:space="preserve"> </w:t>
      </w:r>
      <w:r>
        <w:rPr>
          <w:rFonts w:ascii="Times New Roman;serif" w:hAnsi="Times New Roman;serif"/>
          <w:b w:val="false"/>
          <w:color w:val="000000"/>
          <w:sz w:val="20"/>
        </w:rPr>
        <w:t>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$143.4 million for the year ended December 31, 2025, and consisted of (i) $134.8 million of net proceeds from the issuance of common stock from our March 2025 Public Offering, (ii) $6.3 million of proceeds from employee stock option exercises, and (iii) $2.3 million of proceeds from our Employee Stock Purchase Plan (“ESPP”).</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$154.7 million for the year ended December 31, 2024, and consisted of (i) $98.3 million of net proceeds from the issuance of common stock from our March 2024 Public Offering, (ii) $9.4 million from the issuance of pre-funded warrants related to our March 2024 Public Offering, (iii) $75.0 million of proceeds from an initial draw against our 2024 Credit Facility, (iv) $5.6 million of proceeds from employee stock option exercises, and (v) $1.8 million of proceeds from our ESPP. These cash increases were partially offset by $31.9 million of debt extinguishment payments on the 2022 Credit Facility and $3.5 million of cash paid for loan issuance costs on the 2024 Credit Facility.</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a discussion of the statement of cash flows for the year ended December 31, 2023, please refer to Part II, Item 7, “Management’s Discussion and Analysis of Financial Condition and Results of Operations” in our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Annual Report on Form 10-K,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3685"/>
                <wp:effectExtent l="0" t="0" r="0" b="0"/>
                <wp:wrapNone/>
                <wp:docPr id="124" name="Frame1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activity with respect to our sales allowances and accruals for the years ended December 31, 2025 and 2024 (in thousands):</w:t>
      </w:r>
    </w:p>
    <w:tbl>
      <w:tblPr>
        <w:tblW w:w="8467" w:type="dxa"/>
        <w:jc w:val="left"/>
        <w:tblInd w:w="0" w:type="dxa"/>
        <w:tblLayout w:type="fixed"/>
        <w:tblCellMar>
          <w:top w:w="28" w:type="dxa"/>
          <w:left w:w="28" w:type="dxa"/>
          <w:bottom w:w="28" w:type="dxa"/>
          <w:right w:w="28" w:type="dxa"/>
        </w:tblCellMar>
      </w:tblPr>
      <w:tblGrid>
        <w:gridCol w:w="1048"/>
        <w:gridCol w:w="922"/>
        <w:gridCol w:w="924"/>
        <w:gridCol w:w="367"/>
        <w:gridCol w:w="1212"/>
        <w:gridCol w:w="205"/>
        <w:gridCol w:w="109"/>
        <w:gridCol w:w="109"/>
        <w:gridCol w:w="109"/>
        <w:gridCol w:w="351"/>
        <w:gridCol w:w="1161"/>
        <w:gridCol w:w="198"/>
        <w:gridCol w:w="109"/>
        <w:gridCol w:w="109"/>
        <w:gridCol w:w="109"/>
        <w:gridCol w:w="307"/>
        <w:gridCol w:w="874"/>
        <w:gridCol w:w="24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Co-payment Assistance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Chargebacks/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Deductions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charged against product sales</w:t>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charged against product sales</w:t>
            </w:r>
          </w:p>
        </w:tc>
        <w:tc>
          <w:tcPr>
            <w:tcW w:w="15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164,813 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157,264 </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45,534 </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(161,970)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48,293 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3685"/>
                <wp:effectExtent l="0" t="0" r="0" b="0"/>
                <wp:wrapNone/>
                <wp:docPr id="125"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ind w:left="0" w:right="0" w:firstLine="990"/>
        <w:jc w:val="left"/>
        <w:rPr/>
      </w:pPr>
      <w:r>
        <w:rPr/>
      </w:r>
    </w:p>
    <w:p>
      <w:pPr>
        <w:pStyle w:val="TextBody"/>
        <w:bidi w:val="0"/>
        <w:spacing w:lineRule="auto" w:line="288" w:before="0" w:after="0"/>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position represents the potential loss arising from adverse changes in interest rates. As of December 31, 2025, we had cash, cash equivalents and marketable securities of $417.3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year ended December 31, 2025.</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73685"/>
                <wp:effectExtent l="0" t="0" r="0" b="0"/>
                <wp:wrapNone/>
                <wp:docPr id="126" name="Frame1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FINANCIAL STATEMENTS</w:t>
      </w:r>
    </w:p>
    <w:tbl>
      <w:tblPr>
        <w:tblW w:w="6136" w:type="dxa"/>
        <w:jc w:val="center"/>
        <w:tblInd w:w="0" w:type="dxa"/>
        <w:tblLayout w:type="fixed"/>
        <w:tblCellMar>
          <w:top w:w="28" w:type="dxa"/>
          <w:left w:w="28" w:type="dxa"/>
          <w:bottom w:w="28" w:type="dxa"/>
          <w:right w:w="28" w:type="dxa"/>
        </w:tblCellMar>
      </w:tblPr>
      <w:tblGrid>
        <w:gridCol w:w="2016"/>
        <w:gridCol w:w="1769"/>
        <w:gridCol w:w="1780"/>
        <w:gridCol w:w="167"/>
        <w:gridCol w:w="167"/>
        <w:gridCol w:w="237"/>
      </w:tblGrid>
      <w:tr>
        <w:trPr/>
        <w:tc>
          <w:tcPr>
            <w:tcW w:w="201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88">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2015f1968be49f29f4e21ebc34be7a7_88">
              <w:r>
                <w:rPr>
                  <w:rStyle w:val="InternetLink"/>
                  <w:rFonts w:ascii="Times New Roman;serif" w:hAnsi="Times New Roman;serif"/>
                  <w:b w:val="false"/>
                  <w:color w:val="0000FF"/>
                  <w:sz w:val="18"/>
                  <w:u w:val="single"/>
                </w:rPr>
                <w:t>114</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91">
              <w:r>
                <w:rPr>
                  <w:rStyle w:val="InternetLink"/>
                  <w:rFonts w:ascii="Times New Roman;serif" w:hAnsi="Times New Roman;serif"/>
                  <w:b w:val="false"/>
                  <w:color w:val="0000FF"/>
                  <w:sz w:val="18"/>
                  <w:u w:val="single"/>
                </w:rPr>
                <w:t>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015f1968be49f29f4e21ebc34be7a7_91">
              <w:r>
                <w:rPr>
                  <w:rStyle w:val="InternetLink"/>
                  <w:rFonts w:ascii="Times New Roman;serif" w:hAnsi="Times New Roman;serif"/>
                  <w:b w:val="false"/>
                  <w:color w:val="0000FF"/>
                  <w:sz w:val="18"/>
                  <w:u w:val="single"/>
                </w:rPr>
                <w:t>116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94">
              <w:r>
                <w:rPr>
                  <w:rStyle w:val="InternetLink"/>
                  <w:rFonts w:ascii="Times New Roman;serif" w:hAnsi="Times New Roman;serif"/>
                  <w:b w:val="false"/>
                  <w:color w:val="0000FF"/>
                  <w:sz w:val="18"/>
                  <w:u w:val="single"/>
                </w:rPr>
                <w:t>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015f1968be49f29f4e21ebc34be7a7_94">
              <w:r>
                <w:rPr>
                  <w:rStyle w:val="InternetLink"/>
                  <w:rFonts w:ascii="Times New Roman;serif" w:hAnsi="Times New Roman;serif"/>
                  <w:b w:val="false"/>
                  <w:color w:val="0000FF"/>
                  <w:sz w:val="18"/>
                  <w:u w:val="single"/>
                </w:rPr>
                <w:t>117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97">
              <w:r>
                <w:rPr>
                  <w:rStyle w:val="InternetLink"/>
                  <w:rFonts w:ascii="Times New Roman;serif" w:hAnsi="Times New Roman;serif"/>
                  <w:b w:val="false"/>
                  <w:color w:val="0000FF"/>
                  <w:sz w:val="18"/>
                  <w:u w:val="single"/>
                </w:rPr>
                <w:t>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015f1968be49f29f4e21ebc34be7a7_97">
              <w:r>
                <w:rPr>
                  <w:rStyle w:val="InternetLink"/>
                  <w:rFonts w:ascii="Times New Roman;serif" w:hAnsi="Times New Roman;serif"/>
                  <w:b w:val="false"/>
                  <w:color w:val="0000FF"/>
                  <w:sz w:val="18"/>
                  <w:u w:val="single"/>
                </w:rPr>
                <w:t>118</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00">
              <w:r>
                <w:rPr>
                  <w:rStyle w:val="InternetLink"/>
                  <w:rFonts w:ascii="Times New Roman;serif" w:hAnsi="Times New Roman;serif"/>
                  <w:b w:val="false"/>
                  <w:color w:val="0000FF"/>
                  <w:sz w:val="18"/>
                  <w:u w:val="single"/>
                </w:rPr>
                <w:t>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015f1968be49f29f4e21ebc34be7a7_100">
              <w:r>
                <w:rPr>
                  <w:rStyle w:val="InternetLink"/>
                  <w:rFonts w:ascii="Times New Roman;serif" w:hAnsi="Times New Roman;serif"/>
                  <w:b w:val="false"/>
                  <w:color w:val="0000FF"/>
                  <w:sz w:val="18"/>
                  <w:u w:val="single"/>
                </w:rPr>
                <w:t>119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015f1968be49f29f4e21ebc34be7a7_103">
              <w:r>
                <w:rPr>
                  <w:rStyle w:val="InternetLink"/>
                  <w:rFonts w:ascii="Times New Roman;serif" w:hAnsi="Times New Roman;serif"/>
                  <w:b w:val="false"/>
                  <w:color w:val="0000FF"/>
                  <w:sz w:val="18"/>
                  <w:u w:val="single"/>
                </w:rPr>
                <w:t>Notes to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015f1968be49f29f4e21ebc34be7a7_103">
              <w:r>
                <w:rPr>
                  <w:rStyle w:val="InternetLink"/>
                  <w:rFonts w:ascii="Times New Roman;serif" w:hAnsi="Times New Roman;serif"/>
                  <w:b w:val="false"/>
                  <w:color w:val="0000FF"/>
                  <w:sz w:val="18"/>
                  <w:u w:val="single"/>
                </w:rPr>
                <w:t>120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73685"/>
                <wp:effectExtent l="0" t="0" r="0" b="0"/>
                <wp:wrapNone/>
                <wp:docPr id="127" name="Frame1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0"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Tarsus Pharmaceuticals, Inc.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balance sheets of Tarsus Pharmaceuticals, Inc. (the Company) as of December 31, 2025 and 2024, the related statements of operations and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23,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40" w:after="283"/>
        <w:jc w:val="both"/>
        <w:rPr>
          <w:rFonts w:ascii="Times New Roman;serif" w:hAnsi="Times New Roman;serif"/>
          <w:b w:val="false"/>
          <w:color w:val="333333"/>
          <w:sz w:val="20"/>
          <w:shd w:fill="FFFFFF" w:val="clear"/>
        </w:rPr>
      </w:pPr>
      <w:r>
        <w:rPr>
          <w:rFonts w:ascii="Times New Roman;serif" w:hAnsi="Times New Roman;serif"/>
          <w:b w:val="false"/>
          <w:color w:val="333333"/>
          <w:sz w:val="20"/>
          <w:shd w:fill="FFFFFF" w:val="clear"/>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504"/>
        <w:gridCol w:w="444"/>
        <w:gridCol w:w="446"/>
        <w:gridCol w:w="109"/>
        <w:gridCol w:w="109"/>
        <w:gridCol w:w="109"/>
        <w:gridCol w:w="2604"/>
        <w:gridCol w:w="2433"/>
        <w:gridCol w:w="3447"/>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Accrued Commercial and Government Rebates Impacted by Estimated Payer Mix</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4"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0"/>
              </w:rPr>
              <w:t xml:space="preserve">As described in Note 2 to the financial statements, where appropriate, the Company utilizes the expected value method to estimate variable consideration based on factors such as current contractual and statutory requirements, specific known market events and trends, industry data and forecasted customer buying and payment patterns. The Company accrues variable consideration for rebates for contractually agreed-upon discounts with commercial payers and mandated discounts under government programs. The Company calculates the accruals for commercial and government rebates based on various assumptions, including payer mix, with actual rebates potentially requiring accrual adjustments affecting net product sales. </w:t>
              <w:br/>
            </w:r>
            <w:r>
              <w:rPr>
                <w:rFonts w:ascii="Times New Roman;serif" w:hAnsi="Times New Roman;serif"/>
                <w:b w:val="false"/>
                <w:sz w:val="20"/>
              </w:rPr>
              <w:br/>
            </w:r>
            <w:r>
              <w:rPr>
                <w:rFonts w:ascii="Times New Roman;serif" w:hAnsi="Times New Roman;serif"/>
                <w:b w:val="false"/>
                <w:color w:val="000000"/>
                <w:sz w:val="20"/>
              </w:rPr>
              <w:t xml:space="preserve">Auditing the Company’s estimated payer mix used in the calculation of the accrued commercial and government rebates was especially challenging because it involved subjective management assumptions based on variability of rebates with commercial payers and government programs. Changes in the payer mix assumptions could have a material impact on the accrued commercial and government rebates. </w:t>
              <w:b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4"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0"/>
              </w:rPr>
              <w:t>We obtained an understanding, evaluated the design, and tested the operating effectiveness of internal controls over the Company’s accrued commercial and government rebates process. For example, we tested controls over management’s development of the payer mix used in the accrual.</w:t>
              <w:br/>
            </w:r>
            <w:r>
              <w:rPr>
                <w:rFonts w:ascii="Times New Roman;serif" w:hAnsi="Times New Roman;serif"/>
                <w:b w:val="false"/>
                <w:sz w:val="20"/>
              </w:rPr>
              <w:br/>
            </w:r>
            <w:r>
              <w:rPr>
                <w:rFonts w:ascii="Times New Roman;serif" w:hAnsi="Times New Roman;serif"/>
                <w:b w:val="false"/>
                <w:color w:val="000000"/>
                <w:sz w:val="20"/>
              </w:rPr>
              <w:t>To test management’s payer mix assumptions, our audit procedures included, among others, comparing management’s estimate to our independently developed expectation based on historical results and inquiring of sales and marketing personnel. We performed a sensitivity analysis to evaluate the impact of changes in management’s estimated payer mix on the accrued commercial and government rebates. Additionally, we compared the accrued rebates, based on the estimated payer mix, to actual rebate invoices received in the subsequent period.</w:t>
            </w:r>
          </w:p>
        </w:tc>
      </w:tr>
    </w:tbl>
    <w:p>
      <w:pPr>
        <w:pStyle w:val="TextBody"/>
        <w:bidi w:val="0"/>
        <w:spacing w:lineRule="auto" w:line="288" w:before="42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Irvine,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72"/>
        <w:gridCol w:w="2446"/>
        <w:gridCol w:w="2331"/>
        <w:gridCol w:w="196"/>
        <w:gridCol w:w="736"/>
        <w:gridCol w:w="109"/>
        <w:gridCol w:w="109"/>
        <w:gridCol w:w="109"/>
        <w:gridCol w:w="109"/>
        <w:gridCol w:w="196"/>
        <w:gridCol w:w="736"/>
        <w:gridCol w:w="156"/>
      </w:tblGrid>
      <w:tr>
        <w:trPr/>
        <w:tc>
          <w:tcPr>
            <w:tcW w:w="2972"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Commitments and contingencies (</w:t>
            </w:r>
            <w:r>
              <w:rPr>
                <w:rFonts w:ascii="Times New Roman;serif" w:hAnsi="Times New Roman;serif"/>
                <w:b/>
                <w:i/>
                <w:color w:val="000000"/>
                <w:sz w:val="18"/>
              </w:rPr>
              <w:t>Note 9</w:t>
            </w:r>
            <w:r>
              <w:rPr>
                <w:rFonts w:ascii="Times New Roman;serif" w:hAnsi="Times New Roman;serif"/>
                <w:b/>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42,553,931 shares issued and outstanding at December 31, 2025; 38,349,826 shares issued and outstanding at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8921" w:type="dxa"/>
        <w:jc w:val="center"/>
        <w:tblInd w:w="0" w:type="dxa"/>
        <w:tblLayout w:type="fixed"/>
        <w:tblCellMar>
          <w:top w:w="28" w:type="dxa"/>
          <w:left w:w="28" w:type="dxa"/>
          <w:bottom w:w="28" w:type="dxa"/>
          <w:right w:w="28" w:type="dxa"/>
        </w:tblCellMar>
      </w:tblPr>
      <w:tblGrid>
        <w:gridCol w:w="1781"/>
        <w:gridCol w:w="1564"/>
        <w:gridCol w:w="1575"/>
        <w:gridCol w:w="202"/>
        <w:gridCol w:w="759"/>
        <w:gridCol w:w="109"/>
        <w:gridCol w:w="109"/>
        <w:gridCol w:w="109"/>
        <w:gridCol w:w="109"/>
        <w:gridCol w:w="196"/>
        <w:gridCol w:w="811"/>
        <w:gridCol w:w="109"/>
        <w:gridCol w:w="109"/>
        <w:gridCol w:w="109"/>
        <w:gridCol w:w="109"/>
        <w:gridCol w:w="196"/>
        <w:gridCol w:w="811"/>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41,784,014 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37,604,538 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29,383,276 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9"/>
        <w:gridCol w:w="452"/>
        <w:gridCol w:w="453"/>
        <w:gridCol w:w="109"/>
        <w:gridCol w:w="109"/>
        <w:gridCol w:w="131"/>
        <w:gridCol w:w="131"/>
        <w:gridCol w:w="493"/>
        <w:gridCol w:w="468"/>
        <w:gridCol w:w="132"/>
        <w:gridCol w:w="109"/>
        <w:gridCol w:w="109"/>
        <w:gridCol w:w="109"/>
        <w:gridCol w:w="297"/>
        <w:gridCol w:w="365"/>
        <w:gridCol w:w="166"/>
        <w:gridCol w:w="190"/>
        <w:gridCol w:w="190"/>
        <w:gridCol w:w="191"/>
        <w:gridCol w:w="227"/>
        <w:gridCol w:w="853"/>
        <w:gridCol w:w="126"/>
        <w:gridCol w:w="109"/>
        <w:gridCol w:w="109"/>
        <w:gridCol w:w="109"/>
        <w:gridCol w:w="235"/>
        <w:gridCol w:w="505"/>
        <w:gridCol w:w="131"/>
        <w:gridCol w:w="109"/>
        <w:gridCol w:w="109"/>
        <w:gridCol w:w="109"/>
        <w:gridCol w:w="196"/>
        <w:gridCol w:w="755"/>
        <w:gridCol w:w="109"/>
        <w:gridCol w:w="109"/>
        <w:gridCol w:w="109"/>
        <w:gridCol w:w="109"/>
        <w:gridCol w:w="196"/>
        <w:gridCol w:w="736"/>
        <w:gridCol w:w="162"/>
      </w:tblGrid>
      <w:tr>
        <w:trPr/>
        <w:tc>
          <w:tcPr>
            <w:tcW w:w="78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421"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2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26,727,458 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$6.9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6,069,449 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an at-the-market sale agreement, net of issuance costs of $0.8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34,211,190 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$6.7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pre-funded warrants, net of issuance costs of $0.6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38,349,826 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$9.0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42,553,931 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TARSUS PHARMACEUTICALS, INC.</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306"/>
        <w:gridCol w:w="1967"/>
        <w:gridCol w:w="1983"/>
        <w:gridCol w:w="196"/>
        <w:gridCol w:w="736"/>
        <w:gridCol w:w="109"/>
        <w:gridCol w:w="109"/>
        <w:gridCol w:w="109"/>
        <w:gridCol w:w="109"/>
        <w:gridCol w:w="196"/>
        <w:gridCol w:w="798"/>
        <w:gridCol w:w="109"/>
        <w:gridCol w:w="109"/>
        <w:gridCol w:w="109"/>
        <w:gridCol w:w="109"/>
        <w:gridCol w:w="196"/>
        <w:gridCol w:w="798"/>
        <w:gridCol w:w="157"/>
      </w:tblGrid>
      <w:tr>
        <w:trPr/>
        <w:tc>
          <w:tcPr>
            <w:tcW w:w="230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Amortization/accretion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amortization/accretion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Realized/unrealized loss (gain) on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equity warrants issued by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(117,493)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and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pre-funded warrants,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an at-the-market sales agreement,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From 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modification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of property and equipment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Offering costs included within accounts payable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the Company completed a follow-on public offering under its shelf registration statement on Form S-3 (the “2021 Shelf Registration Statement”) of 5,714,285 shares of common stock at a public offering price of $17.50 per share. In September 2023, the underwriters partially exercised the underwriters’ option to purchase additional shares resulting in the Company’s issuance of an additional 355,164 shares of common stock at the public offering price of $17.50 per share. The aggregate net proceeds received by the Company were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December 31, 2025,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TM</w:t>
      </w:r>
      <w:r>
        <w:rPr>
          <w:rFonts w:ascii="Times New Roman;serif" w:hAnsi="Times New Roman;serif"/>
          <w:b w:val="false"/>
          <w:color w:val="000000"/>
          <w:sz w:val="20"/>
        </w:rPr>
        <w:t>. Under the terms of the 2023 ATM Prospectus, Jefferies will act as the Company’s sales agent and is entitled to compensation for its services equal to 3% of the gross proceeds of any shares of common stock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there were no sales of the Company’s common stock pursuant to the 2023 ATM Prospectus. During the year ended December 31, 2023, the Company sold 1,000,000 shares of common stock under the 2023 ATM Prospectus for net proceeds of $19.2 million, after deducting broker commissions and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Company has a limited operating history, has accumulated losses and negative cash flows from operations since inception, and, while it has successfully generated revenues from XDEMVY since its launch in August 2023, the revenue and income potential from the Company’s business and market are unproven.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Pharmakon Advisors, LP (“Pharmakon”) and the previous loan and security agreement with Hercules Capital, Inc. (“Hercules”) and Silicon Valley Bank, a division of First-Citizens Bank &amp; Trust Company (“SVB”) (collectively, the “Credit Facilities”).</w:t>
      </w:r>
      <w:r>
        <w:rPr>
          <w:color w:val="000000"/>
        </w:rPr>
        <w:t xml:space="preserve"> </w:t>
      </w:r>
      <w:r>
        <w:rPr>
          <w:rFonts w:ascii="Times New Roman;serif" w:hAnsi="Times New Roman;serif"/>
          <w:b w:val="false"/>
          <w:color w:val="000000"/>
          <w:sz w:val="20"/>
        </w:rPr>
        <w:t>The Company estimates that its existing capital resources will be sufficient to meet projected operating expense requirements and other liquidity needs for at least 12 months from the issuance date of the accompanying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plans to fund its operations, capital funding and other liquidity needs using existing cash and investments and, to the extent available, cash generated from commercial operations. Management believes the Company could continue to incur operating losses in the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Use of Estimates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in accordance with generally accepted accounting principles (“GAAP”) in the U.S. and with the rules and regulations of the SEC. Certain prior year amounts have been reclassified to conform to the current year presentation on the Balance Sheets to separately present accounts payable and other accrued liabilities. Certain other immaterial prior year amounts have been aggregated to conform with the current year presentation in the Statements of Operations and Comprehensive Loss. The preparation of financial statements in conformity with GAAP and with the rules and regulations of the SEC requires management to make informed estimates and assumptions that affect the amounts reported in these accompanying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Financial Statements under different assumptions and conditions.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Statements as of and for the year ended December 31, 2025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estimates, judgments and assumptions or a revision of the carrying value of the Company’s assets or liabilities as of the issuance date of the accompanying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Financial Statements are further described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Balance Sheets for cash and cash equivalents are valued at cost, which approximate their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of December 31, 2025 and 2024, the Company held $2.6 million of restricted cash as collateral for a letter of credit related to the Company’s new office space lease that was executed in December 2024 (see </w:t>
      </w:r>
      <w:r>
        <w:rPr>
          <w:rFonts w:ascii="Times New Roman;serif" w:hAnsi="Times New Roman;serif"/>
          <w:b w:val="false"/>
          <w:i/>
          <w:color w:val="000000"/>
          <w:sz w:val="20"/>
        </w:rPr>
        <w:t>Note 9</w:t>
      </w:r>
      <w:r>
        <w:rPr>
          <w:rFonts w:ascii="Times New Roman;serif" w:hAnsi="Times New Roman;serif"/>
          <w:b w:val="false"/>
          <w:color w:val="000000"/>
          <w:sz w:val="20"/>
        </w:rPr>
        <w:t>). Restricted cash that will be held for less than one year is reported in current assets and amounts that will be held for longer than one year are reported in non-current assets on the accompanying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Statements of Operations and Comprehensive Loss.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Company holds a preferred stock investment in a privately-held eye care company that does not meet the criteria for in-substance common stock. Accordingly, the investment is classified within long-term investments in the accompanying Balance Sheets based on the Company’s intent to hold the securities for more than one year. The preferred stock investment is measured under the Accounting Standards Codification 321,</w:t>
      </w:r>
      <w:r>
        <w:rPr>
          <w:color w:val="000000"/>
        </w:rPr>
        <w:t xml:space="preserve"> </w:t>
      </w:r>
      <w:r>
        <w:rPr>
          <w:rFonts w:ascii="Times New Roman;serif" w:hAnsi="Times New Roman;serif"/>
          <w:b w:val="false"/>
          <w:i/>
          <w:color w:val="000000"/>
          <w:sz w:val="20"/>
        </w:rPr>
        <w:t>Investments— Equity Securities</w:t>
      </w:r>
      <w:r>
        <w:rPr>
          <w:rFonts w:ascii="Times New Roman;serif" w:hAnsi="Times New Roman;serif"/>
          <w:b w:val="false"/>
          <w:color w:val="000000"/>
          <w:sz w:val="20"/>
        </w:rPr>
        <w:t xml:space="preserve">, measurement alternative and is carried at cost, plus or minus changes resulting from observable price changes in orderly transactions for identical or similar equity financings. The Company evaluates this investment for such observable price changes at each reporting period.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purchased additional preferred stock of the same investee in a subsequent fundraising round that was executed at the same price and pursuant to the same terms as the Company’s initial investment under the Amended Preferred Stock Purchase Agreement. This transaction represented an orderly transaction for similar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this subsequent financing, the Company concluded that there was no change in the observable price of the preferred stock investment as of December 31, 2025 and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at each reporting period, the Company will assess the investment for possible impairment indicators. If the fair value of the preferred stock investment is determined to be less than its carrying value, the Company will recognize an impairment loss through other income (expense) in the Statements of Operations and Comprehensive Loss. During the years ended December 31, 2025 and 2024, there were no identified impairment indicators that resulted in a change to the fair value of the preferred stock investment.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years ended December 31,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w:t>
      </w:r>
      <w:r>
        <w:rPr>
          <w:color w:val="000000"/>
        </w:rPr>
        <w:t xml:space="preserve"> </w:t>
      </w:r>
      <w:r>
        <w:rPr>
          <w:rFonts w:ascii="Times New Roman;serif" w:hAnsi="Times New Roman;serif"/>
          <w:b w:val="false"/>
          <w:color w:val="000000"/>
          <w:sz w:val="20"/>
        </w:rPr>
        <w:t>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 As the long-term debt is subject to variable interest rates that are based on market rates which regularly reset, the Company believes that the carrying value of the long-term debt approximates its fair value.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Construction-in-progress represents capitalized costs of assets being constructed and is not depreciated until the asset is ready for its intended use, at which point it is reclassified to the appropriate asset category and depreciation commences.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variable lease costs, consisting primarily of real estate taxes, insurance costs, and common area maintenance, are expensed as incurred and excluded from the reported ROU assets and lease liabilities amounts presented in the accompanying Balance Sheets. The current and non-current portion of the operating lease liability are included in other accrued liabilities and other long-term liabilities, respectively, in the accompanying Balance Sheets. Rent expense is allocated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and general and administrative expenses in the accompanying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 Risk</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Major customers are defined as customers that individually accounted for greater than 10% of the Company’s revenue. The following table presents each major customer that accounted for more than 10% of the Company’s gross product sales:</w:t>
      </w:r>
    </w:p>
    <w:tbl>
      <w:tblPr>
        <w:tblW w:w="5580" w:type="dxa"/>
        <w:jc w:val="left"/>
        <w:tblInd w:w="0" w:type="dxa"/>
        <w:tblLayout w:type="fixed"/>
        <w:tblCellMar>
          <w:top w:w="28" w:type="dxa"/>
          <w:left w:w="28" w:type="dxa"/>
          <w:bottom w:w="28" w:type="dxa"/>
          <w:right w:w="28" w:type="dxa"/>
        </w:tblCellMar>
      </w:tblPr>
      <w:tblGrid>
        <w:gridCol w:w="1131"/>
        <w:gridCol w:w="993"/>
        <w:gridCol w:w="996"/>
        <w:gridCol w:w="165"/>
        <w:gridCol w:w="166"/>
        <w:gridCol w:w="256"/>
        <w:gridCol w:w="109"/>
        <w:gridCol w:w="109"/>
        <w:gridCol w:w="109"/>
        <w:gridCol w:w="165"/>
        <w:gridCol w:w="166"/>
        <w:gridCol w:w="256"/>
        <w:gridCol w:w="109"/>
        <w:gridCol w:w="109"/>
        <w:gridCol w:w="109"/>
        <w:gridCol w:w="165"/>
        <w:gridCol w:w="166"/>
        <w:gridCol w:w="30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revenue from major customers</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Represents less than 10% of respective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concentration of credit risk in its accounts receivable is mitigated by its credit evaluation process, relatively short collection terms, and the level of credit worthiness of its customers. The following table presents each major customer that accounted for more than 10% of its accounts receivable, net:</w:t>
      </w:r>
    </w:p>
    <w:tbl>
      <w:tblPr>
        <w:tblW w:w="5040" w:type="dxa"/>
        <w:jc w:val="left"/>
        <w:tblInd w:w="0" w:type="dxa"/>
        <w:tblLayout w:type="fixed"/>
        <w:tblCellMar>
          <w:top w:w="28" w:type="dxa"/>
          <w:left w:w="28" w:type="dxa"/>
          <w:bottom w:w="28" w:type="dxa"/>
          <w:right w:w="28" w:type="dxa"/>
        </w:tblCellMar>
      </w:tblPr>
      <w:tblGrid>
        <w:gridCol w:w="1267"/>
        <w:gridCol w:w="1112"/>
        <w:gridCol w:w="1115"/>
        <w:gridCol w:w="165"/>
        <w:gridCol w:w="166"/>
        <w:gridCol w:w="256"/>
        <w:gridCol w:w="109"/>
        <w:gridCol w:w="109"/>
        <w:gridCol w:w="109"/>
        <w:gridCol w:w="165"/>
        <w:gridCol w:w="166"/>
        <w:gridCol w:w="30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 from major customers</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Represents less than 10% of respective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years ended December 31, 2025, 2024, and 2023,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Product Returns: </w:t>
      </w:r>
      <w:r>
        <w:rPr>
          <w:rFonts w:ascii="Times New Roman;serif" w:hAnsi="Times New Roman;serif"/>
          <w:b w:val="false"/>
          <w:color w:val="000000"/>
          <w:sz w:val="20"/>
        </w:rPr>
        <w:t>The Company’s customers are contractually permitted to return product within the contractual allowable time, both before and after the applicable expiration date. In the initial sales period, the Company estimates its provision for returns based on the Company’s historical experience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License fees and collaboration revenue in the accompanying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see </w:t>
      </w:r>
      <w:r>
        <w:rPr>
          <w:rFonts w:ascii="Times New Roman;serif" w:hAnsi="Times New Roman;serif"/>
          <w:b w:val="false"/>
          <w:i/>
          <w:color w:val="000000"/>
          <w:sz w:val="20"/>
        </w:rPr>
        <w:t>Note 10</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w:t>
      </w:r>
      <w:r>
        <w:rPr>
          <w:color w:val="000000"/>
        </w:rPr>
        <w:t xml:space="preserve"> </w:t>
      </w:r>
      <w:r>
        <w:rPr>
          <w:rFonts w:ascii="Times New Roman;serif" w:hAnsi="Times New Roman;serif"/>
          <w:b w:val="false"/>
          <w:color w:val="000000"/>
          <w:sz w:val="20"/>
        </w:rPr>
        <w:t>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including direct-to-consumer (“DTC”) advertising costs, to support the Company’s commercial launch that started in August 2023, consulting fees, legal services, rent and other facilities costs, patient support functions, the U.S. healthcare reform federal excise fee on Branded Prescription Pharmaceutical Manufacturers and Importers, and other general operating expenses not otherwise classified as research and development expenses. Advertising costs are expensed as incurred and were $121.2 million, $29.8 million, and $9.4 million for the years ended December 31, 2025, 2024 and 2023,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1440"/>
        <w:jc w:val="left"/>
        <w:rPr/>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The fair value of the Company’s common stock is based on the closing quoted market price of its common stock as reported by the Nasdaq Global Select Market on the date of the option grant.</w:t>
      </w:r>
    </w:p>
    <w:p>
      <w:pPr>
        <w:pStyle w:val="TextBody"/>
        <w:bidi w:val="0"/>
        <w:spacing w:lineRule="auto" w:line="288" w:before="240" w:after="283"/>
        <w:ind w:left="0" w:right="0" w:firstLine="1440"/>
        <w:jc w:val="left"/>
        <w:rPr/>
      </w:pPr>
      <w:r>
        <w:rPr>
          <w:rFonts w:ascii="Times New Roman;serif" w:hAnsi="Times New Roman;serif"/>
          <w:b w:val="false"/>
          <w:i/>
          <w:color w:val="000000"/>
          <w:sz w:val="20"/>
        </w:rPr>
        <w:t xml:space="preserve">Expected Term </w:t>
      </w:r>
      <w:r>
        <w:rPr>
          <w:color w:val="000000"/>
        </w:rPr>
        <w:t xml:space="preserve">—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to determine the expected term since the Company does not have sufficient exercise history. The simplified method results in an expected term of 6.25 years based on the mid-point between the vesting date and the end of the contractual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144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144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1440"/>
        <w:jc w:val="left"/>
        <w:rPr/>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net losses in all periods presented, all otherwise potentially dilutive securities are antidilutive, and accordingly, the reported basic net loss per share equals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Recently issued or effective accounting pronouncements that impact, or may have an impact, on the Company’s financial statements are discussed below. Outside of the pronouncements below, other recent accounting pronouncements not disclosed in these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The Company adopted ASU 2023-09 retrospectively during the year ended December 31, 2025. Refer to </w:t>
      </w:r>
      <w:r>
        <w:rPr>
          <w:rFonts w:ascii="Times New Roman;serif" w:hAnsi="Times New Roman;serif"/>
          <w:b w:val="false"/>
          <w:i/>
          <w:color w:val="000000"/>
          <w:sz w:val="20"/>
        </w:rPr>
        <w:t>Note 12</w:t>
      </w:r>
      <w:r>
        <w:rPr>
          <w:color w:val="000000"/>
        </w:rPr>
        <w:t xml:space="preserve"> </w:t>
      </w:r>
      <w:r>
        <w:rPr>
          <w:rFonts w:ascii="Times New Roman;serif" w:hAnsi="Times New Roman;serif"/>
          <w:b w:val="false"/>
          <w:color w:val="000000"/>
          <w:sz w:val="20"/>
        </w:rPr>
        <w:t>for the related income tax disclosures.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tbl>
      <w:tblPr>
        <w:tblW w:w="735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tbl>
      <w:tblPr>
        <w:tblW w:w="8658" w:type="dxa"/>
        <w:jc w:val="left"/>
        <w:tblInd w:w="0" w:type="dxa"/>
        <w:tblLayout w:type="fixed"/>
        <w:tblCellMar>
          <w:top w:w="28" w:type="dxa"/>
          <w:left w:w="28" w:type="dxa"/>
          <w:bottom w:w="28" w:type="dxa"/>
          <w:right w:w="28" w:type="dxa"/>
        </w:tblCellMar>
      </w:tblPr>
      <w:tblGrid>
        <w:gridCol w:w="811"/>
        <w:gridCol w:w="709"/>
        <w:gridCol w:w="71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196,379 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a majority of the Company’s debt securities had a maturity of 12 months or less. As of December 31, 2025, twenty debt securities had a contractual maturity between one and two years, with an estimated fair market value of $46.9 million and amortized cost of $46.8 million. As of December 31, 2024, eight debt securities had a contractual maturity between one and two years, with estimated fair market value of $19.0 million and amortized cost of $19.0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seven and ten debt securities, respectively, in a continuous gross unrealized loss position for less than one year. As of December 31, 2025 and 2024,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composition of selected captions within the accompanying Balance Sheets are summarized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3819" w:type="dxa"/>
        <w:jc w:val="left"/>
        <w:tblInd w:w="0" w:type="dxa"/>
        <w:tblLayout w:type="fixed"/>
        <w:tblCellMar>
          <w:top w:w="28" w:type="dxa"/>
          <w:left w:w="28" w:type="dxa"/>
          <w:bottom w:w="28" w:type="dxa"/>
          <w:right w:w="28" w:type="dxa"/>
        </w:tblCellMar>
      </w:tblPr>
      <w:tblGrid>
        <w:gridCol w:w="624"/>
        <w:gridCol w:w="549"/>
        <w:gridCol w:w="552"/>
        <w:gridCol w:w="196"/>
        <w:gridCol w:w="556"/>
        <w:gridCol w:w="109"/>
        <w:gridCol w:w="109"/>
        <w:gridCol w:w="109"/>
        <w:gridCol w:w="109"/>
        <w:gridCol w:w="196"/>
        <w:gridCol w:w="55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tbl>
      <w:tblPr>
        <w:tblW w:w="5889" w:type="dxa"/>
        <w:jc w:val="center"/>
        <w:tblInd w:w="0" w:type="dxa"/>
        <w:tblLayout w:type="fixed"/>
        <w:tblCellMar>
          <w:top w:w="28" w:type="dxa"/>
          <w:left w:w="28" w:type="dxa"/>
          <w:bottom w:w="28" w:type="dxa"/>
          <w:right w:w="28" w:type="dxa"/>
        </w:tblCellMar>
      </w:tblPr>
      <w:tblGrid>
        <w:gridCol w:w="1342"/>
        <w:gridCol w:w="1177"/>
        <w:gridCol w:w="1186"/>
        <w:gridCol w:w="196"/>
        <w:gridCol w:w="646"/>
        <w:gridCol w:w="109"/>
        <w:gridCol w:w="109"/>
        <w:gridCol w:w="109"/>
        <w:gridCol w:w="109"/>
        <w:gridCol w:w="196"/>
        <w:gridCol w:w="55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Leasehold improvements</w:t>
            </w:r>
            <w:r>
              <w:rPr>
                <w:color w:val="000000"/>
              </w:rPr>
              <w:t xml:space="preserve"> </w:t>
            </w:r>
            <w:r>
              <w:rPr>
                <w:rFonts w:ascii="Times New Roman;serif" w:hAnsi="Times New Roman;serif"/>
                <w:b w:val="false"/>
                <w:color w:val="000000"/>
                <w:sz w:val="10"/>
              </w:rPr>
              <w:t xml:space="preserve">(1)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represents construction in progress for which no depreciation expense has been recognized.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Depreciation expense for the years ended December 31, 2025, 2024, and 2023 was $0.9 million,</w:t>
      </w:r>
      <w:r>
        <w:rPr>
          <w:color w:val="000000"/>
          <w:shd w:fill="FFFFFF" w:val="clear"/>
        </w:rPr>
        <w:t xml:space="preserve"> </w:t>
      </w:r>
      <w:r>
        <w:rPr>
          <w:rFonts w:ascii="Times New Roman;serif" w:hAnsi="Times New Roman;serif"/>
          <w:b w:val="false"/>
          <w:color w:val="000000"/>
          <w:sz w:val="20"/>
          <w:shd w:fill="FFFFFF" w:val="clear"/>
        </w:rPr>
        <w:t>$0.7 million, and $0.7 million, res</w:t>
      </w:r>
      <w:r>
        <w:rPr>
          <w:rFonts w:ascii="Times New Roman;serif" w:hAnsi="Times New Roman;serif"/>
          <w:b w:val="false"/>
          <w:color w:val="000000"/>
          <w:sz w:val="20"/>
        </w:rPr>
        <w:t>pectively. There were no impairments recognized during the years ended December 31, 2025, 2024, and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4599" w:type="dxa"/>
        <w:jc w:val="left"/>
        <w:tblInd w:w="0" w:type="dxa"/>
        <w:tblLayout w:type="fixed"/>
        <w:tblCellMar>
          <w:top w:w="28" w:type="dxa"/>
          <w:left w:w="28" w:type="dxa"/>
          <w:bottom w:w="28" w:type="dxa"/>
          <w:right w:w="28" w:type="dxa"/>
        </w:tblCellMar>
      </w:tblPr>
      <w:tblGrid>
        <w:gridCol w:w="907"/>
        <w:gridCol w:w="797"/>
        <w:gridCol w:w="801"/>
        <w:gridCol w:w="196"/>
        <w:gridCol w:w="556"/>
        <w:gridCol w:w="109"/>
        <w:gridCol w:w="109"/>
        <w:gridCol w:w="109"/>
        <w:gridCol w:w="109"/>
        <w:gridCol w:w="196"/>
        <w:gridCol w:w="55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Intangible assets are amortized to cost of sales over the remaining useful life of 7.7 years as of December 31, 2025, with an initial useful life of 10 years from the date of first commercial sale (see </w:t>
      </w:r>
      <w:r>
        <w:rPr>
          <w:rFonts w:ascii="Times New Roman;serif" w:hAnsi="Times New Roman;serif"/>
          <w:b w:val="false"/>
          <w:i/>
          <w:color w:val="000000"/>
          <w:sz w:val="20"/>
        </w:rPr>
        <w:t>Note 9</w:t>
      </w:r>
      <w:r>
        <w:rPr>
          <w:rFonts w:ascii="Times New Roman;serif" w:hAnsi="Times New Roman;serif"/>
          <w:b w:val="false"/>
          <w:color w:val="000000"/>
          <w:sz w:val="20"/>
        </w:rPr>
        <w:t>). Amortization expense for the years ended December 31, 2025, 2024, and 2023 were $1.0 million, $0.5 million and $0.1 million, respectively. There have been no impairments of intangible assets for the years ended December 31, 2025, 2024, and 2023.</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expected future amortization expense for the Company’s intangible assets is as follows:</w:t>
      </w:r>
    </w:p>
    <w:tbl>
      <w:tblPr>
        <w:tblW w:w="3137"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96"/>
        <w:gridCol w:w="55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future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605" cy="14605"/>
                <wp:effectExtent l="0" t="0" r="0" b="0"/>
                <wp:wrapNone/>
                <wp:docPr id="149" name="Frame13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tbl>
      <w:tblPr>
        <w:tblW w:w="4868" w:type="dxa"/>
        <w:jc w:val="center"/>
        <w:tblInd w:w="0" w:type="dxa"/>
        <w:tblLayout w:type="fixed"/>
        <w:tblCellMar>
          <w:top w:w="28" w:type="dxa"/>
          <w:left w:w="28" w:type="dxa"/>
          <w:bottom w:w="28" w:type="dxa"/>
          <w:right w:w="28" w:type="dxa"/>
        </w:tblCellMar>
      </w:tblPr>
      <w:tblGrid>
        <w:gridCol w:w="907"/>
        <w:gridCol w:w="797"/>
        <w:gridCol w:w="800"/>
        <w:gridCol w:w="196"/>
        <w:gridCol w:w="736"/>
        <w:gridCol w:w="109"/>
        <w:gridCol w:w="109"/>
        <w:gridCol w:w="109"/>
        <w:gridCol w:w="109"/>
        <w:gridCol w:w="196"/>
        <w:gridCol w:w="64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2020 and 2016 Equity Incentive Plans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and stockholders adopted and approved the Company’s 2020 Equity Incentive Plan (the “2020 Plan”) in October 2020. The 2020 Plan replaced the Company’s 2016 Equity Incentive Plan that was earlier adopted in December 2016 (the “2016 Plan”, collectively the “2020 and 2016 Plans”). However, awards outstanding under the 2016 Plan will continue to be governed by its original terms. The number of shares of the Company’s common stock that were initially available for issuance under the 2020 Plan equaled the initial sum of 9,000,000 shares plus 2,432,980 shares that were then available for issuance under the 2016 Plan. The 2020 Plan provides for the following types of awards: incentive and non-statutory stock options, stock appreciation rights, restricted shares, and restricted stock units.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terms of the Company’s 2020 Employee Stock Purchase Plan (“ESPP”), eligible employees can purchase common stock through scheduled payroll deductions. The purchase price is equal to the closing price of the Company’s common stock on the first or last day of the offering period (whichever is less), minus a 15% discount. To determine the value of ESPP expense to be recognized during each offering period, the Black-Scholes option-pricing model is used, in combination with the discounted employee price. A participant may purchase a maximum of 3,000 shares of common stock during a six-month offering period, not to exceed $25,000 at full market value on the offering date during each ESPP year.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ESPP, the number of shares of common stock reserved for issuance under the ESPP are increased automatically on the first business day of each fiscal year, commencing in 2021 and ending in 2040, by an amount equal to the lesser of (i) one percent of the total number of shares of common stock outstanding on the last day of the year, (ii) 2.5 million shares, or (iii) a number determined by the Board of Directors.</w:t>
      </w:r>
    </w:p>
    <w:p>
      <w:pPr>
        <w:pStyle w:val="TextBody"/>
        <w:bidi w:val="0"/>
        <w:spacing w:lineRule="auto" w:line="256"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42.6 million shares of common stock issued and outstanding, which excludes 312,500 of pre-funded warrants that remained exercisable at period end and are reserved for future issuance. As of December 31, 2024 the Company had 38.3 million shares of common stock issued and outstanding. Common stockholders have onevote for each share of common stock held and are entitled to receive dividends declared by the Company’s Board of Directors when legally available for distribution, then-subject to the dividend rights of the holders of preferred stock. For the years ended December 31, 2025, 2024, and 2023, nodividends were declared.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ESPP are summarized below:</w:t>
      </w:r>
    </w:p>
    <w:tbl>
      <w:tblPr>
        <w:tblW w:w="9358" w:type="dxa"/>
        <w:jc w:val="center"/>
        <w:tblInd w:w="0" w:type="dxa"/>
        <w:tblLayout w:type="fixed"/>
        <w:tblCellMar>
          <w:top w:w="28" w:type="dxa"/>
          <w:left w:w="28" w:type="dxa"/>
          <w:bottom w:w="28" w:type="dxa"/>
          <w:right w:w="28" w:type="dxa"/>
        </w:tblCellMar>
      </w:tblPr>
      <w:tblGrid>
        <w:gridCol w:w="2430"/>
        <w:gridCol w:w="2130"/>
        <w:gridCol w:w="2144"/>
        <w:gridCol w:w="479"/>
        <w:gridCol w:w="482"/>
        <w:gridCol w:w="156"/>
        <w:gridCol w:w="121"/>
        <w:gridCol w:w="121"/>
        <w:gridCol w:w="121"/>
        <w:gridCol w:w="479"/>
        <w:gridCol w:w="482"/>
        <w:gridCol w:w="213"/>
      </w:tblGrid>
      <w:tr>
        <w:trPr/>
        <w:tc>
          <w:tcPr>
            <w:tcW w:w="24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award plans: </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7,204,677 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the 2020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2020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17,865,520 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17,206,308 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recognized in the accompanying Statements of Operations and Comprehensive Loss as follows:</w:t>
      </w:r>
    </w:p>
    <w:tbl>
      <w:tblPr>
        <w:tblW w:w="6101" w:type="dxa"/>
        <w:jc w:val="center"/>
        <w:tblInd w:w="0" w:type="dxa"/>
        <w:tblLayout w:type="fixed"/>
        <w:tblCellMar>
          <w:top w:w="28" w:type="dxa"/>
          <w:left w:w="28" w:type="dxa"/>
          <w:bottom w:w="28" w:type="dxa"/>
          <w:right w:w="28" w:type="dxa"/>
        </w:tblCellMar>
      </w:tblPr>
      <w:tblGrid>
        <w:gridCol w:w="918"/>
        <w:gridCol w:w="810"/>
        <w:gridCol w:w="821"/>
        <w:gridCol w:w="196"/>
        <w:gridCol w:w="646"/>
        <w:gridCol w:w="109"/>
        <w:gridCol w:w="109"/>
        <w:gridCol w:w="109"/>
        <w:gridCol w:w="109"/>
        <w:gridCol w:w="196"/>
        <w:gridCol w:w="646"/>
        <w:gridCol w:w="109"/>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recognized by equity type as follows:</w:t>
      </w:r>
    </w:p>
    <w:tbl>
      <w:tblPr>
        <w:tblW w:w="5936" w:type="dxa"/>
        <w:jc w:val="center"/>
        <w:tblInd w:w="0" w:type="dxa"/>
        <w:tblLayout w:type="fixed"/>
        <w:tblCellMar>
          <w:top w:w="28" w:type="dxa"/>
          <w:left w:w="28" w:type="dxa"/>
          <w:bottom w:w="28" w:type="dxa"/>
          <w:right w:w="28" w:type="dxa"/>
        </w:tblCellMar>
      </w:tblPr>
      <w:tblGrid>
        <w:gridCol w:w="865"/>
        <w:gridCol w:w="756"/>
        <w:gridCol w:w="763"/>
        <w:gridCol w:w="196"/>
        <w:gridCol w:w="646"/>
        <w:gridCol w:w="109"/>
        <w:gridCol w:w="109"/>
        <w:gridCol w:w="109"/>
        <w:gridCol w:w="109"/>
        <w:gridCol w:w="196"/>
        <w:gridCol w:w="646"/>
        <w:gridCol w:w="109"/>
        <w:gridCol w:w="109"/>
        <w:gridCol w:w="109"/>
        <w:gridCol w:w="109"/>
        <w:gridCol w:w="196"/>
        <w:gridCol w:w="64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stock-based compensation expense and average remaining vesting period by equity type is as follows:</w:t>
      </w:r>
    </w:p>
    <w:tbl>
      <w:tblPr>
        <w:tblW w:w="8720" w:type="dxa"/>
        <w:jc w:val="center"/>
        <w:tblInd w:w="0" w:type="dxa"/>
        <w:tblLayout w:type="fixed"/>
        <w:tblCellMar>
          <w:top w:w="28" w:type="dxa"/>
          <w:left w:w="28" w:type="dxa"/>
          <w:bottom w:w="28" w:type="dxa"/>
          <w:right w:w="28" w:type="dxa"/>
        </w:tblCellMar>
      </w:tblPr>
      <w:tblGrid>
        <w:gridCol w:w="664"/>
        <w:gridCol w:w="580"/>
        <w:gridCol w:w="586"/>
        <w:gridCol w:w="1019"/>
        <w:gridCol w:w="1019"/>
        <w:gridCol w:w="1022"/>
        <w:gridCol w:w="109"/>
        <w:gridCol w:w="109"/>
        <w:gridCol w:w="109"/>
        <w:gridCol w:w="1079"/>
        <w:gridCol w:w="1079"/>
        <w:gridCol w:w="1082"/>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Remaining Vesting Period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2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27,002 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43,214 </w:t>
            </w:r>
          </w:p>
        </w:tc>
        <w:tc>
          <w:tcPr>
            <w:tcW w:w="10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8694" w:type="dxa"/>
        <w:jc w:val="center"/>
        <w:tblInd w:w="0" w:type="dxa"/>
        <w:tblLayout w:type="fixed"/>
        <w:tblCellMar>
          <w:top w:w="28" w:type="dxa"/>
          <w:left w:w="28" w:type="dxa"/>
          <w:bottom w:w="28" w:type="dxa"/>
          <w:right w:w="28" w:type="dxa"/>
        </w:tblCellMar>
      </w:tblPr>
      <w:tblGrid>
        <w:gridCol w:w="1463"/>
        <w:gridCol w:w="1281"/>
        <w:gridCol w:w="1291"/>
        <w:gridCol w:w="300"/>
        <w:gridCol w:w="853"/>
        <w:gridCol w:w="167"/>
        <w:gridCol w:w="109"/>
        <w:gridCol w:w="109"/>
        <w:gridCol w:w="109"/>
        <w:gridCol w:w="300"/>
        <w:gridCol w:w="853"/>
        <w:gridCol w:w="167"/>
        <w:gridCol w:w="109"/>
        <w:gridCol w:w="109"/>
        <w:gridCol w:w="109"/>
        <w:gridCol w:w="295"/>
        <w:gridCol w:w="838"/>
        <w:gridCol w:w="232"/>
      </w:tblGrid>
      <w:tr>
        <w:trPr/>
        <w:tc>
          <w:tcPr>
            <w:tcW w:w="146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$39.99 to $79.44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$20.16 to $50.40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$12.48 to $18.78</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3.78% to 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3.57% to 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3.38% to 4.83%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65.8% to 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69.3% to 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69.7% to 73.3%</w:t>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stock option</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Stock option activity during the year was as follows:</w:t>
      </w:r>
    </w:p>
    <w:tbl>
      <w:tblPr>
        <w:tblW w:w="8753" w:type="dxa"/>
        <w:jc w:val="center"/>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490"/>
        <w:gridCol w:w="490"/>
        <w:gridCol w:w="491"/>
        <w:gridCol w:w="109"/>
        <w:gridCol w:w="109"/>
        <w:gridCol w:w="109"/>
        <w:gridCol w:w="490"/>
        <w:gridCol w:w="490"/>
        <w:gridCol w:w="491"/>
        <w:gridCol w:w="109"/>
        <w:gridCol w:w="109"/>
        <w:gridCol w:w="109"/>
        <w:gridCol w:w="368"/>
        <w:gridCol w:w="368"/>
        <w:gridCol w:w="392"/>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 ($)</w:t>
            </w:r>
            <w:r>
              <w:rPr>
                <w:rFonts w:ascii="Times New Roman;serif" w:hAnsi="Times New Roman;serif"/>
                <w:b/>
                <w:color w:val="000000"/>
                <w:sz w:val="10"/>
              </w:rPr>
              <w:t>(1)</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180,669 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(307,192)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312,647 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 December 31, 2025</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3,868,858 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248,052 </w:t>
            </w:r>
          </w:p>
        </w:tc>
        <w:tc>
          <w:tcPr>
            <w:tcW w:w="3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December 31,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1,362,267 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34.46 </w:t>
            </w:r>
          </w:p>
        </w:tc>
        <w:tc>
          <w:tcPr>
            <w:tcW w:w="4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64,594 </w:t>
            </w:r>
          </w:p>
        </w:tc>
        <w:tc>
          <w:tcPr>
            <w:tcW w:w="3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total grant-date fair value of options that vested during the years ended December 31, 2025, 2024, and 2023, was $14.2 million, $13.5 million, and $13.4 million, respectively. The total intrinsic value of options exercised during the years ended December 31, 2025, 2024, and 2023 was $10.1 million, $7.0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during the year was as follows:</w:t>
      </w:r>
    </w:p>
    <w:tbl>
      <w:tblPr>
        <w:tblW w:w="6429" w:type="dxa"/>
        <w:jc w:val="left"/>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703"/>
        <w:gridCol w:w="703"/>
        <w:gridCol w:w="99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w:t>
              <w:br/>
              <w:t> Fair Value ($)</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(598,256)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9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(129,332)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total grant-date fair value of restricted stock units that vested during the years ended December 31, 2025, 2024, and 2023, was $14.1 million, $7.3 million, and $3.7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granted certain employees performance stock units. During the third quarter of 2025, the Company began recognizing stock-based compensation expense related to a performance condition that was determined to be probable of achievement.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Performance stock unit activity during the year was as follows:</w:t>
      </w:r>
    </w:p>
    <w:tbl>
      <w:tblPr>
        <w:tblW w:w="6294" w:type="dxa"/>
        <w:jc w:val="left"/>
        <w:tblInd w:w="0" w:type="dxa"/>
        <w:tblLayout w:type="fixed"/>
        <w:tblCellMar>
          <w:top w:w="28" w:type="dxa"/>
          <w:left w:w="28" w:type="dxa"/>
          <w:bottom w:w="28" w:type="dxa"/>
          <w:right w:w="28" w:type="dxa"/>
        </w:tblCellMar>
      </w:tblPr>
      <w:tblGrid>
        <w:gridCol w:w="918"/>
        <w:gridCol w:w="806"/>
        <w:gridCol w:w="811"/>
        <w:gridCol w:w="368"/>
        <w:gridCol w:w="368"/>
        <w:gridCol w:w="296"/>
        <w:gridCol w:w="109"/>
        <w:gridCol w:w="109"/>
        <w:gridCol w:w="109"/>
        <w:gridCol w:w="703"/>
        <w:gridCol w:w="703"/>
        <w:gridCol w:w="99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w:t>
              <w:br/>
              <w:t> Fair Value ($)</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NET LOSS PER SHARE</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tbl>
      <w:tblPr>
        <w:tblW w:w="7495" w:type="dxa"/>
        <w:jc w:val="center"/>
        <w:tblInd w:w="0" w:type="dxa"/>
        <w:tblLayout w:type="fixed"/>
        <w:tblCellMar>
          <w:top w:w="28" w:type="dxa"/>
          <w:left w:w="28" w:type="dxa"/>
          <w:bottom w:w="28" w:type="dxa"/>
          <w:right w:w="28" w:type="dxa"/>
        </w:tblCellMar>
      </w:tblPr>
      <w:tblGrid>
        <w:gridCol w:w="1264"/>
        <w:gridCol w:w="1109"/>
        <w:gridCol w:w="1121"/>
        <w:gridCol w:w="219"/>
        <w:gridCol w:w="742"/>
        <w:gridCol w:w="109"/>
        <w:gridCol w:w="109"/>
        <w:gridCol w:w="109"/>
        <w:gridCol w:w="109"/>
        <w:gridCol w:w="196"/>
        <w:gridCol w:w="811"/>
        <w:gridCol w:w="109"/>
        <w:gridCol w:w="109"/>
        <w:gridCol w:w="109"/>
        <w:gridCol w:w="109"/>
        <w:gridCol w:w="196"/>
        <w:gridCol w:w="811"/>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 basic and diluted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Weighted-average shares outstanding includes pre-funded warrants issued on March 5, 2024.</w:t>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7650" w:type="dxa"/>
        <w:jc w:val="center"/>
        <w:tblInd w:w="0" w:type="dxa"/>
        <w:tblLayout w:type="fixed"/>
        <w:tblCellMar>
          <w:top w:w="28" w:type="dxa"/>
          <w:left w:w="28" w:type="dxa"/>
          <w:bottom w:w="28" w:type="dxa"/>
          <w:right w:w="28" w:type="dxa"/>
        </w:tblCellMar>
      </w:tblPr>
      <w:tblGrid>
        <w:gridCol w:w="1346"/>
        <w:gridCol w:w="1182"/>
        <w:gridCol w:w="1192"/>
        <w:gridCol w:w="435"/>
        <w:gridCol w:w="436"/>
        <w:gridCol w:w="156"/>
        <w:gridCol w:w="132"/>
        <w:gridCol w:w="132"/>
        <w:gridCol w:w="132"/>
        <w:gridCol w:w="435"/>
        <w:gridCol w:w="436"/>
        <w:gridCol w:w="156"/>
        <w:gridCol w:w="132"/>
        <w:gridCol w:w="132"/>
        <w:gridCol w:w="132"/>
        <w:gridCol w:w="435"/>
        <w:gridCol w:w="436"/>
        <w:gridCol w:w="213"/>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4,760,366 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1,708,725 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6,987,454 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6,923,189 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6,469,091 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SEGMENT REPORTING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10</w:t>
      </w:r>
      <w:r>
        <w:rPr>
          <w:rFonts w:ascii="Times New Roman;serif" w:hAnsi="Times New Roman;serif"/>
          <w:b w:val="false"/>
          <w:color w:val="000000"/>
          <w:sz w:val="20"/>
        </w:rPr>
        <w:t xml:space="preserve">). The accounting 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(“CEO”). The CODM uses net loss, as reported in the accompanying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10205" w:type="dxa"/>
        <w:jc w:val="left"/>
        <w:tblInd w:w="0" w:type="dxa"/>
        <w:tblLayout w:type="fixed"/>
        <w:tblCellMar>
          <w:top w:w="28" w:type="dxa"/>
          <w:left w:w="28" w:type="dxa"/>
          <w:bottom w:w="28" w:type="dxa"/>
          <w:right w:w="28" w:type="dxa"/>
        </w:tblCellMar>
      </w:tblPr>
      <w:tblGrid>
        <w:gridCol w:w="1451"/>
        <w:gridCol w:w="1165"/>
        <w:gridCol w:w="1172"/>
        <w:gridCol w:w="319"/>
        <w:gridCol w:w="1199"/>
        <w:gridCol w:w="177"/>
        <w:gridCol w:w="177"/>
        <w:gridCol w:w="177"/>
        <w:gridCol w:w="177"/>
        <w:gridCol w:w="319"/>
        <w:gridCol w:w="1292"/>
        <w:gridCol w:w="177"/>
        <w:gridCol w:w="177"/>
        <w:gridCol w:w="177"/>
        <w:gridCol w:w="177"/>
        <w:gridCol w:w="319"/>
        <w:gridCol w:w="1292"/>
        <w:gridCol w:w="261"/>
      </w:tblGrid>
      <w:tr>
        <w:trPr/>
        <w:tc>
          <w:tcPr>
            <w:tcW w:w="145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17,447 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522,329 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160,605 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(143,158)</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Other reconciling items</w:t>
            </w:r>
            <w:r>
              <w:rPr>
                <w:rFonts w:ascii="Times New Roman;serif" w:hAnsi="Times New Roman;serif"/>
                <w:b/>
                <w:color w:val="000000"/>
                <w:sz w:val="12"/>
              </w:rPr>
              <w:t>(1)</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reconciling items primarily includes interest income, interest expense, and provision for income taxes. For the year ended December 31, 2024, other reconciling items also included loss on debt extinguishment.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COMMITMENTS &amp;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December 31, 2025, the Company had two active leases with a combined square footage of 98,807 for office and laboratory suites in Irvine, California.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 entered into an agreement to terminate its former facility lease agreements (the “Former Lease”) and concurrently entered into a new lease agreement (the “Current Lease”), both with the same landlord, to relocate its corporate headquarters to another location in Irvine, California under a 10-year lease term. In September 2025, the Company obtained access to the new facility, and commenced the Current Lease; however, the Company’s headquarters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yet been relocated. Construction remains in progress on the new facility and the Company plans to relocate its headquarters during 2026. Lease payments under the Current Lease began in November 2025. Base rent under the Current Lease is $2.5 million for the first year and is subject to annual increases of 3% thereafter. Upon commencement of the Current Lease, the Company became entitled to base rent abatement for the first five full calendar months for an aggregate amount of $0.7 million. The Current Lease also provides a tenant improvement allowance, not to exceed approximately $5.8 million, and to be applied toward construction costs of the premises. The tenant improvement allowance must be used within one year of the Current Lease commencement date, after which any unused portion will be forfeited with no further obligation by the landlord. As of December 31, 2025, the landlord had not paid any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execution of the Current Lease, the Company provided the landlord a letter of credit for $2.6 million to serve as a security deposit. Provided that no defaults occur and the Company meets certain financial milestones for certain time periods, the security deposit can subsequently be reduced.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Company’s lease agreements are as follows:</w:t>
      </w:r>
    </w:p>
    <w:tbl>
      <w:tblPr>
        <w:tblW w:w="5111" w:type="dxa"/>
        <w:jc w:val="left"/>
        <w:tblInd w:w="0" w:type="dxa"/>
        <w:tblLayout w:type="fixed"/>
        <w:tblCellMar>
          <w:top w:w="28" w:type="dxa"/>
          <w:left w:w="28" w:type="dxa"/>
          <w:bottom w:w="28" w:type="dxa"/>
          <w:right w:w="28" w:type="dxa"/>
        </w:tblCellMar>
      </w:tblPr>
      <w:tblGrid>
        <w:gridCol w:w="662"/>
        <w:gridCol w:w="582"/>
        <w:gridCol w:w="585"/>
        <w:gridCol w:w="196"/>
        <w:gridCol w:w="556"/>
        <w:gridCol w:w="109"/>
        <w:gridCol w:w="109"/>
        <w:gridCol w:w="109"/>
        <w:gridCol w:w="109"/>
        <w:gridCol w:w="196"/>
        <w:gridCol w:w="556"/>
        <w:gridCol w:w="109"/>
        <w:gridCol w:w="109"/>
        <w:gridCol w:w="109"/>
        <w:gridCol w:w="109"/>
        <w:gridCol w:w="196"/>
        <w:gridCol w:w="55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 agreements are as follows:</w:t>
      </w:r>
    </w:p>
    <w:tbl>
      <w:tblPr>
        <w:tblW w:w="5139" w:type="dxa"/>
        <w:jc w:val="left"/>
        <w:tblInd w:w="0" w:type="dxa"/>
        <w:tblLayout w:type="fixed"/>
        <w:tblCellMar>
          <w:top w:w="28" w:type="dxa"/>
          <w:left w:w="28" w:type="dxa"/>
          <w:bottom w:w="28" w:type="dxa"/>
          <w:right w:w="28" w:type="dxa"/>
        </w:tblCellMar>
      </w:tblPr>
      <w:tblGrid>
        <w:gridCol w:w="815"/>
        <w:gridCol w:w="714"/>
        <w:gridCol w:w="720"/>
        <w:gridCol w:w="296"/>
        <w:gridCol w:w="170"/>
        <w:gridCol w:w="264"/>
        <w:gridCol w:w="109"/>
        <w:gridCol w:w="109"/>
        <w:gridCol w:w="109"/>
        <w:gridCol w:w="296"/>
        <w:gridCol w:w="170"/>
        <w:gridCol w:w="264"/>
        <w:gridCol w:w="109"/>
        <w:gridCol w:w="109"/>
        <w:gridCol w:w="109"/>
        <w:gridCol w:w="297"/>
        <w:gridCol w:w="169"/>
        <w:gridCol w:w="310"/>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(years)</w:t>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as of December 31, 2025 the (i) minimum lease payments over the next five years and thereafter, (ii) lease arrangement imputed interest, and (iii) present value of future lease payments, as follows:</w:t>
      </w:r>
    </w:p>
    <w:tbl>
      <w:tblPr>
        <w:tblW w:w="4413" w:type="dxa"/>
        <w:jc w:val="center"/>
        <w:tblInd w:w="0" w:type="dxa"/>
        <w:tblLayout w:type="fixed"/>
        <w:tblCellMar>
          <w:top w:w="28" w:type="dxa"/>
          <w:left w:w="28" w:type="dxa"/>
          <w:bottom w:w="28" w:type="dxa"/>
          <w:right w:w="28" w:type="dxa"/>
        </w:tblCellMar>
      </w:tblPr>
      <w:tblGrid>
        <w:gridCol w:w="1117"/>
        <w:gridCol w:w="981"/>
        <w:gridCol w:w="992"/>
        <w:gridCol w:w="109"/>
        <w:gridCol w:w="109"/>
        <w:gridCol w:w="109"/>
        <w:gridCol w:w="196"/>
        <w:gridCol w:w="64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Balance Sheets as of December 31, 2025 and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potential future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product covered under the license, which occurred in July 2023 with the FDA approval of XDEMVY. The Company’s accrued royalties payable are recorded to cost of sales in the accompanying Statements of Operations and Comprehensive Loss for the years ended December 31, 2025, 2024, and 2023 and other accrued liabilities in the accompanying Balance Sheets as of December 31, 2025 and 2024. Royalty expense during the years ended December 31, 2025, 2024, and 2023 was $24.6 million, $9.0 million, and $0.7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potential future cash payments under this agreement upon the achievement of various clinical milestones up to an aggregate max</w:t>
      </w:r>
      <w:r>
        <w:rPr>
          <w:rFonts w:ascii="Times New Roman;serif" w:hAnsi="Times New Roman;serif"/>
          <w:b w:val="false"/>
          <w:color w:val="000000"/>
          <w:sz w:val="20"/>
          <w:shd w:fill="FFFFFF" w:val="clear"/>
        </w:rPr>
        <w:t xml:space="preserve">imum of </w:t>
      </w:r>
      <w:r>
        <w:rPr>
          <w:rFonts w:ascii="Times New Roman;serif" w:hAnsi="Times New Roman;serif"/>
          <w:b w:val="false"/>
          <w:color w:val="000000"/>
          <w:sz w:val="20"/>
        </w:rPr>
        <w:t>$4.0 million</w:t>
      </w:r>
      <w:r>
        <w:rPr>
          <w:color w:val="000000"/>
          <w:shd w:fill="FFFFFF" w:val="clear"/>
        </w:rPr>
        <w:t xml:space="preserve"> </w:t>
      </w:r>
      <w:r>
        <w:rPr>
          <w:rFonts w:ascii="Times New Roman;serif" w:hAnsi="Times New Roman;serif"/>
          <w:b w:val="false"/>
          <w:color w:val="000000"/>
          <w:sz w:val="20"/>
          <w:shd w:fill="FFFFFF" w:val="clear"/>
        </w:rPr>
        <w:t>and variou</w:t>
      </w:r>
      <w:r>
        <w:rPr>
          <w:rFonts w:ascii="Times New Roman;serif" w:hAnsi="Times New Roman;serif"/>
          <w:b w:val="false"/>
          <w:color w:val="000000"/>
          <w:sz w:val="20"/>
        </w:rPr>
        <w:t xml:space="preserve">s commercial and sales threshold milestones for an aggregate maximum of $77.0 million. In addition, the Company will be obligated to pay contractual royalties in the single digits of its product sales, net. If the Company receives certain types of payments from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sublicensees, it will also be obligated to pay a variable percentage in the low to mid double-digits of such proceeds, until achievement of the first applicable regulatory approval of a product covered under the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executed a new in-license agreement from a third party for the exclusive worldwide rights to develop, manufacture, and commercialize a compound for all ophthalmic uses (the “In-License Agreement”), and concurrently made an upfront payment of $2.5 million, which was recorded to research and development expense in the accompanying Statements of Operations and Comprehensive Loss for the year ended December 31, 2024. As of December 31, 2025, the Company is obligated to make potential future cash payments under the In-License Agreement of $3.0 million upon the achievement of an event-based development milestone and up to $102.0 million for various commercial and sales threshold milestones. Future annual worldwide net sales of products developed from the compound, developed, manufactured, and commercialized via the In-License Agreement, will also be subject to incremental royalty rates in the range of mid to high single digits.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OUT-LICENSE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assessment of the initial transaction price for the China Out-License included an analysis of amounts the Company expected to receive, which at contract inception consisted of: (i) a $15.0 million upfront cash payment; (ii) a $10.0 million second cash payment; (iii) a $10.0 million milestone that was determined to be within the control of the Company; and (iv) $1.2 million representing the initial fair value of equity warrants.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accounted for each performance obligation as follows:</w:t>
      </w:r>
    </w:p>
    <w:p>
      <w:pPr>
        <w:pStyle w:val="TextBody"/>
        <w:bidi w:val="0"/>
        <w:spacing w:lineRule="auto" w:line="288" w:before="240" w:after="283"/>
        <w:ind w:left="0" w:right="0" w:firstLine="90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900"/>
        <w:jc w:val="both"/>
        <w:rPr>
          <w:rFonts w:ascii="Times New Roman;serif" w:hAnsi="Times New Roman;serif"/>
          <w:b/>
          <w:i/>
          <w:color w:val="000000"/>
          <w:sz w:val="20"/>
        </w:rPr>
      </w:pPr>
      <w:r>
        <w:rPr>
          <w:rFonts w:ascii="Times New Roman;serif" w:hAnsi="Times New Roman;serif"/>
          <w:b/>
          <w:i/>
          <w:color w:val="000000"/>
          <w:sz w:val="20"/>
        </w:rPr>
        <w:t>Research and Development Services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2023, a specified milestone event was triggered based upon the signing of an agreement for which the Company has no ongoing obligations, resulting in $2.5 million recognized as license fees and collaboration revenue in the accompanying Statements of Operations and Comprehensive Loss for the year ended December 31, 2023.</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and in March 2024 made a special cash dividend payment to the Company of $0.7 million (equivalent to $4.80 per share). In March 2024, the Company executed an agreement with GrandPharma and LianBio (the “Novation Agreement”) to transition the rights to develop and commercialize TP-03 in China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MGD from LianBio to GrandPharma. Upon execution of the Novation Agreement, the China Out-License with LianBio was assigned to GrandPharma with a one-time payment of $2.5 million (the “Termination Payment”) made to the Company from LianBio in April 2024. This Termination Payment was recorded as license fees and collaboration revenue in the accompanying Statement of Operations and Comprehensive Loss for the year ended December 31, 2024. The Novation Agreement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Simultaneous with the execution of the Novation Agreement, the Company entered into a warrant termination agreement (the “Warrant Termination Agreement”) pursuant to which the Company received a cancellation payment of $0.4 million (the “Warrant Cancellation Payment”). This Warrant Cancellation Payment was recorded as license fees and collaboration revenue in the accompanying Statement of Operations and Comprehensive Loss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December 31, 2025, the Company received aggregate payments from LianBio totaling $86.1 million, comprised of (i) $15.0 million of initial consideration, (ii) $67.5 million for the achievement of specified milestones, (iii) $2.5 million upon execution of the Novation Agreement, (iv) $0.4 million upon execution of the Warrant Termination Agreement, and (v) $0.7 million related to a special cash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is eligible to receive further consideration from GrandPharma upon the achievement of additional TP-03 events, including: (i) additional regulatory approval and/or patent issuance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CREDIT FACILITY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the Company executed the 2024 Credit Facility with Pharmakon with maturity in April 2029. The 2024 Credit Facility is collateralized by substantially all of the Company’s presently existing and subsequently acquired assets. Upon execution, the Company made a $75.0 million draw from the initial tranche of the 2024 Credit Facility, a portion of which was utilized to repay all outstanding indebtedness on the Credit Facility with Hercules and SVB (the “2022 Credit Facility”), resulting in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were met. The Company did not draw on any of the three additional tranches of $25.0 million, $50.0 million and $50.0 million, respectively, each of which expired on December 31, 2024, June 30, 2025 and December 31, 2025.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2024 Credit Facility, the outstanding principal draws accrue interest at a floating rate based upon the secured overnight financing rate (“SOFR”), plus a margin of 6.75% per annum. The SOFR is subject to a 3.75% floor. At the extinguishment date of the 2022 Credit Facility, the outstanding principal was accruing interest at the aggregate cap of 11.45%.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was required to pay a specified fee upon the earlier of (i) February 2, 2027 or (ii) the date the Company prepays, in full or in part, the outstanding principal balance of the 2022 Credit Facility (“End of Term Charge”). Upon the signing of the 2024 Credit Facility, the End of Term Charge of $1.4 million was paid in full in April 2024, which was derived by multiplying 4.75% by the $30.0 million outstanding principal balance. Prior to being paid, the End of Term Charge was accreted to interest expense over the expected maturity date. The Company recognized a loss on debt extinguishment of $1.9 million in the Statement of Operations and Comprehensive Loss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December 31, 2025, 2024 and 2023, the effective interest rates for the full term of the Credit Facilities was 11.99%, 12.61%, and 11.96%, respectively. The Company recognized interest expense in the accompanying Statements of Operations and Comprehensive Loss in connection with the Credit Facilities as follows:</w:t>
      </w:r>
    </w:p>
    <w:tbl>
      <w:tblPr>
        <w:tblW w:w="5921" w:type="dxa"/>
        <w:jc w:val="left"/>
        <w:tblInd w:w="0" w:type="dxa"/>
        <w:tblLayout w:type="fixed"/>
        <w:tblCellMar>
          <w:top w:w="28" w:type="dxa"/>
          <w:left w:w="28" w:type="dxa"/>
          <w:bottom w:w="28" w:type="dxa"/>
          <w:right w:w="28" w:type="dxa"/>
        </w:tblCellMar>
      </w:tblPr>
      <w:tblGrid>
        <w:gridCol w:w="957"/>
        <w:gridCol w:w="839"/>
        <w:gridCol w:w="843"/>
        <w:gridCol w:w="196"/>
        <w:gridCol w:w="556"/>
        <w:gridCol w:w="109"/>
        <w:gridCol w:w="109"/>
        <w:gridCol w:w="109"/>
        <w:gridCol w:w="109"/>
        <w:gridCol w:w="196"/>
        <w:gridCol w:w="556"/>
        <w:gridCol w:w="109"/>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end of term charge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Balance Sheets as follows:</w:t>
      </w:r>
    </w:p>
    <w:tbl>
      <w:tblPr>
        <w:tblW w:w="5829" w:type="dxa"/>
        <w:jc w:val="left"/>
        <w:tblInd w:w="0" w:type="dxa"/>
        <w:tblLayout w:type="fixed"/>
        <w:tblCellMar>
          <w:top w:w="28" w:type="dxa"/>
          <w:left w:w="28" w:type="dxa"/>
          <w:bottom w:w="28" w:type="dxa"/>
          <w:right w:w="28" w:type="dxa"/>
        </w:tblCellMar>
      </w:tblPr>
      <w:tblGrid>
        <w:gridCol w:w="1286"/>
        <w:gridCol w:w="1130"/>
        <w:gridCol w:w="1139"/>
        <w:gridCol w:w="196"/>
        <w:gridCol w:w="646"/>
        <w:gridCol w:w="109"/>
        <w:gridCol w:w="109"/>
        <w:gridCol w:w="109"/>
        <w:gridCol w:w="109"/>
        <w:gridCol w:w="196"/>
        <w:gridCol w:w="64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loss from operations before income tax provision were as follows:</w:t>
      </w:r>
    </w:p>
    <w:tbl>
      <w:tblPr>
        <w:tblW w:w="5021" w:type="dxa"/>
        <w:jc w:val="left"/>
        <w:tblInd w:w="0" w:type="dxa"/>
        <w:tblLayout w:type="fixed"/>
        <w:tblCellMar>
          <w:top w:w="28" w:type="dxa"/>
          <w:left w:w="28" w:type="dxa"/>
          <w:bottom w:w="28" w:type="dxa"/>
          <w:right w:w="28" w:type="dxa"/>
        </w:tblCellMar>
      </w:tblPr>
      <w:tblGrid>
        <w:gridCol w:w="384"/>
        <w:gridCol w:w="338"/>
        <w:gridCol w:w="342"/>
        <w:gridCol w:w="196"/>
        <w:gridCol w:w="721"/>
        <w:gridCol w:w="109"/>
        <w:gridCol w:w="109"/>
        <w:gridCol w:w="109"/>
        <w:gridCol w:w="109"/>
        <w:gridCol w:w="196"/>
        <w:gridCol w:w="811"/>
        <w:gridCol w:w="109"/>
        <w:gridCol w:w="109"/>
        <w:gridCol w:w="109"/>
        <w:gridCol w:w="109"/>
        <w:gridCol w:w="196"/>
        <w:gridCol w:w="811"/>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U.S. federal, state, and local income tax provision is summarized as follows:</w:t>
      </w:r>
    </w:p>
    <w:tbl>
      <w:tblPr>
        <w:tblW w:w="5621" w:type="dxa"/>
        <w:jc w:val="left"/>
        <w:tblInd w:w="0" w:type="dxa"/>
        <w:tblLayout w:type="fixed"/>
        <w:tblCellMar>
          <w:top w:w="28" w:type="dxa"/>
          <w:left w:w="28" w:type="dxa"/>
          <w:bottom w:w="28" w:type="dxa"/>
          <w:right w:w="28" w:type="dxa"/>
        </w:tblCellMar>
      </w:tblPr>
      <w:tblGrid>
        <w:gridCol w:w="956"/>
        <w:gridCol w:w="838"/>
        <w:gridCol w:w="845"/>
        <w:gridCol w:w="196"/>
        <w:gridCol w:w="556"/>
        <w:gridCol w:w="109"/>
        <w:gridCol w:w="109"/>
        <w:gridCol w:w="109"/>
        <w:gridCol w:w="109"/>
        <w:gridCol w:w="196"/>
        <w:gridCol w:w="406"/>
        <w:gridCol w:w="109"/>
        <w:gridCol w:w="109"/>
        <w:gridCol w:w="109"/>
        <w:gridCol w:w="109"/>
        <w:gridCol w:w="196"/>
        <w:gridCol w:w="40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income tax provision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provision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 provision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taxes was computed by applying the U.S. federal statutory income tax rate in each period to the pretax loss for the years ended December 31, 2025, 2024 and 2023, and adjusted for certain classes of transactions, as summarized below:</w:t>
      </w:r>
    </w:p>
    <w:tbl>
      <w:tblPr>
        <w:tblW w:w="10205" w:type="dxa"/>
        <w:jc w:val="left"/>
        <w:tblInd w:w="0" w:type="dxa"/>
        <w:tblLayout w:type="fixed"/>
        <w:tblCellMar>
          <w:top w:w="28" w:type="dxa"/>
          <w:left w:w="28" w:type="dxa"/>
          <w:bottom w:w="28" w:type="dxa"/>
          <w:right w:w="28" w:type="dxa"/>
        </w:tblCellMar>
      </w:tblPr>
      <w:tblGrid>
        <w:gridCol w:w="1187"/>
        <w:gridCol w:w="861"/>
        <w:gridCol w:w="868"/>
        <w:gridCol w:w="196"/>
        <w:gridCol w:w="692"/>
        <w:gridCol w:w="109"/>
        <w:gridCol w:w="109"/>
        <w:gridCol w:w="109"/>
        <w:gridCol w:w="109"/>
        <w:gridCol w:w="255"/>
        <w:gridCol w:w="256"/>
        <w:gridCol w:w="357"/>
        <w:gridCol w:w="109"/>
        <w:gridCol w:w="109"/>
        <w:gridCol w:w="109"/>
        <w:gridCol w:w="196"/>
        <w:gridCol w:w="692"/>
        <w:gridCol w:w="109"/>
        <w:gridCol w:w="109"/>
        <w:gridCol w:w="109"/>
        <w:gridCol w:w="109"/>
        <w:gridCol w:w="255"/>
        <w:gridCol w:w="256"/>
        <w:gridCol w:w="357"/>
        <w:gridCol w:w="109"/>
        <w:gridCol w:w="109"/>
        <w:gridCol w:w="109"/>
        <w:gridCol w:w="196"/>
        <w:gridCol w:w="692"/>
        <w:gridCol w:w="109"/>
        <w:gridCol w:w="109"/>
        <w:gridCol w:w="109"/>
        <w:gridCol w:w="109"/>
        <w:gridCol w:w="255"/>
        <w:gridCol w:w="256"/>
        <w:gridCol w:w="416"/>
      </w:tblGrid>
      <w:tr>
        <w:trPr/>
        <w:tc>
          <w:tcPr>
            <w:tcW w:w="11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tax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and local income taxes, net of federal income tax effect</w:t>
            </w:r>
            <w:r>
              <w:rPr>
                <w:rFonts w:ascii="Times New Roman;serif" w:hAnsi="Times New Roman;serif"/>
                <w:b w:val="false"/>
                <w:color w:val="000000"/>
                <w:sz w:val="12"/>
              </w:rPr>
              <w:t>(1)</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awards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compensation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Before the valuation allowance, various states made up the majority (greater than 50 percentage) of the tax effect in this category, including Pennsylvania for 2025; Pennsylvania, California and Massachusetts for 2024; and Tennessee and Pennsylvania for 2023. The cash paid for income taxes (net of refunds) during the year was $0.1 million for federal tax and $0.2 million for state and local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tax effects of significant items comprising the Company’s deferred tax assets and liabilities were as follows:</w:t>
      </w:r>
    </w:p>
    <w:tbl>
      <w:tblPr>
        <w:tblW w:w="6038" w:type="dxa"/>
        <w:jc w:val="center"/>
        <w:tblInd w:w="0" w:type="dxa"/>
        <w:tblLayout w:type="fixed"/>
        <w:tblCellMar>
          <w:top w:w="28" w:type="dxa"/>
          <w:left w:w="28" w:type="dxa"/>
          <w:bottom w:w="28" w:type="dxa"/>
          <w:right w:w="28" w:type="dxa"/>
        </w:tblCellMar>
      </w:tblPr>
      <w:tblGrid>
        <w:gridCol w:w="1364"/>
        <w:gridCol w:w="1197"/>
        <w:gridCol w:w="1203"/>
        <w:gridCol w:w="196"/>
        <w:gridCol w:w="646"/>
        <w:gridCol w:w="109"/>
        <w:gridCol w:w="109"/>
        <w:gridCol w:w="109"/>
        <w:gridCol w:w="109"/>
        <w:gridCol w:w="196"/>
        <w:gridCol w:w="64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 before valuation allowance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Valuation allowance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$107.9 million and $88.0 million at December 31, 2025 and 2024, respectively.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At December 31, 2025, the Company has U.S. federal, state, and local net operating loss (“NOL”) carryforwards of approximat</w:t>
      </w:r>
      <w:r>
        <w:rPr>
          <w:rFonts w:ascii="Times New Roman;serif" w:hAnsi="Times New Roman;serif"/>
          <w:b w:val="false"/>
          <w:color w:val="000000"/>
          <w:sz w:val="20"/>
          <w:shd w:fill="FFFFFF" w:val="clear"/>
        </w:rPr>
        <w:t>ely $176.1 million a</w:t>
      </w:r>
      <w:r>
        <w:rPr>
          <w:rFonts w:ascii="Times New Roman;serif" w:hAnsi="Times New Roman;serif"/>
          <w:b w:val="false"/>
          <w:color w:val="000000"/>
          <w:sz w:val="20"/>
        </w:rPr>
        <w:t>nd $105.9 million, respectively. As a result of the Tax Cuts and Jobs Act of 2017 (the “Tax Act”), for U.S. income tax purposes, NOLs generated prior to December 31, 2017 can be carried forward for up to 20 years, while NOLs generated after December 31, 2017 can be carried forward indefinitely, but are limited to 80% utilization against taxable income. The Company’s total U.S. federal NOL of $176.1 million will not expire but will only be able to offset 80% of future taxable income within each year. The other state and local NOLs will begin to expire in 2033. At December 31, 2025, the Company had U.S. federal and other state research and development tax credits of $6.9 million and $2.2 million, respectively. The Company’s U.S. federal research and development tax credits begin to expire in 2040 unless previously utilized, and the other state and local credit carryforwards do not expire.</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Internal Revenue Code (“IRC”) Sections 382 and 383 limit annual use of NOL and research and development credit carryforwards in the event a cumulative change in ownership of more than 50% occurs within a three-year period. The Company has completed an ownership change analysis, which resulted in some ownership changes. Of the total U.S. federal, state, and local NOLs of $176.1 million and $105.9 million respectively, $174.6 million and $105.0 million are available as of December 31, 2025 to offset future taxable income. The remaining $1.5 million and $0.9 million will become available in future years. If a requisite ownership change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Uncertain tax positions are evaluated based upon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2025, the Company had gross unrecognized tax benefits of $4.3 million, none of which would affect the effective tax rate if recognized. The Company’s policy is to recognize the interest expense and/or penalties related to income tax matters as a component of income tax expense. The Company had no accrual for interest or penalties in the accompanying Balance Sheets at December 31, 2025 and has not recognized interest and/or penalties in the accompanying Statements of Operations and Comprehensive Loss for the years ended December 31, 2025 or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the gross unrecognized tax benefits:</w:t>
      </w:r>
    </w:p>
    <w:tbl>
      <w:tblPr>
        <w:tblW w:w="6371" w:type="dxa"/>
        <w:jc w:val="center"/>
        <w:tblInd w:w="0" w:type="dxa"/>
        <w:tblLayout w:type="fixed"/>
        <w:tblCellMar>
          <w:top w:w="28" w:type="dxa"/>
          <w:left w:w="28" w:type="dxa"/>
          <w:bottom w:w="28" w:type="dxa"/>
          <w:right w:w="28" w:type="dxa"/>
        </w:tblCellMar>
      </w:tblPr>
      <w:tblGrid>
        <w:gridCol w:w="1118"/>
        <w:gridCol w:w="983"/>
        <w:gridCol w:w="988"/>
        <w:gridCol w:w="196"/>
        <w:gridCol w:w="556"/>
        <w:gridCol w:w="109"/>
        <w:gridCol w:w="109"/>
        <w:gridCol w:w="109"/>
        <w:gridCol w:w="109"/>
        <w:gridCol w:w="196"/>
        <w:gridCol w:w="556"/>
        <w:gridCol w:w="109"/>
        <w:gridCol w:w="109"/>
        <w:gridCol w:w="109"/>
        <w:gridCol w:w="109"/>
        <w:gridCol w:w="196"/>
        <w:gridCol w:w="55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related to current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related to prior year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Decreases related to prior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Federal jurisdiction and various states. All tax years from inception are subject to examination by federal and state tax authorities. Further, the Company is not currently under examination by any federal, state, or local tax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financing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In December 2025, pursuant to the terms of an Amended Preferred Stock Purchase Agreement, the Company purchased an additional $0.9 million of preferred stock, resulting in a total investment of $3.9 million and representing a small minority equity interest in this private company. Dr. Azamian, the Company’s CEO and Chair of the Board, and Dr. Link, a member of the Company’s Board of Directors, serve on the board of this private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EMPLOYEE BENEFIT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a 401(k) tax-deferred savings plan which permits participants to make contributions by salary deduction pursuant to Section 401(k) of the IRC. The Company has elected to make discretionary matching contributions of 5% of employee contributions up to a maximum annual compensation limit of $350,000. For the years ended December 31, 2025, 2024, and 2023, the Company’s matching contributions were $3.7 million, $2.2 million, and $1.1 million, respectively, as reported in the accompanying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SUBSEQUENT EVENT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Other In-License Agreements for All Diagnostic, Prophylactic, and Therapeutic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 2026, the Company executed two new in-license agreements from a third party for the exclusive worldwide rights to develop, manufacture, and commercialize several compounds for all diagnostic, prophylactic, and therapeutic uses, except for a specific field carve-out for a small minority of the compounds to be retained by the licensor (collectively, the “February 2026 In-License Agreements”). In aggregate, the Company made an upfront payment of $2.0 million upon execution of the license agreements in February 2026, and is obligated to make potential future cash payments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b2015f1968be49f29f4e21ebc34be7a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$2.5 million upon the achievement of event-based development milestones, and up to $92.0 million for various commercial and sales threshold milestones. Future annual worldwide net sales of products developed, manufactured, and commercialized in conjunction with the February 2026 In-License Agreements will also be subject to incremental tiered royalty rates in the mid single digits.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Conclusions Regarding the Effectiveness of Disclosure Controls and Procedures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shd w:fill="FFFFFF" w:val="clear"/>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under the Exchange Act) as of December 31, 2025. Based upon that evaluation, our Chief Executive Officer and Chief Financial Officer have concluded that as of December 31, 2025, the Company’s disclosure controls and procedures were effective </w:t>
      </w:r>
      <w:r>
        <w:rPr>
          <w:rFonts w:ascii="Times New Roman;serif" w:hAnsi="Times New Roman;serif"/>
          <w:b w:val="false"/>
          <w:color w:val="000000"/>
          <w:sz w:val="20"/>
        </w:rPr>
        <w:t>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our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2025. 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controls over financial reporting during the three months ended December 31, 2025, covered by this Annual Report on Form 10-K that has materially affected, or is reasonably likely to materially affect, our internal controls over financial reporting.</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Inherent Limitations on Effectiveness of Controls </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t>
      </w:r>
      <w:r>
        <w:rPr>
          <w:rFonts w:ascii="Times New Roman;serif" w:hAnsi="Times New Roman;serif"/>
          <w:b w:val="false"/>
          <w:color w:val="000000"/>
          <w:sz w:val="20"/>
        </w:rPr>
        <w:t xml:space="preserve">wo or more people or by management override of the controls. The design of any system of controls is also based in part on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Stockholders and the Board of Directors of Tarsus Pharmaceuticals,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Tarsus Pharmaceuticals, Inc.’s internal control over financial reporting as of December 31, 2025, based on criteria established in Internal Control—Integrated Framework issued by the Committee of Sponsoring Organizations of the Treadway Commission (2013 framework) (the COSO criteria). In our opinion, Tarsus Pharmaceuticals, Inc. (the Company) maintained, in all material respects, effective internal control over financial reporting as of December 31, 2025, based on the COSO criteria.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balance sheets of the Company as of December 31, 2025 and 2024, the related statements of operations and comprehensive loss, stockholders’ equity and cash flows for each of the three years in the period ended December 31, 2025, and the related notes and our report dated February 23, 2026 expressed an unqualified opinion thereon.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Irvine,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December 2024, Bobak Azamian, our Chief Executive Officer adopted a Rule 10b5-1 trading plan to satisfy the affirmative defense of Rule 10b5-1(c) under the Exchange Act. The plan provided for the sale of up to 24,000 shares of common stock held by Dr. Azamian between March 24, 2025, and March 23, 2026. During the year ended December 31, 2025, Dr. Azamian sold all 24,000 shares under this plan and it was subsequently terminated. In December 2025, Dr. Azamian, adopted a new Rule 10b5-1 trading plan. The plan provides for the sale of up to 60,000 shares of common stock held by Dr. Azamian between March 24, 2026 and March 24,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November 13, 2025, Seshadri Neervannan, our Chief Operating Officer, adopted a Rule 10b5-1 trading plan to satisfy the affirmative defense of Rule 10b5-1(c) under the Exchange Act. The plan provides for the sale of up to 18,027 shares of common stock held by Dr. Neervannan between March 4, 2026 and March 16,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2025, Dianne Whitfield, our Chief Human Resources Officer, adopted a Rule 10b5-1 trading plan to satisfy the affirmative defense of Rule 10b5-1(c) under the Exchange Act. The plan provided for the sale of up to 57,925 shares of common stock held by Ms. Whitfield between December 16, 2025 and April 1, 2026. For the year ended December 31, 2025, Ms. Whitfield sold 7,397 shares pursuant to this Rule 10b5-1 trading plan. In January 2026, Ms. Whitfield sold an additional 15,565 shares under the plan. On January 20, 2026, Ms. Whitfield cancelled the Rule 10b5-1 trading plan, at which time 34,963 shares remained unsold under this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2025, William Link, a member of our Board of Directors, adopted a Rule 10b5-1 trading plan to satisfy the affirmative defense of Rule 10b5-1(c) under the Exchange Act. The plan provides for the sale of up to 50,000 shares of common stock held by Dr. Link between December 15, 2025 and December 14, 2026. For the year ended December 31, 2025, Dr. Link sold 12,500 shares under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in connection with the Annual Meeting of Stockholders within 120 days after December 31, 2025 (the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14. Principal Accountant Fees and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Financial Statements (included in Part II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Report of Independent Registered Public Accounting Firm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Balance Sheets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Statements of Operations and Comprehensive Loss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Statements of Stockholder’s Equity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Statements of Cash Flows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Notes to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are omitted because the information is inapplicable or presented in the notes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The following exhibits are included herein or incorporated herein by reference:</w:t>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00"/>
        <w:gridCol w:w="265"/>
        <w:gridCol w:w="266"/>
        <w:gridCol w:w="109"/>
        <w:gridCol w:w="109"/>
        <w:gridCol w:w="109"/>
        <w:gridCol w:w="1853"/>
        <w:gridCol w:w="1702"/>
        <w:gridCol w:w="1720"/>
        <w:gridCol w:w="170"/>
        <w:gridCol w:w="170"/>
        <w:gridCol w:w="171"/>
        <w:gridCol w:w="301"/>
        <w:gridCol w:w="260"/>
        <w:gridCol w:w="157"/>
        <w:gridCol w:w="210"/>
        <w:gridCol w:w="210"/>
        <w:gridCol w:w="211"/>
        <w:gridCol w:w="457"/>
        <w:gridCol w:w="284"/>
        <w:gridCol w:w="249"/>
        <w:gridCol w:w="268"/>
        <w:gridCol w:w="268"/>
        <w:gridCol w:w="386"/>
      </w:tblGrid>
      <w:tr>
        <w:trPr/>
        <w:tc>
          <w:tcPr>
            <w:tcW w:w="3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Filing Date</w:t>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16"/>
                  <w:u w:val="single"/>
                </w:rPr>
                <w:t>Amended and Restated Certificate of Incorporation of Registrant.</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 2020</w:t>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16"/>
                  <w:u w:val="single"/>
                </w:rPr>
                <w:t>Amended and Restated Bylaws of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16"/>
                  <w:u w:val="single"/>
                </w:rPr>
                <w:t>Form of Registrant’s common stock certificate.</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9,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16"/>
                  <w:u w:val="single"/>
                </w:rPr>
                <w:t>Description of the Registrant’s securities registered pursuant to Section 12 of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14,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16"/>
                  <w:u w:val="single"/>
                </w:rPr>
                <w:t>Amended and Restated Investors’ Rights Agreement, dated September 24, 2020, by and among the Registrant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9,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FF"/>
                  <w:sz w:val="16"/>
                  <w:u w:val="single"/>
                </w:rPr>
                <w:t>Form of Pre-Funded Warrant.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 2024</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FF"/>
                  <w:sz w:val="16"/>
                  <w:u w:val="single"/>
                </w:rPr>
                <w:t>Form of Indemnification Agreement between the Registrant and each of its directors and executive officers.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9,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16"/>
                  <w:u w:val="single"/>
                </w:rPr>
                <w:t>Tarsus Pharmaceuticals, Inc. 2016 Stock Plan, as amended and forms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25,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16"/>
                  <w:u w:val="single"/>
                </w:rPr>
                <w:t>Tarsus Pharmaceuticals, Inc. 2020 Equity Incentive Plan and form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S-8</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99.2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16"/>
                  <w:u w:val="single"/>
                </w:rPr>
                <w:t>Tarsus Pharmaceuticals, Inc. 2020 Employee Stock Purchase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S-8</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99.3</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16"/>
                  <w:u w:val="single"/>
                </w:rPr>
                <w:t>Amended and Restated Offer Letter, dated October 8, 2020, between the Registrant and Bobak Azamian, M.D.,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9,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FF"/>
                  <w:sz w:val="16"/>
                  <w:u w:val="single"/>
                </w:rPr>
                <w:t>Offer Letter, dated June 4, 2020, between the Registrant and Seshadri Neervannan,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25,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16"/>
                  <w:u w:val="single"/>
                </w:rPr>
                <w:t>Offer Letter, dated June 22, 2020, between the Registrant and Aziz Mottiwala.</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25,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16"/>
                  <w:u w:val="single"/>
                </w:rPr>
                <w:t>Office Lease, dated May 28, 2020, between the Registrant and Discovery Business Center LLC.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25,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16"/>
                  <w:u w:val="single"/>
                </w:rPr>
                <w:t>Management Cash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9,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16"/>
                  <w:u w:val="single"/>
                </w:rPr>
                <w:t>Development and License Agreement, dated March 26, 2021, between the Registrant and LianBio Ophthalmology Limited.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May 11, 2021</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16"/>
                  <w:u w:val="single"/>
                </w:rPr>
                <w:t>Amended and Restated License Agreement, dated June 3, 2022, 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11,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erif" w:hAnsi="Times New Roman;serif"/>
                  <w:b w:val="false"/>
                  <w:color w:val="0000FF"/>
                  <w:sz w:val="16"/>
                  <w:u w:val="single"/>
                </w:rPr>
                <w:t>Amended and Restated License Agreement, dated June 3, 2022,between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11,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FF"/>
                  <w:sz w:val="16"/>
                  <w:u w:val="single"/>
                </w:rPr>
                <w:t xml:space="preserve">Offer Letter, dated March 6, 2023 by and between the Registrant and Jeffrey Farrow. </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27, 2024</w:t>
            </w:r>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16"/>
                  <w:u w:val="single"/>
                </w:rPr>
                <w:t>Form of Executive Severance and Change in Control Agreement.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10, 2023</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FF"/>
                  <w:sz w:val="16"/>
                  <w:u w:val="single"/>
                </w:rPr>
                <w:t>Loan and Security Agreement, dated April 19, 2024, among Registrant and Biopharma Credit PLC, Biopharma Credit Investments V (Master) LP, and BPCR Limited Partnership.</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8, 2024</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16"/>
                  <w:u w:val="single"/>
                </w:rPr>
                <w:t>Office Lease Termination Agreement, dated December 16, 2024, between the Registrant and Discovery Business Center LLC.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25, 2025</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16"/>
                  <w:u w:val="single"/>
                </w:rPr>
                <w:t>Office Lease Agreement, dated December 16, 2024, between the Registrant and Spectrum Terrace III LLC.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10.25</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25, 2025</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16"/>
                  <w:u w:val="single"/>
                </w:rPr>
                <w:t xml:space="preserve">Offer Letter, dated October 31, 2024, between the Registrant and Elizabeth Yeu. </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25, 2025</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16"/>
                  <w:u w:val="single"/>
                </w:rPr>
                <w:t>Novation and Termination Agreement, dated March 26, 2024, by and among the Registrant, LianBio Development (HK) Limited, LianBio, Shanghai LianBio Development Co., Ltd., Xi An Grand Chang An Pharmaceutical Co., Ltd., and Grand Pharmaceutical Group Limited.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9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25, 2025</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18"/>
        <w:gridCol w:w="118"/>
        <w:gridCol w:w="118"/>
        <w:gridCol w:w="2119"/>
        <w:gridCol w:w="2033"/>
        <w:gridCol w:w="2037"/>
        <w:gridCol w:w="139"/>
        <w:gridCol w:w="139"/>
        <w:gridCol w:w="141"/>
        <w:gridCol w:w="242"/>
        <w:gridCol w:w="242"/>
        <w:gridCol w:w="243"/>
        <w:gridCol w:w="152"/>
        <w:gridCol w:w="152"/>
        <w:gridCol w:w="153"/>
        <w:gridCol w:w="415"/>
        <w:gridCol w:w="318"/>
        <w:gridCol w:w="319"/>
        <w:gridCol w:w="118"/>
        <w:gridCol w:w="118"/>
        <w:gridCol w:w="1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FF"/>
                  <w:sz w:val="16"/>
                  <w:u w:val="single"/>
                </w:rPr>
                <w:t>Amendment, dated May 1, 2025, to Amended and Restated License Agreement, dated June 3, 2022, between the Registrant and Elanco Tiergesundheit AG.</w:t>
              </w:r>
            </w:hyperlink>
          </w:p>
        </w:tc>
        <w:tc>
          <w:tcPr>
            <w:tcW w:w="4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7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4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0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6, 2025</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19.1^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erif" w:hAnsi="Times New Roman;serif"/>
                  <w:b w:val="false"/>
                  <w:color w:val="0000FF"/>
                  <w:sz w:val="16"/>
                  <w:u w:val="single"/>
                </w:rPr>
                <w:t>Tarsus Pharmaceuticals, Inc. Insider Trading Policy</w:t>
              </w:r>
            </w:hyperlink>
          </w:p>
        </w:tc>
        <w:tc>
          <w:tcPr>
            <w:tcW w:w="4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4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10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25, 2025</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23.1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202510k.htm">
              <w:r>
                <w:rPr>
                  <w:rStyle w:val="InternetLink"/>
                  <w:rFonts w:ascii="Times New Roman;serif" w:hAnsi="Times New Roman;serif"/>
                  <w:b w:val="false"/>
                  <w:color w:val="0000FF"/>
                  <w:sz w:val="16"/>
                  <w:u w:val="single"/>
                </w:rPr>
                <w:t>Consent of Independent Registered Public Accounting Firm</w:t>
              </w:r>
            </w:hyperlink>
            <w:r>
              <w:rPr>
                <w:rFonts w:ascii="Times New Roman;serif" w:hAnsi="Times New Roman;serif"/>
                <w:b w:val="false"/>
                <w:color w:val="000000"/>
                <w:sz w:val="16"/>
              </w:rPr>
              <w:t>.</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24.1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b2015f1968be49f29f4e21ebc34be7a7_190">
              <w:r>
                <w:rPr>
                  <w:rStyle w:val="InternetLink"/>
                  <w:rFonts w:ascii="Times New Roman;serif" w:hAnsi="Times New Roman;serif"/>
                  <w:b w:val="false"/>
                  <w:color w:val="0000FF"/>
                  <w:sz w:val="16"/>
                  <w:u w:val="single"/>
                </w:rPr>
                <w:t>Power of Attorney (included in the signature page to this Annual Report on Form 10-K)</w:t>
              </w:r>
            </w:hyperlink>
            <w:r>
              <w:rPr>
                <w:rFonts w:ascii="Times New Roman;serif" w:hAnsi="Times New Roman;serif"/>
                <w:b w:val="false"/>
                <w:color w:val="000000"/>
                <w:sz w:val="16"/>
              </w:rPr>
              <w:t>.</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202510k.htm">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202510k.htm">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202510k.htm">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32.2*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202510k.htm">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97.1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16"/>
                  <w:u w:val="single"/>
                </w:rPr>
                <w:t>Tarsus Pharmaceuticals, Inc. Policy for the Recovery of Erroneously Awarded Compensation.</w:t>
              </w:r>
            </w:hyperlink>
          </w:p>
        </w:tc>
        <w:tc>
          <w:tcPr>
            <w:tcW w:w="4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7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001-39614</w:t>
            </w:r>
          </w:p>
        </w:tc>
        <w:tc>
          <w:tcPr>
            <w:tcW w:w="4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10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27, 2024</w:t>
            </w:r>
          </w:p>
        </w:tc>
        <w:tc>
          <w:tcPr>
            <w:tcW w:w="421"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 - The instance document does not appear in the interactive data file because its XBRL tags are embedded within the inline XBRL document.</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With Embedded Linkbase Documents.</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Pursuant to Item 601(a)(5) of Regulation S-K, certain exhibits and schedules have been omitted. The Registrant hereby undertakes to furnish supplementally a copy of any omitted exhibit or schedule upon request by the SEC.</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619"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Pursuant to Item 601(b)(10) of Regulation S-K, certain confidential portions of this exhibit have been omitted by means of marking such portions with asterisks as the identified confidential portions (i) are not material and (ii) is the type that the Registrant treats as private or confidential.</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Indicates a management contract or compensatory plan.</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certifications attached as Exhibits 32.1 and 32.2 that accompany this Annual Report on Form 10-K are not deemed</w:t>
              <w:b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tc>
      </w:tr>
    </w:tbl>
    <w:p>
      <w:pPr>
        <w:pStyle w:val="TextBody"/>
        <w:bidi w:val="0"/>
        <w:spacing w:lineRule="auto" w:line="288" w:before="240" w:after="283"/>
        <w:jc w:val="left"/>
        <w:rPr/>
      </w:pPr>
      <w:r>
        <w:rPr>
          <w:rFonts w:ascii="Times New Roman;serif" w:hAnsi="Times New Roman;serif"/>
          <w:b w:val="false"/>
          <w:i/>
          <w:color w:val="000000"/>
          <w:sz w:val="20"/>
        </w:rPr>
        <w:t>(c)    Financial Statement Schedules.</w:t>
      </w:r>
      <w:r>
        <w:rPr>
          <w:color w:val="000000"/>
        </w:rPr>
        <w:t xml:space="preserve"> </w:t>
      </w:r>
      <w:r>
        <w:rPr>
          <w:rFonts w:ascii="Times New Roman;serif" w:hAnsi="Times New Roman;serif"/>
          <w:b w:val="false"/>
          <w:color w:val="000000"/>
          <w:sz w:val="20"/>
        </w:rPr>
        <w:t>All schedules have been omitted because the information required to be presented in them is not applicable or is shown in the financial statements or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3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Annual Report on Form 10-K to be signed on its behalf by the undersigned, thereunto duly authorized, in the City of Irvine, State of California, on February 23, 2026.</w:t>
      </w:r>
    </w:p>
    <w:tbl>
      <w:tblPr>
        <w:tblW w:w="4109" w:type="dxa"/>
        <w:jc w:val="right"/>
        <w:tblInd w:w="0" w:type="dxa"/>
        <w:tblLayout w:type="fixed"/>
        <w:tblCellMar>
          <w:top w:w="28" w:type="dxa"/>
          <w:left w:w="28" w:type="dxa"/>
          <w:bottom w:w="28" w:type="dxa"/>
          <w:right w:w="28" w:type="dxa"/>
        </w:tblCellMar>
      </w:tblPr>
      <w:tblGrid>
        <w:gridCol w:w="1316"/>
        <w:gridCol w:w="1155"/>
        <w:gridCol w:w="1638"/>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Bobak Azamian, M.D., Ph.D., Jeffrey Farrow, and Bryan Wahl, M.D.,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Annual Report on Form 10-K has been signed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before="0" w:after="0"/>
        <w:jc w:val="left"/>
        <w:rPr/>
      </w:pPr>
      <w:r>
        <w:rPr/>
      </w:r>
    </w:p>
    <w:tbl>
      <w:tblPr>
        <w:tblW w:w="9629" w:type="dxa"/>
        <w:jc w:val="center"/>
        <w:tblInd w:w="0" w:type="dxa"/>
        <w:tblLayout w:type="fixed"/>
        <w:tblCellMar>
          <w:top w:w="28" w:type="dxa"/>
          <w:left w:w="28" w:type="dxa"/>
          <w:bottom w:w="28" w:type="dxa"/>
          <w:right w:w="28" w:type="dxa"/>
        </w:tblCellMar>
      </w:tblPr>
      <w:tblGrid>
        <w:gridCol w:w="970"/>
        <w:gridCol w:w="854"/>
        <w:gridCol w:w="860"/>
        <w:gridCol w:w="1763"/>
        <w:gridCol w:w="1763"/>
        <w:gridCol w:w="1784"/>
        <w:gridCol w:w="477"/>
        <w:gridCol w:w="477"/>
        <w:gridCol w:w="681"/>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and Principal Accounting Officer)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Bhaskar Chaudhuri,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Bhaskar Chaudhuri,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Andrew Goldberg, M.D.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Goldberg, M.D.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 Katherine Goodrich, M.D.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Katherine Goodrich, M.D.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J. Link,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Link,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Scott Morrison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Morrison</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David E. I. Pyott</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E. I. Pyott</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 Wendy Yarno</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Wendy Yarno</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Registration Statement (Form S-8 No. 333-249571) pertaining to the Tarsus Pharmaceuticals, Inc. 2020 Equity Incentive Plan, the Tarsus Pharmaceuticals, Inc. 2020 Employee Stock Purchase Plan, and the Tarsus Pharmaceuticals, Inc. 2016 Stock Plan of Tarsus Pharmaceuticals, Inc., </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 Registration Statement (Form S-8 No. 333-254932) pertaining to the Tarsus Pharmaceuticals, Inc. 2020 Equity Incentive Plan, and the Tarsus Pharmaceuticals, Inc. 2020 Employee Stock Purchase Plan of Tarsus Pharmaceuticals, Inc., </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Registration Statement (Form S-8 No. 333-263537) pertaining to the Tarsus Pharmaceuticals, Inc. 2020 Equity Incentive Plan and the Tarsus Pharmaceuticals, Inc. 2020 Employee Stock Purchase Plan of Tarsus Pharmaceuticals, Inc.,</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 Registration Statement (Form S-8 No. 333-270644) pertaining to the Tarsus Pharmaceuticals, Inc. 2020 Equity Incentive Plan and Tarsus Pharmaceuticals, Inc. 2020 Employee Stock Purchase Plan of Tarsus Pharmaceuticals, Inc.,</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 Registration Statement (Form S-8 No. 333-277400) pertaining to the Tarsus Pharmaceuticals, Inc. 2020 Equity Incentive Plan of Tarsus Pharmaceuticals, Inc.,</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(6) Registration Statement (Form S-8 No. 333-285201) pertaining to the Tarsus Pharmaceuticals, Inc. 2020 Equity Incentive Plan and the Tarsus Pharmaceuticals, Inc. 2020 Employee Stock Purchase Plan of Tarsus Pharmaceuticals, Inc.;</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(7) Registration Statement (Form S-3 No. 333-275439) of Tarsus Pharmaceuticals, Inc., and;</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(8) Registration Statement (Form S-3ASR No. 333-277523) of Tarsus Pharmaceuticals, Inc.;</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23, 2026 with respect to the financial statements of Tarsus Pharmaceuticals, Inc. and the effectiveness of internal control over financial reporting of Tarsus Pharmaceuticals, Inc. included in this Annual Report (Form 10-K) of Tarsus Pharmaceuticals, Inc.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Irvine, California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296" w:type="dxa"/>
        <w:jc w:val="left"/>
        <w:tblInd w:w="0" w:type="dxa"/>
        <w:tblLayout w:type="fixed"/>
        <w:tblCellMar>
          <w:top w:w="28" w:type="dxa"/>
          <w:left w:w="28" w:type="dxa"/>
          <w:bottom w:w="28" w:type="dxa"/>
          <w:right w:w="28" w:type="dxa"/>
        </w:tblCellMar>
      </w:tblPr>
      <w:tblGrid>
        <w:gridCol w:w="223"/>
        <w:gridCol w:w="196"/>
        <w:gridCol w:w="198"/>
        <w:gridCol w:w="535"/>
        <w:gridCol w:w="535"/>
        <w:gridCol w:w="537"/>
        <w:gridCol w:w="140"/>
        <w:gridCol w:w="140"/>
        <w:gridCol w:w="142"/>
        <w:gridCol w:w="721"/>
        <w:gridCol w:w="721"/>
        <w:gridCol w:w="721"/>
        <w:gridCol w:w="721"/>
        <w:gridCol w:w="721"/>
        <w:gridCol w:w="104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422"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22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ind w:left="0" w:right="0" w:firstLine="18"/>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S. Farrow,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949" w:type="dxa"/>
        <w:jc w:val="left"/>
        <w:tblInd w:w="0" w:type="dxa"/>
        <w:tblLayout w:type="fixed"/>
        <w:tblCellMar>
          <w:top w:w="28" w:type="dxa"/>
          <w:left w:w="28" w:type="dxa"/>
          <w:bottom w:w="28" w:type="dxa"/>
          <w:right w:w="28" w:type="dxa"/>
        </w:tblCellMar>
      </w:tblPr>
      <w:tblGrid>
        <w:gridCol w:w="223"/>
        <w:gridCol w:w="196"/>
        <w:gridCol w:w="198"/>
        <w:gridCol w:w="529"/>
        <w:gridCol w:w="529"/>
        <w:gridCol w:w="531"/>
        <w:gridCol w:w="140"/>
        <w:gridCol w:w="140"/>
        <w:gridCol w:w="142"/>
        <w:gridCol w:w="565"/>
        <w:gridCol w:w="565"/>
        <w:gridCol w:w="565"/>
        <w:gridCol w:w="565"/>
        <w:gridCol w:w="565"/>
        <w:gridCol w:w="565"/>
        <w:gridCol w:w="565"/>
        <w:gridCol w:w="565"/>
        <w:gridCol w:w="80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S. Farrow</w:t>
            </w:r>
          </w:p>
        </w:tc>
      </w:tr>
      <w:tr>
        <w:trPr/>
        <w:tc>
          <w:tcPr>
            <w:tcW w:w="2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Jeffrey S. Farrow</w:t>
            </w:r>
          </w:p>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Tarsus Pharmaceuticals, Inc. (the “Company”) on Form 10-K for the period ended December 31, 2025 as filed with the Securities and Exchange Commission on the date hereof (the “Report”), I, Bobak Azamian, as Principal Executive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tbl>
      <w:tblPr>
        <w:tblW w:w="7288" w:type="dxa"/>
        <w:jc w:val="left"/>
        <w:tblInd w:w="0" w:type="dxa"/>
        <w:tblLayout w:type="fixed"/>
        <w:tblCellMar>
          <w:top w:w="28" w:type="dxa"/>
          <w:left w:w="28" w:type="dxa"/>
          <w:bottom w:w="28" w:type="dxa"/>
          <w:right w:w="28" w:type="dxa"/>
        </w:tblCellMar>
      </w:tblPr>
      <w:tblGrid>
        <w:gridCol w:w="225"/>
        <w:gridCol w:w="197"/>
        <w:gridCol w:w="198"/>
        <w:gridCol w:w="537"/>
        <w:gridCol w:w="537"/>
        <w:gridCol w:w="537"/>
        <w:gridCol w:w="142"/>
        <w:gridCol w:w="142"/>
        <w:gridCol w:w="142"/>
        <w:gridCol w:w="718"/>
        <w:gridCol w:w="718"/>
        <w:gridCol w:w="718"/>
        <w:gridCol w:w="718"/>
        <w:gridCol w:w="718"/>
        <w:gridCol w:w="1041"/>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Tarsus Pharmaceuticals, Inc. (the “Company”) on Form 10-K for the period ended December 31, 2025 as filed with the Securities and Exchange Commission on the date hereof (the “Report”), I, Jeffrey S. Farrow, as Principal Financial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tbl>
      <w:tblPr>
        <w:tblW w:w="7918" w:type="dxa"/>
        <w:jc w:val="left"/>
        <w:tblInd w:w="0" w:type="dxa"/>
        <w:tblLayout w:type="fixed"/>
        <w:tblCellMar>
          <w:top w:w="28" w:type="dxa"/>
          <w:left w:w="28" w:type="dxa"/>
          <w:bottom w:w="28" w:type="dxa"/>
          <w:right w:w="28" w:type="dxa"/>
        </w:tblCellMar>
      </w:tblPr>
      <w:tblGrid>
        <w:gridCol w:w="208"/>
        <w:gridCol w:w="183"/>
        <w:gridCol w:w="184"/>
        <w:gridCol w:w="537"/>
        <w:gridCol w:w="537"/>
        <w:gridCol w:w="537"/>
        <w:gridCol w:w="142"/>
        <w:gridCol w:w="142"/>
        <w:gridCol w:w="142"/>
        <w:gridCol w:w="826"/>
        <w:gridCol w:w="826"/>
        <w:gridCol w:w="826"/>
        <w:gridCol w:w="826"/>
        <w:gridCol w:w="826"/>
        <w:gridCol w:w="1176"/>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819790/000119312520272900/d11649dex31.htm" TargetMode="External"/><Relationship Id="rId14" Type="http://schemas.openxmlformats.org/officeDocument/2006/relationships/hyperlink" Target="https://www.sec.gov/Archives/edgar/data/1819790/000119312520272900/d11649dex32.htm" TargetMode="External"/><Relationship Id="rId15" Type="http://schemas.openxmlformats.org/officeDocument/2006/relationships/hyperlink" Target="https://www.sec.gov/Archives/edgar/data/1819790/000119312520267327/d30607dex41.htm" TargetMode="External"/><Relationship Id="rId16" Type="http://schemas.openxmlformats.org/officeDocument/2006/relationships/hyperlink" Target="https://www.sec.gov/Archives/edgar/data/1819790/000181979022000010/tarsus-form10xkxex42descri.htm" TargetMode="External"/><Relationship Id="rId17" Type="http://schemas.openxmlformats.org/officeDocument/2006/relationships/hyperlink" Target="https://www.sec.gov/Archives/edgar/data/1819790/000119312520267327/d30607dex42.htm" TargetMode="External"/><Relationship Id="rId18" Type="http://schemas.openxmlformats.org/officeDocument/2006/relationships/hyperlink" Target="https://www.sec.gov/Archives/edgar/data/1819790/000119312524056209/d759306dex41.htm" TargetMode="External"/><Relationship Id="rId19" Type="http://schemas.openxmlformats.org/officeDocument/2006/relationships/hyperlink" Target="https://www.sec.gov/Archives/edgar/data/1819790/000119312520267327/d30607dex101.htm" TargetMode="External"/><Relationship Id="rId20" Type="http://schemas.openxmlformats.org/officeDocument/2006/relationships/hyperlink" Target="https://www.sec.gov/Archives/edgar/data/1819790/000119312520254758/d30607dex102.htm" TargetMode="External"/><Relationship Id="rId21" Type="http://schemas.openxmlformats.org/officeDocument/2006/relationships/hyperlink" Target="https://www.sec.gov/Archives/edgar/data/1819790/000119312520272944/d55477dex992.htm" TargetMode="External"/><Relationship Id="rId22" Type="http://schemas.openxmlformats.org/officeDocument/2006/relationships/hyperlink" Target="https://www.sec.gov/Archives/edgar/data/1819790/000119312520272944/d55477dex993.htm" TargetMode="External"/><Relationship Id="rId23" Type="http://schemas.openxmlformats.org/officeDocument/2006/relationships/hyperlink" Target="https://www.sec.gov/Archives/edgar/data/1819790/000119312520267327/d30607dex105.htm" TargetMode="External"/><Relationship Id="rId24" Type="http://schemas.openxmlformats.org/officeDocument/2006/relationships/hyperlink" Target="https://www.sec.gov/Archives/edgar/data/1819790/000119312520254758/d30607dex107.htm" TargetMode="External"/><Relationship Id="rId25" Type="http://schemas.openxmlformats.org/officeDocument/2006/relationships/hyperlink" Target="https://www.sec.gov/Archives/edgar/data/1819790/000119312520254758/d30607dex109.htm" TargetMode="External"/><Relationship Id="rId26" Type="http://schemas.openxmlformats.org/officeDocument/2006/relationships/hyperlink" Target="https://www.sec.gov/Archives/edgar/data/1819790/000119312520254758/d30607dex1013.htm" TargetMode="External"/><Relationship Id="rId27" Type="http://schemas.openxmlformats.org/officeDocument/2006/relationships/hyperlink" Target="https://www.sec.gov/Archives/edgar/data/1819790/000119312520267327/d30607dex1015.htm" TargetMode="External"/><Relationship Id="rId28" Type="http://schemas.openxmlformats.org/officeDocument/2006/relationships/hyperlink" Target="https://www.sec.gov/Archives/edgar/data/1819790/000181979021000020/exhibit101lian-tarsusxdeve.htm" TargetMode="External"/><Relationship Id="rId29" Type="http://schemas.openxmlformats.org/officeDocument/2006/relationships/hyperlink" Target="https://www.sec.gov/Archives/edgar/data/1819790/000181979022000030/elanco-tarsustopicalagre.htm" TargetMode="External"/><Relationship Id="rId30" Type="http://schemas.openxmlformats.org/officeDocument/2006/relationships/hyperlink" Target="https://www.sec.gov/Archives/edgar/data/1819790/000181979022000030/elanco-tarsussystemicagr.htm" TargetMode="External"/><Relationship Id="rId31" Type="http://schemas.openxmlformats.org/officeDocument/2006/relationships/hyperlink" Target="https://www.sec.gov/Archives/edgar/data/1819790/000181979024000018/exhibit1019-offerletterj.htm" TargetMode="External"/><Relationship Id="rId32" Type="http://schemas.openxmlformats.org/officeDocument/2006/relationships/hyperlink" Target="https://www.sec.gov/Archives/edgar/data/1819790/000181979023000071/exhibit102-tarsusformofs.htm" TargetMode="External"/><Relationship Id="rId33" Type="http://schemas.openxmlformats.org/officeDocument/2006/relationships/hyperlink" Target="https://www.sec.gov/Archives/edgar/data/1819790/000181979024000111/pharmakon-tarsusxxloanag.htm" TargetMode="External"/><Relationship Id="rId34" Type="http://schemas.openxmlformats.org/officeDocument/2006/relationships/hyperlink" Target="https://www.sec.gov/Archives/edgar/data/1819790/000181979025000011/tarsuspharmaceuticalsinc.htm" TargetMode="External"/><Relationship Id="rId35" Type="http://schemas.openxmlformats.org/officeDocument/2006/relationships/hyperlink" Target="https://www.sec.gov/Archives/edgar/data/1819790/000181979025000011/tarsusnewleaseredacted.htm" TargetMode="External"/><Relationship Id="rId36" Type="http://schemas.openxmlformats.org/officeDocument/2006/relationships/hyperlink" Target="https://www.sec.gov/Archives/edgar/data/1819790/000181979025000011/yeuelizabeth-offerletter.htm" TargetMode="External"/><Relationship Id="rId37" Type="http://schemas.openxmlformats.org/officeDocument/2006/relationships/hyperlink" Target="https://www.sec.gov/Archives/edgar/data/1819790/000181979025000011/tp-03xnovationandtermina.htm" TargetMode="External"/><Relationship Id="rId38" Type="http://schemas.openxmlformats.org/officeDocument/2006/relationships/hyperlink" Target="https://www.sec.gov/Archives/edgar/data/1819790/000181979025000108/amendmentdatedmay12025to.htm" TargetMode="External"/><Relationship Id="rId39" Type="http://schemas.openxmlformats.org/officeDocument/2006/relationships/hyperlink" Target="https://www.sec.gov/Archives/edgar/data/1819790/000181979025000011/tarsus-xxinsiderxtrading.htm" TargetMode="External"/><Relationship Id="rId40" Type="http://schemas.openxmlformats.org/officeDocument/2006/relationships/hyperlink" Target="https://www.sec.gov/Archives/edgar/data/1819790/000181979024000018/exhibit971-tarsusxformdx.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105674</Words>
  <Characters>596267</Characters>
  <CharactersWithSpaces>698951</CharactersWithSpaces>
  <Paragraphs>4302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