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March 17, 2023</w:t>
      </w:r>
    </w:p>
    <w:p>
      <w:pPr>
        <w:spacing w:after="0" w:line="200" w:lineRule="exact"/>
        <w:rPr>
          <w:sz w:val="24"/>
          <w:szCs w:val="24"/>
          <w:color w:val="auto"/>
        </w:rPr>
      </w:pPr>
    </w:p>
    <w:p>
      <w:pPr>
        <w:spacing w:after="0" w:line="30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S-8</w:t>
      </w:r>
    </w:p>
    <w:p>
      <w:pPr>
        <w:jc w:val="center"/>
        <w:ind w:right="-19"/>
        <w:spacing w:after="0" w:line="212" w:lineRule="auto"/>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19"/>
        <w:spacing w:after="0" w:line="205" w:lineRule="auto"/>
        <w:rPr>
          <w:sz w:val="20"/>
          <w:szCs w:val="20"/>
          <w:color w:val="auto"/>
        </w:rPr>
      </w:pPr>
      <w:r>
        <w:rPr>
          <w:rFonts w:ascii="Times New Roman" w:cs="Times New Roman" w:eastAsia="Times New Roman" w:hAnsi="Times New Roman"/>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The Securities Act of 1933</w:t>
      </w:r>
    </w:p>
    <w:p>
      <w:pPr>
        <w:spacing w:after="0" w:line="1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TARSUS PHARMACEUTICALS, INC.</w:t>
      </w:r>
    </w:p>
    <w:p>
      <w:pPr>
        <w:spacing w:after="0" w:line="3" w:lineRule="exact"/>
        <w:rPr>
          <w:sz w:val="24"/>
          <w:szCs w:val="24"/>
          <w:color w:val="auto"/>
        </w:rPr>
      </w:pPr>
    </w:p>
    <w:tbl>
      <w:tblPr>
        <w:tblLayout w:type="fixed"/>
        <w:tblInd w:w="1900" w:type="dxa"/>
        <w:tblCellMar>
          <w:top w:w="0" w:type="dxa"/>
          <w:left w:w="0" w:type="dxa"/>
          <w:bottom w:w="0" w:type="dxa"/>
          <w:right w:w="0" w:type="dxa"/>
        </w:tblCellMar>
      </w:tblPr>
      <w:tr>
        <w:trPr>
          <w:trHeight w:val="207"/>
        </w:trPr>
        <w:tc>
          <w:tcPr>
            <w:tcW w:w="5900" w:type="dxa"/>
            <w:vAlign w:val="bottom"/>
          </w:tcPr>
          <w:p>
            <w:pPr>
              <w:ind w:left="172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tc>
        <w:tc>
          <w:tcPr>
            <w:tcW w:w="1280" w:type="dxa"/>
            <w:vAlign w:val="bottom"/>
          </w:tcPr>
          <w:p>
            <w:pPr>
              <w:spacing w:after="0"/>
              <w:rPr>
                <w:sz w:val="17"/>
                <w:szCs w:val="17"/>
                <w:color w:val="auto"/>
              </w:rPr>
            </w:pPr>
          </w:p>
        </w:tc>
      </w:tr>
      <w:tr>
        <w:trPr>
          <w:trHeight w:val="227"/>
        </w:trPr>
        <w:tc>
          <w:tcPr>
            <w:tcW w:w="5900" w:type="dxa"/>
            <w:vAlign w:val="bottom"/>
          </w:tcPr>
          <w:p>
            <w:pPr>
              <w:jc w:val="center"/>
              <w:ind w:right="3959"/>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8"/>
                <w:szCs w:val="18"/>
                <w:b w:val="1"/>
                <w:bCs w:val="1"/>
                <w:color w:val="auto"/>
                <w:w w:val="98"/>
              </w:rPr>
              <w:t>81-4717861</w:t>
            </w:r>
          </w:p>
        </w:tc>
      </w:tr>
      <w:tr>
        <w:trPr>
          <w:trHeight w:val="149"/>
        </w:trPr>
        <w:tc>
          <w:tcPr>
            <w:tcW w:w="5900" w:type="dxa"/>
            <w:vAlign w:val="bottom"/>
          </w:tcPr>
          <w:p>
            <w:pPr>
              <w:jc w:val="center"/>
              <w:ind w:right="395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280" w:type="dxa"/>
            <w:vAlign w:val="bottom"/>
          </w:tcPr>
          <w:p>
            <w:pPr>
              <w:jc w:val="center"/>
              <w:ind w:left="8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900" w:type="dxa"/>
            <w:vAlign w:val="bottom"/>
          </w:tcPr>
          <w:p>
            <w:pPr>
              <w:jc w:val="center"/>
              <w:ind w:right="3959"/>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280" w:type="dxa"/>
            <w:vAlign w:val="bottom"/>
          </w:tcPr>
          <w:p>
            <w:pPr>
              <w:jc w:val="center"/>
              <w:ind w:left="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30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15440 Laguna Canyon Road, Suite 160</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Irvine, CA 92618</w:t>
      </w:r>
    </w:p>
    <w:p>
      <w:pPr>
        <w:jc w:val="center"/>
        <w:ind w:right="-19"/>
        <w:spacing w:after="0" w:line="209" w:lineRule="auto"/>
        <w:rPr>
          <w:sz w:val="20"/>
          <w:szCs w:val="20"/>
          <w:color w:val="auto"/>
        </w:rPr>
      </w:pPr>
      <w:r>
        <w:rPr>
          <w:rFonts w:ascii="Times New Roman" w:cs="Times New Roman" w:eastAsia="Times New Roman" w:hAnsi="Times New Roman"/>
          <w:sz w:val="18"/>
          <w:szCs w:val="18"/>
          <w:b w:val="1"/>
          <w:bCs w:val="1"/>
          <w:color w:val="auto"/>
        </w:rPr>
        <w:t>(949) 409-9820</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Tarsus Pharmaceuticals, Inc. 2020 Equity Incentive Plan</w:t>
      </w:r>
    </w:p>
    <w:p>
      <w:pPr>
        <w:jc w:val="center"/>
        <w:ind w:right="-19"/>
        <w:spacing w:after="0" w:line="200" w:lineRule="auto"/>
        <w:rPr>
          <w:sz w:val="20"/>
          <w:szCs w:val="20"/>
          <w:color w:val="auto"/>
        </w:rPr>
      </w:pPr>
      <w:r>
        <w:rPr>
          <w:rFonts w:ascii="Times New Roman" w:cs="Times New Roman" w:eastAsia="Times New Roman" w:hAnsi="Times New Roman"/>
          <w:sz w:val="18"/>
          <w:szCs w:val="18"/>
          <w:b w:val="1"/>
          <w:bCs w:val="1"/>
          <w:color w:val="auto"/>
        </w:rPr>
        <w:t>Tarsus Pharmaceuticals, Inc. 2020 Employee Stock Purchase Plan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(Full title of plan)</w:t>
      </w:r>
    </w:p>
    <w:p>
      <w:pPr>
        <w:spacing w:after="0" w:line="1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Bobak Azamian, M.D., Ph.D.</w:t>
      </w:r>
    </w:p>
    <w:p>
      <w:pPr>
        <w:jc w:val="center"/>
        <w:ind w:right="-19"/>
        <w:spacing w:after="0" w:line="203" w:lineRule="auto"/>
        <w:rPr>
          <w:sz w:val="20"/>
          <w:szCs w:val="20"/>
          <w:color w:val="auto"/>
        </w:rPr>
      </w:pPr>
      <w:r>
        <w:rPr>
          <w:rFonts w:ascii="Times New Roman" w:cs="Times New Roman" w:eastAsia="Times New Roman" w:hAnsi="Times New Roman"/>
          <w:sz w:val="18"/>
          <w:szCs w:val="18"/>
          <w:b w:val="1"/>
          <w:bCs w:val="1"/>
          <w:color w:val="auto"/>
        </w:rPr>
        <w:t>Chief Executive Officer</w:t>
      </w:r>
    </w:p>
    <w:p>
      <w:pPr>
        <w:jc w:val="center"/>
        <w:ind w:right="-19"/>
        <w:spacing w:after="0" w:line="219" w:lineRule="auto"/>
        <w:rPr>
          <w:sz w:val="20"/>
          <w:szCs w:val="20"/>
          <w:color w:val="auto"/>
        </w:rPr>
      </w:pPr>
      <w:r>
        <w:rPr>
          <w:rFonts w:ascii="Times New Roman" w:cs="Times New Roman" w:eastAsia="Times New Roman" w:hAnsi="Times New Roman"/>
          <w:sz w:val="18"/>
          <w:szCs w:val="18"/>
          <w:b w:val="1"/>
          <w:bCs w:val="1"/>
          <w:color w:val="auto"/>
        </w:rPr>
        <w:t>Tarsus Pharmaceuticals, Inc.</w:t>
      </w:r>
    </w:p>
    <w:p>
      <w:pPr>
        <w:jc w:val="center"/>
        <w:ind w:right="-19"/>
        <w:spacing w:after="0" w:line="204" w:lineRule="auto"/>
        <w:rPr>
          <w:sz w:val="20"/>
          <w:szCs w:val="20"/>
          <w:color w:val="auto"/>
        </w:rPr>
      </w:pPr>
      <w:r>
        <w:rPr>
          <w:rFonts w:ascii="Times New Roman" w:cs="Times New Roman" w:eastAsia="Times New Roman" w:hAnsi="Times New Roman"/>
          <w:sz w:val="18"/>
          <w:szCs w:val="18"/>
          <w:b w:val="1"/>
          <w:bCs w:val="1"/>
          <w:color w:val="auto"/>
        </w:rPr>
        <w:t>15440 Laguna Canyon Road, Suite 160</w:t>
      </w:r>
    </w:p>
    <w:p>
      <w:pPr>
        <w:jc w:val="center"/>
        <w:ind w:right="-19"/>
        <w:spacing w:after="0" w:line="193" w:lineRule="auto"/>
        <w:rPr>
          <w:sz w:val="20"/>
          <w:szCs w:val="20"/>
          <w:color w:val="auto"/>
        </w:rPr>
      </w:pPr>
      <w:r>
        <w:rPr>
          <w:rFonts w:ascii="Times New Roman" w:cs="Times New Roman" w:eastAsia="Times New Roman" w:hAnsi="Times New Roman"/>
          <w:sz w:val="18"/>
          <w:szCs w:val="18"/>
          <w:b w:val="1"/>
          <w:bCs w:val="1"/>
          <w:color w:val="auto"/>
        </w:rPr>
        <w:t>Irvine, CA 92618</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7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(949) 409-9820</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8" w:lineRule="exact"/>
        <w:rPr>
          <w:sz w:val="24"/>
          <w:szCs w:val="24"/>
          <w:color w:val="auto"/>
        </w:rPr>
      </w:pPr>
    </w:p>
    <w:tbl>
      <w:tblPr>
        <w:tblLayout w:type="fixed"/>
        <w:tblInd w:w="1320" w:type="dxa"/>
        <w:tblCellMar>
          <w:top w:w="0" w:type="dxa"/>
          <w:left w:w="0" w:type="dxa"/>
          <w:bottom w:w="0" w:type="dxa"/>
          <w:right w:w="0" w:type="dxa"/>
        </w:tblCellMar>
      </w:tblPr>
      <w:tr>
        <w:trPr>
          <w:trHeight w:val="229"/>
        </w:trPr>
        <w:tc>
          <w:tcPr>
            <w:tcW w:w="3480" w:type="dxa"/>
            <w:vAlign w:val="bottom"/>
          </w:tcPr>
          <w:p>
            <w:pPr>
              <w:spacing w:after="0"/>
              <w:rPr>
                <w:sz w:val="19"/>
                <w:szCs w:val="19"/>
                <w:color w:val="auto"/>
              </w:rPr>
            </w:pPr>
          </w:p>
        </w:tc>
        <w:tc>
          <w:tcPr>
            <w:tcW w:w="5200" w:type="dxa"/>
            <w:vAlign w:val="bottom"/>
          </w:tcPr>
          <w:p>
            <w:pPr>
              <w:ind w:left="460"/>
              <w:spacing w:after="0"/>
              <w:rPr>
                <w:sz w:val="20"/>
                <w:szCs w:val="20"/>
                <w:color w:val="auto"/>
              </w:rPr>
            </w:pPr>
            <w:r>
              <w:rPr>
                <w:rFonts w:ascii="Times New Roman" w:cs="Times New Roman" w:eastAsia="Times New Roman" w:hAnsi="Times New Roman"/>
                <w:sz w:val="18"/>
                <w:szCs w:val="18"/>
                <w:b w:val="1"/>
                <w:bCs w:val="1"/>
                <w:i w:val="1"/>
                <w:iCs w:val="1"/>
                <w:color w:val="auto"/>
              </w:rPr>
              <w:t>Copies to:</w:t>
            </w:r>
          </w:p>
        </w:tc>
      </w:tr>
      <w:tr>
        <w:trPr>
          <w:trHeight w:val="189"/>
        </w:trPr>
        <w:tc>
          <w:tcPr>
            <w:tcW w:w="3480" w:type="dxa"/>
            <w:vAlign w:val="bottom"/>
          </w:tcPr>
          <w:p>
            <w:pPr>
              <w:jc w:val="center"/>
              <w:ind w:right="370"/>
              <w:spacing w:after="0" w:line="189" w:lineRule="exact"/>
              <w:rPr>
                <w:sz w:val="20"/>
                <w:szCs w:val="20"/>
                <w:color w:val="auto"/>
              </w:rPr>
            </w:pPr>
            <w:r>
              <w:rPr>
                <w:rFonts w:ascii="Times New Roman" w:cs="Times New Roman" w:eastAsia="Times New Roman" w:hAnsi="Times New Roman"/>
                <w:sz w:val="18"/>
                <w:szCs w:val="18"/>
                <w:b w:val="1"/>
                <w:bCs w:val="1"/>
                <w:color w:val="auto"/>
                <w:w w:val="99"/>
              </w:rPr>
              <w:t>Ilan Lovinsky</w:t>
            </w:r>
          </w:p>
        </w:tc>
        <w:tc>
          <w:tcPr>
            <w:tcW w:w="5200" w:type="dxa"/>
            <w:vAlign w:val="bottom"/>
          </w:tcPr>
          <w:p>
            <w:pPr>
              <w:jc w:val="center"/>
              <w:ind w:left="2150"/>
              <w:spacing w:after="0" w:line="189" w:lineRule="exact"/>
              <w:rPr>
                <w:sz w:val="20"/>
                <w:szCs w:val="20"/>
                <w:color w:val="auto"/>
              </w:rPr>
            </w:pPr>
            <w:r>
              <w:rPr>
                <w:rFonts w:ascii="Times New Roman" w:cs="Times New Roman" w:eastAsia="Times New Roman" w:hAnsi="Times New Roman"/>
                <w:sz w:val="18"/>
                <w:szCs w:val="18"/>
                <w:b w:val="1"/>
                <w:bCs w:val="1"/>
                <w:color w:val="auto"/>
                <w:w w:val="99"/>
              </w:rPr>
              <w:t>Leonard M. Greenstein</w:t>
            </w:r>
          </w:p>
        </w:tc>
      </w:tr>
      <w:tr>
        <w:trPr>
          <w:trHeight w:val="184"/>
        </w:trPr>
        <w:tc>
          <w:tcPr>
            <w:tcW w:w="3480" w:type="dxa"/>
            <w:vAlign w:val="bottom"/>
          </w:tcPr>
          <w:p>
            <w:pPr>
              <w:jc w:val="center"/>
              <w:ind w:right="370"/>
              <w:spacing w:after="0" w:line="184" w:lineRule="exact"/>
              <w:rPr>
                <w:sz w:val="20"/>
                <w:szCs w:val="20"/>
                <w:color w:val="auto"/>
              </w:rPr>
            </w:pPr>
            <w:r>
              <w:rPr>
                <w:rFonts w:ascii="Times New Roman" w:cs="Times New Roman" w:eastAsia="Times New Roman" w:hAnsi="Times New Roman"/>
                <w:sz w:val="18"/>
                <w:szCs w:val="18"/>
                <w:b w:val="1"/>
                <w:bCs w:val="1"/>
                <w:color w:val="auto"/>
              </w:rPr>
              <w:t>Ryan J. Gunderson</w:t>
            </w:r>
          </w:p>
        </w:tc>
        <w:tc>
          <w:tcPr>
            <w:tcW w:w="5200" w:type="dxa"/>
            <w:vAlign w:val="bottom"/>
          </w:tcPr>
          <w:p>
            <w:pPr>
              <w:jc w:val="center"/>
              <w:ind w:left="2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Chief Financial Officer</w:t>
            </w:r>
          </w:p>
        </w:tc>
      </w:tr>
      <w:tr>
        <w:trPr>
          <w:trHeight w:val="175"/>
        </w:trPr>
        <w:tc>
          <w:tcPr>
            <w:tcW w:w="3480" w:type="dxa"/>
            <w:vAlign w:val="bottom"/>
          </w:tcPr>
          <w:p>
            <w:pPr>
              <w:jc w:val="center"/>
              <w:ind w:right="3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Gunderson Dettmer Stough Villeneuve</w:t>
            </w:r>
          </w:p>
        </w:tc>
        <w:tc>
          <w:tcPr>
            <w:tcW w:w="5200" w:type="dxa"/>
            <w:vAlign w:val="bottom"/>
          </w:tcPr>
          <w:p>
            <w:pPr>
              <w:jc w:val="center"/>
              <w:ind w:left="2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Bryan Wahl</w:t>
            </w:r>
          </w:p>
        </w:tc>
      </w:tr>
      <w:tr>
        <w:trPr>
          <w:trHeight w:val="180"/>
        </w:trPr>
        <w:tc>
          <w:tcPr>
            <w:tcW w:w="3480" w:type="dxa"/>
            <w:vAlign w:val="bottom"/>
          </w:tcPr>
          <w:p>
            <w:pPr>
              <w:jc w:val="center"/>
              <w:ind w:right="370"/>
              <w:spacing w:after="0" w:line="180" w:lineRule="exact"/>
              <w:rPr>
                <w:sz w:val="20"/>
                <w:szCs w:val="20"/>
                <w:color w:val="auto"/>
              </w:rPr>
            </w:pPr>
            <w:r>
              <w:rPr>
                <w:rFonts w:ascii="Times New Roman" w:cs="Times New Roman" w:eastAsia="Times New Roman" w:hAnsi="Times New Roman"/>
                <w:sz w:val="18"/>
                <w:szCs w:val="18"/>
                <w:b w:val="1"/>
                <w:bCs w:val="1"/>
                <w:color w:val="auto"/>
                <w:w w:val="99"/>
              </w:rPr>
              <w:t>Franklin &amp; Hachigian, LLP</w:t>
            </w:r>
          </w:p>
        </w:tc>
        <w:tc>
          <w:tcPr>
            <w:tcW w:w="5200" w:type="dxa"/>
            <w:vAlign w:val="bottom"/>
          </w:tcPr>
          <w:p>
            <w:pPr>
              <w:jc w:val="center"/>
              <w:ind w:left="2150"/>
              <w:spacing w:after="0" w:line="180" w:lineRule="exact"/>
              <w:rPr>
                <w:sz w:val="20"/>
                <w:szCs w:val="20"/>
                <w:color w:val="auto"/>
              </w:rPr>
            </w:pPr>
            <w:r>
              <w:rPr>
                <w:rFonts w:ascii="Times New Roman" w:cs="Times New Roman" w:eastAsia="Times New Roman" w:hAnsi="Times New Roman"/>
                <w:sz w:val="18"/>
                <w:szCs w:val="18"/>
                <w:b w:val="1"/>
                <w:bCs w:val="1"/>
                <w:color w:val="auto"/>
                <w:w w:val="99"/>
              </w:rPr>
              <w:t>General Counsel</w:t>
            </w:r>
          </w:p>
        </w:tc>
      </w:tr>
      <w:tr>
        <w:trPr>
          <w:trHeight w:val="184"/>
        </w:trPr>
        <w:tc>
          <w:tcPr>
            <w:tcW w:w="3480" w:type="dxa"/>
            <w:vAlign w:val="bottom"/>
          </w:tcPr>
          <w:p>
            <w:pPr>
              <w:jc w:val="center"/>
              <w:ind w:right="370"/>
              <w:spacing w:after="0" w:line="184" w:lineRule="exact"/>
              <w:rPr>
                <w:sz w:val="20"/>
                <w:szCs w:val="20"/>
                <w:color w:val="auto"/>
              </w:rPr>
            </w:pPr>
            <w:r>
              <w:rPr>
                <w:rFonts w:ascii="Times New Roman" w:cs="Times New Roman" w:eastAsia="Times New Roman" w:hAnsi="Times New Roman"/>
                <w:sz w:val="18"/>
                <w:szCs w:val="18"/>
                <w:b w:val="1"/>
                <w:bCs w:val="1"/>
                <w:color w:val="auto"/>
                <w:w w:val="99"/>
              </w:rPr>
              <w:t>3570 Carmel Mountain Road, Suite 200</w:t>
            </w:r>
          </w:p>
        </w:tc>
        <w:tc>
          <w:tcPr>
            <w:tcW w:w="5200" w:type="dxa"/>
            <w:vAlign w:val="bottom"/>
          </w:tcPr>
          <w:p>
            <w:pPr>
              <w:jc w:val="center"/>
              <w:ind w:left="2130"/>
              <w:spacing w:after="0" w:line="184" w:lineRule="exact"/>
              <w:rPr>
                <w:sz w:val="20"/>
                <w:szCs w:val="20"/>
                <w:color w:val="auto"/>
              </w:rPr>
            </w:pPr>
            <w:r>
              <w:rPr>
                <w:rFonts w:ascii="Times New Roman" w:cs="Times New Roman" w:eastAsia="Times New Roman" w:hAnsi="Times New Roman"/>
                <w:sz w:val="18"/>
                <w:szCs w:val="18"/>
                <w:b w:val="1"/>
                <w:bCs w:val="1"/>
                <w:color w:val="auto"/>
                <w:w w:val="99"/>
              </w:rPr>
              <w:t>Tarsus Pharmaceuticals, Inc.</w:t>
            </w:r>
          </w:p>
        </w:tc>
      </w:tr>
      <w:tr>
        <w:trPr>
          <w:trHeight w:val="175"/>
        </w:trPr>
        <w:tc>
          <w:tcPr>
            <w:tcW w:w="3480" w:type="dxa"/>
            <w:vAlign w:val="bottom"/>
          </w:tcPr>
          <w:p>
            <w:pPr>
              <w:jc w:val="center"/>
              <w:ind w:right="3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San Diego, CA 92130</w:t>
            </w:r>
          </w:p>
        </w:tc>
        <w:tc>
          <w:tcPr>
            <w:tcW w:w="5200" w:type="dxa"/>
            <w:vAlign w:val="bottom"/>
          </w:tcPr>
          <w:p>
            <w:pPr>
              <w:jc w:val="center"/>
              <w:ind w:left="213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15440 Laguna Canyon Road, Suite 160</w:t>
            </w:r>
          </w:p>
        </w:tc>
      </w:tr>
      <w:tr>
        <w:trPr>
          <w:trHeight w:val="180"/>
        </w:trPr>
        <w:tc>
          <w:tcPr>
            <w:tcW w:w="3480" w:type="dxa"/>
            <w:vAlign w:val="bottom"/>
          </w:tcPr>
          <w:p>
            <w:pPr>
              <w:jc w:val="center"/>
              <w:ind w:right="370"/>
              <w:spacing w:after="0" w:line="180" w:lineRule="exact"/>
              <w:rPr>
                <w:sz w:val="20"/>
                <w:szCs w:val="20"/>
                <w:color w:val="auto"/>
              </w:rPr>
            </w:pPr>
            <w:r>
              <w:rPr>
                <w:rFonts w:ascii="Times New Roman" w:cs="Times New Roman" w:eastAsia="Times New Roman" w:hAnsi="Times New Roman"/>
                <w:sz w:val="18"/>
                <w:szCs w:val="18"/>
                <w:b w:val="1"/>
                <w:bCs w:val="1"/>
                <w:color w:val="auto"/>
              </w:rPr>
              <w:t>(858) 436-8000</w:t>
            </w:r>
          </w:p>
        </w:tc>
        <w:tc>
          <w:tcPr>
            <w:tcW w:w="5200" w:type="dxa"/>
            <w:vAlign w:val="bottom"/>
          </w:tcPr>
          <w:p>
            <w:pPr>
              <w:jc w:val="center"/>
              <w:ind w:left="2150"/>
              <w:spacing w:after="0" w:line="180" w:lineRule="exact"/>
              <w:rPr>
                <w:sz w:val="20"/>
                <w:szCs w:val="20"/>
                <w:color w:val="auto"/>
              </w:rPr>
            </w:pPr>
            <w:r>
              <w:rPr>
                <w:rFonts w:ascii="Times New Roman" w:cs="Times New Roman" w:eastAsia="Times New Roman" w:hAnsi="Times New Roman"/>
                <w:sz w:val="18"/>
                <w:szCs w:val="18"/>
                <w:b w:val="1"/>
                <w:bCs w:val="1"/>
                <w:color w:val="auto"/>
              </w:rPr>
              <w:t>Irvine, CA 92618</w:t>
            </w:r>
          </w:p>
        </w:tc>
      </w:tr>
      <w:tr>
        <w:trPr>
          <w:trHeight w:val="238"/>
        </w:trPr>
        <w:tc>
          <w:tcPr>
            <w:tcW w:w="3480" w:type="dxa"/>
            <w:vAlign w:val="bottom"/>
          </w:tcPr>
          <w:p>
            <w:pPr>
              <w:spacing w:after="0"/>
              <w:rPr>
                <w:sz w:val="20"/>
                <w:szCs w:val="20"/>
                <w:color w:val="auto"/>
              </w:rPr>
            </w:pPr>
          </w:p>
        </w:tc>
        <w:tc>
          <w:tcPr>
            <w:tcW w:w="5200" w:type="dxa"/>
            <w:vAlign w:val="bottom"/>
          </w:tcPr>
          <w:p>
            <w:pPr>
              <w:jc w:val="center"/>
              <w:ind w:left="2150"/>
              <w:spacing w:after="0"/>
              <w:rPr>
                <w:sz w:val="20"/>
                <w:szCs w:val="20"/>
                <w:color w:val="auto"/>
              </w:rPr>
            </w:pPr>
            <w:r>
              <w:rPr>
                <w:rFonts w:ascii="Times New Roman" w:cs="Times New Roman" w:eastAsia="Times New Roman" w:hAnsi="Times New Roman"/>
                <w:sz w:val="18"/>
                <w:szCs w:val="18"/>
                <w:b w:val="1"/>
                <w:bCs w:val="1"/>
                <w:color w:val="auto"/>
                <w:w w:val="99"/>
              </w:rPr>
              <w:t>(949) 409-9820</w:t>
            </w:r>
          </w:p>
        </w:tc>
      </w:tr>
    </w:tbl>
    <w:p>
      <w:pPr>
        <w:spacing w:after="0" w:line="292" w:lineRule="exact"/>
        <w:rPr>
          <w:sz w:val="24"/>
          <w:szCs w:val="24"/>
          <w:color w:val="auto"/>
        </w:rPr>
      </w:pPr>
    </w:p>
    <w:p>
      <w:pPr>
        <w:jc w:val="both"/>
        <w:spacing w:after="0" w:line="22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 Rule 12b-2 of the Exchange Act.</w:t>
      </w:r>
    </w:p>
    <w:p>
      <w:pPr>
        <w:sectPr>
          <w:pgSz w:w="11900" w:h="16838" w:orient="portrait"/>
          <w:cols w:equalWidth="0" w:num="1">
            <w:col w:w="11240"/>
          </w:cols>
          <w:pgMar w:left="320" w:top="1440"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83"/>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Accelerated filer</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420" w:type="dxa"/>
            <w:vAlign w:val="bottom"/>
          </w:tcPr>
          <w:p>
            <w:pPr>
              <w:ind w:left="680"/>
              <w:spacing w:after="0" w:line="181" w:lineRule="exact"/>
              <w:rPr>
                <w:sz w:val="20"/>
                <w:szCs w:val="20"/>
                <w:color w:val="auto"/>
              </w:rPr>
            </w:pPr>
            <w:r>
              <w:rPr>
                <w:rFonts w:ascii="MS PGothic" w:cs="MS PGothic" w:eastAsia="MS PGothic" w:hAnsi="MS PGothic"/>
                <w:sz w:val="18"/>
                <w:szCs w:val="18"/>
                <w:color w:val="auto"/>
              </w:rPr>
              <w:t>☒</w:t>
            </w: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23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43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Emerging growth company</w:t>
            </w:r>
          </w:p>
        </w:tc>
        <w:tc>
          <w:tcPr>
            <w:tcW w:w="1940" w:type="dxa"/>
            <w:vAlign w:val="bottom"/>
          </w:tcPr>
          <w:p>
            <w:pPr>
              <w:ind w:left="17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59" w:lineRule="exact"/>
        <w:rPr>
          <w:sz w:val="20"/>
          <w:szCs w:val="20"/>
          <w:color w:val="auto"/>
        </w:rPr>
      </w:pPr>
    </w:p>
    <w:p>
      <w:pPr>
        <w:jc w:val="both"/>
        <w:spacing w:after="0" w:line="21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18"/>
          <w:szCs w:val="18"/>
          <w:color w:val="auto"/>
        </w:rPr>
        <w:t>Pursuant to General Instruction E to Form S-8 under the 1933 Act, this Registration Statement is filed by Tarsus Pharmaceuticals, Inc. (the “Registrant”) for the purpose of registering 1,069,098 additional shares of common stock, par value $0.0001 per share, of the Registrant (the “Common Stock”) under the 2020 Equity Incentive Plan and 267,275 additional shares of Common Stock under the Registrant’s 2020 Employee Stock Purchase Plan, each pursuant to the provisions of such plans that provide for automatic annual increases in the number of shares reserved for issuance thereunder. This Registration Statement hereby incorporates by reference the contents of the Registrant’s registration statements on Form S-8 filed with the Commission on October 20, 2020 (File No. 333-249571), March 31, 2021 (File No. 333-254932) and March 14, 2022 (File No. 333-263537) to the extent not superseded hereby.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198"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66"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Incorporation of Documents by Reference</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Registrant hereby incorporates by reference into this Registration Statement the following documents previously filed with the Securities and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Commission (the “SEC”):</w:t>
      </w:r>
    </w:p>
    <w:p>
      <w:pPr>
        <w:spacing w:after="0" w:line="381" w:lineRule="exact"/>
        <w:rPr>
          <w:sz w:val="20"/>
          <w:szCs w:val="20"/>
          <w:color w:val="auto"/>
        </w:rPr>
      </w:pPr>
    </w:p>
    <w:p>
      <w:pPr>
        <w:ind w:left="1060" w:hanging="589"/>
        <w:spacing w:after="0"/>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Annual Report on </w:t>
      </w:r>
      <w:hyperlink r:id="rId8">
        <w:r>
          <w:rPr>
            <w:rFonts w:ascii="Times New Roman" w:cs="Times New Roman" w:eastAsia="Times New Roman" w:hAnsi="Times New Roman"/>
            <w:sz w:val="18"/>
            <w:szCs w:val="18"/>
            <w:u w:val="single" w:color="auto"/>
            <w:color w:val="0000FF"/>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2022, filed with the SEC on March 17, 2023;</w:t>
      </w:r>
    </w:p>
    <w:p>
      <w:pPr>
        <w:spacing w:after="0" w:line="27" w:lineRule="exact"/>
        <w:rPr>
          <w:rFonts w:ascii="Times New Roman" w:cs="Times New Roman" w:eastAsia="Times New Roman" w:hAnsi="Times New Roman"/>
          <w:sz w:val="18"/>
          <w:szCs w:val="18"/>
          <w:color w:val="auto"/>
        </w:rPr>
      </w:pPr>
    </w:p>
    <w:p>
      <w:pPr>
        <w:ind w:left="1060" w:hanging="589"/>
        <w:spacing w:after="0"/>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SEC on </w:t>
      </w:r>
      <w:hyperlink r:id="rId9">
        <w:r>
          <w:rPr>
            <w:rFonts w:ascii="Times New Roman" w:cs="Times New Roman" w:eastAsia="Times New Roman" w:hAnsi="Times New Roman"/>
            <w:sz w:val="18"/>
            <w:szCs w:val="18"/>
            <w:u w:val="single" w:color="auto"/>
            <w:color w:val="0000FF"/>
          </w:rPr>
          <w:t>January 5, 2023</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10">
        <w:r>
          <w:rPr>
            <w:rFonts w:ascii="Times New Roman" w:cs="Times New Roman" w:eastAsia="Times New Roman" w:hAnsi="Times New Roman"/>
            <w:sz w:val="18"/>
            <w:szCs w:val="18"/>
            <w:u w:val="single" w:color="auto"/>
            <w:color w:val="0000FF"/>
          </w:rPr>
          <w:t>March 13, 2023</w:t>
        </w:r>
      </w:hyperlink>
      <w:r>
        <w:rPr>
          <w:rFonts w:ascii="Times New Roman" w:cs="Times New Roman" w:eastAsia="Times New Roman" w:hAnsi="Times New Roman"/>
          <w:sz w:val="18"/>
          <w:szCs w:val="18"/>
          <w:color w:val="auto"/>
        </w:rPr>
        <w:t>;</w:t>
      </w:r>
    </w:p>
    <w:p>
      <w:pPr>
        <w:spacing w:after="0" w:line="22" w:lineRule="exact"/>
        <w:rPr>
          <w:rFonts w:ascii="Times New Roman" w:cs="Times New Roman" w:eastAsia="Times New Roman" w:hAnsi="Times New Roman"/>
          <w:sz w:val="18"/>
          <w:szCs w:val="18"/>
          <w:color w:val="auto"/>
        </w:rPr>
      </w:pPr>
    </w:p>
    <w:p>
      <w:pPr>
        <w:ind w:left="1060" w:right="20" w:hanging="589"/>
        <w:spacing w:after="0" w:line="242"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reports filed pursuant to Section 13(a) or 15(d) of the Exchange Act of 1934, as amended (the “Exchange Act”) since the end of the fiscal year covered by the registrant document referred to in (a) above; and</w:t>
      </w:r>
    </w:p>
    <w:p>
      <w:pPr>
        <w:spacing w:after="0" w:line="1" w:lineRule="exact"/>
        <w:rPr>
          <w:rFonts w:ascii="Times New Roman" w:cs="Times New Roman" w:eastAsia="Times New Roman" w:hAnsi="Times New Roman"/>
          <w:sz w:val="18"/>
          <w:szCs w:val="18"/>
          <w:color w:val="auto"/>
        </w:rPr>
      </w:pPr>
    </w:p>
    <w:p>
      <w:pPr>
        <w:ind w:left="1060" w:right="280" w:hanging="589"/>
        <w:spacing w:after="0" w:line="245" w:lineRule="auto"/>
        <w:tabs>
          <w:tab w:leader="none" w:pos="10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contained in </w:t>
      </w:r>
      <w:hyperlink r:id="rId11">
        <w:r>
          <w:rPr>
            <w:rFonts w:ascii="Times New Roman" w:cs="Times New Roman" w:eastAsia="Times New Roman" w:hAnsi="Times New Roman"/>
            <w:sz w:val="18"/>
            <w:szCs w:val="18"/>
            <w:u w:val="single" w:color="auto"/>
            <w:color w:val="0000FF"/>
          </w:rPr>
          <w:t>Exhibit 4.2</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the Registrant’s Annual Report on Form 10-K, filed with the SEC on March 14, 2022, including any amendments or reports filed for the purpose of updating such description.</w:t>
      </w:r>
    </w:p>
    <w:p>
      <w:pPr>
        <w:spacing w:after="0" w:line="302" w:lineRule="exact"/>
        <w:rPr>
          <w:rFonts w:ascii="Times New Roman" w:cs="Times New Roman" w:eastAsia="Times New Roman" w:hAnsi="Times New Roman"/>
          <w:sz w:val="18"/>
          <w:szCs w:val="18"/>
          <w:color w:val="auto"/>
        </w:rPr>
      </w:pPr>
    </w:p>
    <w:p>
      <w:pPr>
        <w:jc w:val="both"/>
        <w:spacing w:after="0"/>
        <w:rPr>
          <w:sz w:val="20"/>
          <w:szCs w:val="20"/>
          <w:color w:val="auto"/>
        </w:rPr>
      </w:pPr>
      <w:r>
        <w:rPr>
          <w:rFonts w:ascii="Times New Roman" w:cs="Times New Roman" w:eastAsia="Times New Roman" w:hAnsi="Times New Roman"/>
          <w:sz w:val="18"/>
          <w:szCs w:val="18"/>
          <w:color w:val="auto"/>
        </w:rPr>
        <w:t>All other reports and documents filed by the Registrant pursuant to Sections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of such documents. The Registrant is not, however, incorporating any documents or information that the Registrant is deemed to furnish and not file in accordance with SEC rules. Any statement contained in a document incorporated or deemed incorporated by reference in this Registration Statement will be deemed modified or superseded for purposes of this Registration Statement to the extent that a statement contained in any subsequently filed document that also is deemed incorporated by reference in this Registration Statement modifies or supersedes that statement.</w:t>
      </w:r>
    </w:p>
    <w:p>
      <w:pPr>
        <w:sectPr>
          <w:pgSz w:w="11900" w:h="16838" w:orient="portrait"/>
          <w:cols w:equalWidth="0" w:num="1">
            <w:col w:w="11240"/>
          </w:cols>
          <w:pgMar w:left="320" w:top="1429" w:right="339" w:bottom="1440" w:gutter="0" w:footer="0" w:header="0"/>
        </w:sectPr>
      </w:pPr>
    </w:p>
    <w:bookmarkStart w:id="2" w:name="page3"/>
    <w:bookmarkEnd w:id="2"/>
    <w:p>
      <w:pPr>
        <w:spacing w:after="0" w:line="257"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Description of Securities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Interests of Named Experts and Counsel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40"/>
        <w:spacing w:after="0"/>
        <w:tabs>
          <w:tab w:leader="none" w:pos="10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Indemnification of Directors and Officers</w:t>
      </w:r>
    </w:p>
    <w:p>
      <w:pPr>
        <w:spacing w:after="0" w:line="94"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(the “Securities Act”).</w:t>
      </w:r>
    </w:p>
    <w:p>
      <w:pPr>
        <w:spacing w:after="0" w:line="21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262" w:lineRule="exact"/>
        <w:rPr>
          <w:sz w:val="20"/>
          <w:szCs w:val="20"/>
          <w:color w:val="auto"/>
        </w:rPr>
      </w:pPr>
    </w:p>
    <w:p>
      <w:pPr>
        <w:ind w:left="1080" w:hanging="501"/>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breach of the director’s duty of loyalty to us or our stockholders;</w:t>
      </w:r>
    </w:p>
    <w:p>
      <w:pPr>
        <w:spacing w:after="0" w:line="27" w:lineRule="exact"/>
        <w:rPr>
          <w:rFonts w:ascii="Times New Roman" w:cs="Times New Roman" w:eastAsia="Times New Roman" w:hAnsi="Times New Roman"/>
          <w:sz w:val="18"/>
          <w:szCs w:val="18"/>
          <w:color w:val="auto"/>
        </w:rPr>
      </w:pPr>
    </w:p>
    <w:p>
      <w:pPr>
        <w:ind w:left="1080" w:hanging="501"/>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acts or omissions not in good faith or that involve intentional misconduct or a knowing violation of law;</w:t>
      </w:r>
    </w:p>
    <w:p>
      <w:pPr>
        <w:spacing w:after="0" w:line="22" w:lineRule="exact"/>
        <w:rPr>
          <w:rFonts w:ascii="Times New Roman" w:cs="Times New Roman" w:eastAsia="Times New Roman" w:hAnsi="Times New Roman"/>
          <w:sz w:val="18"/>
          <w:szCs w:val="18"/>
          <w:color w:val="auto"/>
        </w:rPr>
      </w:pPr>
    </w:p>
    <w:p>
      <w:pPr>
        <w:ind w:left="1080" w:right="20" w:hanging="501"/>
        <w:spacing w:after="0" w:line="234" w:lineRule="auto"/>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unlawful payments of dividends or unlawful stock repurchases or redemptions as provided in Section 174 of the Delaware General Corporation Law; or</w:t>
      </w:r>
    </w:p>
    <w:p>
      <w:pPr>
        <w:spacing w:after="0" w:line="10" w:lineRule="exact"/>
        <w:rPr>
          <w:rFonts w:ascii="Times New Roman" w:cs="Times New Roman" w:eastAsia="Times New Roman" w:hAnsi="Times New Roman"/>
          <w:sz w:val="18"/>
          <w:szCs w:val="18"/>
          <w:color w:val="auto"/>
        </w:rPr>
      </w:pPr>
    </w:p>
    <w:p>
      <w:pPr>
        <w:ind w:left="1080" w:hanging="501"/>
        <w:spacing w:after="0"/>
        <w:tabs>
          <w:tab w:leader="none" w:pos="10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transaction from which the director derives any improper personal benefit.</w:t>
      </w:r>
    </w:p>
    <w:p>
      <w:pPr>
        <w:spacing w:after="0" w:line="33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9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amended and restated bylaws provide that we will indemnify our directors and officers to the fullest extent permitted by Delaware law, as it now exists or may in the future be amended, against all expenses and 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21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We have entered into indemnification agreements with each of our directors and executive officers and certain other key employees.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currently carry and intend to continue to carry liability insurance for our directors and officers.</w:t>
      </w:r>
    </w:p>
    <w:p>
      <w:pPr>
        <w:spacing w:after="0" w:line="27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ectPr>
          <w:pgSz w:w="11900" w:h="16838" w:orient="portrait"/>
          <w:cols w:equalWidth="0" w:num="1">
            <w:col w:w="11240"/>
          </w:cols>
          <w:pgMar w:left="320" w:top="1440" w:right="339" w:bottom="1440" w:gutter="0" w:footer="0" w:header="0"/>
        </w:sectPr>
      </w:pPr>
    </w:p>
    <w:bookmarkStart w:id="3" w:name="page4"/>
    <w:bookmarkEnd w:id="3"/>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62"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28"/>
        </w:trPr>
        <w:tc>
          <w:tcPr>
            <w:tcW w:w="11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720" w:type="dxa"/>
            <w:vAlign w:val="bottom"/>
            <w:gridSpan w:val="10"/>
            <w:vMerge w:val="restart"/>
          </w:tcPr>
          <w:p>
            <w:pPr>
              <w:ind w:left="90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1"/>
                <w:szCs w:val="11"/>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tcBorders>
              <w:top w:val="single" w:sz="8" w:color="auto"/>
            </w:tcBorders>
            <w:vMerge w:val="restart"/>
          </w:tcPr>
          <w:p>
            <w:pPr>
              <w:spacing w:after="0"/>
              <w:rPr>
                <w:sz w:val="11"/>
                <w:szCs w:val="11"/>
                <w:color w:val="auto"/>
              </w:rPr>
            </w:pPr>
          </w:p>
        </w:tc>
        <w:tc>
          <w:tcPr>
            <w:tcW w:w="980" w:type="dxa"/>
            <w:vAlign w:val="bottom"/>
            <w:tcBorders>
              <w:top w:val="single" w:sz="8" w:color="auto"/>
            </w:tcBorders>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80" w:type="dxa"/>
            <w:vAlign w:val="bottom"/>
            <w:tcBorders>
              <w:top w:val="single" w:sz="8" w:color="auto"/>
            </w:tcBorders>
            <w:vMerge w:val="restart"/>
          </w:tcPr>
          <w:p>
            <w:pPr>
              <w:spacing w:after="0"/>
              <w:rPr>
                <w:sz w:val="11"/>
                <w:szCs w:val="11"/>
                <w:color w:val="auto"/>
              </w:rPr>
            </w:pPr>
          </w:p>
        </w:tc>
        <w:tc>
          <w:tcPr>
            <w:tcW w:w="740" w:type="dxa"/>
            <w:vAlign w:val="bottom"/>
            <w:tcBorders>
              <w:top w:val="single" w:sz="8" w:color="auto"/>
            </w:tcBorders>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Borders>
              <w:top w:val="single" w:sz="8" w:color="auto"/>
            </w:tcBorders>
            <w:vMerge w:val="restart"/>
          </w:tcPr>
          <w:p>
            <w:pPr>
              <w:spacing w:after="0"/>
              <w:rPr>
                <w:sz w:val="11"/>
                <w:szCs w:val="11"/>
                <w:color w:val="auto"/>
              </w:rPr>
            </w:pPr>
          </w:p>
        </w:tc>
        <w:tc>
          <w:tcPr>
            <w:tcW w:w="140" w:type="dxa"/>
            <w:vAlign w:val="bottom"/>
            <w:tcBorders>
              <w:top w:val="single" w:sz="8" w:color="auto"/>
            </w:tcBorders>
            <w:vMerge w:val="restart"/>
          </w:tcPr>
          <w:p>
            <w:pPr>
              <w:spacing w:after="0"/>
              <w:rPr>
                <w:sz w:val="11"/>
                <w:szCs w:val="11"/>
                <w:color w:val="auto"/>
              </w:rPr>
            </w:pPr>
          </w:p>
        </w:tc>
        <w:tc>
          <w:tcPr>
            <w:tcW w:w="1100" w:type="dxa"/>
            <w:vAlign w:val="bottom"/>
            <w:tcBorders>
              <w:top w:val="single" w:sz="8" w:color="auto"/>
            </w:tcBorders>
          </w:tcPr>
          <w:p>
            <w:pPr>
              <w:jc w:val="center"/>
              <w:ind w:right="55"/>
              <w:spacing w:after="0" w:line="129" w:lineRule="exact"/>
              <w:rPr>
                <w:sz w:val="20"/>
                <w:szCs w:val="20"/>
                <w:color w:val="auto"/>
              </w:rPr>
            </w:pPr>
            <w:r>
              <w:rPr>
                <w:rFonts w:ascii="Times New Roman" w:cs="Times New Roman" w:eastAsia="Times New Roman" w:hAnsi="Times New Roman"/>
                <w:sz w:val="14"/>
                <w:szCs w:val="14"/>
                <w:b w:val="1"/>
                <w:bCs w:val="1"/>
                <w:color w:val="auto"/>
              </w:rPr>
              <w:t>Filing</w:t>
            </w:r>
          </w:p>
        </w:tc>
        <w:tc>
          <w:tcPr>
            <w:tcW w:w="100" w:type="dxa"/>
            <w:vAlign w:val="bottom"/>
          </w:tcPr>
          <w:p>
            <w:pPr>
              <w:spacing w:after="0"/>
              <w:rPr>
                <w:sz w:val="11"/>
                <w:szCs w:val="11"/>
                <w:color w:val="auto"/>
              </w:rPr>
            </w:pPr>
          </w:p>
        </w:tc>
        <w:tc>
          <w:tcPr>
            <w:tcW w:w="10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100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3720" w:type="dxa"/>
            <w:vAlign w:val="bottom"/>
            <w:tcBorders>
              <w:bottom w:val="single" w:sz="8" w:color="auto"/>
            </w:tcBorders>
            <w:gridSpan w:val="10"/>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980" w:type="dxa"/>
            <w:vAlign w:val="bottom"/>
            <w:tcBorders>
              <w:bottom w:val="single" w:sz="8" w:color="auto"/>
            </w:tcBorders>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40" w:type="dxa"/>
            <w:vAlign w:val="bottom"/>
            <w:tcBorders>
              <w:bottom w:val="single" w:sz="8" w:color="auto"/>
            </w:tcBorders>
            <w:vMerge w:val="continue"/>
          </w:tcPr>
          <w:p>
            <w:pPr>
              <w:spacing w:after="0"/>
              <w:rPr>
                <w:sz w:val="17"/>
                <w:szCs w:val="17"/>
                <w:color w:val="auto"/>
              </w:rPr>
            </w:pPr>
          </w:p>
        </w:tc>
        <w:tc>
          <w:tcPr>
            <w:tcW w:w="110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28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Times New Roman" w:cs="Times New Roman" w:eastAsia="Times New Roman" w:hAnsi="Times New Roman"/>
                <w:sz w:val="18"/>
                <w:szCs w:val="18"/>
                <w:color w:val="0000EE"/>
              </w:rPr>
            </w:pPr>
            <w:hyperlink r:id="rId12">
              <w:r>
                <w:rPr>
                  <w:rFonts w:ascii="Times New Roman" w:cs="Times New Roman" w:eastAsia="Times New Roman" w:hAnsi="Times New Roman"/>
                  <w:sz w:val="18"/>
                  <w:szCs w:val="18"/>
                  <w:color w:val="0000EE"/>
                </w:rPr>
                <w:t>Amended and Restated Certificate of Incorporation of the</w:t>
              </w:r>
            </w:hyperlink>
          </w:p>
        </w:tc>
        <w:tc>
          <w:tcPr>
            <w:tcW w:w="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001-39614</w:t>
            </w:r>
          </w:p>
        </w:tc>
        <w:tc>
          <w:tcPr>
            <w:tcW w:w="8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vMerge w:val="restart"/>
          </w:tcPr>
          <w:p>
            <w:pPr>
              <w:jc w:val="center"/>
              <w:ind w:right="35"/>
              <w:spacing w:after="0"/>
              <w:rPr>
                <w:sz w:val="20"/>
                <w:szCs w:val="20"/>
                <w:color w:val="auto"/>
              </w:rPr>
            </w:pPr>
            <w:r>
              <w:rPr>
                <w:rFonts w:ascii="Times New Roman" w:cs="Times New Roman" w:eastAsia="Times New Roman" w:hAnsi="Times New Roman"/>
                <w:sz w:val="18"/>
                <w:szCs w:val="18"/>
                <w:color w:val="auto"/>
                <w:w w:val="99"/>
              </w:rPr>
              <w:t>10/20/2020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160" w:type="dxa"/>
            <w:vAlign w:val="bottom"/>
            <w:tcBorders>
              <w:top w:val="single" w:sz="8" w:color="0000EE"/>
            </w:tcBorders>
            <w:gridSpan w:val="7"/>
          </w:tcPr>
          <w:p>
            <w:pPr>
              <w:spacing w:after="0" w:line="142" w:lineRule="exact"/>
              <w:rPr>
                <w:rFonts w:ascii="Times New Roman" w:cs="Times New Roman" w:eastAsia="Times New Roman" w:hAnsi="Times New Roman"/>
                <w:sz w:val="16"/>
                <w:szCs w:val="16"/>
                <w:color w:val="0000EE"/>
              </w:rPr>
            </w:pPr>
            <w:hyperlink r:id="rId12">
              <w:r>
                <w:rPr>
                  <w:rFonts w:ascii="Times New Roman" w:cs="Times New Roman" w:eastAsia="Times New Roman" w:hAnsi="Times New Roman"/>
                  <w:sz w:val="16"/>
                  <w:szCs w:val="16"/>
                  <w:color w:val="0000EE"/>
                </w:rPr>
                <w:t>Registrant.</w:t>
              </w:r>
            </w:hyperlink>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3"/>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Amended and Restated Bylaws of the Registrant.</w:t>
              </w:r>
            </w:hyperlink>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001-39614</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9"/>
              </w:rPr>
              <w:t>10/20/2020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Times New Roman" w:cs="Times New Roman" w:eastAsia="Times New Roman" w:hAnsi="Times New Roman"/>
                <w:sz w:val="18"/>
                <w:szCs w:val="18"/>
                <w:color w:val="0000EE"/>
              </w:rPr>
            </w:pPr>
            <w:hyperlink r:id="rId14">
              <w:r>
                <w:rPr>
                  <w:rFonts w:ascii="Times New Roman" w:cs="Times New Roman" w:eastAsia="Times New Roman" w:hAnsi="Times New Roman"/>
                  <w:sz w:val="18"/>
                  <w:szCs w:val="18"/>
                  <w:color w:val="0000EE"/>
                </w:rPr>
                <w:t>Specimen common stock certificate of the Registrant.</w:t>
              </w:r>
            </w:hyperlink>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S-1/A</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333-249076</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9"/>
              </w:rPr>
              <w:t>10/09/2020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Opinion of Gunderson Dettmer Stough Villeneuve Franklin &amp;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5"/>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80" w:type="dxa"/>
            <w:vAlign w:val="bottom"/>
            <w:tcBorders>
              <w:top w:val="single" w:sz="8" w:color="0000EE"/>
              <w:bottom w:val="single" w:sz="8" w:color="0000EE"/>
            </w:tcBorders>
            <w:gridSpan w:val="2"/>
          </w:tcPr>
          <w:p>
            <w:pPr>
              <w:spacing w:after="0" w:line="142" w:lineRule="exact"/>
              <w:rPr>
                <w:sz w:val="20"/>
                <w:szCs w:val="20"/>
                <w:color w:val="auto"/>
              </w:rPr>
            </w:pPr>
            <w:r>
              <w:rPr>
                <w:rFonts w:ascii="Times New Roman" w:cs="Times New Roman" w:eastAsia="Times New Roman" w:hAnsi="Times New Roman"/>
                <w:sz w:val="16"/>
                <w:szCs w:val="16"/>
                <w:color w:val="0000EE"/>
              </w:rPr>
              <w:t>Hachigian, LLP.</w:t>
            </w:r>
          </w:p>
        </w:tc>
        <w:tc>
          <w:tcPr>
            <w:tcW w:w="1520" w:type="dxa"/>
            <w:vAlign w:val="bottom"/>
            <w:tcBorders>
              <w:top w:val="single" w:sz="8" w:color="0000EE"/>
            </w:tcBorders>
          </w:tcPr>
          <w:p>
            <w:pPr>
              <w:spacing w:after="0"/>
              <w:rPr>
                <w:sz w:val="13"/>
                <w:szCs w:val="13"/>
                <w:color w:val="auto"/>
              </w:rPr>
            </w:pPr>
          </w:p>
        </w:tc>
        <w:tc>
          <w:tcPr>
            <w:tcW w:w="400" w:type="dxa"/>
            <w:vAlign w:val="bottom"/>
            <w:tcBorders>
              <w:top w:val="single" w:sz="8" w:color="0000EE"/>
            </w:tcBorders>
          </w:tcPr>
          <w:p>
            <w:pPr>
              <w:spacing w:after="0"/>
              <w:rPr>
                <w:sz w:val="13"/>
                <w:szCs w:val="13"/>
                <w:color w:val="auto"/>
              </w:rPr>
            </w:pPr>
          </w:p>
        </w:tc>
        <w:tc>
          <w:tcPr>
            <w:tcW w:w="1180" w:type="dxa"/>
            <w:vAlign w:val="bottom"/>
            <w:tcBorders>
              <w:top w:val="single" w:sz="8" w:color="0000EE"/>
            </w:tcBorders>
            <w:gridSpan w:val="4"/>
          </w:tcPr>
          <w:p>
            <w:pPr>
              <w:spacing w:after="0"/>
              <w:rPr>
                <w:sz w:val="13"/>
                <w:szCs w:val="13"/>
                <w:color w:val="auto"/>
              </w:rPr>
            </w:pPr>
          </w:p>
        </w:tc>
        <w:tc>
          <w:tcPr>
            <w:tcW w:w="80" w:type="dxa"/>
            <w:vAlign w:val="bottom"/>
            <w:tcBorders>
              <w:top w:val="single" w:sz="8" w:color="0000EE"/>
            </w:tcBorders>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80"/>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Independent Registered Public Accounting Firm.</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Consent of Gunderson Dettmer Stough Villeneuve Franklin &amp;</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156"/>
        </w:trPr>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00" w:type="dxa"/>
            <w:vAlign w:val="bottom"/>
            <w:tcBorders>
              <w:top w:val="single" w:sz="8" w:color="0000EE"/>
              <w:bottom w:val="single" w:sz="8" w:color="0000EE"/>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EE"/>
              </w:rPr>
              <w:t>Hachigian, LLP (contained in Exhibit 5.1).</w:t>
            </w:r>
          </w:p>
        </w:tc>
        <w:tc>
          <w:tcPr>
            <w:tcW w:w="1380" w:type="dxa"/>
            <w:vAlign w:val="bottom"/>
            <w:tcBorders>
              <w:top w:val="single" w:sz="8" w:color="0000EE"/>
            </w:tcBorders>
            <w:gridSpan w:val="6"/>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79"/>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sz w:val="20"/>
                <w:szCs w:val="20"/>
                <w:color w:val="auto"/>
              </w:rPr>
            </w:pPr>
            <w:r>
              <w:rPr>
                <w:rFonts w:ascii="Times New Roman" w:cs="Times New Roman" w:eastAsia="Times New Roman" w:hAnsi="Times New Roman"/>
                <w:sz w:val="18"/>
                <w:szCs w:val="18"/>
                <w:color w:val="0000EE"/>
              </w:rPr>
              <w:t>Power of Attorney (contained in the signature page hereto).</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1520" w:type="dxa"/>
            <w:vAlign w:val="bottom"/>
            <w:shd w:val="clear" w:color="auto" w:fill="0000EE"/>
          </w:tcPr>
          <w:p>
            <w:pPr>
              <w:spacing w:after="0" w:line="20" w:lineRule="exact"/>
              <w:rPr>
                <w:sz w:val="1"/>
                <w:szCs w:val="1"/>
                <w:color w:val="auto"/>
              </w:rPr>
            </w:pPr>
          </w:p>
        </w:tc>
        <w:tc>
          <w:tcPr>
            <w:tcW w:w="1580" w:type="dxa"/>
            <w:vAlign w:val="bottom"/>
            <w:gridSpan w:val="5"/>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80" w:type="dxa"/>
            <w:vAlign w:val="bottom"/>
            <w:gridSpan w:val="13"/>
          </w:tcPr>
          <w:p>
            <w:pPr>
              <w:spacing w:after="0"/>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0000EE"/>
                </w:rPr>
                <w:t>2020 Equity Incentive Plan and forms of agreements thereunder.</w:t>
              </w:r>
            </w:hyperlink>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333-249571</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9"/>
              </w:rPr>
              <w:t>10/20/2020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99.2</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9"/>
              </w:rPr>
            </w:pPr>
            <w:hyperlink r:id="rId16">
              <w:r>
                <w:rPr>
                  <w:rFonts w:ascii="Times New Roman" w:cs="Times New Roman" w:eastAsia="Times New Roman" w:hAnsi="Times New Roman"/>
                  <w:sz w:val="18"/>
                  <w:szCs w:val="18"/>
                  <w:color w:val="0000EE"/>
                  <w:w w:val="99"/>
                </w:rPr>
                <w:t>2020 Employee Stock Purchase Plan.</w:t>
              </w:r>
            </w:hyperlink>
          </w:p>
        </w:tc>
        <w:tc>
          <w:tcPr>
            <w:tcW w:w="1940" w:type="dxa"/>
            <w:vAlign w:val="bottom"/>
            <w:tcBorders>
              <w:top w:val="single" w:sz="8" w:color="0000EE"/>
            </w:tcBorders>
            <w:gridSpan w:val="8"/>
          </w:tcPr>
          <w:p>
            <w:pPr>
              <w:spacing w:after="0"/>
              <w:rPr>
                <w:sz w:val="24"/>
                <w:szCs w:val="24"/>
                <w:color w:val="auto"/>
              </w:rPr>
            </w:pPr>
          </w:p>
        </w:tc>
        <w:tc>
          <w:tcPr>
            <w:tcW w:w="340" w:type="dxa"/>
            <w:vAlign w:val="bottom"/>
            <w:gridSpan w:val="2"/>
          </w:tcPr>
          <w:p>
            <w:pPr>
              <w:spacing w:after="0"/>
              <w:rPr>
                <w:sz w:val="24"/>
                <w:szCs w:val="24"/>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5"/>
              </w:rPr>
              <w:t>S-8</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333-249571</w:t>
            </w:r>
          </w:p>
        </w:tc>
        <w:tc>
          <w:tcPr>
            <w:tcW w:w="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99.3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35"/>
              <w:spacing w:after="0"/>
              <w:rPr>
                <w:sz w:val="20"/>
                <w:szCs w:val="20"/>
                <w:color w:val="auto"/>
              </w:rPr>
            </w:pPr>
            <w:r>
              <w:rPr>
                <w:rFonts w:ascii="Times New Roman" w:cs="Times New Roman" w:eastAsia="Times New Roman" w:hAnsi="Times New Roman"/>
                <w:sz w:val="18"/>
                <w:szCs w:val="18"/>
                <w:color w:val="auto"/>
                <w:w w:val="99"/>
              </w:rPr>
              <w:t>10/20/2020</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Filing Fee Table</w:t>
            </w:r>
          </w:p>
        </w:tc>
        <w:tc>
          <w:tcPr>
            <w:tcW w:w="3800" w:type="dxa"/>
            <w:vAlign w:val="bottom"/>
            <w:gridSpan w:val="11"/>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844"/>
        </w:trPr>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20" w:type="dxa"/>
            <w:vAlign w:val="bottom"/>
          </w:tcPr>
          <w:p>
            <w:pPr>
              <w:spacing w:after="0"/>
              <w:rPr>
                <w:sz w:val="24"/>
                <w:szCs w:val="24"/>
                <w:color w:val="auto"/>
              </w:rPr>
            </w:pPr>
          </w:p>
        </w:tc>
        <w:tc>
          <w:tcPr>
            <w:tcW w:w="4980" w:type="dxa"/>
            <w:vAlign w:val="bottom"/>
            <w:gridSpan w:val="13"/>
          </w:tcPr>
          <w:p>
            <w:pPr>
              <w:ind w:left="40"/>
              <w:spacing w:after="0"/>
              <w:rPr>
                <w:sz w:val="20"/>
                <w:szCs w:val="20"/>
                <w:color w:val="auto"/>
              </w:rPr>
            </w:pPr>
            <w:r>
              <w:rPr>
                <w:rFonts w:ascii="Times New Roman" w:cs="Times New Roman" w:eastAsia="Times New Roman" w:hAnsi="Times New Roman"/>
                <w:sz w:val="18"/>
                <w:szCs w:val="18"/>
                <w:b w:val="1"/>
                <w:bCs w:val="1"/>
                <w:color w:val="auto"/>
              </w:rPr>
              <w:t>Undertakings</w:t>
            </w: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The undersigned Registrant hereby undertakes:</w:t>
      </w:r>
    </w:p>
    <w:p>
      <w:pPr>
        <w:spacing w:after="0" w:line="374" w:lineRule="exact"/>
        <w:rPr>
          <w:sz w:val="20"/>
          <w:szCs w:val="20"/>
          <w:color w:val="auto"/>
        </w:rPr>
      </w:pPr>
    </w:p>
    <w:p>
      <w:pPr>
        <w:ind w:left="1060" w:hanging="584"/>
        <w:spacing w:after="0"/>
        <w:tabs>
          <w:tab w:leader="none" w:pos="106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198" w:lineRule="exact"/>
        <w:rPr>
          <w:rFonts w:ascii="Times New Roman" w:cs="Times New Roman" w:eastAsia="Times New Roman" w:hAnsi="Times New Roman"/>
          <w:sz w:val="18"/>
          <w:szCs w:val="18"/>
          <w:color w:val="auto"/>
        </w:rPr>
      </w:pPr>
    </w:p>
    <w:p>
      <w:pPr>
        <w:ind w:left="220" w:hanging="212"/>
        <w:spacing w:after="0"/>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ectPr>
          <w:pgSz w:w="11900" w:h="16838" w:orient="portrait"/>
          <w:cols w:equalWidth="0" w:num="1">
            <w:col w:w="11220"/>
          </w:cols>
          <w:pgMar w:left="320" w:top="1440" w:right="359" w:bottom="1440" w:gutter="0" w:footer="0" w:header="0"/>
        </w:sectPr>
      </w:pPr>
    </w:p>
    <w:bookmarkStart w:id="4" w:name="page5"/>
    <w:bookmarkEnd w:id="4"/>
    <w:p>
      <w:pPr>
        <w:ind w:right="80" w:firstLine="8"/>
        <w:spacing w:after="0" w:line="220"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4" w:lineRule="exact"/>
        <w:rPr>
          <w:rFonts w:ascii="Times New Roman" w:cs="Times New Roman" w:eastAsia="Times New Roman" w:hAnsi="Times New Roman"/>
          <w:sz w:val="18"/>
          <w:szCs w:val="18"/>
          <w:color w:val="auto"/>
        </w:rPr>
      </w:pPr>
    </w:p>
    <w:p>
      <w:pPr>
        <w:ind w:firstLine="8"/>
        <w:spacing w:after="0" w:line="237" w:lineRule="auto"/>
        <w:tabs>
          <w:tab w:leader="none" w:pos="33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9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clauses A(1)(i) and A(1)(ii) above shall not apply if the information required to be included in a post-effective amendment by those paragraphs is contained in reports filed with or furnished to the SEC by the Registrant pursuant to Section 13 or Section 15(d) of the Exchange Act that are incorporated by reference in this Registration Statement;</w:t>
      </w:r>
    </w:p>
    <w:p>
      <w:pPr>
        <w:spacing w:after="0" w:line="265" w:lineRule="exact"/>
        <w:rPr>
          <w:sz w:val="20"/>
          <w:szCs w:val="20"/>
          <w:color w:val="auto"/>
        </w:rPr>
      </w:pPr>
    </w:p>
    <w:p>
      <w:pPr>
        <w:jc w:val="both"/>
        <w:ind w:left="1060" w:right="20" w:hanging="589"/>
        <w:spacing w:after="0" w:line="231"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 and</w:t>
      </w:r>
    </w:p>
    <w:p>
      <w:pPr>
        <w:spacing w:after="0" w:line="1" w:lineRule="exact"/>
        <w:rPr>
          <w:rFonts w:ascii="Times New Roman" w:cs="Times New Roman" w:eastAsia="Times New Roman" w:hAnsi="Times New Roman"/>
          <w:sz w:val="18"/>
          <w:szCs w:val="18"/>
          <w:color w:val="auto"/>
        </w:rPr>
      </w:pPr>
    </w:p>
    <w:p>
      <w:pPr>
        <w:ind w:left="1060" w:right="20" w:hanging="589"/>
        <w:spacing w:after="0" w:line="245" w:lineRule="auto"/>
        <w:tabs>
          <w:tab w:leader="none" w:pos="10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Registrant’s offering.</w:t>
      </w:r>
    </w:p>
    <w:p>
      <w:pPr>
        <w:spacing w:after="0" w:line="200" w:lineRule="exact"/>
        <w:rPr>
          <w:rFonts w:ascii="Times New Roman" w:cs="Times New Roman" w:eastAsia="Times New Roman" w:hAnsi="Times New Roman"/>
          <w:sz w:val="18"/>
          <w:szCs w:val="18"/>
          <w:color w:val="auto"/>
        </w:rPr>
      </w:pPr>
    </w:p>
    <w:p>
      <w:pPr>
        <w:spacing w:after="0" w:line="344" w:lineRule="exact"/>
        <w:rPr>
          <w:rFonts w:ascii="Times New Roman" w:cs="Times New Roman" w:eastAsia="Times New Roman" w:hAnsi="Times New Roman"/>
          <w:sz w:val="18"/>
          <w:szCs w:val="18"/>
          <w:color w:val="auto"/>
        </w:rPr>
      </w:pPr>
    </w:p>
    <w:p>
      <w:pPr>
        <w:jc w:val="both"/>
        <w:ind w:firstLine="8"/>
        <w:spacing w:after="0" w:line="245" w:lineRule="auto"/>
        <w:tabs>
          <w:tab w:leader="none" w:pos="22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7" w:lineRule="exact"/>
        <w:rPr>
          <w:rFonts w:ascii="Times New Roman" w:cs="Times New Roman" w:eastAsia="Times New Roman" w:hAnsi="Times New Roman"/>
          <w:sz w:val="18"/>
          <w:szCs w:val="18"/>
          <w:color w:val="auto"/>
        </w:rPr>
      </w:pPr>
    </w:p>
    <w:p>
      <w:pPr>
        <w:jc w:val="both"/>
        <w:ind w:firstLine="8"/>
        <w:spacing w:after="0" w:line="237" w:lineRule="auto"/>
        <w:tabs>
          <w:tab w:leader="none" w:pos="213"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11240"/>
          </w:cols>
          <w:pgMar w:left="320" w:top="1404" w:right="339" w:bottom="1440" w:gutter="0" w:footer="0" w:header="0"/>
        </w:sectPr>
      </w:pPr>
    </w:p>
    <w:bookmarkStart w:id="5" w:name="page6"/>
    <w:bookmarkEnd w:id="5"/>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w:t>
      </w:r>
    </w:p>
    <w:p>
      <w:pPr>
        <w:spacing w:after="0" w:line="2" w:lineRule="exact"/>
        <w:rPr>
          <w:sz w:val="20"/>
          <w:szCs w:val="20"/>
          <w:color w:val="auto"/>
        </w:rPr>
      </w:pPr>
    </w:p>
    <w:p>
      <w:pPr>
        <w:jc w:val="both"/>
        <w:ind w:right="20"/>
        <w:spacing w:after="0" w:line="226" w:lineRule="auto"/>
        <w:rPr>
          <w:sz w:val="20"/>
          <w:szCs w:val="20"/>
          <w:color w:val="auto"/>
        </w:rPr>
      </w:pPr>
      <w:r>
        <w:rPr>
          <w:rFonts w:ascii="Times New Roman" w:cs="Times New Roman" w:eastAsia="Times New Roman" w:hAnsi="Times New Roman"/>
          <w:sz w:val="18"/>
          <w:szCs w:val="18"/>
          <w:color w:val="auto"/>
        </w:rPr>
        <w:t>requirements for filing on Form S-8 and has duly caused this Registration Statement to be signed on its behalf by the undersigned, thereunto duly authorized, in the City of Irvine, State of California on this 17th day of March, 2023.</w:t>
      </w:r>
    </w:p>
    <w:p>
      <w:pPr>
        <w:ind w:left="5080"/>
        <w:spacing w:after="0" w:line="236" w:lineRule="auto"/>
        <w:rPr>
          <w:sz w:val="20"/>
          <w:szCs w:val="20"/>
          <w:color w:val="auto"/>
        </w:rPr>
      </w:pPr>
      <w:r>
        <w:rPr>
          <w:rFonts w:ascii="Times New Roman" w:cs="Times New Roman" w:eastAsia="Times New Roman" w:hAnsi="Times New Roman"/>
          <w:sz w:val="18"/>
          <w:szCs w:val="18"/>
          <w:b w:val="1"/>
          <w:bCs w:val="1"/>
          <w:color w:val="auto"/>
        </w:rPr>
        <w:t>TARSUS</w:t>
      </w:r>
    </w:p>
    <w:p>
      <w:pPr>
        <w:spacing w:after="0" w:line="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PHARMACEUTICALS, INC.</w:t>
      </w:r>
    </w:p>
    <w:p>
      <w:pPr>
        <w:spacing w:after="0" w:line="21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By:  /s/ Bobak Azamian, M.D.,</w:t>
      </w:r>
    </w:p>
    <w:p>
      <w:pPr>
        <w:spacing w:after="0" w:line="2"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4445</wp:posOffset>
            </wp:positionV>
            <wp:extent cx="13798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extLst>
                        <a:ext uri="{28A0092B-C50C-407E-A947-70E740481C1C}"/>
                      </a:extLst>
                    </a:blip>
                    <a:srcRect/>
                    <a:stretch>
                      <a:fillRect/>
                    </a:stretch>
                  </pic:blipFill>
                  <pic:spPr bwMode="auto">
                    <a:xfrm>
                      <a:off x="0" y="0"/>
                      <a:ext cx="1379855" cy="8255"/>
                    </a:xfrm>
                    <a:prstGeom prst="rect">
                      <a:avLst/>
                    </a:prstGeom>
                    <a:noFill/>
                  </pic:spPr>
                </pic:pic>
              </a:graphicData>
            </a:graphic>
          </wp:anchor>
        </w:drawing>
      </w:r>
    </w:p>
    <w:p>
      <w:pPr>
        <w:ind w:left="5480"/>
        <w:spacing w:after="0"/>
        <w:rPr>
          <w:sz w:val="20"/>
          <w:szCs w:val="20"/>
          <w:color w:val="auto"/>
        </w:rPr>
      </w:pPr>
      <w:r>
        <w:rPr>
          <w:rFonts w:ascii="Times New Roman" w:cs="Times New Roman" w:eastAsia="Times New Roman" w:hAnsi="Times New Roman"/>
          <w:sz w:val="18"/>
          <w:szCs w:val="18"/>
          <w:color w:val="auto"/>
        </w:rPr>
        <w:t>Bobak Azamian, M.D., Ph.D.</w:t>
      </w:r>
    </w:p>
    <w:p>
      <w:pPr>
        <w:spacing w:after="0" w:line="25"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President, Chief Executive</w:t>
      </w:r>
    </w:p>
    <w:p>
      <w:pPr>
        <w:ind w:left="5480"/>
        <w:spacing w:after="0"/>
        <w:rPr>
          <w:sz w:val="20"/>
          <w:szCs w:val="20"/>
          <w:color w:val="auto"/>
        </w:rPr>
      </w:pPr>
      <w:r>
        <w:rPr>
          <w:rFonts w:ascii="Times New Roman" w:cs="Times New Roman" w:eastAsia="Times New Roman" w:hAnsi="Times New Roman"/>
          <w:sz w:val="18"/>
          <w:szCs w:val="18"/>
          <w:color w:val="auto"/>
        </w:rPr>
        <w:t>Officer and Board Chairman</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POWER OF ATTORNEY</w:t>
      </w:r>
    </w:p>
    <w:p>
      <w:pPr>
        <w:spacing w:after="0" w:line="21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KNOW ALL PERSONS BY THESE PRESENTS that each person whose signature appears below constitutes and appoints Bobak Azamian, M.D., Ph.D., Leonard M. Greenstein and Bryan Wahl, M.D. and each of them, his or her true and lawful attorneys-in-fact and agents, each with full power of substitution and resubstitution, for him or her and in his or her name, place and stead, in any and all capacities, to sign any and all amendments, including post-effective amendments, to this registration statement,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each of the undersigned has executed this Power of Attorney as of the date indicated.</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440" w:right="339" w:bottom="1440" w:gutter="0" w:footer="0" w:header="0"/>
        </w:sectPr>
      </w:pPr>
    </w:p>
    <w:bookmarkStart w:id="6" w:name="page7"/>
    <w:bookmarkEnd w:id="6"/>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80" w:type="dxa"/>
            <w:vAlign w:val="bottom"/>
            <w:gridSpan w:val="2"/>
          </w:tcPr>
          <w:p>
            <w:pPr>
              <w:ind w:left="18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23"/>
        </w:trPr>
        <w:tc>
          <w:tcPr>
            <w:tcW w:w="42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169"/>
        </w:trPr>
        <w:tc>
          <w:tcPr>
            <w:tcW w:w="4240" w:type="dxa"/>
            <w:vAlign w:val="bottom"/>
          </w:tcPr>
          <w:p>
            <w:pPr>
              <w:ind w:left="40"/>
              <w:spacing w:after="0" w:line="169" w:lineRule="exact"/>
              <w:rPr>
                <w:sz w:val="20"/>
                <w:szCs w:val="20"/>
                <w:color w:val="auto"/>
              </w:rPr>
            </w:pPr>
            <w:r>
              <w:rPr>
                <w:rFonts w:ascii="Times New Roman" w:cs="Times New Roman" w:eastAsia="Times New Roman" w:hAnsi="Times New Roman"/>
                <w:sz w:val="18"/>
                <w:szCs w:val="18"/>
                <w:color w:val="auto"/>
              </w:rPr>
              <w:t>/s/ Bobak Azamian, M.D., Ph.D.</w:t>
            </w:r>
          </w:p>
        </w:tc>
        <w:tc>
          <w:tcPr>
            <w:tcW w:w="140" w:type="dxa"/>
            <w:vAlign w:val="bottom"/>
          </w:tcPr>
          <w:p>
            <w:pPr>
              <w:spacing w:after="0"/>
              <w:rPr>
                <w:sz w:val="14"/>
                <w:szCs w:val="14"/>
                <w:color w:val="auto"/>
              </w:rPr>
            </w:pPr>
          </w:p>
        </w:tc>
        <w:tc>
          <w:tcPr>
            <w:tcW w:w="49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President, Chief Executive Officer and Board Chairman</w:t>
            </w:r>
          </w:p>
        </w:tc>
      </w:tr>
      <w:tr>
        <w:trPr>
          <w:trHeight w:val="236"/>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Bobak Azamian, M.D., Ph.D.</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358"/>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Leonard M. Greenstein</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6"/>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Leonard M. Greenstein</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Financial Officer and Principal Accounting Officer)</w:t>
            </w:r>
          </w:p>
        </w:tc>
      </w:tr>
      <w:tr>
        <w:trPr>
          <w:trHeight w:val="358"/>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Bhaskar Chaudhuri, Ph.D.</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Bhaskar Chaudhuri, Ph.D.</w:t>
            </w:r>
          </w:p>
        </w:tc>
        <w:tc>
          <w:tcPr>
            <w:tcW w:w="4900" w:type="dxa"/>
            <w:vAlign w:val="bottom"/>
          </w:tcPr>
          <w:p>
            <w:pPr>
              <w:spacing w:after="0"/>
              <w:rPr>
                <w:sz w:val="20"/>
                <w:szCs w:val="20"/>
                <w:color w:val="auto"/>
              </w:rPr>
            </w:pPr>
          </w:p>
        </w:tc>
      </w:tr>
      <w:tr>
        <w:trPr>
          <w:trHeight w:val="360"/>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Rosemary Crane</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Rosemary Crane</w:t>
            </w:r>
          </w:p>
        </w:tc>
        <w:tc>
          <w:tcPr>
            <w:tcW w:w="4900" w:type="dxa"/>
            <w:vAlign w:val="bottom"/>
          </w:tcPr>
          <w:p>
            <w:pPr>
              <w:spacing w:after="0"/>
              <w:rPr>
                <w:sz w:val="20"/>
                <w:szCs w:val="20"/>
                <w:color w:val="auto"/>
              </w:rPr>
            </w:pPr>
          </w:p>
        </w:tc>
      </w:tr>
      <w:tr>
        <w:trPr>
          <w:trHeight w:val="346"/>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Andrew Goldberg, M.D.</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Andrew Goldberg, M.D.</w:t>
            </w:r>
          </w:p>
        </w:tc>
        <w:tc>
          <w:tcPr>
            <w:tcW w:w="4900" w:type="dxa"/>
            <w:vAlign w:val="bottom"/>
          </w:tcPr>
          <w:p>
            <w:pPr>
              <w:spacing w:after="0"/>
              <w:rPr>
                <w:sz w:val="20"/>
                <w:szCs w:val="20"/>
                <w:color w:val="auto"/>
              </w:rPr>
            </w:pPr>
          </w:p>
        </w:tc>
      </w:tr>
      <w:tr>
        <w:trPr>
          <w:trHeight w:val="360"/>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William J. Link, Ph.D.</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William J. Link, Ph.D.</w:t>
            </w:r>
          </w:p>
        </w:tc>
        <w:tc>
          <w:tcPr>
            <w:tcW w:w="4900" w:type="dxa"/>
            <w:vAlign w:val="bottom"/>
          </w:tcPr>
          <w:p>
            <w:pPr>
              <w:spacing w:after="0"/>
              <w:rPr>
                <w:sz w:val="20"/>
                <w:szCs w:val="20"/>
                <w:color w:val="auto"/>
              </w:rPr>
            </w:pPr>
          </w:p>
        </w:tc>
      </w:tr>
      <w:tr>
        <w:trPr>
          <w:trHeight w:val="360"/>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Scott Morrison</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Scott Morrison</w:t>
            </w:r>
          </w:p>
        </w:tc>
        <w:tc>
          <w:tcPr>
            <w:tcW w:w="4900" w:type="dxa"/>
            <w:vAlign w:val="bottom"/>
          </w:tcPr>
          <w:p>
            <w:pPr>
              <w:spacing w:after="0"/>
              <w:rPr>
                <w:sz w:val="20"/>
                <w:szCs w:val="20"/>
                <w:color w:val="auto"/>
              </w:rPr>
            </w:pPr>
          </w:p>
        </w:tc>
      </w:tr>
      <w:tr>
        <w:trPr>
          <w:trHeight w:val="400"/>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Wendy Yarno</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Wendy Yarno</w:t>
            </w:r>
          </w:p>
        </w:tc>
        <w:tc>
          <w:tcPr>
            <w:tcW w:w="4900" w:type="dxa"/>
            <w:vAlign w:val="bottom"/>
          </w:tcPr>
          <w:p>
            <w:pPr>
              <w:spacing w:after="0"/>
              <w:rPr>
                <w:sz w:val="20"/>
                <w:szCs w:val="20"/>
                <w:color w:val="auto"/>
              </w:rPr>
            </w:pPr>
          </w:p>
        </w:tc>
      </w:tr>
      <w:tr>
        <w:trPr>
          <w:trHeight w:val="360"/>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 Elizabeth Yeu-Lin, M.D.</w:t>
            </w:r>
          </w:p>
        </w:tc>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234"/>
        </w:trPr>
        <w:tc>
          <w:tcPr>
            <w:tcW w:w="4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Elizabeth Yeu-Lin, M.D.</w:t>
            </w:r>
          </w:p>
        </w:tc>
        <w:tc>
          <w:tcPr>
            <w:tcW w:w="49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33655</wp:posOffset>
            </wp:positionV>
            <wp:extent cx="11398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255905</wp:posOffset>
            </wp:positionV>
            <wp:extent cx="113982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247650</wp:posOffset>
            </wp:positionV>
            <wp:extent cx="1139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247650</wp:posOffset>
            </wp:positionV>
            <wp:extent cx="11398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238760</wp:posOffset>
            </wp:positionV>
            <wp:extent cx="1139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247650</wp:posOffset>
            </wp:positionV>
            <wp:extent cx="11398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247650</wp:posOffset>
            </wp:positionV>
            <wp:extent cx="1139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273050</wp:posOffset>
            </wp:positionV>
            <wp:extent cx="11398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247650</wp:posOffset>
            </wp:positionV>
            <wp:extent cx="11398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17, 2023</w:t>
      </w:r>
    </w:p>
    <w:p>
      <w:pPr>
        <w:sectPr>
          <w:pgSz w:w="11900" w:h="16838" w:orient="portrait"/>
          <w:cols w:equalWidth="0" w:num="2">
            <w:col w:w="9280" w:space="480"/>
            <w:col w:w="1140"/>
          </w:cols>
          <w:pgMar w:left="320" w:top="1440" w:right="679" w:bottom="1440" w:gutter="0" w:footer="0" w:header="0"/>
        </w:sectPr>
      </w:pPr>
    </w:p>
    <w:bookmarkStart w:id="7" w:name="page8"/>
    <w:bookmarkEnd w:id="7"/>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Calculation of Filing Fee Tables</w:t>
      </w:r>
    </w:p>
    <w:p>
      <w:pPr>
        <w:spacing w:after="0" w:line="144"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u w:val="single" w:color="auto"/>
          <w:color w:val="auto"/>
        </w:rPr>
        <w:t>Form S-8</w:t>
      </w:r>
    </w:p>
    <w:p>
      <w:pPr>
        <w:spacing w:after="0" w:line="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(Form Type)</w:t>
      </w:r>
    </w:p>
    <w:p>
      <w:pPr>
        <w:spacing w:after="0" w:line="200" w:lineRule="exact"/>
        <w:rPr>
          <w:sz w:val="20"/>
          <w:szCs w:val="20"/>
          <w:color w:val="auto"/>
        </w:rPr>
      </w:pPr>
    </w:p>
    <w:p>
      <w:pPr>
        <w:spacing w:after="0" w:line="3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Tarsus Pharmaceuticals, Inc.</w:t>
      </w: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(Exact name of Registrant as Specified in its Charter)</w:t>
      </w:r>
    </w:p>
    <w:p>
      <w:pPr>
        <w:spacing w:after="0" w:line="1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u w:val="single" w:color="auto"/>
          <w:color w:val="auto"/>
        </w:rPr>
        <w:t>Table 1: Newly Registered Securities</w:t>
      </w:r>
    </w:p>
    <w:p>
      <w:pPr>
        <w:spacing w:after="0" w:line="27"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940" w:type="dxa"/>
            <w:vAlign w:val="bottom"/>
            <w:tcBorders>
              <w:top w:val="single" w:sz="8" w:color="auto"/>
              <w:left w:val="single" w:sz="8" w:color="auto"/>
              <w:right w:val="single" w:sz="8" w:color="auto"/>
            </w:tcBorders>
          </w:tcPr>
          <w:p>
            <w:pPr>
              <w:spacing w:after="0"/>
              <w:rPr>
                <w:sz w:val="17"/>
                <w:szCs w:val="17"/>
                <w:color w:val="auto"/>
              </w:rPr>
            </w:pPr>
          </w:p>
        </w:tc>
        <w:tc>
          <w:tcPr>
            <w:tcW w:w="2160" w:type="dxa"/>
            <w:vAlign w:val="bottom"/>
            <w:tcBorders>
              <w:top w:val="single" w:sz="8" w:color="auto"/>
              <w:right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40" w:type="dxa"/>
            <w:vAlign w:val="bottom"/>
            <w:tcBorders>
              <w:top w:val="single" w:sz="8" w:color="auto"/>
              <w:right w:val="single" w:sz="8" w:color="auto"/>
            </w:tcBorders>
          </w:tcPr>
          <w:p>
            <w:pPr>
              <w:spacing w:after="0"/>
              <w:rPr>
                <w:sz w:val="17"/>
                <w:szCs w:val="17"/>
                <w:color w:val="auto"/>
              </w:rPr>
            </w:pPr>
          </w:p>
        </w:tc>
        <w:tc>
          <w:tcPr>
            <w:tcW w:w="134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Proposed Maximum</w:t>
            </w:r>
          </w:p>
        </w:tc>
        <w:tc>
          <w:tcPr>
            <w:tcW w:w="1500" w:type="dxa"/>
            <w:vAlign w:val="bottom"/>
            <w:tcBorders>
              <w:top w:val="single" w:sz="8" w:color="auto"/>
              <w:right w:val="single" w:sz="8" w:color="auto"/>
            </w:tcBorders>
          </w:tcPr>
          <w:p>
            <w:pPr>
              <w:spacing w:after="0"/>
              <w:rPr>
                <w:sz w:val="17"/>
                <w:szCs w:val="17"/>
                <w:color w:val="auto"/>
              </w:rPr>
            </w:pPr>
          </w:p>
        </w:tc>
        <w:tc>
          <w:tcPr>
            <w:tcW w:w="122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color w:val="auto"/>
              </w:rPr>
              <w:t>Fee Calculation</w:t>
            </w:r>
          </w:p>
        </w:tc>
        <w:tc>
          <w:tcPr>
            <w:tcW w:w="1340" w:type="dxa"/>
            <w:vAlign w:val="bottom"/>
            <w:tcBorders>
              <w:right w:val="single" w:sz="8" w:color="auto"/>
            </w:tcBorders>
          </w:tcPr>
          <w:p>
            <w:pPr>
              <w:ind w:left="420"/>
              <w:spacing w:after="0"/>
              <w:rPr>
                <w:sz w:val="20"/>
                <w:szCs w:val="20"/>
                <w:color w:val="auto"/>
              </w:rPr>
            </w:pPr>
            <w:r>
              <w:rPr>
                <w:rFonts w:ascii="Times New Roman" w:cs="Times New Roman" w:eastAsia="Times New Roman" w:hAnsi="Times New Roman"/>
                <w:sz w:val="14"/>
                <w:szCs w:val="14"/>
                <w:color w:val="auto"/>
              </w:rPr>
              <w:t>Amount</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 Per</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Maximum Aggregate</w:t>
            </w: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Amount of</w:t>
            </w:r>
          </w:p>
        </w:tc>
        <w:tc>
          <w:tcPr>
            <w:tcW w:w="0" w:type="dxa"/>
            <w:vAlign w:val="bottom"/>
          </w:tcPr>
          <w:p>
            <w:pPr>
              <w:spacing w:after="0"/>
              <w:rPr>
                <w:sz w:val="1"/>
                <w:szCs w:val="1"/>
                <w:color w:val="auto"/>
              </w:rPr>
            </w:pPr>
          </w:p>
        </w:tc>
      </w:tr>
      <w:tr>
        <w:trPr>
          <w:trHeight w:val="202"/>
        </w:trPr>
        <w:tc>
          <w:tcPr>
            <w:tcW w:w="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Type</w:t>
            </w:r>
          </w:p>
        </w:tc>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Security Class Title</w:t>
            </w:r>
          </w:p>
        </w:tc>
        <w:tc>
          <w:tcPr>
            <w:tcW w:w="180" w:type="dxa"/>
            <w:vAlign w:val="bottom"/>
          </w:tcPr>
          <w:p>
            <w:pPr>
              <w:spacing w:after="0"/>
              <w:rPr>
                <w:sz w:val="17"/>
                <w:szCs w:val="17"/>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Rule(3)</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Registered(1)</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Share</w:t>
            </w: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Offering Price</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Fee Rate</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Registration Fee(5)</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right w:val="single" w:sz="8" w:color="auto"/>
            </w:tcBorders>
          </w:tcPr>
          <w:p>
            <w:pPr>
              <w:spacing w:after="0"/>
              <w:rPr>
                <w:sz w:val="2"/>
                <w:szCs w:val="2"/>
                <w:color w:val="auto"/>
              </w:rPr>
            </w:pPr>
          </w:p>
        </w:tc>
        <w:tc>
          <w:tcPr>
            <w:tcW w:w="216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rPr>
              <w:t>Rule 457(h)</w:t>
            </w:r>
          </w:p>
        </w:tc>
        <w:tc>
          <w:tcPr>
            <w:tcW w:w="13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1,069,098(2)</w:t>
            </w:r>
          </w:p>
        </w:tc>
        <w:tc>
          <w:tcPr>
            <w:tcW w:w="14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$13.39(4)</w:t>
            </w:r>
          </w:p>
        </w:tc>
        <w:tc>
          <w:tcPr>
            <w:tcW w:w="1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$14,315,222.22</w:t>
            </w:r>
          </w:p>
        </w:tc>
        <w:tc>
          <w:tcPr>
            <w:tcW w:w="12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0.00011020</w:t>
            </w:r>
          </w:p>
        </w:tc>
        <w:tc>
          <w:tcPr>
            <w:tcW w:w="13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w w:val="99"/>
              </w:rPr>
              <w:t>$1,577.54</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4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94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Equity</w:t>
            </w:r>
          </w:p>
        </w:tc>
        <w:tc>
          <w:tcPr>
            <w:tcW w:w="216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Common Stock, par value $0.0001</w:t>
            </w:r>
          </w:p>
        </w:tc>
        <w:tc>
          <w:tcPr>
            <w:tcW w:w="180" w:type="dxa"/>
            <w:vAlign w:val="bottom"/>
          </w:tcPr>
          <w:p>
            <w:pPr>
              <w:spacing w:after="0"/>
              <w:rPr>
                <w:sz w:val="13"/>
                <w:szCs w:val="13"/>
                <w:color w:val="auto"/>
              </w:rPr>
            </w:pPr>
          </w:p>
        </w:tc>
        <w:tc>
          <w:tcPr>
            <w:tcW w:w="1140" w:type="dxa"/>
            <w:vAlign w:val="bottom"/>
            <w:tcBorders>
              <w:right w:val="single" w:sz="8" w:color="auto"/>
            </w:tcBorders>
          </w:tcPr>
          <w:p>
            <w:pPr>
              <w:jc w:val="center"/>
              <w:ind w:right="128"/>
              <w:spacing w:after="0" w:line="155" w:lineRule="exact"/>
              <w:rPr>
                <w:sz w:val="20"/>
                <w:szCs w:val="20"/>
                <w:color w:val="auto"/>
              </w:rPr>
            </w:pPr>
            <w:r>
              <w:rPr>
                <w:rFonts w:ascii="Times New Roman" w:cs="Times New Roman" w:eastAsia="Times New Roman" w:hAnsi="Times New Roman"/>
                <w:sz w:val="14"/>
                <w:szCs w:val="14"/>
                <w:color w:val="auto"/>
              </w:rPr>
              <w:t>Rule 457(h)</w:t>
            </w:r>
          </w:p>
        </w:tc>
        <w:tc>
          <w:tcPr>
            <w:tcW w:w="134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267,275(3)</w:t>
            </w:r>
          </w:p>
        </w:tc>
        <w:tc>
          <w:tcPr>
            <w:tcW w:w="14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$11.38(4)</w:t>
            </w:r>
          </w:p>
        </w:tc>
        <w:tc>
          <w:tcPr>
            <w:tcW w:w="150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$3,041,589.50</w:t>
            </w:r>
          </w:p>
        </w:tc>
        <w:tc>
          <w:tcPr>
            <w:tcW w:w="122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0.00011020</w:t>
            </w:r>
          </w:p>
        </w:tc>
        <w:tc>
          <w:tcPr>
            <w:tcW w:w="1380" w:type="dxa"/>
            <w:vAlign w:val="bottom"/>
            <w:tcBorders>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$335.18</w:t>
            </w:r>
          </w:p>
        </w:tc>
        <w:tc>
          <w:tcPr>
            <w:tcW w:w="0" w:type="dxa"/>
            <w:vAlign w:val="bottom"/>
          </w:tcPr>
          <w:p>
            <w:pPr>
              <w:spacing w:after="0"/>
              <w:rPr>
                <w:sz w:val="1"/>
                <w:szCs w:val="1"/>
                <w:color w:val="auto"/>
              </w:rPr>
            </w:pPr>
          </w:p>
        </w:tc>
      </w:tr>
      <w:tr>
        <w:trPr>
          <w:trHeight w:val="176"/>
        </w:trPr>
        <w:tc>
          <w:tcPr>
            <w:tcW w:w="940" w:type="dxa"/>
            <w:vAlign w:val="bottom"/>
            <w:tcBorders>
              <w:left w:val="single" w:sz="8" w:color="auto"/>
              <w:right w:val="single" w:sz="8" w:color="auto"/>
            </w:tcBorders>
          </w:tcPr>
          <w:p>
            <w:pPr>
              <w:spacing w:after="0"/>
              <w:rPr>
                <w:sz w:val="15"/>
                <w:szCs w:val="15"/>
                <w:color w:val="auto"/>
              </w:rPr>
            </w:pPr>
          </w:p>
        </w:tc>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per share</w:t>
            </w:r>
          </w:p>
        </w:tc>
        <w:tc>
          <w:tcPr>
            <w:tcW w:w="180" w:type="dxa"/>
            <w:vAlign w:val="bottom"/>
          </w:tcPr>
          <w:p>
            <w:pPr>
              <w:spacing w:after="0"/>
              <w:rPr>
                <w:sz w:val="15"/>
                <w:szCs w:val="15"/>
                <w:color w:val="auto"/>
              </w:rPr>
            </w:pPr>
          </w:p>
        </w:tc>
        <w:tc>
          <w:tcPr>
            <w:tcW w:w="1140" w:type="dxa"/>
            <w:vAlign w:val="bottom"/>
            <w:tcBorders>
              <w:right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color w:val="auto"/>
              </w:rPr>
              <w:t>Rule 457(c)</w:t>
            </w:r>
          </w:p>
        </w:tc>
        <w:tc>
          <w:tcPr>
            <w:tcW w:w="1340" w:type="dxa"/>
            <w:vAlign w:val="bottom"/>
            <w:tcBorders>
              <w:right w:val="single" w:sz="8" w:color="auto"/>
            </w:tcBorders>
          </w:tcPr>
          <w:p>
            <w:pPr>
              <w:spacing w:after="0"/>
              <w:rPr>
                <w:sz w:val="15"/>
                <w:szCs w:val="15"/>
                <w:color w:val="auto"/>
              </w:rPr>
            </w:pPr>
          </w:p>
        </w:tc>
        <w:tc>
          <w:tcPr>
            <w:tcW w:w="1400" w:type="dxa"/>
            <w:vAlign w:val="bottom"/>
            <w:tcBorders>
              <w:right w:val="single" w:sz="8" w:color="auto"/>
            </w:tcBorders>
          </w:tcPr>
          <w:p>
            <w:pPr>
              <w:spacing w:after="0"/>
              <w:rPr>
                <w:sz w:val="15"/>
                <w:szCs w:val="15"/>
                <w:color w:val="auto"/>
              </w:rPr>
            </w:pPr>
          </w:p>
        </w:tc>
        <w:tc>
          <w:tcPr>
            <w:tcW w:w="1500" w:type="dxa"/>
            <w:vAlign w:val="bottom"/>
            <w:tcBorders>
              <w:right w:val="single" w:sz="8" w:color="auto"/>
            </w:tcBorders>
          </w:tcPr>
          <w:p>
            <w:pPr>
              <w:spacing w:after="0"/>
              <w:rPr>
                <w:sz w:val="15"/>
                <w:szCs w:val="15"/>
                <w:color w:val="auto"/>
              </w:rPr>
            </w:pPr>
          </w:p>
        </w:tc>
        <w:tc>
          <w:tcPr>
            <w:tcW w:w="1220" w:type="dxa"/>
            <w:vAlign w:val="bottom"/>
            <w:tcBorders>
              <w:right w:val="single" w:sz="8" w:color="auto"/>
            </w:tcBorders>
          </w:tcPr>
          <w:p>
            <w:pPr>
              <w:spacing w:after="0"/>
              <w:rPr>
                <w:sz w:val="15"/>
                <w:szCs w:val="15"/>
                <w:color w:val="auto"/>
              </w:rPr>
            </w:pPr>
          </w:p>
        </w:tc>
        <w:tc>
          <w:tcPr>
            <w:tcW w:w="13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940" w:type="dxa"/>
            <w:vAlign w:val="bottom"/>
            <w:tcBorders>
              <w:left w:val="single" w:sz="8" w:color="auto"/>
              <w:right w:val="single" w:sz="8" w:color="auto"/>
            </w:tcBorders>
          </w:tcPr>
          <w:p>
            <w:pPr>
              <w:spacing w:after="0"/>
              <w:rPr>
                <w:sz w:val="3"/>
                <w:szCs w:val="3"/>
                <w:color w:val="auto"/>
              </w:rPr>
            </w:pPr>
          </w:p>
        </w:tc>
        <w:tc>
          <w:tcPr>
            <w:tcW w:w="2160" w:type="dxa"/>
            <w:vAlign w:val="bottom"/>
            <w:tcBorders>
              <w:right w:val="single" w:sz="8" w:color="auto"/>
            </w:tcBorders>
            <w:vMerge w:val="continue"/>
          </w:tcPr>
          <w:p>
            <w:pPr>
              <w:spacing w:after="0"/>
              <w:rPr>
                <w:sz w:val="3"/>
                <w:szCs w:val="3"/>
                <w:color w:val="auto"/>
              </w:rPr>
            </w:pPr>
          </w:p>
        </w:tc>
        <w:tc>
          <w:tcPr>
            <w:tcW w:w="180" w:type="dxa"/>
            <w:vAlign w:val="bottom"/>
          </w:tcPr>
          <w:p>
            <w:pPr>
              <w:spacing w:after="0"/>
              <w:rPr>
                <w:sz w:val="3"/>
                <w:szCs w:val="3"/>
                <w:color w:val="auto"/>
              </w:rPr>
            </w:pPr>
          </w:p>
        </w:tc>
        <w:tc>
          <w:tcPr>
            <w:tcW w:w="1140" w:type="dxa"/>
            <w:vAlign w:val="bottom"/>
            <w:tcBorders>
              <w:right w:val="single" w:sz="8" w:color="auto"/>
            </w:tcBorders>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1400" w:type="dxa"/>
            <w:vAlign w:val="bottom"/>
            <w:tcBorders>
              <w:right w:val="single" w:sz="8" w:color="auto"/>
            </w:tcBorders>
          </w:tcPr>
          <w:p>
            <w:pPr>
              <w:spacing w:after="0"/>
              <w:rPr>
                <w:sz w:val="3"/>
                <w:szCs w:val="3"/>
                <w:color w:val="auto"/>
              </w:rPr>
            </w:pPr>
          </w:p>
        </w:tc>
        <w:tc>
          <w:tcPr>
            <w:tcW w:w="1500" w:type="dxa"/>
            <w:vAlign w:val="bottom"/>
            <w:tcBorders>
              <w:right w:val="single" w:sz="8" w:color="auto"/>
            </w:tcBorders>
          </w:tcPr>
          <w:p>
            <w:pPr>
              <w:spacing w:after="0"/>
              <w:rPr>
                <w:sz w:val="3"/>
                <w:szCs w:val="3"/>
                <w:color w:val="auto"/>
              </w:rPr>
            </w:pPr>
          </w:p>
        </w:tc>
        <w:tc>
          <w:tcPr>
            <w:tcW w:w="1220" w:type="dxa"/>
            <w:vAlign w:val="bottom"/>
            <w:tcBorders>
              <w:right w:val="single" w:sz="8" w:color="auto"/>
            </w:tcBorders>
          </w:tcPr>
          <w:p>
            <w:pPr>
              <w:spacing w:after="0"/>
              <w:rPr>
                <w:sz w:val="3"/>
                <w:szCs w:val="3"/>
                <w:color w:val="auto"/>
              </w:rPr>
            </w:pPr>
          </w:p>
        </w:tc>
        <w:tc>
          <w:tcPr>
            <w:tcW w:w="1380" w:type="dxa"/>
            <w:vAlign w:val="bottom"/>
            <w:tcBorders>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7"/>
        </w:trPr>
        <w:tc>
          <w:tcPr>
            <w:tcW w:w="940" w:type="dxa"/>
            <w:vAlign w:val="bottom"/>
            <w:tcBorders>
              <w:left w:val="single" w:sz="8" w:color="auto"/>
              <w:bottom w:val="single" w:sz="8" w:color="auto"/>
              <w:right w:val="single" w:sz="8" w:color="auto"/>
            </w:tcBorders>
          </w:tcPr>
          <w:p>
            <w:pPr>
              <w:spacing w:after="0"/>
              <w:rPr>
                <w:sz w:val="3"/>
                <w:szCs w:val="3"/>
                <w:color w:val="auto"/>
              </w:rPr>
            </w:pPr>
          </w:p>
        </w:tc>
        <w:tc>
          <w:tcPr>
            <w:tcW w:w="2160" w:type="dxa"/>
            <w:vAlign w:val="bottom"/>
            <w:tcBorders>
              <w:bottom w:val="single" w:sz="8" w:color="auto"/>
              <w:right w:val="single" w:sz="8" w:color="auto"/>
            </w:tcBorders>
          </w:tcPr>
          <w:p>
            <w:pPr>
              <w:spacing w:after="0"/>
              <w:rPr>
                <w:sz w:val="3"/>
                <w:szCs w:val="3"/>
                <w:color w:val="auto"/>
              </w:rPr>
            </w:pPr>
          </w:p>
        </w:tc>
        <w:tc>
          <w:tcPr>
            <w:tcW w:w="1320" w:type="dxa"/>
            <w:vAlign w:val="bottom"/>
            <w:tcBorders>
              <w:bottom w:val="single" w:sz="8" w:color="auto"/>
              <w:right w:val="single" w:sz="8" w:color="auto"/>
            </w:tcBorders>
            <w:gridSpan w:val="2"/>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1400" w:type="dxa"/>
            <w:vAlign w:val="bottom"/>
            <w:tcBorders>
              <w:bottom w:val="single" w:sz="8" w:color="auto"/>
              <w:right w:val="single" w:sz="8" w:color="auto"/>
            </w:tcBorders>
          </w:tcPr>
          <w:p>
            <w:pPr>
              <w:spacing w:after="0"/>
              <w:rPr>
                <w:sz w:val="3"/>
                <w:szCs w:val="3"/>
                <w:color w:val="auto"/>
              </w:rPr>
            </w:pPr>
          </w:p>
        </w:tc>
        <w:tc>
          <w:tcPr>
            <w:tcW w:w="1500" w:type="dxa"/>
            <w:vAlign w:val="bottom"/>
            <w:tcBorders>
              <w:bottom w:val="single" w:sz="8" w:color="auto"/>
              <w:right w:val="single" w:sz="8" w:color="auto"/>
            </w:tcBorders>
          </w:tcPr>
          <w:p>
            <w:pPr>
              <w:spacing w:after="0"/>
              <w:rPr>
                <w:sz w:val="3"/>
                <w:szCs w:val="3"/>
                <w:color w:val="auto"/>
              </w:rPr>
            </w:pPr>
          </w:p>
        </w:tc>
        <w:tc>
          <w:tcPr>
            <w:tcW w:w="1220" w:type="dxa"/>
            <w:vAlign w:val="bottom"/>
            <w:tcBorders>
              <w:bottom w:val="single" w:sz="8" w:color="auto"/>
              <w:right w:val="single" w:sz="8" w:color="auto"/>
            </w:tcBorders>
          </w:tcPr>
          <w:p>
            <w:pPr>
              <w:spacing w:after="0"/>
              <w:rPr>
                <w:sz w:val="3"/>
                <w:szCs w:val="3"/>
                <w:color w:val="auto"/>
              </w:rPr>
            </w:pPr>
          </w:p>
        </w:tc>
        <w:tc>
          <w:tcPr>
            <w:tcW w:w="13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0"/>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Offering Amounts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$17,356,811.72</w:t>
            </w: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$1,912.72</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940" w:type="dxa"/>
            <w:vAlign w:val="bottom"/>
            <w:tcBorders>
              <w:left w:val="single" w:sz="8" w:color="auto"/>
            </w:tcBorders>
          </w:tcPr>
          <w:p>
            <w:pPr>
              <w:spacing w:after="0"/>
              <w:rPr>
                <w:sz w:val="17"/>
                <w:szCs w:val="17"/>
                <w:color w:val="auto"/>
              </w:rPr>
            </w:pPr>
          </w:p>
        </w:tc>
        <w:tc>
          <w:tcPr>
            <w:tcW w:w="3480" w:type="dxa"/>
            <w:vAlign w:val="bottom"/>
            <w:gridSpan w:val="3"/>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Total Fee Offsets</w:t>
            </w: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85"/>
              </w:rPr>
              <w:t>--</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940" w:type="dxa"/>
            <w:vAlign w:val="bottom"/>
            <w:tcBorders>
              <w:left w:val="single" w:sz="8" w:color="auto"/>
            </w:tcBorders>
          </w:tcPr>
          <w:p>
            <w:pPr>
              <w:spacing w:after="0"/>
              <w:rPr>
                <w:sz w:val="17"/>
                <w:szCs w:val="17"/>
                <w:color w:val="auto"/>
              </w:rPr>
            </w:pPr>
          </w:p>
        </w:tc>
        <w:tc>
          <w:tcPr>
            <w:tcW w:w="2340" w:type="dxa"/>
            <w:vAlign w:val="bottom"/>
            <w:gridSpan w:val="2"/>
          </w:tcPr>
          <w:p>
            <w:pPr>
              <w:jc w:val="center"/>
              <w:ind w:left="1468"/>
              <w:spacing w:after="0"/>
              <w:rPr>
                <w:sz w:val="20"/>
                <w:szCs w:val="20"/>
                <w:color w:val="auto"/>
              </w:rPr>
            </w:pPr>
            <w:r>
              <w:rPr>
                <w:rFonts w:ascii="Times New Roman" w:cs="Times New Roman" w:eastAsia="Times New Roman" w:hAnsi="Times New Roman"/>
                <w:sz w:val="14"/>
                <w:szCs w:val="14"/>
                <w:b w:val="1"/>
                <w:bCs w:val="1"/>
                <w:color w:val="auto"/>
              </w:rPr>
              <w:t>Net Fee Due</w:t>
            </w:r>
          </w:p>
        </w:tc>
        <w:tc>
          <w:tcPr>
            <w:tcW w:w="1140" w:type="dxa"/>
            <w:vAlign w:val="bottom"/>
          </w:tcPr>
          <w:p>
            <w:pPr>
              <w:spacing w:after="0"/>
              <w:rPr>
                <w:sz w:val="17"/>
                <w:szCs w:val="17"/>
                <w:color w:val="auto"/>
              </w:rPr>
            </w:pPr>
          </w:p>
        </w:tc>
        <w:tc>
          <w:tcPr>
            <w:tcW w:w="1340" w:type="dxa"/>
            <w:vAlign w:val="bottom"/>
            <w:tcBorders>
              <w:right w:val="single" w:sz="8" w:color="auto"/>
            </w:tcBorders>
          </w:tcPr>
          <w:p>
            <w:pPr>
              <w:spacing w:after="0"/>
              <w:rPr>
                <w:sz w:val="17"/>
                <w:szCs w:val="17"/>
                <w:color w:val="auto"/>
              </w:rPr>
            </w:pPr>
          </w:p>
        </w:tc>
        <w:tc>
          <w:tcPr>
            <w:tcW w:w="1400" w:type="dxa"/>
            <w:vAlign w:val="bottom"/>
            <w:tcBorders>
              <w:right w:val="single" w:sz="8" w:color="auto"/>
            </w:tcBorders>
          </w:tcPr>
          <w:p>
            <w:pPr>
              <w:spacing w:after="0"/>
              <w:rPr>
                <w:sz w:val="17"/>
                <w:szCs w:val="17"/>
                <w:color w:val="auto"/>
              </w:rPr>
            </w:pPr>
          </w:p>
        </w:tc>
        <w:tc>
          <w:tcPr>
            <w:tcW w:w="150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$1,912.72</w:t>
            </w:r>
          </w:p>
        </w:tc>
        <w:tc>
          <w:tcPr>
            <w:tcW w:w="0" w:type="dxa"/>
            <w:vAlign w:val="bottom"/>
          </w:tcPr>
          <w:p>
            <w:pPr>
              <w:spacing w:after="0"/>
              <w:rPr>
                <w:sz w:val="1"/>
                <w:szCs w:val="1"/>
                <w:color w:val="auto"/>
              </w:rPr>
            </w:pPr>
          </w:p>
        </w:tc>
      </w:tr>
      <w:tr>
        <w:trPr>
          <w:trHeight w:val="23"/>
        </w:trPr>
        <w:tc>
          <w:tcPr>
            <w:tcW w:w="940" w:type="dxa"/>
            <w:vAlign w:val="bottom"/>
            <w:tcBorders>
              <w:left w:val="single" w:sz="8" w:color="auto"/>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40" w:type="dxa"/>
            <w:vAlign w:val="bottom"/>
            <w:tcBorders>
              <w:bottom w:val="single" w:sz="8" w:color="auto"/>
              <w:right w:val="single" w:sz="8" w:color="auto"/>
            </w:tcBorders>
          </w:tcPr>
          <w:p>
            <w:pPr>
              <w:spacing w:after="0"/>
              <w:rPr>
                <w:sz w:val="2"/>
                <w:szCs w:val="2"/>
                <w:color w:val="auto"/>
              </w:rPr>
            </w:pPr>
          </w:p>
        </w:tc>
        <w:tc>
          <w:tcPr>
            <w:tcW w:w="1400" w:type="dxa"/>
            <w:vAlign w:val="bottom"/>
            <w:tcBorders>
              <w:bottom w:val="single" w:sz="8" w:color="auto"/>
              <w:right w:val="single" w:sz="8" w:color="auto"/>
            </w:tcBorders>
          </w:tcPr>
          <w:p>
            <w:pPr>
              <w:spacing w:after="0"/>
              <w:rPr>
                <w:sz w:val="2"/>
                <w:szCs w:val="2"/>
                <w:color w:val="auto"/>
              </w:rPr>
            </w:pPr>
          </w:p>
        </w:tc>
        <w:tc>
          <w:tcPr>
            <w:tcW w:w="1500" w:type="dxa"/>
            <w:vAlign w:val="bottom"/>
            <w:tcBorders>
              <w:bottom w:val="single" w:sz="8" w:color="auto"/>
              <w:right w:val="single" w:sz="8" w:color="auto"/>
            </w:tcBorders>
          </w:tcPr>
          <w:p>
            <w:pPr>
              <w:spacing w:after="0"/>
              <w:rPr>
                <w:sz w:val="2"/>
                <w:szCs w:val="2"/>
                <w:color w:val="auto"/>
              </w:rPr>
            </w:pPr>
          </w:p>
        </w:tc>
        <w:tc>
          <w:tcPr>
            <w:tcW w:w="122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04" w:lineRule="exact"/>
        <w:rPr>
          <w:sz w:val="20"/>
          <w:szCs w:val="20"/>
          <w:color w:val="auto"/>
        </w:rPr>
      </w:pPr>
    </w:p>
    <w:p>
      <w:pPr>
        <w:ind w:left="400" w:right="60" w:hanging="374"/>
        <w:spacing w:after="0" w:line="237"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Pursuant to Rule 416(a) under the Securities Act of 1933, as amended (the “Securities Act”), this Registration Statement shall also cover any additional shares of Registrant’s common stock, par value $0.0001 per share (the “Common Stock”), that become issuable under (a) the Registrant’s 2020 Equity Incentive Plan (the “2020 Plan”) and (b) the Registrant’s 2020 Employee Stock Purchase Plan (the “2020 ESPP”), as a result of any stock dividend, stock split, recapitalization, or other similar transaction effected without the receipt of consideration that results in an increase to the number of outstanding shares of Registrant’s Common Stock, as applicable. Common Stock issuable under the 2020 Plan and 2020 ESPP were previously registered on Registration Statements on Form S-8 filed by the Registrant with the Securities and Exchange Commission on October 20, 2020 (File No. 333-249571), March 31, 2021 (File No. 333-254932) and March 14, 2022 (File No. 333-263537).</w:t>
      </w:r>
    </w:p>
    <w:p>
      <w:pPr>
        <w:spacing w:after="0" w:line="18" w:lineRule="exact"/>
        <w:rPr>
          <w:rFonts w:ascii="Times New Roman" w:cs="Times New Roman" w:eastAsia="Times New Roman" w:hAnsi="Times New Roman"/>
          <w:sz w:val="14"/>
          <w:szCs w:val="14"/>
          <w:color w:val="auto"/>
        </w:rPr>
      </w:pPr>
    </w:p>
    <w:p>
      <w:pPr>
        <w:ind w:left="400" w:right="100" w:hanging="374"/>
        <w:spacing w:after="0" w:line="241"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that were automatically added to the shares reserved for issuance under the 2020 Plan on January 1, 2023 pursuant to an “evergreen” provision contained in the 2020 Plan (the “2020 Plan Evergreen Shares”). The number of shares of Common Stock available for issuance under the 2020 Plan is subject to an automatic annual increase on the first day of each fiscal year of the Registrant through 2030 equal to the lowest of (a) 4% of the total number of shares of Common Stock actually issued and outstanding on the last day of the prior fiscal year, or (b) a number of shares of Common Stock determined by the Registrant’s Board of Directors.</w:t>
      </w:r>
    </w:p>
    <w:p>
      <w:pPr>
        <w:spacing w:after="0" w:line="28" w:lineRule="exact"/>
        <w:rPr>
          <w:rFonts w:ascii="Times New Roman" w:cs="Times New Roman" w:eastAsia="Times New Roman" w:hAnsi="Times New Roman"/>
          <w:sz w:val="14"/>
          <w:szCs w:val="14"/>
          <w:color w:val="auto"/>
        </w:rPr>
      </w:pPr>
    </w:p>
    <w:p>
      <w:pPr>
        <w:ind w:left="400" w:right="100" w:hanging="374"/>
        <w:spacing w:after="0" w:line="241" w:lineRule="auto"/>
        <w:tabs>
          <w:tab w:leader="none" w:pos="40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that were automatically added to the shares reserved for issuance under the 2020 ESPP on January 1, 2023 pursuant to an “evergreen” provision contained in the 2020 ESPP (the “2020 ESPP Evergreen Shares”). The number of shares of Common Stock available for issuance under the 2020 ESPP is subject to an automatic annual increase on the first day of each fiscal year of the Registrant through 2040 equal to the lowest of (a) 1% of the total number of shares of Common Stock actually issued and outstanding on the last day of the prior fiscal year, (b) 2,300,000 shares of Common Stock (subject to proportionate adjustment in the event of a stock split, stock dividend, reverse stock split, etc.), or (c) a number of shares of Common Stock determined by the Registrant’s Board of Directors.</w:t>
      </w:r>
    </w:p>
    <w:p>
      <w:pPr>
        <w:spacing w:after="0" w:line="15" w:lineRule="exact"/>
        <w:rPr>
          <w:rFonts w:ascii="Times New Roman" w:cs="Times New Roman" w:eastAsia="Times New Roman" w:hAnsi="Times New Roman"/>
          <w:sz w:val="14"/>
          <w:szCs w:val="14"/>
          <w:color w:val="auto"/>
        </w:rPr>
      </w:pPr>
    </w:p>
    <w:p>
      <w:pPr>
        <w:ind w:left="400" w:right="60" w:hanging="374"/>
        <w:spacing w:after="0" w:line="238" w:lineRule="auto"/>
        <w:tabs>
          <w:tab w:leader="none" w:pos="400" w:val="left"/>
        </w:tabs>
        <w:numPr>
          <w:ilvl w:val="0"/>
          <w:numId w:val="8"/>
        </w:numPr>
        <w:rPr>
          <w:rFonts w:ascii="Calibri" w:cs="Calibri" w:eastAsia="Calibri" w:hAnsi="Calibri"/>
          <w:sz w:val="14"/>
          <w:szCs w:val="14"/>
          <w:color w:val="auto"/>
        </w:rPr>
      </w:pPr>
      <w:r>
        <w:rPr>
          <w:rFonts w:ascii="Times New Roman" w:cs="Times New Roman" w:eastAsia="Times New Roman" w:hAnsi="Times New Roman"/>
          <w:sz w:val="14"/>
          <w:szCs w:val="14"/>
          <w:color w:val="auto"/>
        </w:rPr>
        <w:t>(4) This estimate is made pursuant to Rule 457(h)(1) and Rule 457(c) of the Securities Act solely for purposes of calculating the registration fee. The price per share and aggregate offering price of the 2020 Plan Evergreen Shares are based upon the average of the high and low prices of the Common Stock on March 16, 2023, as reported on the Nasdaq Global Select Market, which date is within five business days prior to the filing of this Registration Statement. The price per share and aggregate offering price of the 2020 ESPP Evergreen Shares are based upon the average of the high and low prices of the Common Stock on March 16, 2023, as reported on the Nasdaq Global Select Market, which date is within five business days prior to the filing of this Registration Statement, multiplied by 85%, which is the percentage of the price per share applicable to purchasers under the 2020 ESPP.</w:t>
      </w:r>
    </w:p>
    <w:p>
      <w:pPr>
        <w:spacing w:after="0" w:line="28" w:lineRule="exact"/>
        <w:rPr>
          <w:rFonts w:ascii="Calibri" w:cs="Calibri" w:eastAsia="Calibri" w:hAnsi="Calibri"/>
          <w:sz w:val="14"/>
          <w:szCs w:val="14"/>
          <w:color w:val="auto"/>
        </w:rPr>
      </w:pPr>
    </w:p>
    <w:p>
      <w:pPr>
        <w:ind w:left="400" w:hanging="374"/>
        <w:spacing w:after="0"/>
        <w:tabs>
          <w:tab w:leader="none" w:pos="400" w:val="left"/>
        </w:tabs>
        <w:numPr>
          <w:ilvl w:val="0"/>
          <w:numId w:val="8"/>
        </w:numPr>
        <w:rPr>
          <w:rFonts w:ascii="Calibri" w:cs="Calibri" w:eastAsia="Calibri" w:hAnsi="Calibri"/>
          <w:sz w:val="14"/>
          <w:szCs w:val="14"/>
          <w:color w:val="auto"/>
        </w:rPr>
      </w:pPr>
      <w:r>
        <w:rPr>
          <w:rFonts w:ascii="Times New Roman" w:cs="Times New Roman" w:eastAsia="Times New Roman" w:hAnsi="Times New Roman"/>
          <w:sz w:val="14"/>
          <w:szCs w:val="14"/>
          <w:color w:val="auto"/>
        </w:rPr>
        <w:t>The Registrant does not have any fee offsets.</w:t>
      </w:r>
    </w:p>
    <w:p>
      <w:pPr>
        <w:sectPr>
          <w:pgSz w:w="11900" w:h="16838" w:orient="portrait"/>
          <w:cols w:equalWidth="0" w:num="1">
            <w:col w:w="11260"/>
          </w:cols>
          <w:pgMar w:left="320" w:top="104" w:right="31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131445</wp:posOffset>
            </wp:positionV>
            <wp:extent cx="5297805" cy="1226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5297805" cy="1226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March 17, 2023</w:t>
      </w:r>
    </w:p>
    <w:p>
      <w:pPr>
        <w:spacing w:after="0" w:line="3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Tarsus Pharmaceuticals, Inc.</w:t>
      </w:r>
    </w:p>
    <w:p>
      <w:pPr>
        <w:spacing w:after="0" w:line="197" w:lineRule="auto"/>
        <w:rPr>
          <w:sz w:val="20"/>
          <w:szCs w:val="20"/>
          <w:color w:val="auto"/>
        </w:rPr>
      </w:pPr>
      <w:r>
        <w:rPr>
          <w:rFonts w:ascii="Times New Roman" w:cs="Times New Roman" w:eastAsia="Times New Roman" w:hAnsi="Times New Roman"/>
          <w:sz w:val="20"/>
          <w:szCs w:val="20"/>
          <w:color w:val="auto"/>
        </w:rPr>
        <w:t>15440 Laguna Canyon Road</w:t>
      </w:r>
    </w:p>
    <w:p>
      <w:pPr>
        <w:spacing w:after="0" w:line="211" w:lineRule="auto"/>
        <w:rPr>
          <w:sz w:val="20"/>
          <w:szCs w:val="20"/>
          <w:color w:val="auto"/>
        </w:rPr>
      </w:pPr>
      <w:r>
        <w:rPr>
          <w:rFonts w:ascii="Times New Roman" w:cs="Times New Roman" w:eastAsia="Times New Roman" w:hAnsi="Times New Roman"/>
          <w:sz w:val="20"/>
          <w:szCs w:val="20"/>
          <w:color w:val="auto"/>
        </w:rPr>
        <w:t>Suite 160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Irvine, CA 92618</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Ladies and Gentlemen:</w:t>
      </w:r>
    </w:p>
    <w:p>
      <w:pPr>
        <w:spacing w:after="0" w:line="23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refer to the registration statement on Form S-8 (the “</w:t>
      </w:r>
      <w:r>
        <w:rPr>
          <w:rFonts w:ascii="Times New Roman" w:cs="Times New Roman" w:eastAsia="Times New Roman" w:hAnsi="Times New Roman"/>
          <w:sz w:val="21"/>
          <w:szCs w:val="21"/>
          <w:b w:val="1"/>
          <w:bCs w:val="1"/>
          <w:i w:val="1"/>
          <w:iCs w:val="1"/>
          <w:color w:val="auto"/>
        </w:rPr>
        <w:t>Registration Statement</w:t>
      </w:r>
      <w:r>
        <w:rPr>
          <w:rFonts w:ascii="Times New Roman" w:cs="Times New Roman" w:eastAsia="Times New Roman" w:hAnsi="Times New Roman"/>
          <w:sz w:val="20"/>
          <w:szCs w:val="20"/>
          <w:color w:val="auto"/>
        </w:rPr>
        <w:t>”) to be filed by Tarsus Pharmaceuticals, Inc., a Delaware corporation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0"/>
          <w:szCs w:val="20"/>
          <w:color w:val="auto"/>
        </w:rPr>
        <w:t>”), with the Securities and Exchange Commission (the “</w:t>
      </w:r>
      <w:r>
        <w:rPr>
          <w:rFonts w:ascii="Times New Roman" w:cs="Times New Roman" w:eastAsia="Times New Roman" w:hAnsi="Times New Roman"/>
          <w:sz w:val="21"/>
          <w:szCs w:val="21"/>
          <w:b w:val="1"/>
          <w:bCs w:val="1"/>
          <w:i w:val="1"/>
          <w:iCs w:val="1"/>
          <w:color w:val="auto"/>
        </w:rPr>
        <w:t>Commission</w:t>
      </w:r>
      <w:r>
        <w:rPr>
          <w:rFonts w:ascii="Times New Roman" w:cs="Times New Roman" w:eastAsia="Times New Roman" w:hAnsi="Times New Roman"/>
          <w:sz w:val="20"/>
          <w:szCs w:val="20"/>
          <w:color w:val="auto"/>
        </w:rPr>
        <w:t>”) in connection with the registration under the Securities Act of 1933, as amended (the “</w:t>
      </w:r>
      <w:r>
        <w:rPr>
          <w:rFonts w:ascii="Times New Roman" w:cs="Times New Roman" w:eastAsia="Times New Roman" w:hAnsi="Times New Roman"/>
          <w:sz w:val="21"/>
          <w:szCs w:val="21"/>
          <w:b w:val="1"/>
          <w:bCs w:val="1"/>
          <w:i w:val="1"/>
          <w:iCs w:val="1"/>
          <w:color w:val="auto"/>
        </w:rPr>
        <w:t>Act</w:t>
      </w:r>
      <w:r>
        <w:rPr>
          <w:rFonts w:ascii="Times New Roman" w:cs="Times New Roman" w:eastAsia="Times New Roman" w:hAnsi="Times New Roman"/>
          <w:sz w:val="20"/>
          <w:szCs w:val="20"/>
          <w:color w:val="auto"/>
        </w:rPr>
        <w:t>”), of an aggregate of 1,336,373 shares of the Company’s common stock, $0.0001 par value per share (the “</w:t>
      </w:r>
      <w:r>
        <w:rPr>
          <w:rFonts w:ascii="Times New Roman" w:cs="Times New Roman" w:eastAsia="Times New Roman" w:hAnsi="Times New Roman"/>
          <w:sz w:val="21"/>
          <w:szCs w:val="21"/>
          <w:b w:val="1"/>
          <w:bCs w:val="1"/>
          <w:i w:val="1"/>
          <w:iCs w:val="1"/>
          <w:color w:val="auto"/>
        </w:rPr>
        <w:t>Shares</w:t>
      </w:r>
      <w:r>
        <w:rPr>
          <w:rFonts w:ascii="Times New Roman" w:cs="Times New Roman" w:eastAsia="Times New Roman" w:hAnsi="Times New Roman"/>
          <w:sz w:val="20"/>
          <w:szCs w:val="20"/>
          <w:color w:val="auto"/>
        </w:rPr>
        <w:t>”), that are subject to issuance by the Company (i) upon the exercise or settlement of awards granted or to be granted under the Company’s 2020 Equity Incentive Plan and (ii) the exercise of purchase rights to acquire shares of common stock granted or to be granted under the Company’s 2020 Employee Stock Purchase Plan. The Company’s 2020 Equity Incentive Plan and 2020 Employee Stock Purchase Plan are collectively referred to in this letter as the “</w:t>
      </w:r>
      <w:r>
        <w:rPr>
          <w:rFonts w:ascii="Times New Roman" w:cs="Times New Roman" w:eastAsia="Times New Roman" w:hAnsi="Times New Roman"/>
          <w:sz w:val="21"/>
          <w:szCs w:val="21"/>
          <w:b w:val="1"/>
          <w:bCs w:val="1"/>
          <w:i w:val="1"/>
          <w:iCs w:val="1"/>
          <w:color w:val="auto"/>
        </w:rPr>
        <w:t>Plans</w:t>
      </w:r>
      <w:r>
        <w:rPr>
          <w:rFonts w:ascii="Times New Roman" w:cs="Times New Roman" w:eastAsia="Times New Roman" w:hAnsi="Times New Roman"/>
          <w:sz w:val="20"/>
          <w:szCs w:val="20"/>
          <w:color w:val="auto"/>
        </w:rPr>
        <w:t>”.</w:t>
      </w:r>
    </w:p>
    <w:p>
      <w:pPr>
        <w:spacing w:after="0" w:line="20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 connection with this opinion, we have reviewed the actions proposed to be taken by you in connection with the issuance and sale of the Shares to be issued under the Plans. We have also examined and relied upon the Registration Statement and the originals or copies certified to our satisfaction of such other documents, records, certificates, memoranda and other instruments as in our judgment are necessary or appropriate to enable us to render the opinion expressed below. With your consent, we have relied upon certificates and other assurances of officers of the Company as to factual matters without having independently verified such factual matters. We have assumed the genuineness and authenticity of all documents submitted to us as originals, and the conformity to originals of all documents submitted to us as copies thereof and the due execution and delivery of all documents where due execution and delivery are a prerequisite to the effectiveness thereof.</w:t>
      </w:r>
    </w:p>
    <w:p>
      <w:pPr>
        <w:spacing w:after="0" w:line="206"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This opinion is being furnished in connection with the requirements of Item 601(b)(5) of Regulation S-K under the Act, and no opinion is expressed herein as to any matter pertaining to the contents of the Registration Statement, other than as expressly stated herein with respect to the issue of the Shares. Our opinion is limited to the matters stated herein and no opinion is implied or may be inferred beyond the matters expressly stated. Our opinion herein is expressed solely with respect to the federal laws of the United States and the General Corporation Law of the State of Delaware (the “</w:t>
      </w:r>
      <w:r>
        <w:rPr>
          <w:rFonts w:ascii="Times New Roman" w:cs="Times New Roman" w:eastAsia="Times New Roman" w:hAnsi="Times New Roman"/>
          <w:sz w:val="21"/>
          <w:szCs w:val="21"/>
          <w:b w:val="1"/>
          <w:bCs w:val="1"/>
          <w:i w:val="1"/>
          <w:iCs w:val="1"/>
          <w:color w:val="auto"/>
        </w:rPr>
        <w:t>DGCL</w:t>
      </w:r>
      <w:r>
        <w:rPr>
          <w:rFonts w:ascii="Times New Roman" w:cs="Times New Roman" w:eastAsia="Times New Roman" w:hAnsi="Times New Roman"/>
          <w:sz w:val="20"/>
          <w:szCs w:val="20"/>
          <w:color w:val="auto"/>
        </w:rPr>
        <w:t>”). Our opinion is based on these laws as in effect on the date hereof, and we disclaim any obligation to advise you of facts, circumstances, events or developments which hereafter may be brought to our attention and which may alter, affect or modify the opinion expressed herein. We are not rendering any opinion as to compliance with any federal or state antifraud law, rule or regulation relating to securities, or to the sale or issuance thereof.</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Based upon and subject to the foregoing, we advise you that, in our opinion, when the Shares have been issued and sold by the Company pursuant to the applicable provisions of the Plans and pursuant to the agreements which accompany the Plans, and in accordance with the Registration Statement, such Shares will be validly issued, fully paid and nonassessable.</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We hereby consent to the filing of this opinion as an exhibit to the Registration Statement. In giving such consent, we do not thereby admit that we are in the category of persons whose consent is required under Section 7 of the Act or the rules and regulations of the Commission thereunder.</w:t>
      </w:r>
    </w:p>
    <w:p>
      <w:pPr>
        <w:spacing w:after="0" w:line="200" w:lineRule="exact"/>
        <w:rPr>
          <w:sz w:val="20"/>
          <w:szCs w:val="20"/>
          <w:color w:val="auto"/>
        </w:rPr>
      </w:pPr>
    </w:p>
    <w:p>
      <w:pPr>
        <w:spacing w:after="0" w:line="23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Sincerely,</w:t>
      </w:r>
    </w:p>
    <w:p>
      <w:pPr>
        <w:spacing w:after="0" w:line="170"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/s/ Gunderson Dettmer Stough</w:t>
      </w:r>
    </w:p>
    <w:p>
      <w:pPr>
        <w:ind w:left="4140"/>
        <w:spacing w:after="0"/>
        <w:rPr>
          <w:sz w:val="20"/>
          <w:szCs w:val="20"/>
          <w:color w:val="auto"/>
        </w:rPr>
      </w:pPr>
      <w:r>
        <w:rPr>
          <w:rFonts w:ascii="Times New Roman" w:cs="Times New Roman" w:eastAsia="Times New Roman" w:hAnsi="Times New Roman"/>
          <w:sz w:val="20"/>
          <w:szCs w:val="20"/>
          <w:color w:val="auto"/>
        </w:rPr>
        <w:t>Villeneuve Franklin &amp; Hachigian, LLP</w:t>
      </w:r>
    </w:p>
    <w:p>
      <w:pPr>
        <w:spacing w:after="0" w:line="391"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color w:val="auto"/>
        </w:rPr>
        <w:t>GUNDERSON DETTMER STOUGH</w:t>
      </w:r>
    </w:p>
    <w:p>
      <w:pPr>
        <w:ind w:left="3900"/>
        <w:spacing w:after="0"/>
        <w:rPr>
          <w:sz w:val="20"/>
          <w:szCs w:val="20"/>
          <w:color w:val="auto"/>
        </w:rPr>
      </w:pPr>
      <w:r>
        <w:rPr>
          <w:rFonts w:ascii="Times New Roman" w:cs="Times New Roman" w:eastAsia="Times New Roman" w:hAnsi="Times New Roman"/>
          <w:sz w:val="20"/>
          <w:szCs w:val="20"/>
          <w:color w:val="auto"/>
        </w:rPr>
        <w:t>VILLENEUVE FRANKLIN &amp; HACHIGIAN, LLP</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23.1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Consent of Independent Registered Public Accounting Firm</w:t>
      </w:r>
    </w:p>
    <w:p>
      <w:pPr>
        <w:spacing w:after="0" w:line="22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Tarsus Pharmaceuticals, Inc. 2020 Equity Incentive Plan and the Tarsus Pharmaceuticals, Inc. 2020 Employee Stock Purchase Plan of Tarsus Pharmaceuticals, Inc. of our report dated March 17, 2023, with respect to the financial statements of Tarsus Pharmaceuticals, Inc. included in its Annual Report (Form 10-K) for the year ended December 31, 2022, filed with the Securities and Exchange Commission.</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Irvine, California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17, 2023</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Letter"/>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lowerRoman"/>
      <w:start w:val="1"/>
    </w:lvl>
    <w:lvl w:ilvl="1">
      <w:lvlJc w:val="left"/>
      <w:lvlText w:val="(%2)"/>
      <w:numFmt w:val="decimal"/>
      <w:start w:val="1"/>
    </w:lvl>
  </w:abstractNum>
  <w:abstractNum w:abstractNumId="3">
    <w:nsid w:val="507ED7AB"/>
    <w:multiLevelType w:val="hybridMultilevel"/>
    <w:lvl w:ilvl="0">
      <w:lvlJc w:val="left"/>
      <w:lvlText w:val="(%1)"/>
      <w:numFmt w:val="lowerRoman"/>
      <w:start w:val="1"/>
    </w:lvl>
    <w:lvl w:ilvl="1">
      <w:lvlJc w:val="left"/>
      <w:lvlText w:val="%2"/>
      <w:numFmt w:val="decimal"/>
      <w:start w:val="1"/>
    </w:lvl>
  </w:abstractNum>
  <w:abstractNum w:abstractNumId="4">
    <w:nsid w:val="2EB141F2"/>
    <w:multiLevelType w:val="hybridMultilevel"/>
    <w:lvl w:ilvl="0">
      <w:lvlJc w:val="left"/>
      <w:lvlText w:val="(%1)"/>
      <w:numFmt w:val="lowerRoman"/>
      <w:start w:val="2"/>
    </w:lvl>
  </w:abstractNum>
  <w:abstractNum w:abstractNumId="5">
    <w:nsid w:val="41B71EFB"/>
    <w:multiLevelType w:val="hybridMultilevel"/>
    <w:lvl w:ilvl="0">
      <w:lvlJc w:val="left"/>
      <w:lvlText w:val="%1"/>
      <w:numFmt w:val="upperLetter"/>
      <w:start w:val="1"/>
    </w:lvl>
    <w:lvl w:ilvl="1">
      <w:lvlJc w:val="left"/>
      <w:lvlText w:val="(%2)"/>
      <w:numFmt w:val="decimal"/>
      <w:start w:val="2"/>
    </w:lvl>
  </w:abstractNum>
  <w:abstractNum w:abstractNumId="6">
    <w:nsid w:val="79E2A9E3"/>
    <w:multiLevelType w:val="hybridMultilevel"/>
    <w:lvl w:ilvl="0">
      <w:lvlJc w:val="left"/>
      <w:lvlText w:val="%1."/>
      <w:numFmt w:val="upperLetter"/>
      <w:start w:val="2"/>
    </w:lvl>
    <w:lvl w:ilvl="1">
      <w:lvlJc w:val="left"/>
      <w:lvlText w:val="%2"/>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7" Type="http://schemas.openxmlformats.org/officeDocument/2006/relationships/image" Target="media/image1.png"/><Relationship Id="rId18" Type="http://schemas.openxmlformats.org/officeDocument/2006/relationships/image" Target="media/image2.png"/><Relationship Id="rId19"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jpeg"/><Relationship Id="rId8" Type="http://schemas.openxmlformats.org/officeDocument/2006/relationships/hyperlink" Target="http://www.sec.gov/ix?doc=/Archives/edgar/data/1819790/000181979023000007/tars-20221231.htm" TargetMode="External"/><Relationship Id="rId9" Type="http://schemas.openxmlformats.org/officeDocument/2006/relationships/hyperlink" Target="http://www.sec.gov/ix?doc=/Archives/edgar/data/1819790/000119312523002528/d427625d8k.htm" TargetMode="External"/><Relationship Id="rId10" Type="http://schemas.openxmlformats.org/officeDocument/2006/relationships/hyperlink" Target="http://www.sec.gov/ix?doc=/Archives/edgar/data/0001819790/000181979023000004/tars-20230313.htm" TargetMode="External"/><Relationship Id="rId11" Type="http://schemas.openxmlformats.org/officeDocument/2006/relationships/hyperlink" Target="http://www.sec.gov/Archives/edgar/data/1819790/000181979022000010/tarsus-form10xkxex42descri.htm" TargetMode="External"/><Relationship Id="rId12" Type="http://schemas.openxmlformats.org/officeDocument/2006/relationships/hyperlink" Target="http://www.sec.gov/Archives/edgar/data/1819790/000119312520272900/d11649dex31.htm" TargetMode="External"/><Relationship Id="rId13" Type="http://schemas.openxmlformats.org/officeDocument/2006/relationships/hyperlink" Target="http://www.sec.gov/Archives/edgar/data/1819790/000119312520272900/d11649dex32.htm" TargetMode="External"/><Relationship Id="rId14" Type="http://schemas.openxmlformats.org/officeDocument/2006/relationships/hyperlink" Target="http://www.sec.gov/Archives/edgar/data/1819790/000119312520267327/d30607dex41.htm" TargetMode="External"/><Relationship Id="rId15" Type="http://schemas.openxmlformats.org/officeDocument/2006/relationships/hyperlink" Target="http://www.sec.gov/Archives/edgar/data/0001819790/000119312520272944/d55477dex992.htm" TargetMode="External"/><Relationship Id="rId16" Type="http://schemas.openxmlformats.org/officeDocument/2006/relationships/hyperlink" Target="http://www.sec.gov/Archives/edgar/data/0001819790/000119312520272944/d55477dex99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2023-03-17T14:36:03Z</dcterms:created>
  <dcterms:modified xsi:type="dcterms:W3CDTF">2023-03-17T14:36:03Z</dcterms:modified>
</cp:coreProperties>
</file>