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TARSUS PHARMACEUTICALS,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81-4717861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15440 Laguna Canyon Road, Suite 160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Irvine, CA 92618</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(949) 409-9820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250190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TARS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The Nasdaq Global Market LLC</w:t>
            </w: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211"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 Update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Tarsus Pharmaceuticals, Inc. (the “Company”) has updated the risk factor set forth in the Company’s Annual Report on Form 10-K for the year ended December 31, 2021, “</w:t>
      </w:r>
      <w:r>
        <w:rPr>
          <w:rFonts w:ascii="Times New Roman" w:cs="Times New Roman" w:eastAsia="Times New Roman" w:hAnsi="Times New Roman"/>
          <w:sz w:val="18"/>
          <w:szCs w:val="18"/>
          <w:i w:val="1"/>
          <w:iCs w:val="1"/>
          <w:color w:val="auto"/>
        </w:rPr>
        <w:t>Risks Related to Development and Commercialization of Our Product Candidates - Clinical drug development is a lengthy,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expensive and risky process with uncertain timelines and uncertain outcomes, and results of earlier studies and trials may not be predictive of future results. If clinical trials of our product candidates, particularly TP-03 for the treatment of Demodex blepharitis, do not meet safety or efficacy endpoints or are prolonged or delayed, we may be unable to obtain required regulatory approvals, and therefore be unable to commercialize our product candidates on a timely basis or at all</w:t>
      </w:r>
      <w:r>
        <w:rPr>
          <w:rFonts w:ascii="Times New Roman" w:cs="Times New Roman" w:eastAsia="Times New Roman" w:hAnsi="Times New Roman"/>
          <w:sz w:val="18"/>
          <w:szCs w:val="18"/>
          <w:color w:val="auto"/>
        </w:rPr>
        <w:t>”, as follows.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and Commercialization of Our Product Candidates</w:t>
      </w:r>
    </w:p>
    <w:p>
      <w:pPr>
        <w:spacing w:after="0" w:line="11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is a lengthy, expensive and risky process with uncertain timelines and uncertain outcomes, and results of earlier studies and trials may not be predictive of future results. If clinical trials of our product candidates, particularly TP-03 for the treatment of Demodex blepharitis, do not meet safety or efficacy endpoints or are prolonged or delayed, we may be unable to obtain required regulatory approvals, and therefore be unable to commercialize our product candidates on a timely basis or at all.</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no revenues from sales of any products, and we may never be able to develop or commercialize a marketable product.</w:t>
      </w:r>
    </w:p>
    <w:p>
      <w:pPr>
        <w:spacing w:after="0" w:line="19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We have not yet completed any Phase 3 trials for any product candidate. 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 clinical trials for Demodex blepharitis in our Phase 3 trial, Saturn-2. Clinical trial failure may result from a multitude of factors including flaws in trial design, dose selection, placebo effect, patient enrollment criteria,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sectPr>
          <w:pgSz w:w="11900" w:h="16838" w:orient="portrait"/>
          <w:cols w:equalWidth="0" w:num="1">
            <w:col w:w="11000"/>
          </w:cols>
          <w:pgMar w:left="440" w:top="293" w:right="459" w:bottom="1440" w:gutter="0" w:footer="0" w:header="0"/>
        </w:sectPr>
      </w:pPr>
    </w:p>
    <w:bookmarkStart w:id="2" w:name="page3"/>
    <w:bookmarkEnd w:id="2"/>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We currently have two product candidates in clinical development and their risk of failure is high. For example, use of TP-03 requires the patient to follow a prescribed technique to administer the eye drops. Failure to properly administer the eye drops by the patient or inappropriate technique demonstration by the eye care practitioners, may adversely affect the outcome of TP-03 in demonstrating efficacy in one or more clinical trials. We are unable to predict if this product candidate or any of our future product candidates that advance into clinical trials will prove safe or effective in humans or will obtain marketing approval. 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Each of our product candidates will require additional clinical development, management of clinical, preclinical (for some of our product candidates) and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For example, the FDA had initially recommended that for TP-03 we conduct carcinogenicity testing and has subsequently agreed in Type C meeting minutes that we can submit a carcinogenicity waiver, and if not granted, the carcinogenicity testing could be conducted and submitted as a post-marketing requirement. Furthermore, the FDA recommended that we conduct embryofetal development studies in a second species, which have been completed. Any further recommendations by the FDA could cause delay of any regulatory approval by the FDA and cause our expenses to increase. We may experience numerous unforeseen events during, or as a result of, clinical trials that could delay or prevent our ability to receive marketing approval or commercialize TP-03, our other product candidates, or any other product candidates that we may develop, including:</w:t>
      </w:r>
    </w:p>
    <w:p>
      <w:pPr>
        <w:spacing w:after="0" w:line="95" w:lineRule="exact"/>
        <w:rPr>
          <w:sz w:val="20"/>
          <w:szCs w:val="20"/>
          <w:color w:val="auto"/>
        </w:rPr>
      </w:pPr>
    </w:p>
    <w:p>
      <w:pPr>
        <w:ind w:left="420" w:right="34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spacing w:after="0" w:line="67" w:lineRule="exact"/>
        <w:rPr>
          <w:rFonts w:ascii="Times New Roman" w:cs="Times New Roman" w:eastAsia="Times New Roman" w:hAnsi="Times New Roman"/>
          <w:sz w:val="18"/>
          <w:szCs w:val="18"/>
          <w:color w:val="auto"/>
        </w:rPr>
      </w:pPr>
    </w:p>
    <w:p>
      <w:pPr>
        <w:ind w:left="420" w:right="12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obtain sufficient enrollment in our clinical trials, our enrollment needs may grow larger than we anticipate, or participants may fail to complete our clinical trials at a higher rate than we anticipate;</w:t>
      </w:r>
    </w:p>
    <w:p>
      <w:pPr>
        <w:spacing w:after="0" w:line="67" w:lineRule="exact"/>
        <w:rPr>
          <w:rFonts w:ascii="Times New Roman" w:cs="Times New Roman" w:eastAsia="Times New Roman" w:hAnsi="Times New Roman"/>
          <w:sz w:val="18"/>
          <w:szCs w:val="18"/>
          <w:color w:val="auto"/>
        </w:rPr>
      </w:pPr>
    </w:p>
    <w:p>
      <w:pPr>
        <w:ind w:left="420" w:right="4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67" w:lineRule="exact"/>
        <w:rPr>
          <w:rFonts w:ascii="Times New Roman" w:cs="Times New Roman" w:eastAsia="Times New Roman" w:hAnsi="Times New Roman"/>
          <w:sz w:val="18"/>
          <w:szCs w:val="18"/>
          <w:color w:val="auto"/>
        </w:rPr>
      </w:pPr>
    </w:p>
    <w:p>
      <w:pPr>
        <w:ind w:left="420" w:right="80" w:hanging="316"/>
        <w:spacing w:after="0" w:line="266"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or institutional review boards or ethics committees may require us, to suspend or terminate clinical research for various reasons, including noncompliance with regulatory requirements or a finding that the participants are being exposed to unacceptable health risks;</w:t>
      </w:r>
    </w:p>
    <w:p>
      <w:pPr>
        <w:spacing w:after="0" w:line="81" w:lineRule="exact"/>
        <w:rPr>
          <w:rFonts w:ascii="Times New Roman" w:cs="Times New Roman" w:eastAsia="Times New Roman" w:hAnsi="Times New Roman"/>
          <w:sz w:val="18"/>
          <w:szCs w:val="18"/>
          <w:color w:val="auto"/>
        </w:rPr>
      </w:pPr>
    </w:p>
    <w:p>
      <w:pPr>
        <w:ind w:left="420" w:right="520" w:hanging="316"/>
        <w:spacing w:after="0" w:line="266"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spacing w:after="0" w:line="81"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130" w:lineRule="exact"/>
        <w:rPr>
          <w:rFonts w:ascii="Times New Roman" w:cs="Times New Roman" w:eastAsia="Times New Roman" w:hAnsi="Times New Roman"/>
          <w:sz w:val="18"/>
          <w:szCs w:val="18"/>
          <w:color w:val="auto"/>
        </w:rPr>
      </w:pPr>
    </w:p>
    <w:p>
      <w:pPr>
        <w:ind w:left="420" w:right="4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need to delay or suspend one or more trials until we complete additional financing transactions or otherwise receive adequate funding;</w:t>
      </w:r>
    </w:p>
    <w:p>
      <w:pPr>
        <w:spacing w:after="0" w:line="67" w:lineRule="exact"/>
        <w:rPr>
          <w:rFonts w:ascii="Times New Roman" w:cs="Times New Roman" w:eastAsia="Times New Roman" w:hAnsi="Times New Roman"/>
          <w:sz w:val="18"/>
          <w:szCs w:val="18"/>
          <w:color w:val="auto"/>
        </w:rPr>
      </w:pPr>
    </w:p>
    <w:p>
      <w:pPr>
        <w:ind w:left="420" w:right="8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or may be delayed;</w:t>
      </w:r>
    </w:p>
    <w:p>
      <w:pPr>
        <w:sectPr>
          <w:pgSz w:w="11900" w:h="16838" w:orient="portrait"/>
          <w:cols w:equalWidth="0" w:num="1">
            <w:col w:w="11020"/>
          </w:cols>
          <w:pgMar w:left="440" w:top="297" w:right="439" w:bottom="1440" w:gutter="0" w:footer="0" w:header="0"/>
        </w:sectPr>
      </w:pPr>
    </w:p>
    <w:bookmarkStart w:id="3" w:name="page4"/>
    <w:bookmarkEnd w:id="3"/>
    <w:p>
      <w:pPr>
        <w:ind w:left="420" w:right="560" w:hanging="316"/>
        <w:spacing w:after="0" w:line="282"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product candidates may have undesirable side effects or other unexpected characteristics, causing us or our investigators, regulators or institutional review boards or ethics committees to suspend or terminate trials;</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determine that the planned design of our clinical trials is flawed or inadequate;</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their approval of a product or impose restrictions on its distribution;</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timely or at all obtain INDs for a product candidate;</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modify a preclinical study or clinical trial protocol;</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may fail to comply with regulatory requirements or meet their contractual obligations to us in a timely manner, or at all;</w:t>
      </w:r>
    </w:p>
    <w:p>
      <w:pPr>
        <w:spacing w:after="0" w:line="130" w:lineRule="exact"/>
        <w:rPr>
          <w:rFonts w:ascii="Times New Roman" w:cs="Times New Roman" w:eastAsia="Times New Roman" w:hAnsi="Times New Roman"/>
          <w:sz w:val="18"/>
          <w:szCs w:val="18"/>
          <w:color w:val="auto"/>
        </w:rPr>
      </w:pPr>
    </w:p>
    <w:p>
      <w:pPr>
        <w:ind w:left="420" w:right="200" w:hanging="316"/>
        <w:spacing w:after="0" w:line="282"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spacing w:after="0" w:line="67" w:lineRule="exact"/>
        <w:rPr>
          <w:rFonts w:ascii="Times New Roman" w:cs="Times New Roman" w:eastAsia="Times New Roman" w:hAnsi="Times New Roman"/>
          <w:sz w:val="18"/>
          <w:szCs w:val="18"/>
          <w:color w:val="auto"/>
        </w:rPr>
      </w:pPr>
    </w:p>
    <w:p>
      <w:pPr>
        <w:ind w:left="420" w:right="200" w:hanging="316"/>
        <w:spacing w:after="0" w:line="266"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due to the ongoing COVID-19 pandemic, including with respect to the conduct of ongoing clinical trials, receipt of product candidates or other materials, submission of New Drug Applications (“NDAs”), filing of INDs, and starting any clinical trials for other indications or programs; and</w:t>
      </w:r>
    </w:p>
    <w:p>
      <w:pPr>
        <w:spacing w:after="0" w:line="81" w:lineRule="exact"/>
        <w:rPr>
          <w:rFonts w:ascii="Times New Roman" w:cs="Times New Roman" w:eastAsia="Times New Roman" w:hAnsi="Times New Roman"/>
          <w:sz w:val="18"/>
          <w:szCs w:val="18"/>
          <w:color w:val="auto"/>
        </w:rPr>
      </w:pPr>
    </w:p>
    <w:p>
      <w:pPr>
        <w:ind w:left="420" w:hanging="316"/>
        <w:spacing w:after="0" w:line="266"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manufacturing delays due to the recent COVID-19 pandemic in our supply chain caused by a shortage of raw materials, a lack of employees on site at our suppliers due to illness, or a lack of productivity at our suppliers due to local or national government quarantine restrictions on coming to the workplace.</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spacing w:after="0" w:line="85" w:lineRule="exact"/>
        <w:rPr>
          <w:sz w:val="20"/>
          <w:szCs w:val="20"/>
          <w:color w:val="auto"/>
        </w:rPr>
      </w:pPr>
    </w:p>
    <w:p>
      <w:pPr>
        <w:ind w:left="420" w:hanging="316"/>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the COVID-19 pandemic,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involve risks and uncertainties, including, without limitation, statements regarding expectations relating to the Company’s plans relating to the clinical development of its current and future product candidates. Words such as “may,” “will,” “should,” “believes,” “anticipates,” “plans,” “expects,” “intends,” “will,” “goal,” “potential” and similar expressions are intended to identify forward-looking statements. These forward-looking statements are based upon the Company’s current expectations. Actual results and the timing of events could differ materially from those anticipated in such forward-looking statements as a result of various risks and uncertainties detailed in the Company’s filings with the SEC. For a discussion of these and other factors, please refer to the Company’s annual report on Form 10-K for the year ended December 31, 2021 as well as the Company’s other filings with the SEC. You are cautioned not to place undue reliance on these forward-looking statements, which speak only as of the date of this report. All forward-looking statements are qualified in their entirety by this cautionary statement, and the Company undertakes no obligation to revise or update any forward-looking statements to reflect events or circumstances after the date of this report.</w:t>
      </w:r>
    </w:p>
    <w:p>
      <w:pPr>
        <w:sectPr>
          <w:pgSz w:w="11900" w:h="16838" w:orient="portrait"/>
          <w:cols w:equalWidth="0" w:num="1">
            <w:col w:w="10940"/>
          </w:cols>
          <w:pgMar w:left="440" w:top="297" w:right="519" w:bottom="1440" w:gutter="0" w:footer="0" w:header="0"/>
        </w:sectPr>
      </w:pPr>
    </w:p>
    <w:bookmarkStart w:id="4" w:name="page5"/>
    <w:bookmarkEnd w:id="4"/>
    <w:p>
      <w:pPr>
        <w:jc w:val="center"/>
        <w:ind w:right="-3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2, 2022</w:t>
      </w:r>
      <w:r>
        <w:rPr>
          <w:sz w:val="20"/>
          <w:szCs w:val="20"/>
          <w:color w:val="auto"/>
        </w:rPr>
        <w:tab/>
      </w:r>
      <w:r>
        <w:rPr>
          <w:rFonts w:ascii="Times New Roman" w:cs="Times New Roman" w:eastAsia="Times New Roman" w:hAnsi="Times New Roman"/>
          <w:sz w:val="17"/>
          <w:szCs w:val="17"/>
          <w:color w:val="auto"/>
        </w:rPr>
        <w:t>Tarsus Pharmaceuticals,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Leo M. Greenstein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sectPr>
      <w:pgSz w:w="11900" w:h="16838" w:orient="portrait"/>
      <w:cols w:equalWidth="0" w:num="1">
        <w:col w:w="10620"/>
      </w:cols>
      <w:pgMar w:left="440" w:top="29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2022-05-03T06:11:13Z</dcterms:created>
  <dcterms:modified xsi:type="dcterms:W3CDTF">2022-05-03T06:11:13Z</dcterms:modified>
</cp:coreProperties>
</file>