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bidi w:val="0"/>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(date of earliest event reported) August 10, 2023 </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bidi w:val="0"/>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409-9820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18"/>
        </w:rPr>
        <w:t>Emerging growth company ☒</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2023, Tarsus Pharmaceuticals, Inc. (the “Company”) issued a press release, which, among other matters, sets forth the Company’s results of operations for the three months ended June 30, 2023.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897"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0"/>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8102023pre.htm">
              <w:r>
                <w:rPr>
                  <w:rStyle w:val="InternetLink"/>
                  <w:rFonts w:ascii="Times New Roman;sans-serif" w:hAnsi="Times New Roman;sans-serif"/>
                  <w:b w:val="false"/>
                  <w:color w:val="0000FF"/>
                  <w:sz w:val="20"/>
                  <w:u w:val="single"/>
                </w:rPr>
                <w:t>Press Release dated August 10, 2023</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691" w:type="dxa"/>
        <w:jc w:val="left"/>
        <w:tblInd w:w="0" w:type="dxa"/>
        <w:tblLayout w:type="fixed"/>
        <w:tblCellMar>
          <w:top w:w="28" w:type="dxa"/>
          <w:left w:w="28" w:type="dxa"/>
          <w:bottom w:w="28" w:type="dxa"/>
          <w:right w:w="28" w:type="dxa"/>
        </w:tblCellMar>
      </w:tblPr>
      <w:tblGrid>
        <w:gridCol w:w="225"/>
        <w:gridCol w:w="197"/>
        <w:gridCol w:w="198"/>
        <w:gridCol w:w="484"/>
        <w:gridCol w:w="484"/>
        <w:gridCol w:w="486"/>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24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24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4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Reports Second Quarter 2023 Financial Results and Recent Business Achievements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XDEMVY™ (lotilaner ophthalmic solution) 0.25% received FDA approval for the treatment for Demodex blepharitis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On track to have XDEMVY and sales force in market by the end of August 2023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Completed enrollment of Galatea, a Phase 2a trial evaluating TP-04 for Rosacea, with topline data expected in 1H 2024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Strengthened balance sheet with $100 million public equity offering in August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IRVINE, Calif., August 10, 2023 (GLOBE NEWSWIRE) </w:t>
      </w:r>
      <w:r>
        <w:rPr>
          <w:rFonts w:ascii="Times New Roman;sans-serif" w:hAnsi="Times New Roman;sans-serif"/>
          <w:b w:val="false"/>
          <w:color w:val="000000"/>
          <w:sz w:val="20"/>
        </w:rPr>
        <w:t xml:space="preserve">-- Tarsus Pharmaceuticals, Inc. (NASDAQ: TARS), whose mission is to focus on unmet needs and apply proven science and new technology to revolutionize treatment for patients, starting with eye care, today announced financial results for the second quarter ended June 30, 2023, and recent business achievements.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ans-serif" w:hAnsi="Times New Roman;sans-serif"/>
          <w:b w:val="false"/>
          <w:color w:val="000000"/>
          <w:sz w:val="20"/>
        </w:rPr>
        <w:t xml:space="preserve">The FDA approval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is a seminal milestone for Tarsus, the eye care community and most importantly for patients, many of whom have struggled for years without an approved, effective treatment option,” said Bobak Azamian, MD, PhD, Chief Executive Officer and Chairman of Tarsus. “We are well-positioned and well-funded, expect to launch XDEMVY later this month to capture the potentially very significant patient demand, and anticipate rapid adoption among eye care providers and meaningful prescription volume in the early days following XDEMVY’s entrance into the market.”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Recent Business Highlights and Corporate Update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On July 24, 2023, the FDA approved XDEMVY (lotilaner ophthalmic solution) 0.25%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(DB)</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First and only approved therapeutic for DB, a highly prevalent eyelid disease that impacts approximately 25 million eye care patients in the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XDEMVY targets the root cause of DB and in pivotal trials demonstrated significant improvement in eyelids (reduction of collarettes, the pathognomonic sign of the disease, to no more than 2 collarettes per upper lid), mite eradication (mite density of 0 mites per lash) and erythema cure (Grade 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Actively engaging in contracting discussions with all the top commercial and Medicare accounts and expect to secure commercial coverage sequentially throughout 2024 and Medicare coverage in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Completed recruitment of our 85-person sales force targeting ~15K optometrists and ophthalmologists, which represents &gt;80% of the projected market; expect sales force to be deployed by the end of August when we anticipate product to be available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Established unique distribution model leveraging high touch retail and digital pharmacies to offer broad patient access with a potential 2x fill rate compared to traditional approaches</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Active disease education continuing to drive awareness and encouraging eye care providers (ECPs) to proactively diagnose DB</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Consistently &gt; 90% of ~250 optometrists and ophthalmologists surveyed indicated they would prescribe an FDA-approved therapeutic for DB</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Look at the Lids” disease education campaign has generated nearly 300K unique website visits, up from 200K last quarter and nearly 3M digital/media impressions, an increase of 700K impressions since last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Saturn-2 pivotal trial results were published in the American Academy of Ophthalmology journal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XDEMVY met the primary, all secondary endpoints and was generally well tolerated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Achieved and Anticipated 2023 Milestones</w:t>
      </w:r>
    </w:p>
    <w:p>
      <w:pPr>
        <w:pStyle w:val="TextBody"/>
        <w:bidi w:val="0"/>
        <w:spacing w:before="0" w:after="0"/>
        <w:jc w:val="left"/>
        <w:rPr/>
      </w:pPr>
      <w:r>
        <w:rPr/>
      </w:r>
    </w:p>
    <w:tbl>
      <w:tblPr>
        <w:tblW w:w="7227" w:type="dxa"/>
        <w:jc w:val="center"/>
        <w:tblInd w:w="0" w:type="dxa"/>
        <w:tblLayout w:type="fixed"/>
        <w:tblCellMar>
          <w:top w:w="28" w:type="dxa"/>
          <w:left w:w="28" w:type="dxa"/>
          <w:bottom w:w="28" w:type="dxa"/>
          <w:right w:w="28" w:type="dxa"/>
        </w:tblCellMar>
      </w:tblPr>
      <w:tblGrid>
        <w:gridCol w:w="347"/>
        <w:gridCol w:w="306"/>
        <w:gridCol w:w="308"/>
        <w:gridCol w:w="774"/>
        <w:gridCol w:w="774"/>
        <w:gridCol w:w="776"/>
        <w:gridCol w:w="749"/>
        <w:gridCol w:w="749"/>
        <w:gridCol w:w="751"/>
        <w:gridCol w:w="274"/>
        <w:gridCol w:w="274"/>
        <w:gridCol w:w="276"/>
        <w:gridCol w:w="254"/>
        <w:gridCol w:w="254"/>
        <w:gridCol w:w="361"/>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Program</w:t>
            </w:r>
          </w:p>
        </w:tc>
        <w:tc>
          <w:tcPr>
            <w:tcW w:w="2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Milestone</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Anticipated Indication</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H1 2023</w:t>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H2 2023</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TP-04</w:t>
            </w:r>
          </w:p>
        </w:tc>
        <w:tc>
          <w:tcPr>
            <w:tcW w:w="2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Initiated Phase 2a (Galatea)</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Rosacea</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XDEMVY</w:t>
            </w:r>
          </w:p>
        </w:tc>
        <w:tc>
          <w:tcPr>
            <w:tcW w:w="2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FDA Approval</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tc>
        <w:tc>
          <w:tcPr>
            <w:tcW w:w="8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TP-03</w:t>
            </w:r>
          </w:p>
        </w:tc>
        <w:tc>
          <w:tcPr>
            <w:tcW w:w="2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Topline Phase 2a (Ersa)</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Meibomian Gland Disease</w:t>
            </w:r>
          </w:p>
        </w:tc>
        <w:tc>
          <w:tcPr>
            <w:tcW w:w="8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TP-05</w:t>
            </w:r>
          </w:p>
        </w:tc>
        <w:tc>
          <w:tcPr>
            <w:tcW w:w="23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Topline Phase 2a (Carpo)</w:t>
            </w:r>
          </w:p>
        </w:tc>
        <w:tc>
          <w:tcPr>
            <w:tcW w:w="22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Lyme disease prevention</w:t>
            </w:r>
          </w:p>
        </w:tc>
        <w:tc>
          <w:tcPr>
            <w:tcW w:w="82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Second Quarter 2023 Financial Results </w:t>
      </w:r>
    </w:p>
    <w:p>
      <w:pPr>
        <w:pStyle w:val="TextBody"/>
        <w:bidi w:val="0"/>
        <w:spacing w:before="0" w:after="0"/>
        <w:jc w:val="left"/>
        <w:rPr/>
      </w:pPr>
      <w:r>
        <w:rPr/>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Second quarter net loss for 2023 was $31.4 million, compared to a net loss of $5.7 million for the same period in 2022, which was primarily due to: (i) a decrease of $15.3 million of license fee and collaboration revenue, (ii) an increase of $9.9 million of general and administrative expenses, and (iii) an increase of $2.9 million of research and development expenses</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Second quarter 2023 there were no amounts reported within license fee and collaboration revenue related to the strategic partnership with LianBio, compared to $15.3 million for the same period in 2022</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Second quarter research and development expenses for 2023 were $12.5 million (inclusive of stock-based compensation of $1.5 million), compared to $9.6 million for the same period in 2022</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Second quarter general and administrative expenses for 2023 were $20.3 million (inclusive of stock-based compensation of $3.7 million), compared to $10.4 million for the same period in 2022, which was primarily due to a $5.3 million increase of payroll and personnel-related costs; and a $3.5 million increase of commercial and market research costs related to our commercial expansion as we prepare to launch our recently approved product, XDEMVY</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As of June 30, 2023, cash, cash equivalents and marketable securities were $178.2 million, not including the recent equity public offering of $100 million in gross proceeds, completed in August 2023</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About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Blepharitis</w:t>
      </w:r>
    </w:p>
    <w:p>
      <w:pPr>
        <w:pStyle w:val="TextBody"/>
        <w:bidi w:val="0"/>
        <w:spacing w:lineRule="auto" w:line="288" w:before="0" w:after="0"/>
        <w:jc w:val="left"/>
        <w:rPr/>
      </w:pPr>
      <w:r>
        <w:rPr>
          <w:rFonts w:ascii="Times New Roman;sans-serif" w:hAnsi="Times New Roman;sans-serif"/>
          <w:b w:val="false"/>
          <w:color w:val="000000"/>
          <w:sz w:val="20"/>
        </w:rPr>
        <w:t xml:space="preserve">Blepharitis is a common lid margin disease that is characterized by eyelid margin inflammation, redness and ocular irritation.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caused by an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the most common ectoparasite found on humans and accounts for over two-thirds of all blepharitis cases.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may affect as many as 25 million Americans based on an extrapolation from the Titan study indicating 58% of patients presenting to U.S. eye care clinics have collarettes, a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and that at least 45 million people annually visit an eye care clinic.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can have a significant clinical burden and negative impact on patients’ daily lives. The Titan study also showed that current management tools, such as tea tree oil and lid wipes, are ineffective at targeting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XDEMVY™</w:t>
      </w:r>
    </w:p>
    <w:p>
      <w:pPr>
        <w:pStyle w:val="TextBody"/>
        <w:bidi w:val="0"/>
        <w:spacing w:lineRule="auto" w:line="288"/>
        <w:jc w:val="left"/>
        <w:rPr/>
      </w:pPr>
      <w:r>
        <w:rPr>
          <w:rFonts w:ascii="Times New Roman;sans-serif" w:hAnsi="Times New Roman;sans-serif"/>
          <w:b w:val="false"/>
          <w:color w:val="000000"/>
          <w:sz w:val="20"/>
        </w:rPr>
        <w:t xml:space="preserve">XDEMVY (lotilaner ophthalmic solution) 0.25%, formerly known as TP-03, is a novel prescription eye drop designed to treat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by targeting and eradicating the root cause of the disease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 infestation. XDEMVY was evaluated in two pivotal trials collectively involving more than 800 patients. Both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INDICATIONS AND USAGE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XDEMVY is indicated for the treatment of Demodex blepharitis.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Most common side effects</w:t>
      </w:r>
      <w:r>
        <w:rPr>
          <w:rFonts w:ascii="Times New Roman;sans-serif" w:hAnsi="Times New Roman;sans-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please see full prescribing information available at: www.xdemvy.com.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Tarsus Pharmaceuticals,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Demodex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blepharitis. Tarsus is also developing TP-03 for the treatment of Meibomian Gland Disease, which is currently being studied in a Phase 2a clinical trial. In addition, Tarsus is developing TP-04 for the potential treatment of Rosacea and TP-05, an oral tablet for the prevention of Lyme disease. TP-04 and TP-05 are both currently being studied in Phase 2a clinical trials to evaluate safety, tolerability, and proof-of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timing and availability of XDEMVY for prescription, the market size, acceptance, demand, prescription fill rate and adoption rate for XDEMVY; our ability to achieve distribution and patient access for XDEMVY and timing and breadth of payer coverage; our sales force size and hiring plans; our ability to continue to educate the market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market size for TP-03, TP-04, and TP-05, the timing, objectives, and results of the clinical trials, anticipated regulatory and development milestones, our ability to continue investing in our business, future events and Tarsus’ plans for and the anticipated benefits of its product candidates including TP-03, TP-04 and TP-05,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 looking statements as a result of various important factors. Important factors that could cause actual results to differ materially from those in the forward-looking statements include: Tarsus’ ability to maintain regulatory approval for and successfully commercialize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Tarsus has incurred significant losses and negative cash flows from operations since inception and anticipates that it will continue to incur significant expenses and losses for the foreseeable future; Tarsus may need to obtain additional funding to complete the development and commercialization of its product candidates, if approved; Tarsus is heavily dependent on the success of its lead product,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COVID-19 pandemic may affect Tarsus’ ability to initiate and complete preclinical studies and clinical trials, disrupt regulatory activities, disrupt manufacturing and supply chain or have other adverse effects on Tarsus’ business and operations; even if TP-03, TP-04, TP-05, or any other product candidate that Tarsus develops receives marketing approval, Tarsus may not be successful in educating healthcare professionals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MGD, rosacea, Lyme disease prevention, and/or other diseases or conditions targeted by Tarsus’ products; the development and commercialization of Tarsus products is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0"/>
        </w:rPr>
        <w:t xml:space="preserve">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TP-03 for the treatment of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2022 filed on March 17, 2023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4"/>
        <w:gridCol w:w="1550"/>
        <w:gridCol w:w="1564"/>
        <w:gridCol w:w="219"/>
        <w:gridCol w:w="742"/>
        <w:gridCol w:w="109"/>
        <w:gridCol w:w="109"/>
        <w:gridCol w:w="109"/>
        <w:gridCol w:w="109"/>
        <w:gridCol w:w="223"/>
        <w:gridCol w:w="738"/>
        <w:gridCol w:w="109"/>
        <w:gridCol w:w="109"/>
        <w:gridCol w:w="109"/>
        <w:gridCol w:w="109"/>
        <w:gridCol w:w="219"/>
        <w:gridCol w:w="742"/>
        <w:gridCol w:w="109"/>
        <w:gridCol w:w="109"/>
        <w:gridCol w:w="109"/>
        <w:gridCol w:w="109"/>
        <w:gridCol w:w="219"/>
        <w:gridCol w:w="742"/>
        <w:gridCol w:w="155"/>
      </w:tblGrid>
      <w:tr>
        <w:trPr/>
        <w:tc>
          <w:tcPr>
            <w:tcW w:w="178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(expense),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22,531,384 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24,332,531 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22,531,384 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7"/>
        <w:gridCol w:w="2362"/>
        <w:gridCol w:w="2246"/>
        <w:gridCol w:w="203"/>
        <w:gridCol w:w="763"/>
        <w:gridCol w:w="112"/>
        <w:gridCol w:w="109"/>
        <w:gridCol w:w="109"/>
        <w:gridCol w:w="109"/>
        <w:gridCol w:w="233"/>
        <w:gridCol w:w="875"/>
        <w:gridCol w:w="187"/>
      </w:tblGrid>
      <w:tr>
        <w:trPr/>
        <w:tc>
          <w:tcPr>
            <w:tcW w:w="289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225,375 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26,899,572 shares issued and outstanding at June 30, 2023 (unaudited); 26,727,458 shares issued and outstanding at December 31, 2022</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188,927 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2986</Words>
  <Characters>17243</Characters>
  <CharactersWithSpaces>20000</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