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669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6697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Greenstein Leonard M.</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11"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2"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03/17/2023</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45"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41"/>
        </w:trPr>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4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820" w:type="dxa"/>
            <w:vAlign w:val="bottom"/>
            <w:tcBorders>
              <w:bottom w:val="single" w:sz="8" w:color="9A9A9A"/>
            </w:tcBorders>
          </w:tcPr>
          <w:p>
            <w:pPr>
              <w:spacing w:after="0"/>
              <w:rPr>
                <w:sz w:val="12"/>
                <w:szCs w:val="12"/>
                <w:color w:val="auto"/>
              </w:rPr>
            </w:pPr>
          </w:p>
        </w:tc>
        <w:tc>
          <w:tcPr>
            <w:tcW w:w="1340" w:type="dxa"/>
            <w:vAlign w:val="bottom"/>
            <w:tcBorders>
              <w:bottom w:val="single" w:sz="8" w:color="9A9A9A"/>
            </w:tcBorders>
          </w:tcPr>
          <w:p>
            <w:pPr>
              <w:spacing w:after="0"/>
              <w:rPr>
                <w:sz w:val="12"/>
                <w:szCs w:val="12"/>
                <w:color w:val="auto"/>
              </w:rPr>
            </w:pPr>
          </w:p>
        </w:tc>
        <w:tc>
          <w:tcPr>
            <w:tcW w:w="20" w:type="dxa"/>
            <w:vAlign w:val="bottom"/>
          </w:tcPr>
          <w:p>
            <w:pPr>
              <w:spacing w:after="0"/>
              <w:rPr>
                <w:sz w:val="12"/>
                <w:szCs w:val="12"/>
                <w:color w:val="auto"/>
              </w:rPr>
            </w:pPr>
          </w:p>
        </w:tc>
        <w:tc>
          <w:tcPr>
            <w:tcW w:w="3540" w:type="dxa"/>
            <w:vAlign w:val="bottom"/>
            <w:gridSpan w:val="6"/>
          </w:tcPr>
          <w:p>
            <w:pPr>
              <w:jc w:val="right"/>
              <w:spacing w:after="0" w:line="114" w:lineRule="exact"/>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12"/>
                <w:szCs w:val="12"/>
                <w:color w:val="auto"/>
              </w:rPr>
            </w:pPr>
          </w:p>
        </w:tc>
        <w:tc>
          <w:tcPr>
            <w:tcW w:w="3560" w:type="dxa"/>
            <w:vAlign w:val="bottom"/>
            <w:gridSpan w:val="10"/>
          </w:tcPr>
          <w:p>
            <w:pPr>
              <w:ind w:left="220"/>
              <w:spacing w:after="0" w:line="114" w:lineRule="exact"/>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gridSpan w:val="4"/>
          </w:tcPr>
          <w:p>
            <w:pPr>
              <w:jc w:val="right"/>
              <w:ind w:right="338"/>
              <w:spacing w:after="0"/>
              <w:rPr>
                <w:sz w:val="20"/>
                <w:szCs w:val="20"/>
                <w:color w:val="auto"/>
              </w:rPr>
            </w:pPr>
            <w:r>
              <w:rPr>
                <w:rFonts w:ascii="Arial" w:cs="Arial" w:eastAsia="Arial" w:hAnsi="Arial"/>
                <w:sz w:val="13"/>
                <w:szCs w:val="13"/>
                <w:color w:val="auto"/>
              </w:rPr>
              <w:t>Line)</w:t>
            </w: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3140" w:type="dxa"/>
            <w:vAlign w:val="bottom"/>
            <w:gridSpan w:val="8"/>
            <w:vMerge w:val="restart"/>
          </w:tcPr>
          <w:p>
            <w:pPr>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IRVINE</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1"/>
                <w:szCs w:val="11"/>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92618</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140" w:type="dxa"/>
            <w:vAlign w:val="bottom"/>
            <w:gridSpan w:val="8"/>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vMerge w:val="continue"/>
          </w:tcPr>
          <w:p>
            <w:pPr>
              <w:spacing w:after="0"/>
              <w:rPr>
                <w:sz w:val="9"/>
                <w:szCs w:val="9"/>
                <w:color w:val="auto"/>
              </w:rPr>
            </w:pPr>
          </w:p>
        </w:tc>
        <w:tc>
          <w:tcPr>
            <w:tcW w:w="840" w:type="dxa"/>
            <w:vAlign w:val="bottom"/>
            <w:vMerge w:val="continue"/>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vMerge w:val="continue"/>
          </w:tcPr>
          <w:p>
            <w:pPr>
              <w:spacing w:after="0"/>
              <w:rPr>
                <w:sz w:val="9"/>
                <w:szCs w:val="9"/>
                <w:color w:val="auto"/>
              </w:rPr>
            </w:pPr>
          </w:p>
        </w:tc>
        <w:tc>
          <w:tcPr>
            <w:tcW w:w="20" w:type="dxa"/>
            <w:vAlign w:val="bottom"/>
          </w:tcPr>
          <w:p>
            <w:pPr>
              <w:spacing w:after="0"/>
              <w:rPr>
                <w:sz w:val="9"/>
                <w:szCs w:val="9"/>
                <w:color w:val="auto"/>
              </w:rPr>
            </w:pPr>
          </w:p>
        </w:tc>
        <w:tc>
          <w:tcPr>
            <w:tcW w:w="460" w:type="dxa"/>
            <w:vAlign w:val="bottom"/>
          </w:tcPr>
          <w:p>
            <w:pPr>
              <w:spacing w:after="0"/>
              <w:rPr>
                <w:sz w:val="9"/>
                <w:szCs w:val="9"/>
                <w:color w:val="auto"/>
              </w:rPr>
            </w:pPr>
          </w:p>
        </w:tc>
        <w:tc>
          <w:tcPr>
            <w:tcW w:w="420" w:type="dxa"/>
            <w:vAlign w:val="bottom"/>
          </w:tcPr>
          <w:p>
            <w:pPr>
              <w:spacing w:after="0"/>
              <w:rPr>
                <w:sz w:val="9"/>
                <w:szCs w:val="9"/>
                <w:color w:val="auto"/>
              </w:rPr>
            </w:pPr>
          </w:p>
        </w:tc>
        <w:tc>
          <w:tcPr>
            <w:tcW w:w="720" w:type="dxa"/>
            <w:vAlign w:val="bottom"/>
          </w:tcPr>
          <w:p>
            <w:pPr>
              <w:spacing w:after="0"/>
              <w:rPr>
                <w:sz w:val="9"/>
                <w:szCs w:val="9"/>
                <w:color w:val="auto"/>
              </w:rPr>
            </w:pPr>
          </w:p>
        </w:tc>
        <w:tc>
          <w:tcPr>
            <w:tcW w:w="780" w:type="dxa"/>
            <w:vAlign w:val="bottom"/>
          </w:tcPr>
          <w:p>
            <w:pPr>
              <w:spacing w:after="0"/>
              <w:rPr>
                <w:sz w:val="9"/>
                <w:szCs w:val="9"/>
                <w:color w:val="auto"/>
              </w:rPr>
            </w:pPr>
          </w:p>
        </w:tc>
        <w:tc>
          <w:tcPr>
            <w:tcW w:w="720" w:type="dxa"/>
            <w:vAlign w:val="bottom"/>
          </w:tcPr>
          <w:p>
            <w:pPr>
              <w:spacing w:after="0"/>
              <w:rPr>
                <w:sz w:val="9"/>
                <w:szCs w:val="9"/>
                <w:color w:val="auto"/>
              </w:rPr>
            </w:pPr>
          </w:p>
        </w:tc>
        <w:tc>
          <w:tcPr>
            <w:tcW w:w="440" w:type="dxa"/>
            <w:vAlign w:val="bottom"/>
          </w:tcPr>
          <w:p>
            <w:pPr>
              <w:spacing w:after="0"/>
              <w:rPr>
                <w:sz w:val="9"/>
                <w:szCs w:val="9"/>
                <w:color w:val="auto"/>
              </w:rPr>
            </w:pPr>
          </w:p>
        </w:tc>
        <w:tc>
          <w:tcPr>
            <w:tcW w:w="200" w:type="dxa"/>
            <w:vAlign w:val="bottom"/>
          </w:tcPr>
          <w:p>
            <w:pPr>
              <w:spacing w:after="0"/>
              <w:rPr>
                <w:sz w:val="9"/>
                <w:szCs w:val="9"/>
                <w:color w:val="auto"/>
              </w:rPr>
            </w:pPr>
          </w:p>
        </w:tc>
        <w:tc>
          <w:tcPr>
            <w:tcW w:w="340" w:type="dxa"/>
            <w:vAlign w:val="bottom"/>
          </w:tcPr>
          <w:p>
            <w:pPr>
              <w:spacing w:after="0"/>
              <w:rPr>
                <w:sz w:val="9"/>
                <w:szCs w:val="9"/>
                <w:color w:val="auto"/>
              </w:rPr>
            </w:pPr>
          </w:p>
        </w:tc>
        <w:tc>
          <w:tcPr>
            <w:tcW w:w="8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Borders>
              <w:bottom w:val="single" w:sz="8" w:color="9A9A9A"/>
            </w:tcBorders>
          </w:tcPr>
          <w:p>
            <w:pPr>
              <w:spacing w:after="0"/>
              <w:rPr>
                <w:sz w:val="6"/>
                <w:szCs w:val="6"/>
                <w:color w:val="auto"/>
              </w:rPr>
            </w:pPr>
          </w:p>
        </w:tc>
        <w:tc>
          <w:tcPr>
            <w:tcW w:w="84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44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80" w:type="dxa"/>
            <w:vAlign w:val="bottom"/>
          </w:tcPr>
          <w:p>
            <w:pPr>
              <w:spacing w:after="0"/>
              <w:rPr>
                <w:sz w:val="6"/>
                <w:szCs w:val="6"/>
                <w:color w:val="auto"/>
              </w:rPr>
            </w:pPr>
          </w:p>
        </w:tc>
        <w:tc>
          <w:tcPr>
            <w:tcW w:w="180" w:type="dxa"/>
            <w:vAlign w:val="bottom"/>
            <w:vMerge w:val="restart"/>
          </w:tcPr>
          <w:p>
            <w:pPr>
              <w:spacing w:after="0"/>
              <w:rPr>
                <w:sz w:val="6"/>
                <w:szCs w:val="6"/>
                <w:color w:val="auto"/>
              </w:rPr>
            </w:pPr>
          </w:p>
        </w:tc>
        <w:tc>
          <w:tcPr>
            <w:tcW w:w="1200" w:type="dxa"/>
            <w:vAlign w:val="bottom"/>
            <w:gridSpan w:val="3"/>
            <w:vMerge w:val="restart"/>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vMerge w:val="restart"/>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vMerge w:val="continue"/>
          </w:tcPr>
          <w:p>
            <w:pPr>
              <w:spacing w:after="0"/>
              <w:rPr>
                <w:sz w:val="7"/>
                <w:szCs w:val="7"/>
                <w:color w:val="auto"/>
              </w:rPr>
            </w:pPr>
          </w:p>
        </w:tc>
        <w:tc>
          <w:tcPr>
            <w:tcW w:w="1200" w:type="dxa"/>
            <w:vAlign w:val="bottom"/>
            <w:gridSpan w:val="3"/>
            <w:vMerge w:val="continue"/>
          </w:tcPr>
          <w:p>
            <w:pPr>
              <w:spacing w:after="0"/>
              <w:rPr>
                <w:sz w:val="7"/>
                <w:szCs w:val="7"/>
                <w:color w:val="auto"/>
              </w:rPr>
            </w:pPr>
          </w:p>
        </w:tc>
        <w:tc>
          <w:tcPr>
            <w:tcW w:w="94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66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3"/>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3"/>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60" w:type="dxa"/>
            <w:vAlign w:val="bottom"/>
            <w:gridSpan w:val="9"/>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3"/>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3"/>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3"/>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3"/>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80" w:type="dxa"/>
            <w:vAlign w:val="bottom"/>
            <w:tcBorders>
              <w:bottom w:val="single" w:sz="8" w:color="2C2C2C"/>
            </w:tcBorders>
            <w:gridSpan w:val="3"/>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03/17/2023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316</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13.28</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33,122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03/20/2023</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333</w:t>
            </w:r>
          </w:p>
        </w:tc>
        <w:tc>
          <w:tcPr>
            <w:tcW w:w="44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gridSpan w:val="3"/>
          </w:tcPr>
          <w:p>
            <w:pPr>
              <w:jc w:val="right"/>
              <w:ind w:right="15"/>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12.61</w:t>
            </w:r>
          </w:p>
        </w:tc>
        <w:tc>
          <w:tcPr>
            <w:tcW w:w="32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32,789</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3"/>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2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Restricted Stock Units. The sale is mandated by the Issuer's election to require the satisfaction of tax withholding obligations to be funded by a "sell to cover" transaction and does not represent a discretionary transaction by the Reporting Person.</w:t>
      </w:r>
    </w:p>
    <w:p>
      <w:pPr>
        <w:spacing w:after="0" w:line="1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03/21/2023</w:t>
            </w:r>
          </w:p>
        </w:tc>
      </w:tr>
      <w:tr>
        <w:trPr>
          <w:trHeight w:val="20"/>
        </w:trPr>
        <w:tc>
          <w:tcPr>
            <w:tcW w:w="18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51969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2023-03-21T18:11:31Z</dcterms:created>
  <dcterms:modified xsi:type="dcterms:W3CDTF">2023-03-21T18:11:31Z</dcterms:modified>
</cp:coreProperties>
</file>