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87650L103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3,424,180.00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3,424,180.00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3,424,180.00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87650L103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Roderick Wong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3,424,180.00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3,424,180.00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3,424,180.00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15440 Laguna Canyon Road, Suite 160, Irvine, CA, 92618.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20"/>
        <w:spacing w:after="0" w:line="253" w:lineRule="auto"/>
        <w:rPr>
          <w:sz w:val="20"/>
          <w:szCs w:val="20"/>
          <w:color w:val="auto"/>
        </w:rPr>
      </w:pPr>
      <w:r>
        <w:rPr>
          <w:rFonts w:ascii="Times New Roman" w:cs="Times New Roman" w:eastAsia="Times New Roman" w:hAnsi="Times New Roman"/>
          <w:sz w:val="21"/>
          <w:szCs w:val="21"/>
          <w:color w:val="auto"/>
        </w:rPr>
        <w:t>This statement is filed by: (i) RTW Investments, LP ("RTW Investments"), a Delaware limited partnership, and the investment adviser to certain funds (the "RTW Funds"), with respect to the Shares (as defined in Item 2(d) below)</w:t>
      </w:r>
    </w:p>
    <w:p>
      <w:pPr>
        <w:spacing w:after="0" w:line="1" w:lineRule="exact"/>
        <w:rPr>
          <w:sz w:val="20"/>
          <w:szCs w:val="20"/>
          <w:color w:val="auto"/>
        </w:rPr>
      </w:pPr>
    </w:p>
    <w:p>
      <w:pPr>
        <w:ind w:left="920" w:right="180" w:hanging="912"/>
        <w:spacing w:after="0" w:line="233"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Act, the beneficial owner of the Shares reported herein.</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40 10th Avenue, Floor 7, New York, New York 10014.</w:t>
      </w:r>
    </w:p>
    <w:p>
      <w:pPr>
        <w:spacing w:after="0" w:line="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RTW Investments is a Delaware limited partnership. Dr. Wong is a citizen of the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87650L103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080"/>
          </w:cols>
          <w:pgMar w:left="360" w:top="126" w:right="459" w:bottom="194" w:gutter="0" w:footer="0" w:header="0"/>
        </w:sectPr>
      </w:pPr>
    </w:p>
    <w:bookmarkStart w:id="3" w:name="page4"/>
    <w:bookmarkEnd w:id="3"/>
    <w:p>
      <w:pPr>
        <w:ind w:left="920" w:right="340"/>
        <w:spacing w:after="0" w:line="238" w:lineRule="auto"/>
        <w:rPr>
          <w:sz w:val="20"/>
          <w:szCs w:val="20"/>
          <w:color w:val="auto"/>
        </w:rPr>
      </w:pPr>
      <w:r>
        <w:rPr>
          <w:rFonts w:ascii="Times New Roman" w:cs="Times New Roman" w:eastAsia="Times New Roman" w:hAnsi="Times New Roman"/>
          <w:sz w:val="22"/>
          <w:szCs w:val="22"/>
          <w:color w:val="auto"/>
        </w:rPr>
        <w:t>The information required by Items 4(a) - (c) is set forth in Rows 5 - 11 of the cover page for each of the Reporting Persons and is incorporated herein by reference. The percentages set forth in Row 11 of the cover pages are calculated based upon 42,014,237 Shares outstanding as of April 24, 2025 as reported in the Company's Quarterly Report on Form 10-Q for the quarterly period ended March 31, 2025, filed with the Securities and Exchange Commission on May 1, 2025.</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RTW Investments: 8.1% Dr. Wong: 8.1%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RTW Investments: 0 Dr. Wong: 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3,424,180 Shares Dr. Wong: 3,424,180 Shares</w:t>
      </w:r>
    </w:p>
    <w:p>
      <w:pPr>
        <w:spacing w:after="0" w:line="287" w:lineRule="exact"/>
        <w:rPr>
          <w:sz w:val="20"/>
          <w:szCs w:val="20"/>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RTW Investments: 0 Dr. Wong: 0</w:t>
      </w:r>
    </w:p>
    <w:p>
      <w:pPr>
        <w:spacing w:after="0" w:line="1" w:lineRule="exact"/>
        <w:rPr>
          <w:rFonts w:ascii="Times New Roman" w:cs="Times New Roman" w:eastAsia="Times New Roman" w:hAnsi="Times New Roman"/>
          <w:sz w:val="22"/>
          <w:szCs w:val="22"/>
          <w:color w:val="auto"/>
        </w:rPr>
      </w:pPr>
    </w:p>
    <w:p>
      <w:pPr>
        <w:ind w:right="454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RTW Investments: 3,424,180 Shares Dr. Wong: 3,424,180 Shares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See Item 2. The RTW Funds have the right to receive or the power to direct the receipt of dividends from, or the proceeds from the sale of, the Shares reported herein.</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152"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Roderick Wong, M.D., Managing Partner</w:t>
      </w:r>
    </w:p>
    <w:p>
      <w:pPr>
        <w:spacing w:after="0" w:line="44"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Roderick Wong</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232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Name/Title: Roderick Wong, M.D.</w:t>
      </w:r>
    </w:p>
    <w:p>
      <w:pPr>
        <w:spacing w:after="0" w:line="44" w:lineRule="exact"/>
        <w:rPr>
          <w:sz w:val="20"/>
          <w:szCs w:val="20"/>
          <w:color w:val="auto"/>
        </w:rPr>
      </w:pPr>
    </w:p>
    <w:p>
      <w:pPr>
        <w:ind w:left="2320"/>
        <w:spacing w:after="0"/>
        <w:tabs>
          <w:tab w:leader="none" w:pos="3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sectPr>
      <w:pgSz w:w="11900" w:h="16838" w:orient="portrait"/>
      <w:cols w:equalWidth="0" w:num="1">
        <w:col w:w="9019"/>
      </w:cols>
      <w:pgMar w:left="1440" w:top="2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2025-08-14T07:11:09Z</dcterms:created>
  <dcterms:modified xsi:type="dcterms:W3CDTF">2025-08-14T07:11:09Z</dcterms:modified>
</cp:coreProperties>
</file>