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574675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9"/>
        <w:spacing w:after="0" w:line="236"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201930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74295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380" w:hanging="32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286" w:lineRule="exact"/>
        <w:rPr>
          <w:sz w:val="24"/>
          <w:szCs w:val="24"/>
          <w:color w:val="auto"/>
        </w:rPr>
      </w:pPr>
    </w:p>
    <w:p>
      <w:pPr>
        <w:ind w:left="380" w:hanging="320"/>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4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4321810</wp:posOffset>
            </wp:positionH>
            <wp:positionV relativeFrom="paragraph">
              <wp:posOffset>-3175</wp:posOffset>
            </wp:positionV>
            <wp:extent cx="2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-3175</wp:posOffset>
            </wp:positionV>
            <wp:extent cx="2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001-39614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47625</wp:posOffset>
            </wp:positionV>
            <wp:extent cx="1663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spacing w:after="0"/>
              <w:rPr>
                <w:sz w:val="18"/>
                <w:szCs w:val="18"/>
                <w:color w:val="auto"/>
              </w:rPr>
            </w:pPr>
          </w:p>
        </w:tc>
        <w:tc>
          <w:tcPr>
            <w:tcW w:w="374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3620" w:type="dxa"/>
            <w:vAlign w:val="bottom"/>
            <w:gridSpan w:val="2"/>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00" w:type="dxa"/>
            <w:vAlign w:val="bottom"/>
          </w:tcPr>
          <w:p>
            <w:pPr>
              <w:jc w:val="center"/>
              <w:ind w:right="403"/>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3"/>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Irvine, California</w:t>
            </w:r>
          </w:p>
        </w:tc>
        <w:tc>
          <w:tcPr>
            <w:tcW w:w="1420" w:type="dxa"/>
            <w:vAlign w:val="bottom"/>
          </w:tcPr>
          <w:p>
            <w:pPr>
              <w:spacing w:after="0"/>
              <w:rPr>
                <w:sz w:val="19"/>
                <w:szCs w:val="19"/>
                <w:color w:val="auto"/>
              </w:rPr>
            </w:pPr>
          </w:p>
        </w:tc>
        <w:tc>
          <w:tcPr>
            <w:tcW w:w="374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92618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383"/>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(949) 409-9820</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64"/>
        </w:trPr>
        <w:tc>
          <w:tcPr>
            <w:tcW w:w="12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1"/>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260" w:type="dxa"/>
            <w:vAlign w:val="bottom"/>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260" w:type="dxa"/>
            <w:vAlign w:val="bottom"/>
            <w:tcBorders>
              <w:right w:val="single" w:sz="8" w:color="auto"/>
            </w:tcBorders>
          </w:tcPr>
          <w:p>
            <w:pPr>
              <w:spacing w:after="0"/>
              <w:rPr>
                <w:sz w:val="15"/>
                <w:szCs w:val="15"/>
                <w:color w:val="auto"/>
              </w:rPr>
            </w:pPr>
          </w:p>
        </w:tc>
        <w:tc>
          <w:tcPr>
            <w:tcW w:w="36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Title of each class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29"/>
        </w:trPr>
        <w:tc>
          <w:tcPr>
            <w:tcW w:w="1260" w:type="dxa"/>
            <w:vAlign w:val="bottom"/>
            <w:tcBorders>
              <w:right w:val="single" w:sz="8" w:color="auto"/>
            </w:tcBorders>
          </w:tcPr>
          <w:p>
            <w:pPr>
              <w:spacing w:after="0"/>
              <w:rPr>
                <w:sz w:val="11"/>
                <w:szCs w:val="11"/>
                <w:color w:val="auto"/>
              </w:rPr>
            </w:pPr>
          </w:p>
        </w:tc>
        <w:tc>
          <w:tcPr>
            <w:tcW w:w="36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TARS</w:t>
            </w:r>
          </w:p>
        </w:tc>
        <w:tc>
          <w:tcPr>
            <w:tcW w:w="640" w:type="dxa"/>
            <w:vAlign w:val="bottom"/>
          </w:tcPr>
          <w:p>
            <w:pPr>
              <w:spacing w:after="0"/>
              <w:rPr>
                <w:sz w:val="11"/>
                <w:szCs w:val="11"/>
                <w:color w:val="auto"/>
              </w:rPr>
            </w:pPr>
          </w:p>
        </w:tc>
        <w:tc>
          <w:tcPr>
            <w:tcW w:w="3100" w:type="dxa"/>
            <w:vAlign w:val="bottom"/>
            <w:tcBorders>
              <w:right w:val="single" w:sz="8" w:color="auto"/>
            </w:tcBorders>
          </w:tcPr>
          <w:p>
            <w:pPr>
              <w:jc w:val="center"/>
              <w:ind w:right="583"/>
              <w:spacing w:after="0" w:line="129" w:lineRule="exact"/>
              <w:rPr>
                <w:sz w:val="20"/>
                <w:szCs w:val="20"/>
                <w:color w:val="auto"/>
              </w:rPr>
            </w:pPr>
            <w:r>
              <w:rPr>
                <w:rFonts w:ascii="Times New Roman" w:cs="Times New Roman" w:eastAsia="Times New Roman" w:hAnsi="Times New Roman"/>
                <w:sz w:val="14"/>
                <w:szCs w:val="14"/>
                <w:color w:val="auto"/>
              </w:rPr>
              <w:t>The Nasdaq Global Market LLC</w:t>
            </w:r>
          </w:p>
        </w:tc>
        <w:tc>
          <w:tcPr>
            <w:tcW w:w="0" w:type="dxa"/>
            <w:vAlign w:val="bottom"/>
          </w:tcPr>
          <w:p>
            <w:pPr>
              <w:spacing w:after="0"/>
              <w:rPr>
                <w:sz w:val="1"/>
                <w:szCs w:val="1"/>
                <w:color w:val="auto"/>
              </w:rPr>
            </w:pPr>
          </w:p>
        </w:tc>
      </w:tr>
      <w:tr>
        <w:trPr>
          <w:trHeight w:val="189"/>
        </w:trPr>
        <w:tc>
          <w:tcPr>
            <w:tcW w:w="1260" w:type="dxa"/>
            <w:vAlign w:val="bottom"/>
            <w:tcBorders>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gridSpan w:val="2"/>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ind w:right="583"/>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355"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3"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3"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3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20,320,426 shares of common stock, $0.0001 par value, outstanding as of November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2300" w:type="dxa"/>
            <w:vAlign w:val="bottom"/>
          </w:tcPr>
          <w:p>
            <w:pPr>
              <w:spacing w:after="0"/>
              <w:rPr>
                <w:sz w:val="20"/>
                <w:szCs w:val="20"/>
                <w:color w:val="auto"/>
              </w:rPr>
            </w:pPr>
          </w:p>
        </w:tc>
      </w:tr>
      <w:tr>
        <w:trPr>
          <w:trHeight w:val="769"/>
        </w:trPr>
        <w:tc>
          <w:tcPr>
            <w:tcW w:w="780" w:type="dxa"/>
            <w:vAlign w:val="bottom"/>
          </w:tcPr>
          <w:p>
            <w:pPr>
              <w:spacing w:after="0"/>
              <w:rPr>
                <w:sz w:val="24"/>
                <w:szCs w:val="24"/>
                <w:color w:val="auto"/>
              </w:rPr>
            </w:pPr>
          </w:p>
        </w:tc>
        <w:tc>
          <w:tcPr>
            <w:tcW w:w="816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4"/>
                <w:szCs w:val="24"/>
                <w:color w:val="auto"/>
              </w:rPr>
            </w:pPr>
          </w:p>
        </w:tc>
      </w:tr>
      <w:tr>
        <w:trPr>
          <w:trHeight w:val="346"/>
        </w:trPr>
        <w:tc>
          <w:tcPr>
            <w:tcW w:w="894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 - Financial Information</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1</w:t>
              </w:r>
            </w:hyperlink>
          </w:p>
        </w:tc>
      </w:tr>
      <w:tr>
        <w:trPr>
          <w:trHeight w:val="230"/>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 Financial Statements (Unaudited)</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29"/>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23</w:t>
              </w:r>
            </w:hyperlink>
          </w:p>
        </w:tc>
      </w:tr>
      <w:tr>
        <w:trPr>
          <w:trHeight w:val="229"/>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34</w:t>
              </w:r>
            </w:hyperlink>
          </w:p>
        </w:tc>
      </w:tr>
      <w:tr>
        <w:trPr>
          <w:trHeight w:val="230"/>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Item 4. Controls and Procedures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34</w:t>
              </w:r>
            </w:hyperlink>
          </w:p>
        </w:tc>
      </w:tr>
      <w:tr>
        <w:trPr>
          <w:trHeight w:val="229"/>
        </w:trPr>
        <w:tc>
          <w:tcPr>
            <w:tcW w:w="894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Part II - Other Information</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35</w:t>
              </w:r>
            </w:hyperlink>
          </w:p>
        </w:tc>
      </w:tr>
      <w:tr>
        <w:trPr>
          <w:trHeight w:val="229"/>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1. Legal Proceedings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35</w:t>
              </w:r>
            </w:hyperlink>
          </w:p>
        </w:tc>
      </w:tr>
      <w:tr>
        <w:trPr>
          <w:trHeight w:val="230"/>
        </w:trPr>
        <w:tc>
          <w:tcPr>
            <w:tcW w:w="8940" w:type="dxa"/>
            <w:vAlign w:val="bottom"/>
            <w:gridSpan w:val="2"/>
          </w:tcPr>
          <w:p>
            <w:pPr>
              <w:ind w:left="50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1A. Risk Factors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35</w:t>
              </w:r>
            </w:hyperlink>
          </w:p>
        </w:tc>
      </w:tr>
      <w:tr>
        <w:trPr>
          <w:trHeight w:val="229"/>
        </w:trPr>
        <w:tc>
          <w:tcPr>
            <w:tcW w:w="8940" w:type="dxa"/>
            <w:vAlign w:val="bottom"/>
            <w:gridSpan w:val="2"/>
          </w:tcPr>
          <w:p>
            <w:pPr>
              <w:ind w:left="240"/>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92</w:t>
              </w:r>
            </w:hyperlink>
          </w:p>
        </w:tc>
      </w:tr>
      <w:tr>
        <w:trPr>
          <w:trHeight w:val="230"/>
        </w:trPr>
        <w:tc>
          <w:tcPr>
            <w:tcW w:w="780" w:type="dxa"/>
            <w:vAlign w:val="bottom"/>
          </w:tcPr>
          <w:p>
            <w:pPr>
              <w:ind w:left="24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Item 3.</w:t>
              </w:r>
            </w:hyperlink>
          </w:p>
        </w:tc>
        <w:tc>
          <w:tcPr>
            <w:tcW w:w="8160" w:type="dxa"/>
            <w:vAlign w:val="bottom"/>
          </w:tcPr>
          <w:p>
            <w:pPr>
              <w:ind w:left="2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Defaults Upon Senior Securities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93</w:t>
              </w:r>
            </w:hyperlink>
          </w:p>
        </w:tc>
      </w:tr>
      <w:tr>
        <w:trPr>
          <w:trHeight w:val="229"/>
        </w:trPr>
        <w:tc>
          <w:tcPr>
            <w:tcW w:w="780" w:type="dxa"/>
            <w:vAlign w:val="bottom"/>
          </w:tcPr>
          <w:p>
            <w:pPr>
              <w:ind w:left="24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Item 4.</w:t>
              </w:r>
            </w:hyperlink>
          </w:p>
        </w:tc>
        <w:tc>
          <w:tcPr>
            <w:tcW w:w="8160" w:type="dxa"/>
            <w:vAlign w:val="bottom"/>
          </w:tcPr>
          <w:p>
            <w:pPr>
              <w:ind w:left="2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Mine Safety Disclosures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93</w:t>
              </w:r>
            </w:hyperlink>
          </w:p>
        </w:tc>
      </w:tr>
      <w:tr>
        <w:trPr>
          <w:trHeight w:val="229"/>
        </w:trPr>
        <w:tc>
          <w:tcPr>
            <w:tcW w:w="780" w:type="dxa"/>
            <w:vAlign w:val="bottom"/>
          </w:tcPr>
          <w:p>
            <w:pPr>
              <w:ind w:left="24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Item 5.</w:t>
              </w:r>
            </w:hyperlink>
          </w:p>
        </w:tc>
        <w:tc>
          <w:tcPr>
            <w:tcW w:w="8160" w:type="dxa"/>
            <w:vAlign w:val="bottom"/>
          </w:tcPr>
          <w:p>
            <w:pPr>
              <w:ind w:left="2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Other Information</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93</w:t>
              </w:r>
            </w:hyperlink>
          </w:p>
        </w:tc>
      </w:tr>
      <w:tr>
        <w:trPr>
          <w:trHeight w:val="230"/>
        </w:trPr>
        <w:tc>
          <w:tcPr>
            <w:tcW w:w="780" w:type="dxa"/>
            <w:vAlign w:val="bottom"/>
          </w:tcPr>
          <w:p>
            <w:pPr>
              <w:ind w:left="24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Item 6.</w:t>
              </w:r>
            </w:hyperlink>
          </w:p>
        </w:tc>
        <w:tc>
          <w:tcPr>
            <w:tcW w:w="8160" w:type="dxa"/>
            <w:vAlign w:val="bottom"/>
          </w:tcPr>
          <w:p>
            <w:pPr>
              <w:ind w:left="2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Exhibits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94</w:t>
              </w:r>
            </w:hyperlink>
          </w:p>
        </w:tc>
      </w:tr>
      <w:tr>
        <w:trPr>
          <w:trHeight w:val="234"/>
        </w:trPr>
        <w:tc>
          <w:tcPr>
            <w:tcW w:w="894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Signatures</w:t>
              </w:r>
            </w:hyperlink>
          </w:p>
        </w:tc>
        <w:tc>
          <w:tcPr>
            <w:tcW w:w="2300" w:type="dxa"/>
            <w:vAlign w:val="bottom"/>
          </w:tcPr>
          <w:p>
            <w:pPr>
              <w:ind w:left="1760"/>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95</w:t>
              </w:r>
            </w:hyperlink>
          </w:p>
        </w:tc>
      </w:tr>
      <w:tr>
        <w:trPr>
          <w:trHeight w:val="1424"/>
        </w:trPr>
        <w:tc>
          <w:tcPr>
            <w:tcW w:w="78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580" w:type="dxa"/>
            <w:vAlign w:val="bottom"/>
          </w:tcPr>
          <w:p>
            <w:pPr>
              <w:spacing w:after="0"/>
              <w:rPr>
                <w:sz w:val="20"/>
                <w:szCs w:val="20"/>
                <w:color w:val="auto"/>
              </w:rPr>
            </w:pPr>
          </w:p>
        </w:tc>
      </w:tr>
      <w:tr>
        <w:trPr>
          <w:trHeight w:val="432"/>
        </w:trPr>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I. Financial Statements (Unaudited)</w:t>
            </w:r>
          </w:p>
        </w:tc>
        <w:tc>
          <w:tcPr>
            <w:tcW w:w="580" w:type="dxa"/>
            <w:vAlign w:val="bottom"/>
          </w:tcPr>
          <w:p>
            <w:pPr>
              <w:spacing w:after="0"/>
              <w:rPr>
                <w:sz w:val="24"/>
                <w:szCs w:val="24"/>
                <w:color w:val="auto"/>
              </w:rPr>
            </w:pPr>
          </w:p>
        </w:tc>
      </w:tr>
      <w:tr>
        <w:trPr>
          <w:trHeight w:val="410"/>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TARSUS PHARMACEUTICALS, INC.</w:t>
            </w:r>
          </w:p>
        </w:tc>
        <w:tc>
          <w:tcPr>
            <w:tcW w:w="5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INDEX TO THE FINANCIAL STATEMENTS</w:t>
            </w:r>
          </w:p>
        </w:tc>
        <w:tc>
          <w:tcPr>
            <w:tcW w:w="580" w:type="dxa"/>
            <w:vAlign w:val="bottom"/>
          </w:tcPr>
          <w:p>
            <w:pPr>
              <w:spacing w:after="0"/>
              <w:rPr>
                <w:sz w:val="20"/>
                <w:szCs w:val="20"/>
                <w:color w:val="auto"/>
              </w:rPr>
            </w:pPr>
          </w:p>
        </w:tc>
      </w:tr>
      <w:tr>
        <w:trPr>
          <w:trHeight w:val="425"/>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76"/>
        </w:trPr>
        <w:tc>
          <w:tcPr>
            <w:tcW w:w="40" w:type="dxa"/>
            <w:vAlign w:val="bottom"/>
          </w:tcPr>
          <w:p>
            <w:pPr>
              <w:spacing w:after="0"/>
              <w:rPr>
                <w:sz w:val="15"/>
                <w:szCs w:val="15"/>
                <w:color w:val="auto"/>
              </w:rPr>
            </w:pPr>
          </w:p>
        </w:tc>
        <w:tc>
          <w:tcPr>
            <w:tcW w:w="19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Condensed Balance Sheets</w:t>
              </w:r>
            </w:hyperlink>
          </w:p>
        </w:tc>
        <w:tc>
          <w:tcPr>
            <w:tcW w:w="8660" w:type="dxa"/>
            <w:vAlign w:val="bottom"/>
            <w:gridSpan w:val="4"/>
          </w:tcPr>
          <w:p>
            <w:pPr>
              <w:spacing w:after="0"/>
              <w:rPr>
                <w:sz w:val="15"/>
                <w:szCs w:val="15"/>
                <w:color w:val="auto"/>
              </w:rPr>
            </w:pPr>
          </w:p>
        </w:tc>
        <w:tc>
          <w:tcPr>
            <w:tcW w:w="580" w:type="dxa"/>
            <w:vAlign w:val="bottom"/>
          </w:tcPr>
          <w:p>
            <w:pPr>
              <w:ind w:left="320"/>
              <w:spacing w:after="0" w:line="156" w:lineRule="exact"/>
              <w:rPr>
                <w:sz w:val="20"/>
                <w:szCs w:val="20"/>
                <w:color w:val="auto"/>
              </w:rPr>
            </w:pPr>
            <w:r>
              <w:rPr>
                <w:rFonts w:ascii="Times New Roman" w:cs="Times New Roman" w:eastAsia="Times New Roman" w:hAnsi="Times New Roman"/>
                <w:sz w:val="18"/>
                <w:szCs w:val="18"/>
                <w:color w:val="auto"/>
                <w:w w:val="95"/>
              </w:rPr>
              <w:t>F-3</w:t>
            </w:r>
          </w:p>
        </w:tc>
      </w:tr>
      <w:tr>
        <w:trPr>
          <w:trHeight w:val="259"/>
        </w:trPr>
        <w:tc>
          <w:tcPr>
            <w:tcW w:w="40" w:type="dxa"/>
            <w:vAlign w:val="bottom"/>
          </w:tcPr>
          <w:p>
            <w:pPr>
              <w:spacing w:after="0"/>
              <w:rPr>
                <w:sz w:val="22"/>
                <w:szCs w:val="22"/>
                <w:color w:val="auto"/>
              </w:rPr>
            </w:pPr>
          </w:p>
        </w:tc>
        <w:tc>
          <w:tcPr>
            <w:tcW w:w="10600" w:type="dxa"/>
            <w:vAlign w:val="bottom"/>
            <w:gridSpan w:val="5"/>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w:t>
              </w:r>
              <w:r>
                <w:rPr>
                  <w:rFonts w:ascii="Times New Roman" w:cs="Times New Roman" w:eastAsia="Times New Roman" w:hAnsi="Times New Roman"/>
                  <w:sz w:val="18"/>
                  <w:szCs w:val="18"/>
                  <w:color w:val="0000FF"/>
                </w:rPr>
                <w:t xml:space="preserve"> Statements </w:t>
              </w:r>
              <w:r>
                <w:rPr>
                  <w:rFonts w:ascii="Times New Roman" w:cs="Times New Roman" w:eastAsia="Times New Roman" w:hAnsi="Times New Roman"/>
                  <w:sz w:val="18"/>
                  <w:szCs w:val="18"/>
                  <w:u w:val="single" w:color="auto"/>
                  <w:color w:val="0000FF"/>
                </w:rPr>
                <w:t>of Operations and Comprehensive Loss</w:t>
              </w:r>
            </w:hyperlink>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F-4</w:t>
            </w:r>
          </w:p>
        </w:tc>
      </w:tr>
      <w:tr>
        <w:trPr>
          <w:trHeight w:val="194"/>
        </w:trPr>
        <w:tc>
          <w:tcPr>
            <w:tcW w:w="40" w:type="dxa"/>
            <w:vAlign w:val="bottom"/>
          </w:tcPr>
          <w:p>
            <w:pPr>
              <w:spacing w:after="0"/>
              <w:rPr>
                <w:sz w:val="16"/>
                <w:szCs w:val="16"/>
                <w:color w:val="auto"/>
              </w:rPr>
            </w:pPr>
          </w:p>
        </w:tc>
        <w:tc>
          <w:tcPr>
            <w:tcW w:w="4900" w:type="dxa"/>
            <w:vAlign w:val="bottom"/>
            <w:tcBorders>
              <w:bottom w:val="single" w:sz="8" w:color="0000FF"/>
            </w:tcBorders>
            <w:gridSpan w:val="4"/>
          </w:tcPr>
          <w:p>
            <w:pPr>
              <w:spacing w:after="0" w:line="194"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Statements of Preferred Stock and Stockholders’ Deficit</w:t>
              </w:r>
            </w:hyperlink>
          </w:p>
        </w:tc>
        <w:tc>
          <w:tcPr>
            <w:tcW w:w="5700" w:type="dxa"/>
            <w:vAlign w:val="bottom"/>
          </w:tcPr>
          <w:p>
            <w:pPr>
              <w:spacing w:after="0"/>
              <w:rPr>
                <w:sz w:val="16"/>
                <w:szCs w:val="16"/>
                <w:color w:val="auto"/>
              </w:rPr>
            </w:pPr>
          </w:p>
        </w:tc>
        <w:tc>
          <w:tcPr>
            <w:tcW w:w="58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w w:val="95"/>
              </w:rPr>
              <w:t>F-5</w:t>
            </w:r>
          </w:p>
        </w:tc>
      </w:tr>
      <w:tr>
        <w:trPr>
          <w:trHeight w:val="209"/>
        </w:trPr>
        <w:tc>
          <w:tcPr>
            <w:tcW w:w="40" w:type="dxa"/>
            <w:vAlign w:val="bottom"/>
          </w:tcPr>
          <w:p>
            <w:pPr>
              <w:spacing w:after="0"/>
              <w:rPr>
                <w:sz w:val="18"/>
                <w:szCs w:val="18"/>
                <w:color w:val="auto"/>
              </w:rPr>
            </w:pPr>
          </w:p>
        </w:tc>
        <w:tc>
          <w:tcPr>
            <w:tcW w:w="27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Condensed Statements of Cash Flows</w:t>
              </w:r>
            </w:hyperlink>
          </w:p>
        </w:tc>
        <w:tc>
          <w:tcPr>
            <w:tcW w:w="7880" w:type="dxa"/>
            <w:vAlign w:val="bottom"/>
            <w:gridSpan w:val="3"/>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10"/>
        </w:trPr>
        <w:tc>
          <w:tcPr>
            <w:tcW w:w="40" w:type="dxa"/>
            <w:vAlign w:val="bottom"/>
          </w:tcPr>
          <w:p>
            <w:pPr>
              <w:spacing w:after="0"/>
              <w:rPr>
                <w:sz w:val="18"/>
                <w:szCs w:val="18"/>
                <w:color w:val="auto"/>
              </w:rPr>
            </w:pPr>
          </w:p>
        </w:tc>
        <w:tc>
          <w:tcPr>
            <w:tcW w:w="30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7">
              <w:r>
                <w:rPr>
                  <w:rFonts w:ascii="Times New Roman" w:cs="Times New Roman" w:eastAsia="Times New Roman" w:hAnsi="Times New Roman"/>
                  <w:sz w:val="18"/>
                  <w:szCs w:val="18"/>
                  <w:color w:val="0000FF"/>
                  <w:w w:val="99"/>
                </w:rPr>
                <w:t>Notes to Condensed Financial Statements</w:t>
              </w:r>
            </w:hyperlink>
          </w:p>
        </w:tc>
        <w:tc>
          <w:tcPr>
            <w:tcW w:w="7600" w:type="dxa"/>
            <w:vAlign w:val="bottom"/>
            <w:gridSpan w:val="2"/>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12"/>
        </w:trPr>
        <w:tc>
          <w:tcPr>
            <w:tcW w:w="8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7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57,952</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58,030</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92,185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58,316</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A Preferred Stock, $0.0001 par value; 1,575,030 shares authorized, issued and outstanding at September 30, 2020 (unaudited)</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December 31, 2019; liquidation preference of $3,650 at September 30, 2020 (unaudited) and December 31, 2019</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 Preferred Stock, $0.0001 par value; 6,731,649 shares authorized and 6,674,909 shares issued and outstanding at September</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30, 2020 (unaudited) and December 31, 2019; liquidation preference of $60,010 at September 30, 2020 (unaudited) and</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C Preferred Stock, $0.0001 par value; 2,857,084 shares authorized and 2,857,079 shares issued and outstanding at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September 30, 2020 (unaudited) and zero shares authorized, issued or outstanding at December 31, 2019; liquidation preference of</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$40,000 at September 30, 2020 (unaudited) and $0 at December 31, 2019</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$0.0001 par value; 17,502,288 shares authorized; 3,067,363 shares issued and 2,887,988 outstanding, which excludes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179,375 shares subject to repurchase at September 30, 2020 (unaudited); 2,650,919 shares issued and 2,646,619 outstanding, which</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excludes 4,300 shares subject to repurchase at December 31, 2019</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preferred stock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2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92,185</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58,316</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0"/>
                <w:szCs w:val="10"/>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0"/>
                <w:szCs w:val="10"/>
                <w:color w:val="auto"/>
              </w:rPr>
            </w:pP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2,729,685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PREFERRED STOCK AND STOCKHOLDERS’ DEFICIT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14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8,249,939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63,402</w:t>
            </w:r>
          </w:p>
        </w:tc>
        <w:tc>
          <w:tcPr>
            <w:tcW w:w="0" w:type="dxa"/>
            <w:vAlign w:val="bottom"/>
          </w:tcPr>
          <w:p>
            <w:pPr>
              <w:spacing w:after="0"/>
              <w:rPr>
                <w:sz w:val="1"/>
                <w:szCs w:val="1"/>
                <w:color w:val="auto"/>
              </w:rPr>
            </w:pPr>
          </w:p>
        </w:tc>
      </w:tr>
      <w:tr>
        <w:trPr>
          <w:trHeight w:val="174"/>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Lapse of repurchase rights related to common stock issued pursuant to early</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exercises</w:t>
            </w: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2020</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8,249,939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63,402</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vested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2020</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8,249,939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63,402</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Exercise of vested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as consideration for in-license rights (Note 9 (b))</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Issuance of Series C Preferred Stock in September 2020 at $14.0003 per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2,857,079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39,757</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share, net of issuance costs of $243</w:t>
            </w: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11,107,018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103,159</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2"/>
        </w:trPr>
        <w:tc>
          <w:tcPr>
            <w:tcW w:w="1860" w:type="dxa"/>
            <w:vAlign w:val="bottom"/>
            <w:tcBorders>
              <w:left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54"/>
        </w:trPr>
        <w:tc>
          <w:tcPr>
            <w:tcW w:w="9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40"/>
              <w:spacing w:after="0" w:line="54"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4"/>
                <w:szCs w:val="4"/>
                <w:color w:val="auto"/>
              </w:rPr>
            </w:pPr>
          </w:p>
        </w:tc>
        <w:tc>
          <w:tcPr>
            <w:tcW w:w="10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120" w:type="dxa"/>
            <w:vAlign w:val="bottom"/>
          </w:tcPr>
          <w:p>
            <w:pPr>
              <w:spacing w:after="0"/>
              <w:rPr>
                <w:sz w:val="4"/>
                <w:szCs w:val="4"/>
                <w:color w:val="auto"/>
              </w:rPr>
            </w:pPr>
          </w:p>
        </w:tc>
        <w:tc>
          <w:tcPr>
            <w:tcW w:w="940" w:type="dxa"/>
            <w:vAlign w:val="bottom"/>
          </w:tcPr>
          <w:p>
            <w:pPr>
              <w:jc w:val="center"/>
              <w:ind w:right="51"/>
              <w:spacing w:after="0" w:line="54" w:lineRule="exact"/>
              <w:rPr>
                <w:sz w:val="20"/>
                <w:szCs w:val="20"/>
                <w:color w:val="auto"/>
              </w:rPr>
            </w:pPr>
            <w:r>
              <w:rPr>
                <w:rFonts w:ascii="Times New Roman" w:cs="Times New Roman" w:eastAsia="Times New Roman" w:hAnsi="Times New Roman"/>
                <w:sz w:val="6"/>
                <w:szCs w:val="6"/>
                <w:b w:val="1"/>
                <w:bCs w:val="1"/>
                <w:color w:val="auto"/>
              </w:rPr>
              <w:t>Stockholders’</w:t>
            </w:r>
          </w:p>
        </w:tc>
      </w:tr>
      <w:tr>
        <w:trPr>
          <w:trHeight w:val="178"/>
        </w:trPr>
        <w:tc>
          <w:tcPr>
            <w:tcW w:w="1000" w:type="dxa"/>
            <w:vAlign w:val="bottom"/>
            <w:tcBorders>
              <w:left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87"/>
        </w:trPr>
        <w:tc>
          <w:tcPr>
            <w:tcW w:w="90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2,646,619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w:t>
            </w:r>
          </w:p>
        </w:tc>
      </w:tr>
      <w:tr>
        <w:trPr>
          <w:trHeight w:val="174"/>
        </w:trPr>
        <w:tc>
          <w:tcPr>
            <w:tcW w:w="9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r>
      <w:tr>
        <w:trPr>
          <w:trHeight w:val="188"/>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29"/>
        </w:trPr>
        <w:tc>
          <w:tcPr>
            <w:tcW w:w="9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9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2,650,919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(7,958)</w:t>
            </w:r>
          </w:p>
        </w:tc>
      </w:tr>
      <w:tr>
        <w:trPr>
          <w:trHeight w:val="188"/>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r>
      <w:tr>
        <w:trPr>
          <w:trHeight w:val="189"/>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4"/>
        </w:trPr>
        <w:tc>
          <w:tcPr>
            <w:tcW w:w="9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9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2,651,996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(11,035)</w:t>
            </w:r>
          </w:p>
        </w:tc>
      </w:tr>
      <w:tr>
        <w:trPr>
          <w:trHeight w:val="188"/>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w:t>
            </w:r>
          </w:p>
        </w:tc>
      </w:tr>
      <w:tr>
        <w:trPr>
          <w:trHeight w:val="189"/>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9"/>
        </w:trPr>
        <w:tc>
          <w:tcPr>
            <w:tcW w:w="9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9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r>
      <w:tr>
        <w:trPr>
          <w:trHeight w:val="329"/>
        </w:trPr>
        <w:tc>
          <w:tcPr>
            <w:tcW w:w="100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90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(17,829)</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120"/>
            <w:col w:w="5000"/>
          </w:cols>
          <w:pgMar w:left="320" w:top="121"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2018</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1,575,030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Vesting of founder shares subject to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1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Lapse of repurchase rights related to common stock issued pursuant to early</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exercises</w:t>
            </w: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2019</w:t>
            </w:r>
          </w:p>
        </w:tc>
        <w:tc>
          <w:tcPr>
            <w:tcW w:w="9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1,575,030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Vesting of founder shares subject to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1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Lapse of repurchase rights related to common stock issued pursuant to early</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exercises</w:t>
            </w: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2019</w:t>
            </w:r>
          </w:p>
        </w:tc>
        <w:tc>
          <w:tcPr>
            <w:tcW w:w="9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1,575,030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Vesting of founder shares subject to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1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Lapse of repurchase rights related to common stock issued pursuant to early</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exercises</w:t>
            </w: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2019</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1,575,030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2"/>
        </w:trPr>
        <w:tc>
          <w:tcPr>
            <w:tcW w:w="1620" w:type="dxa"/>
            <w:vAlign w:val="bottom"/>
            <w:tcBorders>
              <w:lef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54"/>
        </w:trPr>
        <w:tc>
          <w:tcPr>
            <w:tcW w:w="8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2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120" w:type="dxa"/>
            <w:vAlign w:val="bottom"/>
          </w:tcPr>
          <w:p>
            <w:pPr>
              <w:spacing w:after="0"/>
              <w:rPr>
                <w:sz w:val="4"/>
                <w:szCs w:val="4"/>
                <w:color w:val="auto"/>
              </w:rPr>
            </w:pPr>
          </w:p>
        </w:tc>
        <w:tc>
          <w:tcPr>
            <w:tcW w:w="920" w:type="dxa"/>
            <w:vAlign w:val="bottom"/>
          </w:tcPr>
          <w:p>
            <w:pPr>
              <w:jc w:val="center"/>
              <w:ind w:right="51"/>
              <w:spacing w:after="0" w:line="54" w:lineRule="exact"/>
              <w:rPr>
                <w:sz w:val="20"/>
                <w:szCs w:val="20"/>
                <w:color w:val="auto"/>
              </w:rPr>
            </w:pPr>
            <w:r>
              <w:rPr>
                <w:rFonts w:ascii="Times New Roman" w:cs="Times New Roman" w:eastAsia="Times New Roman" w:hAnsi="Times New Roman"/>
                <w:sz w:val="6"/>
                <w:szCs w:val="6"/>
                <w:b w:val="1"/>
                <w:bCs w:val="1"/>
                <w:color w:val="auto"/>
              </w:rPr>
              <w:t>Stockholders’</w:t>
            </w:r>
          </w:p>
        </w:tc>
      </w:tr>
      <w:tr>
        <w:trPr>
          <w:trHeight w:val="178"/>
        </w:trPr>
        <w:tc>
          <w:tcPr>
            <w:tcW w:w="960" w:type="dxa"/>
            <w:vAlign w:val="bottom"/>
            <w:tcBorders>
              <w:left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87"/>
        </w:trPr>
        <w:tc>
          <w:tcPr>
            <w:tcW w:w="86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2,078,918</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74"/>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188"/>
        </w:trPr>
        <w:tc>
          <w:tcPr>
            <w:tcW w:w="96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8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2,238,793</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w:t>
            </w:r>
          </w:p>
        </w:tc>
      </w:tr>
      <w:tr>
        <w:trPr>
          <w:trHeight w:val="188"/>
        </w:trPr>
        <w:tc>
          <w:tcPr>
            <w:tcW w:w="96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9"/>
        </w:trPr>
        <w:tc>
          <w:tcPr>
            <w:tcW w:w="96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8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2,398,668</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w:t>
            </w:r>
          </w:p>
        </w:tc>
      </w:tr>
      <w:tr>
        <w:trPr>
          <w:trHeight w:val="188"/>
        </w:trPr>
        <w:tc>
          <w:tcPr>
            <w:tcW w:w="96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9"/>
        </w:trPr>
        <w:tc>
          <w:tcPr>
            <w:tcW w:w="96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9"/>
        </w:trPr>
        <w:tc>
          <w:tcPr>
            <w:tcW w:w="8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6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2,545,079</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(4,596)</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100"/>
            <w:col w:w="5040"/>
          </w:cols>
          <w:pgMar w:left="320" w:top="121" w:right="339" w:bottom="1440" w:gutter="0" w:footer="0" w:header="0"/>
          <w:type w:val="continuous"/>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these unaudited condensed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i w:val="1"/>
                <w:iCs w:val="1"/>
                <w:color w:val="auto"/>
              </w:rPr>
              <w:t>(Note 5)</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8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Amortization of operating lease right-of-use asset </w:t>
            </w:r>
            <w:r>
              <w:rPr>
                <w:rFonts w:ascii="Times New Roman" w:cs="Times New Roman" w:eastAsia="Times New Roman" w:hAnsi="Times New Roman"/>
                <w:sz w:val="14"/>
                <w:szCs w:val="14"/>
                <w:i w:val="1"/>
                <w:iCs w:val="1"/>
                <w:color w:val="auto"/>
              </w:rPr>
              <w:t>(Note 9(a))</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Change in fair value of derivative liabilities </w:t>
            </w:r>
            <w:r>
              <w:rPr>
                <w:rFonts w:ascii="Times New Roman" w:cs="Times New Roman" w:eastAsia="Times New Roman" w:hAnsi="Times New Roman"/>
                <w:sz w:val="14"/>
                <w:szCs w:val="14"/>
                <w:i w:val="1"/>
                <w:iCs w:val="1"/>
                <w:color w:val="auto"/>
              </w:rPr>
              <w:t>(Note 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8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related party interest expense</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of common stock pursuant to in-license agreement (</w:t>
            </w:r>
            <w:r>
              <w:rPr>
                <w:rFonts w:ascii="Times New Roman" w:cs="Times New Roman" w:eastAsia="Times New Roman" w:hAnsi="Times New Roman"/>
                <w:sz w:val="14"/>
                <w:szCs w:val="14"/>
                <w:i w:val="1"/>
                <w:iCs w:val="1"/>
                <w:color w:val="auto"/>
              </w:rPr>
              <w:t>Note 9(b)</w:t>
            </w: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receivables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2"/>
        </w:trPr>
        <w:tc>
          <w:tcPr>
            <w:tcW w:w="89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16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69"/>
        </w:trPr>
        <w:tc>
          <w:tcPr>
            <w:tcW w:w="8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xml:space="preserve">Proceeds from issuance of Series B Preferred Stock, net of issuance costs </w:t>
            </w:r>
            <w:r>
              <w:rPr>
                <w:rFonts w:ascii="Times New Roman" w:cs="Times New Roman" w:eastAsia="Times New Roman" w:hAnsi="Times New Roman"/>
                <w:sz w:val="14"/>
                <w:szCs w:val="14"/>
                <w:i w:val="1"/>
                <w:iCs w:val="1"/>
                <w:color w:val="auto"/>
              </w:rPr>
              <w:t>(Note 4)</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 xml:space="preserve">Proceeds from issuance of Series C Preferred Stock, net of issuance costs </w:t>
            </w:r>
            <w:r>
              <w:rPr>
                <w:rFonts w:ascii="Times New Roman" w:cs="Times New Roman" w:eastAsia="Times New Roman" w:hAnsi="Times New Roman"/>
                <w:sz w:val="14"/>
                <w:szCs w:val="14"/>
                <w:i w:val="1"/>
                <w:iCs w:val="1"/>
                <w:color w:val="auto"/>
              </w:rPr>
              <w:t>(Note 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xml:space="preserve">Proceeds from issuance of convertible notes, net of issuance costs </w:t>
            </w:r>
            <w:r>
              <w:rPr>
                <w:rFonts w:ascii="Times New Roman" w:cs="Times New Roman" w:eastAsia="Times New Roman" w:hAnsi="Times New Roman"/>
                <w:sz w:val="14"/>
                <w:szCs w:val="14"/>
                <w:i w:val="1"/>
                <w:iCs w:val="1"/>
                <w:color w:val="auto"/>
              </w:rPr>
              <w:t>(Note 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Issuance costs for initial public offering</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exercise of vested stock options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Proceeds from early exercise of stock options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2"/>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8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year</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182"/>
        </w:trPr>
        <w:tc>
          <w:tcPr>
            <w:tcW w:w="8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86,349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2"/>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86,349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Supplemental Disclosures Noncash Investing and Financing Activities: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right-of-use asset obtained in exchange for operating lease liability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920" w:type="dxa"/>
            <w:vAlign w:val="bottom"/>
            <w:tcBorders>
              <w:bottom w:val="single" w:sz="8" w:color="CCEEFF"/>
            </w:tcBorders>
            <w:shd w:val="clear" w:color="auto" w:fill="CCEEFF"/>
          </w:tcPr>
          <w:p>
            <w:pPr>
              <w:ind w:left="460"/>
              <w:spacing w:after="0" w:line="156" w:lineRule="exact"/>
              <w:rPr>
                <w:sz w:val="20"/>
                <w:szCs w:val="20"/>
                <w:color w:val="auto"/>
              </w:rPr>
            </w:pPr>
            <w:r>
              <w:rPr>
                <w:rFonts w:ascii="Times New Roman" w:cs="Times New Roman" w:eastAsia="Times New Roman" w:hAnsi="Times New Roman"/>
                <w:sz w:val="14"/>
                <w:szCs w:val="14"/>
                <w:color w:val="auto"/>
              </w:rPr>
              <w:t xml:space="preserve">Additions of property and equipment in accounts payable and other accrued liabilities </w:t>
            </w:r>
            <w:r>
              <w:rPr>
                <w:rFonts w:ascii="Times New Roman" w:cs="Times New Roman" w:eastAsia="Times New Roman" w:hAnsi="Times New Roman"/>
                <w:sz w:val="14"/>
                <w:szCs w:val="14"/>
                <w:i w:val="1"/>
                <w:iCs w:val="1"/>
                <w:color w:val="auto"/>
              </w:rPr>
              <w:t>(Note 3(b))</w:t>
            </w:r>
          </w:p>
        </w:tc>
        <w:tc>
          <w:tcPr>
            <w:tcW w:w="240" w:type="dxa"/>
            <w:vAlign w:val="bottom"/>
            <w:tcBorders>
              <w:bottom w:val="single" w:sz="8" w:color="auto"/>
            </w:tcBorders>
            <w:shd w:val="clear" w:color="auto" w:fill="CCEE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Series C Preferred Stock issuance costs in accounts payable and other accrued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2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Convertible notes issuance costs included in accounts payable and accrued liabilities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2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unaudited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PRESENTATION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Initial Public Offering and Reverse Stock Split</w:t>
      </w:r>
    </w:p>
    <w:p>
      <w:pPr>
        <w:spacing w:after="0" w:line="256" w:lineRule="exact"/>
        <w:rPr>
          <w:sz w:val="20"/>
          <w:szCs w:val="20"/>
          <w:color w:val="auto"/>
        </w:rPr>
      </w:pPr>
    </w:p>
    <w:p>
      <w:pPr>
        <w:ind w:right="220" w:firstLine="891"/>
        <w:spacing w:after="0" w:line="245" w:lineRule="auto"/>
        <w:rPr>
          <w:sz w:val="20"/>
          <w:szCs w:val="20"/>
          <w:color w:val="auto"/>
        </w:rPr>
      </w:pPr>
      <w:r>
        <w:rPr>
          <w:rFonts w:ascii="Times New Roman" w:cs="Times New Roman" w:eastAsia="Times New Roman" w:hAnsi="Times New Roman"/>
          <w:sz w:val="18"/>
          <w:szCs w:val="18"/>
          <w:color w:val="auto"/>
        </w:rPr>
        <w:t>On October 20, 2020, the Company completed its initial public offering ("IPO") through an underwritten sale of 5,500,000 shares of its common stock at a price of $16.00 per share. The aggregate net proceeds from the offering, inclusive of an additional 825,000 common shares sold upon the full exercise of the underwriters’ purchase option, after deducting underwriting discounts and commissions and other offering expenses, were approximately $91.7 million.</w:t>
      </w:r>
    </w:p>
    <w:p>
      <w:pPr>
        <w:spacing w:after="0" w:line="206" w:lineRule="exact"/>
        <w:rPr>
          <w:sz w:val="20"/>
          <w:szCs w:val="20"/>
          <w:color w:val="auto"/>
        </w:rPr>
      </w:pPr>
    </w:p>
    <w:p>
      <w:pPr>
        <w:ind w:right="20" w:firstLine="891"/>
        <w:spacing w:after="0" w:line="251" w:lineRule="auto"/>
        <w:rPr>
          <w:sz w:val="20"/>
          <w:szCs w:val="20"/>
          <w:color w:val="auto"/>
        </w:rPr>
      </w:pPr>
      <w:r>
        <w:rPr>
          <w:rFonts w:ascii="Times New Roman" w:cs="Times New Roman" w:eastAsia="Times New Roman" w:hAnsi="Times New Roman"/>
          <w:sz w:val="18"/>
          <w:szCs w:val="18"/>
          <w:color w:val="auto"/>
        </w:rPr>
        <w:t xml:space="preserve">Concurrent with the IPO, all then-outstanding shares of the Company's convertible preferred stock outstanding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were automatically converted into an aggregate of 11,107,018 issued common shares and were reclassified into permanent equity. Following the IPO, there were no shares of Preferred Stock outstanding.</w:t>
      </w:r>
    </w:p>
    <w:p>
      <w:pPr>
        <w:spacing w:after="0" w:line="203"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In advance of the IPO, on October 8, 2020, the Tarsus Board of Directors approved a 1-for-7.4276 reverse stock split of the Company’s capital stock. The Company filed a certificate of amendment to its restated certificate of incorporation to reflect this reverse split, though the common stock par value was not affected by the reverse split. All share and per share information included in the accompanying financial statements has been adjusted to reflect this reverse stock split.</w:t>
      </w:r>
    </w:p>
    <w:p>
      <w:pPr>
        <w:spacing w:after="0" w:line="207" w:lineRule="exact"/>
        <w:rPr>
          <w:sz w:val="20"/>
          <w:szCs w:val="20"/>
          <w:color w:val="auto"/>
        </w:rPr>
      </w:pPr>
    </w:p>
    <w:p>
      <w:pPr>
        <w:ind w:right="580" w:firstLine="891"/>
        <w:spacing w:after="0" w:line="266" w:lineRule="auto"/>
        <w:rPr>
          <w:sz w:val="20"/>
          <w:szCs w:val="20"/>
          <w:color w:val="auto"/>
        </w:rPr>
      </w:pPr>
      <w:r>
        <w:rPr>
          <w:rFonts w:ascii="Times New Roman" w:cs="Times New Roman" w:eastAsia="Times New Roman" w:hAnsi="Times New Roman"/>
          <w:sz w:val="18"/>
          <w:szCs w:val="18"/>
          <w:color w:val="auto"/>
        </w:rPr>
        <w:t>The condensed financial statements as of September 30, 2020, including share and per share amounts, do not give effect to the IPO, the conversion of the preferred stock into common stock and related reclassification into permanent equity, as the IPO and such conversions and reclassifications into permanent equity were completed subsequent to September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 Risks</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Company has no revenue, and since inception, has accumulated losses and negative cash flows from operations. This has resulted in the Company's accumulated deficit of $21.4 million as of September 30, 2020 and $6.0 million as of December 31, 2019. The Company’s cash and cash equivalents was $86.3 million and $58.0 million as of September 30, 2020 and December 31, 2019, respectively. The Company has financed its operations to date primarily through equity capital raises.</w:t>
      </w:r>
    </w:p>
    <w:p>
      <w:pPr>
        <w:spacing w:after="0" w:line="180"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The Company believes that existing capital resources, including the net proceeds from the IPO in October 2020, will be sufficient to meet projected operating requirements for at least 12 months from the date of issuance of the accompanying condensed financial statements, though expects to continue to incur operating losses and negative cash flows.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preserve cash resources. These factors may adversely impact the Company’s ability to achieve its business objectives and would likely have an adverse effect on its future business prospects, or even its ability to remain a going concern.</w:t>
      </w:r>
    </w:p>
    <w:p>
      <w:pPr>
        <w:spacing w:after="0" w:line="18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As such, the condensed financial statements have been prepared on a going concern basis, which contemplates the realization of assets and satisfaction of liabilities in the normal course of business. The condensed financial statements do not include any adjustments relating to the recoverability and classification of recorded asset amounts or the amounts and classification of liabilities that might result from the outcome of this uncertainty. Management expects to continue to incur additional substantial losses in the foreseeable future as a result of the Company’s research and development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Operating Segment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eventual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USE OF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Basis of Presentation</w:t>
      </w:r>
    </w:p>
    <w:p>
      <w:pPr>
        <w:spacing w:after="0" w:line="22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The Company’s condensed financial statements have been prepared in conformity with accounting principles generally accepted in the United States (“GAAP”) for interim financial information and pursuant to Form 10-Q and Article 10 of Regulation S-X of the Securities and Exchange Commission (“SEC”). Accordingly, the accompanying condensed financial statements do not include all of the information and footnotes required by GAAP for complete financial statements.</w:t>
      </w:r>
    </w:p>
    <w:p>
      <w:pPr>
        <w:spacing w:after="0" w:line="180"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The interim condensed balance sheet as of September 30, 2020, and the interim condensed statements of operations and comprehensive loss, changes in preferred stock and stockholders’ deficit and cash flows for the three and nine months ended September 30, 2020 and 2019 are unaudited. These unaudited interim financial statements have been prepared on the same basis as the Company’s annual financial statements and, in the opinion of management, reflect all adjustments, which consist of only normal and recurring adjustments, necessary for the fair statement of the Company’s financial information. The financial data and other information disclosed in these notes related to the three and nine-month periods are also unaudited. The condensed balance sheet as of December 31, 2019 has been derived from the audited financial statements at that date but does not include all information and footnotes required by GAAP for complete financial statements. The condensed interim operating results for the three and nine months ended September 30, 2020 are not necessarily indicative of results to be expected for the year ending December 31, 2020, any other interim periods or any future year or period.</w:t>
      </w:r>
    </w:p>
    <w:p>
      <w:pPr>
        <w:spacing w:after="0" w:line="188"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financial statements should be read in conjunction with the audited financial statements and the related notes thereto for the year ended December 31, 2019, which are included in the Company’s prospectus related to the IPO, filed with the SEC on September 25, 2020 (the “Prospectus”), pursuant to Rule 424(b)(4) promulgated under the Securities Act of 1933, as amended (the “Securities Act”).</w:t>
      </w:r>
    </w:p>
    <w:p>
      <w:pPr>
        <w:spacing w:after="0" w:line="176"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stock-based awards and periodic recognition of stock-based compensation, (ii) the realization of income tax assets and estimates of tax liabilities,</w:t>
      </w:r>
    </w:p>
    <w:p>
      <w:pPr>
        <w:spacing w:after="0" w:line="3" w:lineRule="exact"/>
        <w:rPr>
          <w:sz w:val="20"/>
          <w:szCs w:val="20"/>
          <w:color w:val="auto"/>
        </w:rPr>
      </w:pPr>
    </w:p>
    <w:p>
      <w:pPr>
        <w:ind w:right="20" w:firstLine="8"/>
        <w:spacing w:after="0" w:line="260"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accruals related to research and development activities, including clinical trials, and (iv) valuation of convertible notes, derivative instruments, and preferred stock.</w:t>
      </w:r>
    </w:p>
    <w:p>
      <w:pPr>
        <w:spacing w:after="0" w:line="181"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Accounting policies and estimates that most significantly impact the presented amounts within the accompanying financial statements are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Cash and Cash Equivalents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with original maturities of three months or less from the purchase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Restricted Cash</w:t>
      </w:r>
    </w:p>
    <w:p>
      <w:pPr>
        <w:spacing w:after="0" w:line="229"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Concentration of Credit Risk and Other Risks and Uncertainties</w:t>
      </w:r>
    </w:p>
    <w:p>
      <w:pPr>
        <w:spacing w:after="0" w:line="229"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62" w:lineRule="exact"/>
        <w:rPr>
          <w:sz w:val="20"/>
          <w:szCs w:val="20"/>
          <w:color w:val="auto"/>
        </w:rPr>
      </w:pPr>
    </w:p>
    <w:p>
      <w:pPr>
        <w:ind w:right="500" w:firstLine="891"/>
        <w:spacing w:after="0" w:line="282" w:lineRule="auto"/>
        <w:rPr>
          <w:sz w:val="20"/>
          <w:szCs w:val="20"/>
          <w:color w:val="auto"/>
        </w:rPr>
      </w:pPr>
      <w:r>
        <w:rPr>
          <w:rFonts w:ascii="Times New Roman" w:cs="Times New Roman" w:eastAsia="Times New Roman" w:hAnsi="Times New Roman"/>
          <w:sz w:val="18"/>
          <w:szCs w:val="18"/>
          <w:color w:val="auto"/>
        </w:rPr>
        <w:t>In March 2020, the World Health Organization declared a pandemic related to the global novel coronavirus disease 2019 (“COVID-19”) outbreak. To date, the Company’s operations have not been significantly impacted by the COVID-19</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pandemic, though the Company has been carefully monitoring the potential impact COVID-19 may have on its ongoing and planned clinical trials. However, the Company cannot at this time predict the specific extent, duration, or full impact that the COVID-19 outbreak will have on these activities or its financial condition.</w:t>
      </w:r>
    </w:p>
    <w:p>
      <w:pPr>
        <w:spacing w:after="0" w:line="176"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including TP-03 for ophthalmic conditions, TP-04 for treatment of skin conditions and TP-05 for prophylaxis of Lyme and community malaria reduction, (3) uncertainty of market acceptance of its product candidates, (4) competition from substitute products and larger companies, (5) securing and protecting proprietary technology and strategic relationships, and (6) and dependence on key individuals and sole source suppliers.</w:t>
      </w:r>
    </w:p>
    <w:p>
      <w:pPr>
        <w:spacing w:after="0" w:line="187"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these necessary approvals. If the Company is denied approval, approval is delayed, or is unable to maintain approval for any product candidate, it could have a materially adverse impact on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Research and Development Costs</w:t>
      </w:r>
    </w:p>
    <w:p>
      <w:pPr>
        <w:spacing w:after="0" w:line="229"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or as certain milestone payments become contractually due to the Company's licensors, as triggered by the achievement of clinical or regulatory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 Deferred Offering Costs</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Costs directly related to the Company’s IPO were deferred for expense recognition. These deferred offering costs are temporarily capitalized and consist of legal fees, accounting fees, and other applicable professional services. As of September 30, 2020, $1.7 million of these deferred offering costs are reported on the accompanying condensed Balance Sheets within “other assets.” There were no deferred offering costs capitalized as of December 31, 2019. With the Company's IPO on October 20, 2020, these deferred offering costs were concurrently reclassified to additional paid in capital and will be reported as such as of December 31,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 Stock-Based Compensation</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Stock-based awards issued to employees, consultants, and members of the Company's Board of Directors are valued as of the grant date. Corresponding compensation expense is recognized over the applicable vesting period. For awards with a service condition for vesting, the related expense is recognized on a straight-line basis over each award’s actual or implied vesting period. For awards that are subject to a performance condition for vesting,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w:t>
      </w:r>
    </w:p>
    <w:p>
      <w:pPr>
        <w:spacing w:after="0" w:line="18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stock-based awards as of the date of grant. This requires management assumptions that involve inherent uncertainties and the application of judgment, including (a) the fair value of the Company’s common stock on the date of the option grant, (b) the expected term of the stock option until its exercise by the recipient, (c) expected stock price volatility over the expected term, (d) the prevailing risk-free interest rate over the expected term, and (e) expected dividend payments over the expected term.</w:t>
      </w:r>
    </w:p>
    <w:p>
      <w:pPr>
        <w:spacing w:after="0" w:line="180"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Management estimates the expected term of awarded stock options utilizing the “simplified method” as the Company does not yet have sufficient exercise history since its November 2016 formation. Further, through September 30, 2020 the Company remained privately-held and therefore lacked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 term of the awarded stock option. The Company estimates the risk-free interest rate based upon the U.S. Department of the Treasury yield curve in effect</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at award grant for time periods that correspond with the expected term of the awarded stock option. The Company’s expected dividend yield is zero because it has never paid cash dividends and does not expect to for the foreseeable future.</w:t>
      </w:r>
    </w:p>
    <w:p>
      <w:pPr>
        <w:spacing w:after="0" w:line="162"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Prior to the IPO, given the absence of a public trading market, the Company’s Board of Directors, with input from management, considered numerous objective and subjective factors to determine the fair value of its common stock. The factors included: (1) third-party valuations of the Company’s common stock; (2) the Company’s stage of development; (3) the status of research and development efforts; (4) the rights, preferences and privileges of the Company’s preferred stock relative to common stock; (5) the Company’s operating results and financial condition, including the Company’s levels of available capital resources; (6) equity market conditions affecting comparable public companies; (7) general U.S. market conditions; and (8) the lack of current marketability of the Company’s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(viii) Preferred Stock</w:t>
      </w:r>
    </w:p>
    <w:p>
      <w:pPr>
        <w:spacing w:after="0" w:line="229"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The Company classifies preferred stock outside of stockholders’ deficit on the accompanying condensed balance sheets. The requirements of a deemed liquidation event, as defined within its amended and restated certificate of incorporation filed in September 2020 (the “2020 Amended and Restated Certificate of Incorporation”) were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recorded the issuance of preferred stock at the issuance 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(ix) Net Loss per Share Attributable to Common Stockholders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weighted-average number of shares of common stock outstanding for the period, without the consideration for 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Fair Value Measurements</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ind w:left="1020" w:hanging="32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 date.</w:t>
      </w:r>
    </w:p>
    <w:p>
      <w:pPr>
        <w:spacing w:after="0" w:line="225" w:lineRule="exact"/>
        <w:rPr>
          <w:rFonts w:ascii="Times New Roman" w:cs="Times New Roman" w:eastAsia="Times New Roman" w:hAnsi="Times New Roman"/>
          <w:sz w:val="18"/>
          <w:szCs w:val="18"/>
          <w:color w:val="auto"/>
        </w:rPr>
      </w:pPr>
    </w:p>
    <w:p>
      <w:pPr>
        <w:ind w:left="1020" w:right="80" w:hanging="324"/>
        <w:spacing w:after="0" w:line="284" w:lineRule="auto"/>
        <w:tabs>
          <w:tab w:leader="none" w:pos="10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 inputs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quoted prices for similar assets or liabilities or quoted market prices in markets that are not active to the general public.</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right="640" w:hanging="324"/>
        <w:spacing w:after="0" w:line="284"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 Comprehensive Loss</w:t>
      </w:r>
    </w:p>
    <w:p>
      <w:pPr>
        <w:spacing w:after="0" w:line="229"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stockholders’ deficit, except those resulting from distributions to stockholders. For all periods presented, comprehensive loss was the same as reported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(xii) Recently Issued or Effective Accounting Standards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 DETAIL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composition of selected financial statement captions that comprise the accompanying balance sheets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Prepaid Expenses and Other Current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Clinical research organization service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Property and Equipment, net of Accumulated Depreciation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consists of the following: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Depreciation expense (included within “total operating expenses” in the accompanying Statements of Operations and Comprehensive Loss) for the three and nine months ended September 30, 2020 and 2019 was $24 thousand, $9 thousand, $56 thousand, and $18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Accounts Payable and Other Accrued Liabilities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studies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option early exercise liability, current portion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Other Long-Term Liabilities</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long-term liabilities” consists of the following: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option early exercise liability, non-current portion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Under the September 2020 Amended and Restated Certificate of Incorporation, the Company is authorized to issue two classes of stock: common and preferred. The total number of shares authorized for issuance is 17.5 million of common shares and 11.2 million of preferred shares, of which 1.6 million shares are designated as Series A Preferred Stock, 6.7 million shares are designated as Series B Preferred Stock, and 2.9 million are designated as Series C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Overview</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Series A Preferred Stock Issuance</w:t>
      </w:r>
    </w:p>
    <w:p>
      <w:pPr>
        <w:spacing w:after="0" w:line="227" w:lineRule="exact"/>
        <w:rPr>
          <w:sz w:val="20"/>
          <w:szCs w:val="20"/>
          <w:color w:val="auto"/>
        </w:rPr>
      </w:pPr>
    </w:p>
    <w:p>
      <w:pPr>
        <w:ind w:right="420" w:firstLine="891"/>
        <w:spacing w:after="0" w:line="282" w:lineRule="auto"/>
        <w:rPr>
          <w:sz w:val="20"/>
          <w:szCs w:val="20"/>
          <w:color w:val="auto"/>
        </w:rPr>
      </w:pPr>
      <w:r>
        <w:rPr>
          <w:rFonts w:ascii="Times New Roman" w:cs="Times New Roman" w:eastAsia="Times New Roman" w:hAnsi="Times New Roman"/>
          <w:sz w:val="18"/>
          <w:szCs w:val="18"/>
          <w:color w:val="auto"/>
        </w:rPr>
        <w:t>In March and May 2018, the Company executed a private placement Series A Stock Purchase Agreement and issued 1.6 million shares of Series A Preferred Stock at $2.3174 per share for net proceeds of $3.6 million, after issuance costs of $0.1 million.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Series B Preferred Stock Issuance</w:t>
      </w:r>
    </w:p>
    <w:p>
      <w:pPr>
        <w:spacing w:after="0" w:line="227"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executed a private placement Series B Stock Purchase Agreement of 6.7 million shares of Series B Preferred Stock at $8.9904 per share for net proceeds of $57.4 million, after issuance costs of $0.2 million. Concurrently, convertible notes issued in May, August, and October 2019 for aggregate proceeds of $2.0 million were converted into preferred stock based on principal and accrued interest, and the Company issued 0.3 million shares of Series B Preferred Stock at its contractual conversion price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Series C Preferred Stock Issuance</w:t>
      </w:r>
    </w:p>
    <w:p>
      <w:pPr>
        <w:spacing w:after="0" w:line="227"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In September 2020, the Company executed a private placement Series C Stock Purchase agreement of 2.9 million shares of Series C Preferred Stock at a purchase price of $14.0003 per share for net proceeds of $39.8 million, after issuance costs of $0.2 million.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tables below include preferred stock details as of September 30, 2020 and December 31, 2019.</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3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20" w:type="dxa"/>
            <w:vAlign w:val="bottom"/>
            <w:vMerge w:val="continue"/>
          </w:tcPr>
          <w:p>
            <w:pPr>
              <w:spacing w:after="0"/>
              <w:rPr>
                <w:sz w:val="11"/>
                <w:szCs w:val="11"/>
                <w:color w:val="auto"/>
              </w:rPr>
            </w:pPr>
          </w:p>
        </w:tc>
        <w:tc>
          <w:tcPr>
            <w:tcW w:w="960" w:type="dxa"/>
            <w:vAlign w:val="bottom"/>
          </w:tcPr>
          <w:p>
            <w:pPr>
              <w:jc w:val="center"/>
              <w:ind w:left="368"/>
              <w:spacing w:after="0" w:line="135"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1,575,030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1,575,030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2.3174</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6,731,649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6,674,909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C Preferred Stock</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2,857,084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2,857,079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14.0003</w:t>
            </w:r>
          </w:p>
        </w:tc>
        <w:tc>
          <w:tcPr>
            <w:tcW w:w="0" w:type="dxa"/>
            <w:vAlign w:val="bottom"/>
          </w:tcPr>
          <w:p>
            <w:pPr>
              <w:spacing w:after="0"/>
              <w:rPr>
                <w:sz w:val="1"/>
                <w:szCs w:val="1"/>
                <w:color w:val="auto"/>
              </w:rPr>
            </w:pP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11,163,763</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11,107,018</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103,660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24"/>
                <w:szCs w:val="24"/>
                <w:color w:val="auto"/>
              </w:rPr>
            </w:pPr>
          </w:p>
        </w:tc>
        <w:tc>
          <w:tcPr>
            <w:tcW w:w="12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5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right"/>
              <w:ind w:right="482"/>
              <w:spacing w:after="0" w:line="135"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89"/>
        </w:trPr>
        <w:tc>
          <w:tcPr>
            <w:tcW w:w="374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2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Stock</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1,575,030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1,575,030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2.3174</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 Preferred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6,731,649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6,674,909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35"/>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8,306,679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8,249,939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63,660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Upon the completion of the IPO, all outstanding shares of convertible preferred stock converted into an aggregate of 11,107,018 shares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Provisions of Series A, Series B, and Series C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and Mandatory Conversion</w:t>
      </w:r>
    </w:p>
    <w:p>
      <w:pPr>
        <w:spacing w:after="0" w:line="243" w:lineRule="exact"/>
        <w:rPr>
          <w:sz w:val="20"/>
          <w:szCs w:val="20"/>
          <w:color w:val="auto"/>
        </w:rPr>
      </w:pPr>
    </w:p>
    <w:p>
      <w:pPr>
        <w:ind w:right="40" w:firstLine="891"/>
        <w:spacing w:after="0"/>
        <w:rPr>
          <w:sz w:val="20"/>
          <w:szCs w:val="20"/>
          <w:color w:val="auto"/>
        </w:rPr>
      </w:pPr>
      <w:r>
        <w:rPr>
          <w:rFonts w:ascii="Times New Roman" w:cs="Times New Roman" w:eastAsia="Times New Roman" w:hAnsi="Times New Roman"/>
          <w:sz w:val="18"/>
          <w:szCs w:val="18"/>
          <w:color w:val="auto"/>
        </w:rPr>
        <w:t>Each share of Series A, Series B, and Series C Preferred Stock was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212" w:lineRule="exact"/>
        <w:rPr>
          <w:sz w:val="20"/>
          <w:szCs w:val="20"/>
          <w:color w:val="auto"/>
        </w:rPr>
      </w:pPr>
    </w:p>
    <w:p>
      <w:pPr>
        <w:ind w:right="260" w:firstLine="891"/>
        <w:spacing w:after="0" w:line="242" w:lineRule="auto"/>
        <w:rPr>
          <w:sz w:val="20"/>
          <w:szCs w:val="20"/>
          <w:color w:val="auto"/>
        </w:rPr>
      </w:pPr>
      <w:r>
        <w:rPr>
          <w:rFonts w:ascii="Times New Roman" w:cs="Times New Roman" w:eastAsia="Times New Roman" w:hAnsi="Times New Roman"/>
          <w:sz w:val="18"/>
          <w:szCs w:val="18"/>
          <w:color w:val="auto"/>
        </w:rPr>
        <w:t>Mandatory conversion into common shares will occur upon either (i) the closing of a Qualified Public Offering, which is defined in the September 2020 Amended and Restated Certificate of Incorporation to include the sale of common stock in a firm commitment underwritten public offering on Form S-1, with a pre-money valuation of at least $260 million and that results in at least $75 million of proceeds, or (ii) by vote or written consent or agreement of the holders of a majority of the then-outstanding shares of Series A, Series B, and Series C Preferred Stock, voting together as a single class on an as-converted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43" w:lineRule="exact"/>
        <w:rPr>
          <w:sz w:val="20"/>
          <w:szCs w:val="20"/>
          <w:color w:val="auto"/>
        </w:rPr>
      </w:pPr>
    </w:p>
    <w:p>
      <w:pPr>
        <w:ind w:right="40" w:firstLine="891"/>
        <w:spacing w:after="0" w:line="241" w:lineRule="auto"/>
        <w:rPr>
          <w:sz w:val="20"/>
          <w:szCs w:val="20"/>
          <w:color w:val="auto"/>
        </w:rPr>
      </w:pPr>
      <w:r>
        <w:rPr>
          <w:rFonts w:ascii="Times New Roman" w:cs="Times New Roman" w:eastAsia="Times New Roman" w:hAnsi="Times New Roman"/>
          <w:sz w:val="18"/>
          <w:szCs w:val="18"/>
          <w:color w:val="auto"/>
        </w:rPr>
        <w:t xml:space="preserve">In the event of any Liquidation Event (as defined in the September 2020 Amended and Restated Certificate of Incorporation), the holders of Series A, Series B, and Series C Preferred Stock are first entitled to proceeds or assets available for distribution that are in preference of any distribution to common stockholders (the “Liquidation Preference”); provided, however, that if the holders of Series A, Series B, and Series C Preferred Stock would receive greater proceeds in a Liquidation Event as a result of their conversion to common stock such shares of Series A, Series B, and/or Series C Preferred Stock shall be deemed to have automatically thus converted. This Liquidation Preference is equal to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original issue price of Series A, Series B and Series C Preferred Stock ($2.3174, $8.9904, and $14.0003 per share, respectively) for each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share of Series A, Series B, and Series C Preferred Stock and (ii) any declared but unpaid dividends for each outstanding share of Series A, Series B, and Series C Preferred Stock. If the proceeds from the Liquidation Event are less than the Liquidation Preference, then all available proceeds will be distributed ratably to the holders of Series A, Series B, and Series C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40" w:firstLine="891"/>
        <w:spacing w:after="0" w:line="226" w:lineRule="auto"/>
        <w:rPr>
          <w:sz w:val="20"/>
          <w:szCs w:val="20"/>
          <w:color w:val="auto"/>
        </w:rPr>
      </w:pPr>
      <w:r>
        <w:rPr>
          <w:rFonts w:ascii="Times New Roman" w:cs="Times New Roman" w:eastAsia="Times New Roman" w:hAnsi="Times New Roman"/>
          <w:sz w:val="18"/>
          <w:szCs w:val="18"/>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1.3 million shares of Series B or Series C Preferred Stock remain outstanding, the holders of the majority of such shares of Series B and Series C Preferred Stock (voting together as a single class) shall be entitled to elect two directors (each a “Series B/C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43" w:lineRule="exact"/>
        <w:rPr>
          <w:sz w:val="20"/>
          <w:szCs w:val="20"/>
          <w:color w:val="auto"/>
        </w:rPr>
      </w:pPr>
    </w:p>
    <w:p>
      <w:pPr>
        <w:ind w:right="20" w:firstLine="891"/>
        <w:spacing w:after="0" w:line="241" w:lineRule="auto"/>
        <w:rPr>
          <w:sz w:val="20"/>
          <w:szCs w:val="20"/>
          <w:color w:val="auto"/>
        </w:rPr>
      </w:pPr>
      <w:r>
        <w:rPr>
          <w:rFonts w:ascii="Times New Roman" w:cs="Times New Roman" w:eastAsia="Times New Roman" w:hAnsi="Times New Roman"/>
          <w:sz w:val="18"/>
          <w:szCs w:val="18"/>
          <w:color w:val="auto"/>
        </w:rPr>
        <w:t>The holders of Preferred Stock are entitled to receive dividends, when, as and if declared by the Board of Directors at the applicable dividend rate set forth in the September 2020 Amended and Restated Certificate of Incorporation ($0.19, $0.72, and $1.12 per annum for each share of Series A, Series B, and Series C Preferred Stock, respectively), prior and in preference to any declaration or payment of any cash dividend on the common stock. The Company cannot declare, pay, or set aside any dividends on shares of any class or series of capital stock unless the Series A, Series B, and Series C Preferred Stockholders first receive a dividend in an amount equal to the greater of (i) applicable dividend rate, or (ii) the dividend payable to such other class or series of capital stock. No cash dividends have been declared to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sz w:val="20"/>
          <w:szCs w:val="20"/>
          <w:color w:val="auto"/>
        </w:rPr>
      </w:pPr>
    </w:p>
    <w:p>
      <w:pPr>
        <w:ind w:right="420" w:firstLine="891"/>
        <w:spacing w:after="0" w:line="236" w:lineRule="auto"/>
        <w:rPr>
          <w:sz w:val="20"/>
          <w:szCs w:val="20"/>
          <w:color w:val="auto"/>
        </w:rPr>
      </w:pPr>
      <w:r>
        <w:rPr>
          <w:rFonts w:ascii="Times New Roman" w:cs="Times New Roman" w:eastAsia="Times New Roman" w:hAnsi="Times New Roman"/>
          <w:sz w:val="18"/>
          <w:szCs w:val="18"/>
          <w:color w:val="auto"/>
        </w:rPr>
        <w:t>The Series A, Series B, and Series C Preferred Stock are not redeemable at the option of its holder under the terms of the September 2020 Amended and Restated Certificate of Incorporation. Upon certain change in control events that are outside of the Company’s control, including its liquidation, sale or transfer of control, the preferred stock is contingently redeemable.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Overview and Reserve for Future Issuance</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Common stockholders have one vote for each share of common stock held and are entitled to receive any dividends declared by the Company’s Board of Directors when legally available for distribution, then-subject to the dividend rights of the holders of Series A and Series B preferred stock discussed above. For the nine months ended September 30, 2020 and for the year ended December 31, 2019, no dividends were declared.</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had 3.1 million and 2.7 million common shares issued, respectively. At September 30, 2020 and December 31, 2019, the Company had 2.9 million, and 2.6 million common shares outstanding, respectively. The following shares of common stock were reserved for issuance: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outstanding</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11,107,018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8,249,939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 under the 2016 Plan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available for future grant under the 2016 Plan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411,397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13,361,042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10,697,948</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right="220" w:firstLine="891"/>
        <w:spacing w:after="0" w:line="289" w:lineRule="auto"/>
        <w:rPr>
          <w:sz w:val="20"/>
          <w:szCs w:val="20"/>
          <w:color w:val="auto"/>
        </w:rPr>
      </w:pPr>
      <w:r>
        <w:rPr>
          <w:rFonts w:ascii="Times New Roman" w:cs="Times New Roman" w:eastAsia="Times New Roman" w:hAnsi="Times New Roman"/>
          <w:sz w:val="17"/>
          <w:szCs w:val="17"/>
          <w:color w:val="auto"/>
        </w:rPr>
        <w:t xml:space="preserve">Through September 30, 2020, the Company had one active stockholder-approved stock-based compensation plan (the “2016 Plan”) that was adopted in December 2016 (see </w:t>
      </w:r>
      <w:r>
        <w:rPr>
          <w:rFonts w:ascii="Times New Roman" w:cs="Times New Roman" w:eastAsia="Times New Roman" w:hAnsi="Times New Roman"/>
          <w:sz w:val="17"/>
          <w:szCs w:val="17"/>
          <w:i w:val="1"/>
          <w:iCs w:val="1"/>
          <w:color w:val="auto"/>
        </w:rPr>
        <w:t>Note 10(b)</w:t>
      </w:r>
      <w:r>
        <w:rPr>
          <w:rFonts w:ascii="Times New Roman" w:cs="Times New Roman" w:eastAsia="Times New Roman" w:hAnsi="Times New Roman"/>
          <w:sz w:val="17"/>
          <w:szCs w:val="17"/>
          <w:color w:val="auto"/>
        </w:rPr>
        <w:t xml:space="preserve"> for discussion of the adoption of a new plan in October 2020). The 2016 Plan permits the grant of incentive stock options, nonqualified stock options, stock awards and certain other awards to its employees, members of its Board of Directors, and consultants.</w:t>
      </w:r>
    </w:p>
    <w:p>
      <w:pPr>
        <w:spacing w:after="0" w:line="158"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The stated maximum availability of common stock under the 2016 Plan is 2.7 million shares. As of September 30, 2020 and December 31, 2019, the Company had 0.4 million and 2.2 million shares of common stock available for issuance under the 2016 Plan,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Summary</w:t>
      </w:r>
    </w:p>
    <w:p>
      <w:pPr>
        <w:spacing w:after="0" w:line="22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recorded in the accompanying condensed statements of operations and comprehensive loss based on the assigned department of the award recipient. Stock-based compensation expense for the three and nine months ended September 30, 2020 and 2019 was as follows:</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Feature of Certain Stock Options</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2016 Plan permits certain option holders to exercise awarded options prior to vesting. Upon this early exercise, the options become subject to a restricted stock agreement and remain subject to the same vesting provisions in the corresponding stock option award. These unvested options are subject to repurchase by the Company upon termination — at the same price previously exercised. These unvested shares are reported as issued (but not outstanding) on our accompanying Balance Sheets while subject to repurchase by the Company. These shares are also excluded from the basic and diluted net loss per share calculation until the repurchase right lapses upon vesting.</w:t>
      </w:r>
    </w:p>
    <w:p>
      <w:pPr>
        <w:spacing w:after="0" w:line="183"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 xml:space="preserve">The Company initially records a liability for these early exercises that is subsequently reclassified into stockholders’ equity on a pro rata basis as vesting occurs. There were no such repurchases during the nine months ended September 30, 2020 or 2019. As of September 30, 2020, the Company has recorded $0.4 million as a liability from these early exercise proceeds in the accompanying condensed Balance Sheets, reported within "accounts payable and other accrued liabilities" and "other long-term liabilities" (see </w:t>
      </w:r>
      <w:r>
        <w:rPr>
          <w:rFonts w:ascii="Times New Roman" w:cs="Times New Roman" w:eastAsia="Times New Roman" w:hAnsi="Times New Roman"/>
          <w:sz w:val="18"/>
          <w:szCs w:val="18"/>
          <w:i w:val="1"/>
          <w:iCs w:val="1"/>
          <w:color w:val="auto"/>
        </w:rPr>
        <w:t>Note 3(c) and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shares—basic and 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2,729,685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2,311,788</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 and</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891"/>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unexercised—vested and unvested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1,842,627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1,842,627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Series B, and Series C Preferred Stock, outstanding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8,467,325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8,322,930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repurchase from its founders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early-exercised and unvested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124,857</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10,489,327</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2,129,791</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10,344,932</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2,060,892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F-16</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8"/>
          <w:szCs w:val="18"/>
          <w:i w:val="1"/>
          <w:iCs w:val="1"/>
          <w:color w:val="auto"/>
        </w:rPr>
        <w:t>Note 2(xiii)</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2020 Fair Value Measurements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86,329</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86,329</w:t>
            </w:r>
          </w:p>
        </w:tc>
      </w:tr>
      <w:tr>
        <w:trPr>
          <w:trHeight w:val="248"/>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2019 Fair Value Measurements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57,952</w:t>
            </w:r>
          </w:p>
        </w:tc>
      </w:tr>
      <w:tr>
        <w:trPr>
          <w:trHeight w:val="248"/>
        </w:trPr>
        <w:tc>
          <w:tcPr>
            <w:tcW w:w="5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2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 xml:space="preserve">Money market fund holdings are included in cash and cash equivalents on the accompanying balance sheets and are classified within </w:t>
      </w: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xml:space="preserve"> of the fair value hierarchy because of its readily-available market prices in active markets that are publicly accessible at the measurement date. These money market funds are invested in U.S. Treasury, bills, notes, and other obligations issued or guaranteed as to principal and interest by the U.S. Government or its agencies.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 Derivative Liabilities</w:t>
      </w:r>
    </w:p>
    <w:p>
      <w:pPr>
        <w:spacing w:after="0" w:line="229"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The measurement of the derivative liabilities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financial instrument: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December 31, 2018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Initial fair value of derivative liability upon issuance of May 2019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fair value of derivative liability upon issuance of August 2019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Initial fair value of derivative liability upon issuance of October 2019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Revaluation of derivative liabilities included in other income (expense), net within the Statement of Operations for the year ended December 31, 2019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 of derivative liabilities through conversion of all Notes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as of September 30,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 xml:space="preserve">The fair values of the derivative liabilities presented above were estimated at the date of issuance and at subsequent balance sheet dates using a two-step approach to valuation. Management utilized a probability-weighted valuation method and then compared the instrument’s value with-and-without the derivative features in order to estimate their combined fair value, using unobservable inputs, which are classified as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within the fair value hierarchy. The significant inputs not included in the market and thus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PROMISSORY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Notes and Conversion in December 2019</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 equity financing based on a conversion price equal to 90% of the issuance price paid by these new investors, or (ii) be repaid in full.</w:t>
      </w:r>
    </w:p>
    <w:p>
      <w:pPr>
        <w:spacing w:after="0" w:line="187"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6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78"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completed an issuance of Series B Preferred Stock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Upon this issuance, the $2.0 million of Note principal value, along with accrued interest, were converted into 0.3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its Accounting</w:t>
      </w:r>
    </w:p>
    <w:p>
      <w:pPr>
        <w:spacing w:after="0" w:line="229"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These notes contained stock-settled redemption features that were required to be separately accounted for as a derivative liability until December 13, 2019, when the Company completed a "qualified equity financing" and these then-outstanding notes converted, at the option of the holder, into 2.0 million shares of Series B Preferred Stock. The fair value adjustments for this derivative liability consists of changes in the fair value of these stock-settled redemption features.</w:t>
      </w:r>
    </w:p>
    <w:p>
      <w:pPr>
        <w:spacing w:after="0" w:line="180"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The Company accounted for this derivative feature as an implied discount in presenting the carrying value of these Notes. This discount was accreted over the term to maturity of the Notes using the effective interest method, resulting in aggregate interest expense recognition (non-cash) of $22 thousand and $27 thousand for the three and nine months ended September 30, 2019, respectively. As the Notes were converted in December 2019, no interest expense was recorded for the nine months ended September 30, 2020.</w:t>
      </w:r>
    </w:p>
    <w:p>
      <w:pPr>
        <w:spacing w:after="0" w:line="180"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 $27 thousand during the three and nine months ended September 30, 2019. As the Notes were converted in December 2019, no expense related to changes in fair value of derivative liabilities was recorded for the nine months ended September 30, 2020.</w:t>
      </w:r>
    </w:p>
    <w:p>
      <w:pPr>
        <w:spacing w:after="0" w:line="17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Facility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lease agreements with unaffiliated parties for the use of office and laboratory facilities and office equipment. As of December 31, 2019, the Company had one active facility lease in Irvine, California, that commenced on March 1, 2019 and expires April 30, 2022.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83"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The Company entered into two additional facility leases that commenced on June 1, 2020 for adjacent administrative and laboratory suites in Irvine, California. These leases expire on January 31, 2024. One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83" w:lineRule="exact"/>
        <w:rPr>
          <w:sz w:val="20"/>
          <w:szCs w:val="20"/>
          <w:color w:val="auto"/>
        </w:rPr>
      </w:pPr>
    </w:p>
    <w:p>
      <w:pPr>
        <w:ind w:firstLine="891"/>
        <w:spacing w:after="0" w:line="281" w:lineRule="auto"/>
        <w:rPr>
          <w:sz w:val="20"/>
          <w:szCs w:val="20"/>
          <w:color w:val="auto"/>
        </w:rPr>
      </w:pPr>
      <w:r>
        <w:rPr>
          <w:rFonts w:ascii="Times New Roman" w:cs="Times New Roman" w:eastAsia="Times New Roman" w:hAnsi="Times New Roman"/>
          <w:sz w:val="17"/>
          <w:szCs w:val="17"/>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2019 and during the nine months ended September 30, 2020, the Company had no sublease arrangements with it as lessor.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9" w:lineRule="exact"/>
        <w:rPr>
          <w:sz w:val="20"/>
          <w:szCs w:val="20"/>
          <w:color w:val="auto"/>
        </w:rPr>
      </w:pPr>
    </w:p>
    <w:p>
      <w:pPr>
        <w:ind w:right="180" w:firstLine="891"/>
        <w:spacing w:after="0" w:line="255" w:lineRule="auto"/>
        <w:rPr>
          <w:sz w:val="20"/>
          <w:szCs w:val="20"/>
          <w:color w:val="auto"/>
        </w:rPr>
      </w:pPr>
      <w:r>
        <w:rPr>
          <w:rFonts w:ascii="Times New Roman" w:cs="Times New Roman" w:eastAsia="Times New Roman" w:hAnsi="Times New Roman"/>
          <w:sz w:val="18"/>
          <w:szCs w:val="18"/>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 accompanying Statements of Operations and Comprehensive Loss. For the three months ended September 30, 2020 and 2019, the Company recognized lease expense of $0.1 million and $16 thousand, respectively. For the nine months ended September 30, 2020 and 2019, the Company recognized lease expense of $0.1 million, and $36 thousand, respectively. There were no significant variable lease payments, including including non-lease components such as common area maintenance fees, recognized as lease expense for the three and nine months ended September 30, 2020 and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Remaining Lease Term and Applied Discount Rate</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The Company had one active lease for its Irvine office and laboratory facility, with a remaining lease term of 2 years, 4 months as of December 31, 2019 and a remaining lease term of 1 year, 7 months as of September 30, 2020. The Company had two additional facility leases commence on June 1, 2020, with remaining lease terms of 3 years, 4 months as of September 30, 2020. The estimated incremental borrowing rate of 10% is utilized to present value future minimum lease payments since an implicit interest rate is not readily determinable each lease. The weighted average remaining lease term for the Company’s leases as of September 30, 2020 is 3 years, 1 month.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Lease Payments as of September 30, 2020</w:t>
      </w:r>
    </w:p>
    <w:p>
      <w:pPr>
        <w:spacing w:after="0" w:line="229"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 below table summarizes the (i) minimum lease payments over the next five years and thereafter, (ii) lease arrangement imputed interest, and (iii) present value of future lease payments: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In-License Agreement for Lotilaner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Skin and Eye Disease or Conditions in Humans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license agreement with Elanco Tiergesundheit AG (“Elanco”), granting it a worldwide license to certain intellectual property for the development and commercialization of lotilaner for the treatment or cure of any eye or skin disease or condition in humans (the "January 2019 Agreement"). The Company has sole responsibility for related development, regulatory, and commercialization activities.</w:t>
      </w:r>
    </w:p>
    <w:p>
      <w:pPr>
        <w:spacing w:after="0" w:line="176"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The Company made a $1.0 million upfront payment at execution of the January 2019 Agreement, which is reported within “research and development” expense within the accompanying unaudited Statements of Operations and Comprehensive Loss for the nine months ended September 30, 2019. The Company also made a required $1.0 million clinical milestone payment in the September 2020 as part of an achieved Phase 2b/3 clinical trial milestone for the treatment of Demodex blepharitis; this amount is reported within “research and development” expense within the accompanying Statements of Operations and Comprehensive Loss for the three and nine months ended September 30, 2020.</w:t>
      </w:r>
    </w:p>
    <w:p>
      <w:pPr>
        <w:spacing w:after="0" w:line="183"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Company will make further payments to Elanco under the January 2019 Agreement upon achievement of various clinical milestones for an aggregate maximum of $5.0 million and various commercial and sales threshold milestones for an aggregate maximum of $79.0 million. In addition, the Company will be obligated to pay contractual royalties to Elanco in the single digits of its net sales. If the Company receives payments from any sublicensees, it will be obligated to pay Elanco a variable percentage in the low to mid double-digits of such proceeds, except for territories in which the Company achieved applicable regulatory approval prior to sublicense execution.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All Other Disease or Conditions in Humans</w:t>
      </w:r>
    </w:p>
    <w:p>
      <w:pPr>
        <w:spacing w:after="0" w:line="256" w:lineRule="exact"/>
        <w:rPr>
          <w:sz w:val="20"/>
          <w:szCs w:val="20"/>
          <w:color w:val="auto"/>
        </w:rPr>
      </w:pPr>
    </w:p>
    <w:p>
      <w:pPr>
        <w:jc w:val="both"/>
        <w:ind w:right="140" w:firstLine="891"/>
        <w:spacing w:after="0" w:line="250" w:lineRule="auto"/>
        <w:rPr>
          <w:sz w:val="20"/>
          <w:szCs w:val="20"/>
          <w:color w:val="auto"/>
        </w:rPr>
      </w:pPr>
      <w:r>
        <w:rPr>
          <w:rFonts w:ascii="Times New Roman" w:cs="Times New Roman" w:eastAsia="Times New Roman" w:hAnsi="Times New Roman"/>
          <w:sz w:val="18"/>
          <w:szCs w:val="18"/>
          <w:color w:val="auto"/>
        </w:rPr>
        <w:t>In September 2020, the Company executed an expanded license agreement with Elanco, granting it a worldwide license to certain intellectual property for the development and commercialization of lotilaner treatment or cure of all other diseases and conditions in humans – beyond that of the eye or skin (the “September 2020 Agreement”).</w:t>
      </w:r>
    </w:p>
    <w:p>
      <w:pPr>
        <w:spacing w:after="0" w:line="204" w:lineRule="exact"/>
        <w:rPr>
          <w:sz w:val="20"/>
          <w:szCs w:val="20"/>
          <w:color w:val="auto"/>
        </w:rPr>
      </w:pPr>
    </w:p>
    <w:p>
      <w:pPr>
        <w:ind w:firstLine="891"/>
        <w:spacing w:after="0" w:line="241" w:lineRule="auto"/>
        <w:rPr>
          <w:sz w:val="20"/>
          <w:szCs w:val="20"/>
          <w:color w:val="auto"/>
        </w:rPr>
      </w:pPr>
      <w:r>
        <w:rPr>
          <w:rFonts w:ascii="Times New Roman" w:cs="Times New Roman" w:eastAsia="Times New Roman" w:hAnsi="Times New Roman"/>
          <w:sz w:val="18"/>
          <w:szCs w:val="18"/>
          <w:color w:val="auto"/>
        </w:rPr>
        <w:t xml:space="preserve">The Company issued Elanco 222,460 shares of its common stock at the execution of the September 2020 Agreement. The value of these shares was then-determined to equate to $3.1 million (at $14.0003 per share, approximating the Company's Series C preferred stock issuance price –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and is reported within “research and development” expense within the accompanying Statements of Operations and Comprehensive Loss for the three and nine months ended September 30, 2020. In addition, upon the 18-month anniversary of contract execution, if not terminated by the Company prior to the anniversary, it is obligated to grant Elanco additional shares that aggregate to $3.0 million (valued as of the Company’s IPO price of $16.00 per share - see </w:t>
      </w:r>
      <w:r>
        <w:rPr>
          <w:rFonts w:ascii="Times New Roman" w:cs="Times New Roman" w:eastAsia="Times New Roman" w:hAnsi="Times New Roman"/>
          <w:sz w:val="18"/>
          <w:szCs w:val="18"/>
          <w:i w:val="1"/>
          <w:iCs w:val="1"/>
          <w:color w:val="auto"/>
        </w:rPr>
        <w:t>Note 10(a)</w:t>
      </w:r>
      <w:r>
        <w:rPr>
          <w:rFonts w:ascii="Times New Roman" w:cs="Times New Roman" w:eastAsia="Times New Roman" w:hAnsi="Times New Roman"/>
          <w:sz w:val="18"/>
          <w:szCs w:val="18"/>
          <w:color w:val="auto"/>
        </w:rPr>
        <w:t>), amounting to a fixed 187,500 shares.</w:t>
      </w:r>
    </w:p>
    <w:p>
      <w:pPr>
        <w:spacing w:after="0" w:line="211" w:lineRule="exact"/>
        <w:rPr>
          <w:sz w:val="20"/>
          <w:szCs w:val="20"/>
          <w:color w:val="auto"/>
        </w:rPr>
      </w:pPr>
    </w:p>
    <w:p>
      <w:pPr>
        <w:ind w:right="560" w:firstLine="891"/>
        <w:spacing w:after="0" w:line="250" w:lineRule="auto"/>
        <w:rPr>
          <w:sz w:val="20"/>
          <w:szCs w:val="20"/>
          <w:color w:val="auto"/>
        </w:rPr>
      </w:pPr>
      <w:r>
        <w:rPr>
          <w:rFonts w:ascii="Times New Roman" w:cs="Times New Roman" w:eastAsia="Times New Roman" w:hAnsi="Times New Roman"/>
          <w:sz w:val="18"/>
          <w:szCs w:val="18"/>
          <w:color w:val="auto"/>
        </w:rPr>
        <w:t>The Company accounted for the transaction as an asset acquisition as substantially all of the fair value of the gross assets acquired were concentrated in a group of similar identifiable assets thus satisfying the requirements of the screen test in ASU 2017-01. The assets acquired in the transaction were measured based on the upfront payment to Elanco and the fair value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of the common stock shares issued to Elanco, as the fair value of the consideration given was more readily determinable than the fair value of the assets received. Because the assets had not yet received regulatory approval and have no alternative future use, the fair value attributable to these assets were initially recorded as in process research and development expenses.</w:t>
      </w:r>
    </w:p>
    <w:p>
      <w:pPr>
        <w:spacing w:after="0" w:line="204" w:lineRule="exact"/>
        <w:rPr>
          <w:sz w:val="20"/>
          <w:szCs w:val="20"/>
          <w:color w:val="auto"/>
        </w:rPr>
      </w:pPr>
    </w:p>
    <w:p>
      <w:pPr>
        <w:ind w:firstLine="891"/>
        <w:spacing w:after="0" w:line="242" w:lineRule="auto"/>
        <w:rPr>
          <w:sz w:val="20"/>
          <w:szCs w:val="20"/>
          <w:color w:val="auto"/>
        </w:rPr>
      </w:pPr>
      <w:r>
        <w:rPr>
          <w:rFonts w:ascii="Times New Roman" w:cs="Times New Roman" w:eastAsia="Times New Roman" w:hAnsi="Times New Roman"/>
          <w:sz w:val="18"/>
          <w:szCs w:val="18"/>
          <w:color w:val="auto"/>
        </w:rPr>
        <w:t>The Company will make further payments to Elanco under the September 2020 Agreement upon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sales. If the Company receives payments from any sublicensees, it will be obligated to pay Elanco a variable percentage in the low to mid double-digits of such proceeds, except for territories in which the Company achieved applicable regulatory approval prior to sublicense execution.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Employment Agreements</w:t>
      </w:r>
    </w:p>
    <w:p>
      <w:pPr>
        <w:spacing w:after="0" w:line="229" w:lineRule="exact"/>
        <w:rPr>
          <w:sz w:val="20"/>
          <w:szCs w:val="20"/>
          <w:color w:val="auto"/>
        </w:rPr>
      </w:pPr>
    </w:p>
    <w:p>
      <w:pPr>
        <w:jc w:val="both"/>
        <w:ind w:right="200" w:firstLine="891"/>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agreements with four of its named executive officers. These agreements provide for the payment of certain benefits upon separation of employment under specified circumstances, such as termination without cause, or termination in connection with a change in control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Contingencies</w:t>
      </w:r>
    </w:p>
    <w:p>
      <w:pPr>
        <w:spacing w:after="0" w:line="229"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 for financial statement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Indemnities and Guarantees</w:t>
      </w:r>
    </w:p>
    <w:p>
      <w:pPr>
        <w:spacing w:after="0" w:line="229" w:lineRule="exact"/>
        <w:rPr>
          <w:sz w:val="20"/>
          <w:szCs w:val="20"/>
          <w:color w:val="auto"/>
        </w:rPr>
      </w:pPr>
    </w:p>
    <w:p>
      <w:pPr>
        <w:jc w:val="both"/>
        <w:ind w:right="60" w:firstLine="891"/>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condensed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Completion of Initial Public Offering</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 xml:space="preserve">On October 20, 2020, the Company completed its IPO selling 5,500,000 shares of common stock at a price to the public of $16.00 per share. An incremental 825,000 common shares were also sold upon the full exercise of the underwriters’ purchase option. The aggregate net proceeds from the offering, after deducting underwriting discounts and commissions and other related expenses, were approximately $91.7 million. In addition, upon closing the IPO, all outstanding shares of convertible preferred stock outstanding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converted into an aggregate of 11,107,018 shares of the Company’s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2020 Equity Incentive Plan Adoption</w:t>
      </w:r>
    </w:p>
    <w:p>
      <w:pPr>
        <w:spacing w:after="0" w:line="22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 xml:space="preserve">The Company's Board of Directors and stockholders adopted and approved the Company's 2020 Equity Incentive Plan (“2020 Plan”) on October 8, 2020. The 2020 Plan replaces the 2016 Plan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however, awards outstanding under the 2016 Plan will continue to be governed by their existing terms. The number of shares of the Company's common stock available for issuance under the 2020 Plan will equal the sum of 9,000,000 shares plus up to 2,433,395 shares remaining available for issuance under the 2016 Plan, or issued pursuant to or subject to awards granted under the 2016 Plan. The 2020 Plan provides for the following types of awards: incentive and non-statutory stock options, stock appreciation rights, restricted shares, and restricted stock units.</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number of common shares reserved for issuance under the 2020 Plan will be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report. See the section titled “Special Note Regarding Forward-Looking Statements” elsewhere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w:t>
      </w:r>
    </w:p>
    <w:p>
      <w:pPr>
        <w:spacing w:after="0" w:line="18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w:t>
      </w:r>
    </w:p>
    <w:p>
      <w:pPr>
        <w:spacing w:after="0" w:line="180"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 new drug application ("NDA") to the United States Food and Drug Administration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216" w:lineRule="exact"/>
        <w:rPr>
          <w:sz w:val="20"/>
          <w:szCs w:val="20"/>
          <w:color w:val="auto"/>
        </w:rPr>
      </w:pPr>
    </w:p>
    <w:p>
      <w:pPr>
        <w:ind w:firstLine="891"/>
        <w:spacing w:after="0" w:line="242"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gamma-aminobutyric acid-gated chloride ("GABA-Cl") channels. We are advancing our pipeline to address a number of diseases across therapeutic categories including eye care, dermatology and other diseases with high, unmet needs. These diseases include Demodex blepharitis, Meibomian Gland Disease ("MGD"), rosacea, Lyme disease, and malaria.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right="120" w:firstLine="891"/>
        <w:spacing w:after="0" w:line="289" w:lineRule="auto"/>
        <w:rPr>
          <w:sz w:val="20"/>
          <w:szCs w:val="20"/>
          <w:color w:val="auto"/>
        </w:rPr>
      </w:pPr>
      <w:r>
        <w:rPr>
          <w:rFonts w:ascii="Times New Roman" w:cs="Times New Roman" w:eastAsia="Times New Roman" w:hAnsi="Times New Roman"/>
          <w:sz w:val="17"/>
          <w:szCs w:val="17"/>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58" w:lineRule="exact"/>
        <w:rPr>
          <w:sz w:val="20"/>
          <w:szCs w:val="20"/>
          <w:color w:val="auto"/>
        </w:rPr>
      </w:pPr>
    </w:p>
    <w:p>
      <w:pPr>
        <w:ind w:right="440" w:firstLine="891"/>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through private placements of preferred stock and convertible promissory notes. From inception through September 30, 2020, we have raised net proceeds of approximately $101.0 million through private placements of preferred stock.</w:t>
      </w:r>
    </w:p>
    <w:p>
      <w:pPr>
        <w:spacing w:after="0" w:line="162"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 xml:space="preserve">On October 20, 2020, we completed our initial public offering ("IPO") through an underwritten sale of 5,500,000 shares of common stock at a price of $16.00 per share. The aggregate net proceeds from the offering, inclusive of an additional 825,000 shares sold upon the full exercise of the underwriters’ option to purchase additional shares of common stock, after deducting underwriting discounts and commissions and other offering expenses, were approximately $91.7 million. Concurrent with the IPO, all then-outstanding shares of our convertible preferred stock outstanding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automatically converted into an aggregate of 11,107,018 issued common shares.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In advance of the IPO, on October 8, 2020, our board of directors approved a 1-for-7.4276 reverse stock split of our capital stock. All share and per share information included in the accompanying financial statements has been adjusted to reflect this reverse stock split.</w:t>
      </w:r>
    </w:p>
    <w:p>
      <w:pPr>
        <w:spacing w:after="0" w:line="162"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operating losses in every year since our inception and expect to continue to incur significant operating expenses and increasing operating losses for the foreseeable future. Our net losses were $15.3 million and $3.3 million for the nine months ended September 30, 2020 and 2019, respectively. Our net losses may fluctuate significantly from quarter to quarter and year to year and could be substantial. As of September 30, 2020 and December 31, 2019, we had an accumulated deficit of $21.4 million and $6.0 million, respectively, from research and development and general and administrative activities since our inception. We anticipate that our operating expenses will increase significantly as we:</w:t>
      </w:r>
    </w:p>
    <w:p>
      <w:pPr>
        <w:spacing w:after="0" w:line="183" w:lineRule="exact"/>
        <w:rPr>
          <w:sz w:val="20"/>
          <w:szCs w:val="20"/>
          <w:color w:val="auto"/>
        </w:rPr>
      </w:pPr>
    </w:p>
    <w:p>
      <w:pPr>
        <w:ind w:left="1020" w:right="320" w:hanging="324"/>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our lead product candidate, TP-03, for the treatment of Demodex blepharitis including our Phase 2b/3 trial, Saturn-1, and our Phase 3 trial, Saturn-2;</w:t>
      </w:r>
    </w:p>
    <w:p>
      <w:pPr>
        <w:spacing w:after="0" w:line="161" w:lineRule="exact"/>
        <w:rPr>
          <w:rFonts w:ascii="Times New Roman" w:cs="Times New Roman" w:eastAsia="Times New Roman" w:hAnsi="Times New Roman"/>
          <w:sz w:val="18"/>
          <w:szCs w:val="18"/>
          <w:color w:val="auto"/>
        </w:rPr>
      </w:pPr>
    </w:p>
    <w:p>
      <w:pPr>
        <w:ind w:left="1020" w:right="240" w:hanging="324"/>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TP-03 for the treatment of MGD, TP-04 for the potential treatment of rosacea and TP-05 for potential Lyme prophylaxis and community malaria reduction;</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 that successfully complete clinical development, if any;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own salesforce in the United States to commercialize our products for which we obtain regulatory approval;</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any products for which we may obtain marketing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20" w:right="440" w:hanging="324"/>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operations, financial, and other support personnel, to execute our business plan; and</w:t>
      </w:r>
    </w:p>
    <w:p>
      <w:pPr>
        <w:spacing w:after="0" w:line="161"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potential future commercialization efforts, and to enable us to operate as a public company.</w:t>
      </w:r>
    </w:p>
    <w:p>
      <w:pPr>
        <w:spacing w:after="0" w:line="16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8"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As of September 30, 2020, our aggregate cash and cash equivalents was $86.3 million. We believe that our existing cash and cash equivalents and proceeds from our IPO will enable us to fund our operating expenses and capital expenditure requirements into the fourth quarter of 2022 – see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76"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20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7"/>
          <w:szCs w:val="17"/>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2b/3 Saturn-1 trial, we have instituted various protocols for our sites, including increasing health screening of individuals and providing enhanced communication and training to staff regarding COVID-19. We have also over-enrolled trial participants and identified additional clinical sites in case there are site closures due to COVID-19. However, the ultimate effect from this pandemic on our development timelines for TP-03 and our other product candidates is inherently uncertain.</w:t>
      </w:r>
    </w:p>
    <w:p>
      <w:pPr>
        <w:spacing w:after="0" w:line="170"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in this report for a further discussion of the potential adverse impact of COVID-19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research and development expenses consist of expenses incurred in connection with the development of our product candidates, including:</w:t>
      </w:r>
    </w:p>
    <w:p>
      <w:pPr>
        <w:spacing w:after="0" w:line="225" w:lineRule="exact"/>
        <w:rPr>
          <w:sz w:val="20"/>
          <w:szCs w:val="20"/>
          <w:color w:val="auto"/>
        </w:rPr>
      </w:pPr>
    </w:p>
    <w:p>
      <w:pPr>
        <w:ind w:left="1020" w:right="440" w:hanging="324"/>
        <w:spacing w:after="0" w:line="282"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to conduct certain research and development activities on our behalf, including under agreements with contract research organizations ("CROs");</w:t>
      </w:r>
    </w:p>
    <w:p>
      <w:pPr>
        <w:spacing w:after="0" w:line="161" w:lineRule="exact"/>
        <w:rPr>
          <w:rFonts w:ascii="Times New Roman" w:cs="Times New Roman" w:eastAsia="Times New Roman" w:hAnsi="Times New Roman"/>
          <w:sz w:val="18"/>
          <w:szCs w:val="18"/>
          <w:color w:val="auto"/>
        </w:rPr>
      </w:pPr>
    </w:p>
    <w:p>
      <w:pPr>
        <w:ind w:left="1020" w:right="680" w:hanging="324"/>
        <w:spacing w:after="0" w:line="282"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agreements, such as our upfront in-license fee for lotilaner and subsequent clinical development milestone achievements;</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and certain allocated payroll and employee-related expenses (including stock-based compensation and salaries)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drug products for use in our preclinical studies and clinical trials;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expenses, which include direct and allocated expenses for rent of our laboratory.</w:t>
      </w:r>
    </w:p>
    <w:p>
      <w:pPr>
        <w:spacing w:after="0" w:line="22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deliverables provided, by CROs or contract manufacturing organizations ("CMOs") and (ii) patient visits and dosing. To estimate period expense for recognition, we use information provided to us by our service providers and we then apply the corresponding fee schedule.</w:t>
      </w:r>
    </w:p>
    <w:p>
      <w:pPr>
        <w:spacing w:after="0" w:line="183"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our internal research and development expenses on a program-by-program basis as they primarily relate to employee compensation and other costs which are deployed across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multiple projects under development. For the nine months ended September 30, 2020 and 2019, substantially all of our research and development expenses are attributable to our TP-03 program for Demodex blepharitis.</w:t>
      </w:r>
    </w:p>
    <w:p>
      <w:pPr>
        <w:spacing w:after="0" w:line="16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and in the future, as we seek to initiate and progress additional clinical trials for our product candidates, including TP-03 for the potential treatment of MGD, TP-04 for the potential treatment of rosacea and TP-05 for potential Lyme prophylaxis and community malaria reduction,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the section titled “Risk Factors” in this report for a discussion of risks and uncertainties associated with our research and development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76" w:lineRule="exact"/>
        <w:rPr>
          <w:sz w:val="20"/>
          <w:szCs w:val="20"/>
          <w:color w:val="auto"/>
        </w:rPr>
      </w:pPr>
    </w:p>
    <w:p>
      <w:pPr>
        <w:ind w:right="340" w:firstLine="891"/>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on our convertible promissory notes and other expense from the change in fair value of the derivative liabilities associated with these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The federal research and development tax credits begin to expire in 2037 unless previously utilized, and the California credit carryforwards are available indefinitely.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6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7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$7.6 million for the three months ended September 30, 2020. The increase was primarily due to (i) an upfront payment to our licensor (in the form of our common stock issuance) then valued at $3.1 million as consideration for an expanded in-license agreement executed in September 2020 for lotilaner to cure or treat all diseases and conditions in humans (beyond that of the eye or skin that we already held exclusive rights to treat), (ii) a Demodex blepharitis clinical milestone achievement in September 2020 requiring a $1.0 million payment to our licensor, (iii) increased manufacturing and development activities of $3.1 million to support our clinical studies, and (iv) increased payroll and personnel-related expenses (including stock-based compensation) of $0.4 million due to additional clinical and formulation development employees to drive our product development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$1.9 million for the three months ended September 30, 2020. The increase was primarily due to (i) $0.9 million increase in payroll and personnel-related expenses (including stock-based compensation) for employee additions, (ii) increased professional fees and outside services of $0.6 million, and (iii) increased market research activities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right="420" w:firstLine="891"/>
        <w:spacing w:after="0" w:line="282" w:lineRule="auto"/>
        <w:rPr>
          <w:sz w:val="20"/>
          <w:szCs w:val="20"/>
          <w:color w:val="auto"/>
        </w:rPr>
      </w:pPr>
      <w:r>
        <w:rPr>
          <w:rFonts w:ascii="Times New Roman" w:cs="Times New Roman" w:eastAsia="Times New Roman" w:hAnsi="Times New Roman"/>
          <w:sz w:val="18"/>
          <w:szCs w:val="18"/>
          <w:color w:val="auto"/>
        </w:rPr>
        <w:t>The increase in interest income (expense), net of $25 thousand was primarily due to interest expense from our convertible notes. The $2.0 million of this note principal value was converted into shares of Series B Preferred Stock under its contractual terms in December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During May and August, and October 2019, we issued convertible promissory notes to our co-founders and certain other related parties, aggregating $2.0 million in principal value. These notes contained stock-settled redemption features that were required to be separately accounted for as derivative liabilities on the balance sheet until December 13, 2019, when we completed a "qualified equity financing". These then-outstanding notes converted, at the option of the holder, into 2.0 million shares of Series B preferred stock. The fair value adjustment of this derivative liability consisted of non-cash changes in the fair value of these stock-settled redemption features.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67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7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increased by $8.8 million for the nine months ended September 30, 2020. The increase was primarily due to (i) an upfront payment to our licensor (in the form of our common stock issuance) then valued at $3.1 million as consideration for an expanded in-license agreement executed in September 2020 for lotilaner to cure or treat all diseases and conditions in humans (beyond that of the eye or skin that we already held exclusive rights to treat), (ii) a Demodex blepharitis clinical milestone achievement in September 2020 requiring a $1.0 million payment to our licensor, (iii) increased payroll and personnel related expenses (including stock-based compensation) of $1.0 million due to additional clinical and formulation development employees to drive our product development initiatives, and (iv) increased manufacturing and clinical trial activities of</w:t>
      </w:r>
    </w:p>
    <w:p>
      <w:pPr>
        <w:spacing w:after="0" w:line="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$4.7 million to support our clinical development programs. This increase was partially offset by a $1.0 million payment due to the same licensor in January 2019 at agreement execution for lotilaner to cure or treat all eye or skin diseases and conditions in humans.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$3.5 million for the nine months ended September 30, 2020. The increase was primarily due to (i) $1.6 million increase in payroll and personnel-related expenses (including stock-based compensation) for employee additions, (ii) increased professional fees and outside services of $1.3 million, and (iii) increased market research activities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The increase in interest income (expense), net of $0.2 million was primarily due to interest earned on our money market funds that were attributable to our invested $57.4 million net proceeds from the issuance of our Series B convertible preferred stock in December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During May and August, and October 2019, we issued convertible promissory notes to our co-founders and certain other related parties, aggregating $2.0 million in principal value. These notes contained stock-settled redemption features that were required to be separately accounted for as a derivative liability on the balance sheet until December 13, 2019 when we completed a "qualified equity financing". These then-outstanding notes converted, at the option of the holder, into 2.0 million shares of Series B preferred stock. The fair value adjustment of this derivative liability consisted of non-cash changes in the fair value of these stock-settled redemption features.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Since our inception in 2016 through September 30, 2020, our operations have been substantially financed by net cash proceeds of</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$101.0 million from private placements of Series A, Series B, and Series C preferred stock. We will continue to be dependent upon equity, debt financing, and/or other forms of capital raises at least until we are able to generate significant positive cash flows from our operations. As of September 30, 2020, we had cash and cash equivalents of $86.3 million. We have no ongoing material financing commitments, such as lines of credit or guarantees, that are expected to affect our liquidity over the next five years.</w:t>
      </w:r>
    </w:p>
    <w:p>
      <w:pPr>
        <w:spacing w:after="0" w:line="18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On October 20, 2020, we completed our IPO through an underwritten sale of 5,500,000 shares of our common stock at a price of $16.00 per share. The aggregate net proceeds from the offering, inclusive of an additional 825,000 common shares sold upon the full exercise of the underwriters’ purchase option, after deducting underwriting discounts and commissions and other offering expenses, were approximately $91.7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280" w:firstLine="891"/>
        <w:spacing w:after="0" w:line="257" w:lineRule="auto"/>
        <w:rPr>
          <w:sz w:val="20"/>
          <w:szCs w:val="20"/>
          <w:color w:val="auto"/>
        </w:rPr>
      </w:pPr>
      <w:r>
        <w:rPr>
          <w:rFonts w:ascii="Times New Roman" w:cs="Times New Roman" w:eastAsia="Times New Roman" w:hAnsi="Times New Roman"/>
          <w:sz w:val="18"/>
          <w:szCs w:val="18"/>
          <w:color w:val="auto"/>
        </w:rPr>
        <w:t>Our primary use of cash is to fund operating expenditures, consisting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 w:lineRule="exact"/>
        <w:rPr>
          <w:sz w:val="20"/>
          <w:szCs w:val="20"/>
          <w:color w:val="auto"/>
        </w:rPr>
      </w:pPr>
    </w:p>
    <w:p>
      <w:pPr>
        <w:ind w:firstLine="891"/>
        <w:spacing w:after="0" w:line="277" w:lineRule="auto"/>
        <w:rPr>
          <w:sz w:val="20"/>
          <w:szCs w:val="20"/>
          <w:color w:val="auto"/>
        </w:rPr>
      </w:pPr>
      <w:r>
        <w:rPr>
          <w:rFonts w:ascii="Times New Roman" w:cs="Times New Roman" w:eastAsia="Times New Roman" w:hAnsi="Times New Roman"/>
          <w:sz w:val="17"/>
          <w:szCs w:val="17"/>
          <w:color w:val="auto"/>
        </w:rPr>
        <w:t>We believe that the net proceeds from our IPO, in combination with our existing cash and cash equivalents, will enable us to fund our operating expenses and capital expenditure requirements into the fourth quarter of 2022. We have based these estimates on our current assumptions that may require future adjustments based on our ongoing business decisions. Accordingly, we may require additional capital resources earlier than we currently expect.</w:t>
      </w:r>
    </w:p>
    <w:p>
      <w:pPr>
        <w:spacing w:after="0" w:line="16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clinical development programs and begin activities related to commercial launch readiness. We may encounter unforeseen expenses, difficulties, complications, delays and other currently unknown factors that could adversely affect our business.</w:t>
      </w:r>
    </w:p>
    <w:p>
      <w:pPr>
        <w:spacing w:after="0" w:line="187"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162" w:lineRule="exact"/>
        <w:rPr>
          <w:sz w:val="20"/>
          <w:szCs w:val="20"/>
          <w:color w:val="auto"/>
        </w:rPr>
      </w:pPr>
    </w:p>
    <w:p>
      <w:pPr>
        <w:ind w:left="1020" w:right="200" w:hanging="324"/>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25" w:lineRule="exact"/>
        <w:rPr>
          <w:rFonts w:ascii="Times New Roman" w:cs="Times New Roman" w:eastAsia="Times New Roman" w:hAnsi="Times New Roman"/>
          <w:sz w:val="18"/>
          <w:szCs w:val="18"/>
          <w:color w:val="auto"/>
        </w:rPr>
      </w:pPr>
    </w:p>
    <w:p>
      <w:pPr>
        <w:ind w:left="1020" w:right="540" w:hanging="324"/>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300" w:hanging="324"/>
        <w:spacing w:after="0" w:line="282"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COVID-19 on our clinical development or operations;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From May 2019 through October 2019, we issued convertible promissory notes with an aggregate principal amount of $2.0 million. These notes were fully converted into an aggregate of 268,056 shares of Series B preferred stock in December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$11.1 million for the nine months ended September 30, 2020 and primarily represented our net loss of $15.3 million. This amount was partially offset by non-cash items totaling $3.8 million and a net increase in liabilities of $0.7 million associated with accounts payable and accrued bonuses.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$2.9 million for the nine months ended September 30, 2019 and primarily represented our net loss of $3.3 million. This amount was partially offset by an increase in accrued liabilities of $0.3 million associated with clinical and manufacturing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680" w:firstLine="8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$0.5 million for the nine months ended September 30, 2020, which consisted of property and equipment purchases and leasehold improvements to our laboratory and administrative offices.</w:t>
      </w:r>
    </w:p>
    <w:p>
      <w:pPr>
        <w:spacing w:after="0" w:line="162" w:lineRule="exact"/>
        <w:rPr>
          <w:sz w:val="20"/>
          <w:szCs w:val="20"/>
          <w:color w:val="auto"/>
        </w:rPr>
      </w:pPr>
    </w:p>
    <w:p>
      <w:pPr>
        <w:ind w:right="680" w:firstLine="8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nine months ended September 30, 2019, which consisted of property and equipment purchases.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$40.0 million for the nine months ended September 30, 2020 and was attributable to our issuance of Series C preferred stock for net proceeds of $39.8 million and proceeds from pre-vesting exercises of stock options aggregating to $0.4 million.</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nine months ended September 30, 2019 due to our issuance of convertible promissory notes for proceeds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ind w:firstLine="891"/>
        <w:spacing w:after="0" w:line="242" w:lineRule="auto"/>
        <w:rPr>
          <w:sz w:val="20"/>
          <w:szCs w:val="20"/>
          <w:color w:val="auto"/>
        </w:rPr>
      </w:pPr>
      <w:r>
        <w:rPr>
          <w:rFonts w:ascii="Times New Roman" w:cs="Times New Roman" w:eastAsia="Times New Roman" w:hAnsi="Times New Roman"/>
          <w:sz w:val="18"/>
          <w:szCs w:val="18"/>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Form S-1. There were no material changes to our critical accounting policies during the nine months ended September 30,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the Company’s contractual obligations disclosed in “Management’s Discussion and Analysis of Financial Condition and Results of Operations” included in the prospectus dated October 15, 2020 filed with the SEC pursuant to Rule 424(b)(4)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amended and restated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2020 or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The Jumpstart Our Business Startups Act of 2012, as amended (the "JOBS Act") permits an “emerging growth company” such as us to take advantage of an extended transition period to comply with new or revised accounting standards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applicable to public companies. We have irrevocably elected to opt out of this provision and, as a result, we will comply with new or revised accounting standards as required when they are adopted.</w:t>
      </w:r>
    </w:p>
    <w:p>
      <w:pPr>
        <w:spacing w:after="0" w:line="16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80" w:firstLine="891"/>
        <w:spacing w:after="0" w:line="256" w:lineRule="auto"/>
        <w:rPr>
          <w:sz w:val="20"/>
          <w:szCs w:val="20"/>
          <w:color w:val="auto"/>
        </w:rPr>
      </w:pPr>
      <w:r>
        <w:rPr>
          <w:rFonts w:ascii="Times New Roman" w:cs="Times New Roman" w:eastAsia="Times New Roman" w:hAnsi="Times New Roman"/>
          <w:sz w:val="18"/>
          <w:szCs w:val="18"/>
          <w:color w:val="auto"/>
        </w:rPr>
        <w:t>This filing contains forward-looking statements. All statements other than statements of historical facts contained in this report,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jc w:val="both"/>
        <w:ind w:right="440" w:firstLine="891"/>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report include, but are not limited to, statements about:</w:t>
      </w:r>
    </w:p>
    <w:p>
      <w:pPr>
        <w:spacing w:after="0" w:line="176" w:lineRule="exact"/>
        <w:rPr>
          <w:sz w:val="20"/>
          <w:szCs w:val="20"/>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225" w:lineRule="exact"/>
        <w:rPr>
          <w:rFonts w:ascii="Times New Roman" w:cs="Times New Roman" w:eastAsia="Times New Roman" w:hAnsi="Times New Roman"/>
          <w:sz w:val="18"/>
          <w:szCs w:val="18"/>
          <w:color w:val="auto"/>
        </w:rPr>
      </w:pPr>
    </w:p>
    <w:p>
      <w:pPr>
        <w:ind w:left="1020" w:right="320" w:hanging="324"/>
        <w:spacing w:after="0" w:line="282"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61"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25" w:lineRule="exact"/>
        <w:rPr>
          <w:rFonts w:ascii="Times New Roman" w:cs="Times New Roman" w:eastAsia="Times New Roman" w:hAnsi="Times New Roman"/>
          <w:sz w:val="18"/>
          <w:szCs w:val="18"/>
          <w:color w:val="auto"/>
        </w:rPr>
      </w:pPr>
    </w:p>
    <w:p>
      <w:pPr>
        <w:ind w:left="1020" w:right="620" w:hanging="324"/>
        <w:spacing w:after="0" w:line="282"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line="282"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161" w:lineRule="exact"/>
        <w:rPr>
          <w:rFonts w:ascii="Times New Roman" w:cs="Times New Roman" w:eastAsia="Times New Roman" w:hAnsi="Times New Roman"/>
          <w:sz w:val="18"/>
          <w:szCs w:val="18"/>
          <w:color w:val="auto"/>
        </w:rPr>
      </w:pPr>
    </w:p>
    <w:p>
      <w:pPr>
        <w:ind w:left="1020" w:right="200" w:hanging="324"/>
        <w:spacing w:after="0" w:line="282"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61" w:lineRule="exact"/>
        <w:rPr>
          <w:rFonts w:ascii="Times New Roman" w:cs="Times New Roman" w:eastAsia="Times New Roman" w:hAnsi="Times New Roman"/>
          <w:sz w:val="18"/>
          <w:szCs w:val="18"/>
          <w:color w:val="auto"/>
        </w:rPr>
      </w:pPr>
    </w:p>
    <w:p>
      <w:pPr>
        <w:ind w:left="1020" w:right="680" w:hanging="324"/>
        <w:spacing w:after="0" w:line="282"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25"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IPO.</w:t>
      </w:r>
    </w:p>
    <w:p>
      <w:pPr>
        <w:spacing w:after="0" w:line="225"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83" w:lineRule="exact"/>
        <w:rPr>
          <w:sz w:val="20"/>
          <w:szCs w:val="20"/>
          <w:color w:val="auto"/>
        </w:rPr>
      </w:pPr>
    </w:p>
    <w:p>
      <w:pPr>
        <w:ind w:right="60" w:firstLine="891"/>
        <w:spacing w:after="0" w:line="312" w:lineRule="auto"/>
        <w:rPr>
          <w:sz w:val="20"/>
          <w:szCs w:val="20"/>
          <w:color w:val="auto"/>
        </w:rPr>
      </w:pPr>
      <w:r>
        <w:rPr>
          <w:rFonts w:ascii="Times New Roman" w:cs="Times New Roman" w:eastAsia="Times New Roman" w:hAnsi="Times New Roman"/>
          <w:sz w:val="17"/>
          <w:szCs w:val="17"/>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2020, we had cash and cash equivalents of $86.3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3"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foreign currency exchange rate fluctuations had a significant impact on our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have not experienced any material impact on our internal control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You should consider and read carefully all of the risks and uncertainties described below, together with the all of the other information contained in this report, including the section titled “Management’s Discussion and Analysis of Financial Condition and Results of Operations” and our financial statements and the related notes, before investing in our common stock. The risks and uncertainties described below are on the only ones we face. Additional risks and uncertainties not currently known to us or that we currently deem to be immaterial also may materially adversely affect our business, financial condition and/or operating results.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report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43" w:lineRule="exact"/>
        <w:rPr>
          <w:sz w:val="20"/>
          <w:szCs w:val="20"/>
          <w:color w:val="auto"/>
        </w:rPr>
      </w:pPr>
    </w:p>
    <w:p>
      <w:pPr>
        <w:ind w:right="200" w:firstLine="500"/>
        <w:spacing w:after="0" w:line="266"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more significant risks associated with our business include the following:</w:t>
      </w:r>
    </w:p>
    <w:p>
      <w:pPr>
        <w:spacing w:after="0" w:line="203" w:lineRule="exact"/>
        <w:rPr>
          <w:sz w:val="20"/>
          <w:szCs w:val="20"/>
          <w:color w:val="auto"/>
        </w:rPr>
      </w:pPr>
    </w:p>
    <w:p>
      <w:pPr>
        <w:ind w:left="660" w:right="180" w:hanging="328"/>
        <w:spacing w:after="0" w:line="268" w:lineRule="auto"/>
        <w:tabs>
          <w:tab w:leader="none" w:pos="648"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7"/>
          <w:szCs w:val="17"/>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99" w:lineRule="exact"/>
        <w:rPr>
          <w:rFonts w:ascii="Arial" w:cs="Arial" w:eastAsia="Arial" w:hAnsi="Arial"/>
          <w:sz w:val="19"/>
          <w:szCs w:val="19"/>
          <w:color w:val="auto"/>
        </w:rPr>
      </w:pPr>
    </w:p>
    <w:p>
      <w:pPr>
        <w:ind w:left="660" w:right="180" w:hanging="328"/>
        <w:spacing w:after="0" w:line="238"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25"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We are heavily dependent on the success of our lead product candidate, TP-03 for the treatment of Demodex blepharitis.</w:t>
      </w:r>
    </w:p>
    <w:p>
      <w:pPr>
        <w:spacing w:after="0" w:line="229" w:lineRule="exact"/>
        <w:rPr>
          <w:rFonts w:ascii="Arial" w:cs="Arial" w:eastAsia="Arial" w:hAnsi="Arial"/>
          <w:sz w:val="20"/>
          <w:szCs w:val="20"/>
          <w:color w:val="auto"/>
        </w:rPr>
      </w:pPr>
    </w:p>
    <w:p>
      <w:pPr>
        <w:ind w:left="660" w:right="160" w:hanging="328"/>
        <w:spacing w:after="0" w:line="238"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225" w:lineRule="exact"/>
        <w:rPr>
          <w:rFonts w:ascii="Arial" w:cs="Arial" w:eastAsia="Arial" w:hAnsi="Arial"/>
          <w:sz w:val="20"/>
          <w:szCs w:val="20"/>
          <w:color w:val="auto"/>
        </w:rPr>
      </w:pPr>
    </w:p>
    <w:p>
      <w:pPr>
        <w:ind w:left="660" w:hanging="328"/>
        <w:spacing w:after="0" w:line="236"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Even if TP-03 or any other product candidate that we develop receives marketing approval, we may not be successful in educating eye care physician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28" w:lineRule="exact"/>
        <w:rPr>
          <w:rFonts w:ascii="Arial" w:cs="Arial" w:eastAsia="Arial" w:hAnsi="Arial"/>
          <w:sz w:val="20"/>
          <w:szCs w:val="20"/>
          <w:color w:val="auto"/>
        </w:rPr>
      </w:pPr>
    </w:p>
    <w:p>
      <w:pPr>
        <w:ind w:left="660" w:right="300" w:hanging="328"/>
        <w:spacing w:after="0" w:line="237"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development and commercialization of our products, including our lead product candidate, TP-03 for the potential treatment of Demodex blepharitis and Meibomian Glad Disease (“MGD”) TP-04 for the potential treatment of rosacea and TP-05 for potential Lyme prophylaxis and community malaria reduction, is dependent on intellectual property we license from Elanco Tiergesundheit AG (“Elanco”). If we breach our agreements with Elanco or the agreements are terminated, we could lose license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We will need to develop and expand our company and we may encounter difficulties in managing our growth, which could disrupt our operations.</w:t>
      </w:r>
    </w:p>
    <w:p>
      <w:pPr>
        <w:spacing w:after="0" w:line="229" w:lineRule="exact"/>
        <w:rPr>
          <w:rFonts w:ascii="Arial" w:cs="Arial" w:eastAsia="Arial" w:hAnsi="Arial"/>
          <w:sz w:val="20"/>
          <w:szCs w:val="20"/>
          <w:color w:val="auto"/>
        </w:rPr>
      </w:pPr>
    </w:p>
    <w:p>
      <w:pPr>
        <w:ind w:left="660" w:right="80" w:hanging="328"/>
        <w:spacing w:after="0" w:line="257" w:lineRule="auto"/>
        <w:tabs>
          <w:tab w:leader="none" w:pos="648"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7"/>
          <w:szCs w:val="17"/>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211" w:lineRule="exact"/>
        <w:rPr>
          <w:rFonts w:ascii="Arial" w:cs="Arial" w:eastAsia="Arial" w:hAnsi="Arial"/>
          <w:sz w:val="19"/>
          <w:szCs w:val="19"/>
          <w:color w:val="auto"/>
        </w:rPr>
      </w:pPr>
    </w:p>
    <w:p>
      <w:pPr>
        <w:ind w:left="660" w:right="2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and results of earlier studies and trials may not be predictive of future results.</w:t>
      </w:r>
    </w:p>
    <w:p>
      <w:pPr>
        <w:spacing w:after="0" w:line="226" w:lineRule="exact"/>
        <w:rPr>
          <w:rFonts w:ascii="Arial" w:cs="Arial" w:eastAsia="Arial" w:hAnsi="Arial"/>
          <w:sz w:val="20"/>
          <w:szCs w:val="20"/>
          <w:color w:val="auto"/>
        </w:rPr>
      </w:pPr>
    </w:p>
    <w:p>
      <w:pPr>
        <w:ind w:left="660" w:right="26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226"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We rely on third parties to conduct our clinical trials and perform some of our research and preclinical studies.</w:t>
      </w:r>
    </w:p>
    <w:p>
      <w:pPr>
        <w:spacing w:after="0" w:line="229" w:lineRule="exact"/>
        <w:rPr>
          <w:rFonts w:ascii="Arial" w:cs="Arial" w:eastAsia="Arial" w:hAnsi="Arial"/>
          <w:sz w:val="20"/>
          <w:szCs w:val="20"/>
          <w:color w:val="auto"/>
        </w:rPr>
      </w:pPr>
    </w:p>
    <w:p>
      <w:pPr>
        <w:ind w:left="660" w:hanging="328"/>
        <w:spacing w:after="0" w:line="238"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25" w:lineRule="exact"/>
        <w:rPr>
          <w:rFonts w:ascii="Arial" w:cs="Arial" w:eastAsia="Arial" w:hAnsi="Arial"/>
          <w:sz w:val="20"/>
          <w:szCs w:val="20"/>
          <w:color w:val="auto"/>
        </w:rPr>
      </w:pPr>
    </w:p>
    <w:p>
      <w:pPr>
        <w:ind w:left="660" w:right="10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Patent terms may be inadequate to protect our competitive position on our product candidates and preclinical programs for an adequate amount of time.</w:t>
      </w:r>
    </w:p>
    <w:p>
      <w:pPr>
        <w:spacing w:after="0" w:line="226" w:lineRule="exact"/>
        <w:rPr>
          <w:rFonts w:ascii="Arial" w:cs="Arial" w:eastAsia="Arial" w:hAnsi="Arial"/>
          <w:sz w:val="20"/>
          <w:szCs w:val="20"/>
          <w:color w:val="auto"/>
        </w:rPr>
      </w:pPr>
    </w:p>
    <w:p>
      <w:pPr>
        <w:ind w:left="660" w:right="64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39"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85" w:lineRule="exact"/>
        <w:rPr>
          <w:sz w:val="20"/>
          <w:szCs w:val="20"/>
          <w:color w:val="auto"/>
        </w:rPr>
      </w:pPr>
    </w:p>
    <w:p>
      <w:pPr>
        <w:ind w:right="40" w:firstLine="881"/>
        <w:spacing w:after="0" w:line="238" w:lineRule="auto"/>
        <w:rPr>
          <w:sz w:val="20"/>
          <w:szCs w:val="20"/>
          <w:color w:val="auto"/>
        </w:rPr>
      </w:pPr>
      <w:r>
        <w:rPr>
          <w:rFonts w:ascii="Times New Roman" w:cs="Times New Roman" w:eastAsia="Times New Roman" w:hAnsi="Times New Roman"/>
          <w:sz w:val="18"/>
          <w:szCs w:val="18"/>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convertible promissory notes and the sale of our common stock in our IPO. For the years ended December 31, 2019 and 2018, our net losses were $4.7 million and $1.3 million, respectively. For the nine months ended September 30, 2020 and 2019, our net losses were $15.3 million and $3.3 million, respectively. As of September 30, 2020 and December 31, 2019, we had an accumulated deficit of $21.4 million and $6.0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213" w:lineRule="exact"/>
        <w:rPr>
          <w:sz w:val="20"/>
          <w:szCs w:val="20"/>
          <w:color w:val="auto"/>
        </w:rPr>
      </w:pPr>
    </w:p>
    <w:p>
      <w:pPr>
        <w:ind w:right="260" w:firstLine="881"/>
        <w:spacing w:after="0" w:line="266" w:lineRule="auto"/>
        <w:rPr>
          <w:sz w:val="20"/>
          <w:szCs w:val="20"/>
          <w:color w:val="auto"/>
        </w:rPr>
      </w:pPr>
      <w:r>
        <w:rPr>
          <w:rFonts w:ascii="Times New Roman" w:cs="Times New Roman" w:eastAsia="Times New Roman" w:hAnsi="Times New Roman"/>
          <w:sz w:val="18"/>
          <w:szCs w:val="18"/>
          <w:color w:val="auto"/>
        </w:rPr>
        <w:t>We expect to continue incurring significant expenses and increasing operating losses for the foreseeable future. We expect that our expenses will increase substantially if and as we:</w:t>
      </w:r>
    </w:p>
    <w:p>
      <w:pPr>
        <w:spacing w:after="0" w:line="162" w:lineRule="exact"/>
        <w:rPr>
          <w:sz w:val="20"/>
          <w:szCs w:val="20"/>
          <w:color w:val="auto"/>
        </w:rPr>
      </w:pPr>
    </w:p>
    <w:p>
      <w:pPr>
        <w:ind w:left="1020" w:hanging="32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and initiate additional preclinical, clinical and other studies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225" w:lineRule="exact"/>
        <w:rPr>
          <w:rFonts w:ascii="Times New Roman" w:cs="Times New Roman" w:eastAsia="Times New Roman" w:hAnsi="Times New Roman"/>
          <w:sz w:val="18"/>
          <w:szCs w:val="18"/>
          <w:color w:val="auto"/>
        </w:rPr>
      </w:pPr>
    </w:p>
    <w:p>
      <w:pPr>
        <w:ind w:left="1020" w:right="520" w:hanging="324"/>
        <w:spacing w:after="0" w:line="282" w:lineRule="auto"/>
        <w:tabs>
          <w:tab w:leader="none" w:pos="10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including adding operational, financial and management information systems and personnel;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420" w:hanging="324"/>
        <w:spacing w:after="0" w:line="282"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product development and planned future commercialization efforts, including through hiring additional clinical, regulatory, quality control and scientific personnel;</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and reimbursement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in connection with the development or approval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and expand our intellectual property portfolio;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306" w:lineRule="exact"/>
        <w:rPr>
          <w:sz w:val="20"/>
          <w:szCs w:val="20"/>
          <w:color w:val="auto"/>
        </w:rPr>
      </w:pPr>
    </w:p>
    <w:p>
      <w:pPr>
        <w:ind w:right="60" w:firstLine="891"/>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77" w:lineRule="exact"/>
        <w:rPr>
          <w:sz w:val="20"/>
          <w:szCs w:val="20"/>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regulatory authorities to perform trials or studies in addition to, or different than, those that we currently expect;</w:t>
      </w:r>
    </w:p>
    <w:p>
      <w:pPr>
        <w:spacing w:after="0" w:line="211" w:lineRule="exact"/>
        <w:rPr>
          <w:rFonts w:ascii="Times New Roman" w:cs="Times New Roman" w:eastAsia="Times New Roman" w:hAnsi="Times New Roman"/>
          <w:sz w:val="18"/>
          <w:szCs w:val="18"/>
          <w:color w:val="auto"/>
        </w:rPr>
      </w:pPr>
    </w:p>
    <w:p>
      <w:pPr>
        <w:ind w:left="1020" w:right="600" w:hanging="324"/>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establishing appropriate manufacturing arrangements for or completing the development of any of our product candidates; or</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52" w:lineRule="exact"/>
        <w:rPr>
          <w:sz w:val="20"/>
          <w:szCs w:val="20"/>
          <w:color w:val="auto"/>
        </w:rPr>
      </w:pPr>
    </w:p>
    <w:p>
      <w:pPr>
        <w:ind w:right="340" w:firstLine="881"/>
        <w:spacing w:after="0" w:line="245"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43"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21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881"/>
        <w:spacing w:after="0" w:line="237"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eye care physicians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21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3" w:lineRule="exact"/>
        <w:rPr>
          <w:sz w:val="20"/>
          <w:szCs w:val="20"/>
          <w:color w:val="auto"/>
        </w:rPr>
      </w:pPr>
    </w:p>
    <w:p>
      <w:pPr>
        <w:ind w:right="20" w:firstLine="881"/>
        <w:spacing w:after="0" w:line="241" w:lineRule="auto"/>
        <w:rPr>
          <w:sz w:val="20"/>
          <w:szCs w:val="20"/>
          <w:color w:val="auto"/>
        </w:rPr>
      </w:pPr>
      <w:r>
        <w:rPr>
          <w:rFonts w:ascii="Times New Roman" w:cs="Times New Roman" w:eastAsia="Times New Roman" w:hAnsi="Times New Roman"/>
          <w:sz w:val="18"/>
          <w:szCs w:val="18"/>
          <w:color w:val="auto"/>
        </w:rPr>
        <w:t>Since our inception, we have funded our operations through private placements of preferred stock, convertible promissory notes and the sale of our common stock in our IPO.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as a public company, we incur significant legal, accounting and other costs associated with operating as a public company.</w:t>
      </w:r>
    </w:p>
    <w:p>
      <w:pPr>
        <w:spacing w:after="0" w:line="211"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As of September 30, 2020, we had $86.3 million in cash and cash equivalents. Based on our current business plans, in addition to the completed IPO in October 2020, we believe that our existing cash and cash equivalents will be sufficient to fund our anticipated level of operations through at least the next 12 months. We believe that our cash and cash equivalents will be sufficient to fund our operating expenses and capital expenditure requirements into the fourth quarter of 2022. Accordingly, our existing cash and cash equivalents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218" w:lineRule="exact"/>
        <w:rPr>
          <w:sz w:val="20"/>
          <w:szCs w:val="20"/>
          <w:color w:val="auto"/>
        </w:rPr>
      </w:pPr>
    </w:p>
    <w:p>
      <w:pPr>
        <w:ind w:right="40" w:firstLine="881"/>
        <w:spacing w:after="0" w:line="250"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77" w:lineRule="exact"/>
        <w:rPr>
          <w:sz w:val="20"/>
          <w:szCs w:val="20"/>
          <w:color w:val="auto"/>
        </w:rPr>
      </w:pPr>
    </w:p>
    <w:p>
      <w:pPr>
        <w:ind w:left="1020" w:right="60" w:hanging="324"/>
        <w:spacing w:after="0" w:line="266"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our drug discovery, preclinical development activities, laboratory testing and clinical trials for our product candidates;</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 and our ability to scale them up;</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20" w:right="120" w:hanging="324"/>
        <w:spacing w:after="0" w:line="266"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 and enforcement rules;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225"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pharmaceutical pricing and reimbursement infrastructure;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marketing approval.</w:t>
      </w:r>
    </w:p>
    <w:p>
      <w:pPr>
        <w:spacing w:after="0" w:line="25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generate no revenues from sales of any products and may never generate revenue or be profitable.</w:t>
      </w:r>
    </w:p>
    <w:p>
      <w:pPr>
        <w:spacing w:after="0" w:line="243" w:lineRule="exact"/>
        <w:rPr>
          <w:sz w:val="20"/>
          <w:szCs w:val="20"/>
          <w:color w:val="auto"/>
        </w:rPr>
      </w:pPr>
    </w:p>
    <w:p>
      <w:pPr>
        <w:jc w:val="both"/>
        <w:ind w:right="380" w:firstLine="881"/>
        <w:spacing w:after="0" w:line="272" w:lineRule="auto"/>
        <w:rPr>
          <w:sz w:val="20"/>
          <w:szCs w:val="20"/>
          <w:color w:val="auto"/>
        </w:rPr>
      </w:pPr>
      <w:r>
        <w:rPr>
          <w:rFonts w:ascii="Times New Roman" w:cs="Times New Roman" w:eastAsia="Times New Roman" w:hAnsi="Times New Roman"/>
          <w:sz w:val="17"/>
          <w:szCs w:val="17"/>
          <w:color w:val="auto"/>
        </w:rPr>
        <w:t>We have no products approved for commercial sale and do not anticipate generating any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59" w:lineRule="exact"/>
        <w:rPr>
          <w:sz w:val="20"/>
          <w:szCs w:val="20"/>
          <w:color w:val="auto"/>
        </w:rPr>
      </w:pPr>
    </w:p>
    <w:p>
      <w:pPr>
        <w:ind w:left="1020" w:right="280" w:hanging="324"/>
        <w:spacing w:after="0" w:line="266"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62"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61" w:lineRule="exact"/>
        <w:rPr>
          <w:rFonts w:ascii="Times New Roman" w:cs="Times New Roman" w:eastAsia="Times New Roman" w:hAnsi="Times New Roman"/>
          <w:sz w:val="18"/>
          <w:szCs w:val="18"/>
          <w:color w:val="auto"/>
        </w:rPr>
      </w:pPr>
    </w:p>
    <w:p>
      <w:pPr>
        <w:ind w:left="1020" w:right="64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TP-03 or any other product candidates for which we successfully complete clinical development;</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20" w:right="140" w:hanging="324"/>
        <w:spacing w:after="0" w:line="266"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7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investigational new drug application ("IND") prior to commencing clinical trials in the United States for a particular indication, such as TP-04 for the potential treatment of rosacea (although for TP-04 we first intend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40"/>
        <w:spacing w:after="0" w:line="282" w:lineRule="auto"/>
        <w:rPr>
          <w:sz w:val="20"/>
          <w:szCs w:val="20"/>
          <w:color w:val="auto"/>
        </w:rPr>
      </w:pPr>
      <w:r>
        <w:rPr>
          <w:rFonts w:ascii="Times New Roman" w:cs="Times New Roman" w:eastAsia="Times New Roman" w:hAnsi="Times New Roman"/>
          <w:sz w:val="18"/>
          <w:szCs w:val="18"/>
          <w:color w:val="auto"/>
        </w:rPr>
        <w:t>to conduct a Phase 1/2 trial outside the United States and thus do not plan to submit an IND prior to this trial) and TP-05 for potential Lyme prophylaxis and community malaria reduction;</w:t>
      </w:r>
    </w:p>
    <w:p>
      <w:pPr>
        <w:spacing w:after="0" w:line="162" w:lineRule="exact"/>
        <w:rPr>
          <w:sz w:val="20"/>
          <w:szCs w:val="20"/>
          <w:color w:val="auto"/>
        </w:rPr>
      </w:pPr>
    </w:p>
    <w:p>
      <w:pPr>
        <w:ind w:left="1020" w:right="38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regulatory approval, including the development of a commercial infrastructure, whether in-house or with one or more collaborators;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both prior to and following any marketing approval of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educating ECPs about Demodex blepharitis and related diagnosis;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TP-03 and any of our other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225" w:lineRule="exact"/>
        <w:rPr>
          <w:rFonts w:ascii="Times New Roman" w:cs="Times New Roman" w:eastAsia="Times New Roman" w:hAnsi="Times New Roman"/>
          <w:sz w:val="18"/>
          <w:szCs w:val="18"/>
          <w:color w:val="auto"/>
        </w:rPr>
      </w:pPr>
    </w:p>
    <w:p>
      <w:pPr>
        <w:ind w:left="1020" w:right="44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225"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61" w:lineRule="exact"/>
        <w:rPr>
          <w:rFonts w:ascii="Times New Roman" w:cs="Times New Roman" w:eastAsia="Times New Roman" w:hAnsi="Times New Roman"/>
          <w:sz w:val="18"/>
          <w:szCs w:val="18"/>
          <w:color w:val="auto"/>
        </w:rPr>
      </w:pPr>
    </w:p>
    <w:p>
      <w:pPr>
        <w:ind w:left="1020" w:right="180" w:hanging="324"/>
        <w:spacing w:after="0" w:line="282" w:lineRule="auto"/>
        <w:tabs>
          <w:tab w:leader="none" w:pos="10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for customers and patients from government and third-party payors for product candidates that we develop;</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52" w:lineRule="exact"/>
        <w:rPr>
          <w:sz w:val="20"/>
          <w:szCs w:val="20"/>
          <w:color w:val="auto"/>
        </w:rPr>
      </w:pPr>
    </w:p>
    <w:p>
      <w:pPr>
        <w:ind w:right="20" w:firstLine="891"/>
        <w:spacing w:after="0" w:line="24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207"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208" w:lineRule="exact"/>
        <w:rPr>
          <w:sz w:val="20"/>
          <w:szCs w:val="20"/>
          <w:color w:val="auto"/>
        </w:rPr>
      </w:pPr>
    </w:p>
    <w:p>
      <w:pPr>
        <w:ind w:right="160" w:firstLine="881"/>
        <w:spacing w:after="0" w:line="241"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211" w:lineRule="exact"/>
        <w:rPr>
          <w:sz w:val="20"/>
          <w:szCs w:val="20"/>
          <w:color w:val="auto"/>
        </w:rPr>
      </w:pPr>
    </w:p>
    <w:p>
      <w:pPr>
        <w:ind w:right="100" w:firstLine="881"/>
        <w:spacing w:after="0" w:line="245"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212" w:lineRule="exact"/>
        <w:rPr>
          <w:sz w:val="20"/>
          <w:szCs w:val="20"/>
          <w:color w:val="auto"/>
        </w:rPr>
      </w:pPr>
    </w:p>
    <w:p>
      <w:pPr>
        <w:ind w:right="40" w:firstLine="881"/>
        <w:spacing w:after="0"/>
        <w:rPr>
          <w:sz w:val="20"/>
          <w:szCs w:val="20"/>
          <w:color w:val="auto"/>
        </w:rPr>
      </w:pPr>
      <w:r>
        <w:rPr>
          <w:rFonts w:ascii="Times New Roman" w:cs="Times New Roman" w:eastAsia="Times New Roman" w:hAnsi="Times New Roman"/>
          <w:sz w:val="18"/>
          <w:szCs w:val="18"/>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212" w:lineRule="exact"/>
        <w:rPr>
          <w:sz w:val="20"/>
          <w:szCs w:val="20"/>
          <w:color w:val="auto"/>
        </w:rPr>
      </w:pPr>
    </w:p>
    <w:p>
      <w:pPr>
        <w:jc w:val="both"/>
        <w:ind w:right="320" w:firstLine="881"/>
        <w:spacing w:after="0" w:line="250"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2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212" w:lineRule="exact"/>
        <w:rPr>
          <w:sz w:val="20"/>
          <w:szCs w:val="20"/>
          <w:color w:val="auto"/>
        </w:rPr>
      </w:pPr>
    </w:p>
    <w:p>
      <w:pPr>
        <w:ind w:left="1020" w:right="760" w:hanging="324"/>
        <w:spacing w:after="0" w:line="266" w:lineRule="auto"/>
        <w:tabs>
          <w:tab w:leader="none" w:pos="10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applications, or INDs;</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25"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61" w:lineRule="exact"/>
        <w:rPr>
          <w:rFonts w:ascii="Times New Roman" w:cs="Times New Roman" w:eastAsia="Times New Roman" w:hAnsi="Times New Roman"/>
          <w:sz w:val="18"/>
          <w:szCs w:val="18"/>
          <w:color w:val="auto"/>
        </w:rPr>
      </w:pPr>
    </w:p>
    <w:p>
      <w:pPr>
        <w:ind w:left="1020" w:hanging="324"/>
        <w:spacing w:after="0" w:line="282" w:lineRule="auto"/>
        <w:tabs>
          <w:tab w:leader="none" w:pos="10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1020" w:right="560" w:hanging="324"/>
        <w:spacing w:after="0" w:line="282" w:lineRule="auto"/>
        <w:tabs>
          <w:tab w:leader="none" w:pos="10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61" w:lineRule="exact"/>
        <w:rPr>
          <w:rFonts w:ascii="Times New Roman" w:cs="Times New Roman" w:eastAsia="Times New Roman" w:hAnsi="Times New Roman"/>
          <w:sz w:val="18"/>
          <w:szCs w:val="18"/>
          <w:color w:val="auto"/>
        </w:rPr>
      </w:pPr>
    </w:p>
    <w:p>
      <w:pPr>
        <w:ind w:left="1020" w:right="40" w:hanging="324"/>
        <w:spacing w:after="0" w:line="261" w:lineRule="auto"/>
        <w:tabs>
          <w:tab w:leader="none" w:pos="10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20" w:hanging="324"/>
        <w:spacing w:after="0" w:line="282" w:lineRule="auto"/>
        <w:tabs>
          <w:tab w:leader="none" w:pos="10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61"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61" w:lineRule="exact"/>
        <w:rPr>
          <w:rFonts w:ascii="Times New Roman" w:cs="Times New Roman" w:eastAsia="Times New Roman" w:hAnsi="Times New Roman"/>
          <w:sz w:val="18"/>
          <w:szCs w:val="18"/>
          <w:color w:val="auto"/>
        </w:rPr>
      </w:pPr>
    </w:p>
    <w:p>
      <w:pPr>
        <w:ind w:left="1020" w:right="440" w:hanging="324"/>
        <w:spacing w:after="0" w:line="282" w:lineRule="auto"/>
        <w:tabs>
          <w:tab w:leader="none" w:pos="10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which may impact review and approval timelines;</w:t>
      </w:r>
    </w:p>
    <w:p>
      <w:pPr>
        <w:spacing w:after="0" w:line="225"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COVID-19;</w:t>
      </w:r>
    </w:p>
    <w:p>
      <w:pPr>
        <w:spacing w:after="0" w:line="161"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52" w:lineRule="exact"/>
        <w:rPr>
          <w:sz w:val="20"/>
          <w:szCs w:val="20"/>
          <w:color w:val="auto"/>
        </w:rPr>
      </w:pPr>
    </w:p>
    <w:p>
      <w:pPr>
        <w:ind w:firstLine="891"/>
        <w:spacing w:after="0" w:line="241"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211" w:lineRule="exact"/>
        <w:rPr>
          <w:sz w:val="20"/>
          <w:szCs w:val="20"/>
          <w:color w:val="auto"/>
        </w:rPr>
      </w:pPr>
    </w:p>
    <w:p>
      <w:pPr>
        <w:ind w:right="20" w:firstLine="881"/>
        <w:spacing w:after="0"/>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23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85" w:lineRule="exact"/>
        <w:rPr>
          <w:sz w:val="20"/>
          <w:szCs w:val="20"/>
          <w:color w:val="auto"/>
        </w:rPr>
      </w:pPr>
    </w:p>
    <w:p>
      <w:pPr>
        <w:ind w:right="20" w:firstLine="881"/>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211" w:lineRule="exact"/>
        <w:rPr>
          <w:sz w:val="20"/>
          <w:szCs w:val="20"/>
          <w:color w:val="auto"/>
        </w:rPr>
      </w:pPr>
    </w:p>
    <w:p>
      <w:pPr>
        <w:ind w:right="20" w:firstLine="881"/>
        <w:spacing w:after="0" w:line="245"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43" w:lineRule="exact"/>
        <w:rPr>
          <w:sz w:val="20"/>
          <w:szCs w:val="20"/>
          <w:color w:val="auto"/>
        </w:rPr>
      </w:pPr>
    </w:p>
    <w:p>
      <w:pPr>
        <w:ind w:right="20" w:firstLine="881"/>
        <w:spacing w:after="0" w:line="250" w:lineRule="auto"/>
        <w:rPr>
          <w:sz w:val="20"/>
          <w:szCs w:val="20"/>
          <w:color w:val="auto"/>
        </w:rPr>
      </w:pPr>
      <w:r>
        <w:rPr>
          <w:rFonts w:ascii="Times New Roman" w:cs="Times New Roman" w:eastAsia="Times New Roman" w:hAnsi="Times New Roman"/>
          <w:sz w:val="18"/>
          <w:szCs w:val="18"/>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204" w:lineRule="exact"/>
        <w:rPr>
          <w:sz w:val="20"/>
          <w:szCs w:val="20"/>
          <w:color w:val="auto"/>
        </w:rPr>
      </w:pPr>
    </w:p>
    <w:p>
      <w:pPr>
        <w:ind w:firstLine="881"/>
        <w:spacing w:after="0" w:line="239"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214"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212" w:lineRule="exact"/>
        <w:rPr>
          <w:sz w:val="20"/>
          <w:szCs w:val="20"/>
          <w:color w:val="auto"/>
        </w:rPr>
      </w:pPr>
    </w:p>
    <w:p>
      <w:pPr>
        <w:ind w:firstLine="881"/>
        <w:spacing w:after="0" w:line="242" w:lineRule="auto"/>
        <w:rPr>
          <w:sz w:val="20"/>
          <w:szCs w:val="20"/>
          <w:color w:val="auto"/>
        </w:rPr>
      </w:pPr>
      <w:r>
        <w:rPr>
          <w:rFonts w:ascii="Times New Roman" w:cs="Times New Roman" w:eastAsia="Times New Roman" w:hAnsi="Times New Roman"/>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85" w:lineRule="exact"/>
        <w:rPr>
          <w:sz w:val="20"/>
          <w:szCs w:val="20"/>
          <w:color w:val="auto"/>
        </w:rPr>
      </w:pPr>
    </w:p>
    <w:p>
      <w:pPr>
        <w:ind w:right="100" w:firstLine="881"/>
        <w:spacing w:after="0" w:line="238" w:lineRule="auto"/>
        <w:rPr>
          <w:sz w:val="20"/>
          <w:szCs w:val="20"/>
          <w:color w:val="auto"/>
        </w:rPr>
      </w:pPr>
      <w:r>
        <w:rPr>
          <w:rFonts w:ascii="Times New Roman" w:cs="Times New Roman" w:eastAsia="Times New Roman" w:hAnsi="Times New Roman"/>
          <w:sz w:val="18"/>
          <w:szCs w:val="18"/>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any acquisitions, in-license or other collaborations or strategic alliances that we enter into.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881"/>
        <w:spacing w:after="0" w:line="237"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85" w:lineRule="exact"/>
        <w:rPr>
          <w:sz w:val="20"/>
          <w:szCs w:val="20"/>
          <w:color w:val="auto"/>
        </w:rPr>
      </w:pPr>
    </w:p>
    <w:p>
      <w:pPr>
        <w:ind w:right="140" w:firstLine="881"/>
        <w:spacing w:after="0" w:line="245" w:lineRule="auto"/>
        <w:rPr>
          <w:sz w:val="20"/>
          <w:szCs w:val="20"/>
          <w:color w:val="auto"/>
        </w:rPr>
      </w:pPr>
      <w:r>
        <w:rPr>
          <w:rFonts w:ascii="Times New Roman" w:cs="Times New Roman" w:eastAsia="Times New Roman" w:hAnsi="Times New Roman"/>
          <w:sz w:val="18"/>
          <w:szCs w:val="18"/>
          <w:color w:val="auto"/>
        </w:rPr>
        <w:t>As of September 30, 2020, we had 18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181" w:lineRule="exact"/>
        <w:rPr>
          <w:sz w:val="20"/>
          <w:szCs w:val="20"/>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conduct of clinical trials for our product candidates;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52"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212" w:lineRule="exact"/>
        <w:rPr>
          <w:sz w:val="20"/>
          <w:szCs w:val="20"/>
          <w:color w:val="auto"/>
        </w:rPr>
      </w:pPr>
    </w:p>
    <w:p>
      <w:pPr>
        <w:ind w:right="60" w:firstLine="881"/>
        <w:spacing w:after="0" w:line="239"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214" w:lineRule="exact"/>
        <w:rPr>
          <w:sz w:val="20"/>
          <w:szCs w:val="20"/>
          <w:color w:val="auto"/>
        </w:rPr>
      </w:pPr>
    </w:p>
    <w:p>
      <w:pPr>
        <w:ind w:firstLine="881"/>
        <w:spacing w:after="0" w:line="241"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85" w:lineRule="exact"/>
        <w:rPr>
          <w:sz w:val="20"/>
          <w:szCs w:val="20"/>
          <w:color w:val="auto"/>
        </w:rPr>
      </w:pPr>
    </w:p>
    <w:p>
      <w:pPr>
        <w:ind w:right="40" w:firstLine="881"/>
        <w:spacing w:after="0" w:line="238"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license agreement with Elanco Tiergesundheit AG (“Elanco”) granting us a worldwide, sublicensable license for the development and marketing of lotilaner for all applications in humans outside the treatment or cure of any eye or skin condition in humans (“All Human Uses Elanco Agreement”) if is not terminated, or if we have not provided notice to terminate the All Human Uses Elanco Agreement, within 18 months of its effective date, we will be required to issue Elanco additional shares of our common stock equating to $3.0 million of aggregate value.</w:t>
      </w:r>
    </w:p>
    <w:p>
      <w:pPr>
        <w:spacing w:after="0" w:line="218" w:lineRule="exact"/>
        <w:rPr>
          <w:sz w:val="20"/>
          <w:szCs w:val="20"/>
          <w:color w:val="auto"/>
        </w:rPr>
      </w:pPr>
    </w:p>
    <w:p>
      <w:pPr>
        <w:ind w:right="20" w:firstLine="881"/>
        <w:spacing w:after="0" w:line="260" w:lineRule="auto"/>
        <w:rPr>
          <w:sz w:val="20"/>
          <w:szCs w:val="20"/>
          <w:color w:val="auto"/>
        </w:rPr>
      </w:pPr>
      <w:r>
        <w:rPr>
          <w:rFonts w:ascii="Times New Roman" w:cs="Times New Roman" w:eastAsia="Times New Roman" w:hAnsi="Times New Roman"/>
          <w:sz w:val="17"/>
          <w:szCs w:val="17"/>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9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85" w:lineRule="exact"/>
        <w:rPr>
          <w:sz w:val="20"/>
          <w:szCs w:val="20"/>
          <w:color w:val="auto"/>
        </w:rPr>
      </w:pPr>
    </w:p>
    <w:p>
      <w:pPr>
        <w:ind w:right="20" w:firstLine="881"/>
        <w:spacing w:after="0"/>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43" w:lineRule="exact"/>
        <w:rPr>
          <w:sz w:val="20"/>
          <w:szCs w:val="20"/>
          <w:color w:val="auto"/>
        </w:rPr>
      </w:pPr>
    </w:p>
    <w:p>
      <w:pPr>
        <w:ind w:right="40" w:firstLine="881"/>
        <w:spacing w:after="0"/>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43"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We have incurred substantial losses during our history which we expect to continue, do not expect to become profitable in the near future, and we may never achieve profitability.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attain profitability, we may be unable to use a material portion of our NOLs and other tax attributes, which could adversely affect our future cash flows.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the implementation of such reforms could adversely affect us.</w:t>
      </w:r>
    </w:p>
    <w:p>
      <w:pPr>
        <w:spacing w:after="0" w:line="243" w:lineRule="exact"/>
        <w:rPr>
          <w:sz w:val="20"/>
          <w:szCs w:val="20"/>
          <w:color w:val="auto"/>
        </w:rPr>
      </w:pPr>
    </w:p>
    <w:p>
      <w:pPr>
        <w:ind w:right="80" w:firstLine="881"/>
        <w:spacing w:after="0" w:line="238" w:lineRule="auto"/>
        <w:rPr>
          <w:sz w:val="20"/>
          <w:szCs w:val="20"/>
          <w:color w:val="auto"/>
        </w:rPr>
      </w:pPr>
      <w:r>
        <w:rPr>
          <w:rFonts w:ascii="Times New Roman" w:cs="Times New Roman" w:eastAsia="Times New Roman" w:hAnsi="Times New Roman"/>
          <w:sz w:val="18"/>
          <w:szCs w:val="18"/>
          <w:color w:val="auto"/>
        </w:rPr>
        <w:t>On December 22, 2017, the United States enacted the “Tax Cuts and Jobs Act,” (“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215" w:lineRule="exact"/>
        <w:rPr>
          <w:sz w:val="20"/>
          <w:szCs w:val="20"/>
          <w:color w:val="auto"/>
        </w:rPr>
      </w:pPr>
    </w:p>
    <w:p>
      <w:pPr>
        <w:ind w:right="20" w:firstLine="881"/>
        <w:spacing w:after="0"/>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(“FFCR Act”) was enacted on March 18, 2020, and the Coronavirus Aid, Relief, and Economic Security Act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212" w:lineRule="exact"/>
        <w:rPr>
          <w:sz w:val="20"/>
          <w:szCs w:val="20"/>
          <w:color w:val="auto"/>
        </w:rPr>
      </w:pPr>
    </w:p>
    <w:p>
      <w:pPr>
        <w:ind w:right="40" w:firstLine="881"/>
        <w:spacing w:after="0" w:line="245" w:lineRule="auto"/>
        <w:rPr>
          <w:sz w:val="20"/>
          <w:szCs w:val="20"/>
          <w:color w:val="auto"/>
        </w:rPr>
      </w:pPr>
      <w:r>
        <w:rPr>
          <w:rFonts w:ascii="Times New Roman" w:cs="Times New Roman" w:eastAsia="Times New Roman" w:hAnsi="Times New Roman"/>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208" w:lineRule="exact"/>
        <w:rPr>
          <w:sz w:val="20"/>
          <w:szCs w:val="20"/>
          <w:color w:val="auto"/>
        </w:rPr>
      </w:pPr>
    </w:p>
    <w:p>
      <w:pPr>
        <w:ind w:right="80" w:firstLine="881"/>
        <w:spacing w:after="0" w:line="23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213" w:lineRule="exact"/>
        <w:rPr>
          <w:sz w:val="20"/>
          <w:szCs w:val="20"/>
          <w:color w:val="auto"/>
        </w:rPr>
      </w:pPr>
    </w:p>
    <w:p>
      <w:pPr>
        <w:ind w:right="60" w:firstLine="881"/>
        <w:spacing w:after="0" w:line="245" w:lineRule="auto"/>
        <w:rPr>
          <w:sz w:val="20"/>
          <w:szCs w:val="20"/>
          <w:color w:val="auto"/>
        </w:rPr>
      </w:pPr>
      <w:r>
        <w:rPr>
          <w:rFonts w:ascii="Times New Roman" w:cs="Times New Roman" w:eastAsia="Times New Roman" w:hAnsi="Times New Roman"/>
          <w:sz w:val="18"/>
          <w:szCs w:val="18"/>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218"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7"/>
          <w:szCs w:val="17"/>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207"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188" w:lineRule="exact"/>
        <w:rPr>
          <w:sz w:val="20"/>
          <w:szCs w:val="20"/>
          <w:color w:val="auto"/>
        </w:rPr>
      </w:pPr>
    </w:p>
    <w:p>
      <w:pPr>
        <w:ind w:left="1020" w:right="160" w:hanging="324"/>
        <w:spacing w:after="0" w:line="266"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62"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1020" w:right="80" w:hanging="324"/>
        <w:spacing w:after="0" w:line="266"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75" w:lineRule="exact"/>
        <w:rPr>
          <w:rFonts w:ascii="Times New Roman" w:cs="Times New Roman" w:eastAsia="Times New Roman" w:hAnsi="Times New Roman"/>
          <w:sz w:val="18"/>
          <w:szCs w:val="18"/>
          <w:color w:val="auto"/>
        </w:rPr>
      </w:pPr>
    </w:p>
    <w:p>
      <w:pPr>
        <w:ind w:left="1020" w:right="480" w:hanging="324"/>
        <w:spacing w:after="0" w:line="282" w:lineRule="auto"/>
        <w:tabs>
          <w:tab w:leader="none" w:pos="10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at a prospective clinical trial site or at all or may require us to perform additional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unanticipated clinical trials to obtain approval or we may be subject to additional post-marketing testing requirements to maintain regulatory approval;</w:t>
      </w:r>
    </w:p>
    <w:p>
      <w:pPr>
        <w:spacing w:after="0" w:line="162" w:lineRule="exact"/>
        <w:rPr>
          <w:sz w:val="20"/>
          <w:szCs w:val="20"/>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25"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61" w:lineRule="exact"/>
        <w:rPr>
          <w:rFonts w:ascii="Times New Roman" w:cs="Times New Roman" w:eastAsia="Times New Roman" w:hAnsi="Times New Roman"/>
          <w:sz w:val="18"/>
          <w:szCs w:val="18"/>
          <w:color w:val="auto"/>
        </w:rPr>
      </w:pPr>
    </w:p>
    <w:p>
      <w:pPr>
        <w:ind w:left="1020" w:right="58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pacing w:after="0" w:line="161"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225" w:lineRule="exact"/>
        <w:rPr>
          <w:rFonts w:ascii="Times New Roman" w:cs="Times New Roman" w:eastAsia="Times New Roman" w:hAnsi="Times New Roman"/>
          <w:sz w:val="18"/>
          <w:szCs w:val="18"/>
          <w:color w:val="auto"/>
        </w:rPr>
      </w:pPr>
    </w:p>
    <w:p>
      <w:pPr>
        <w:ind w:left="1020" w:right="220" w:hanging="324"/>
        <w:spacing w:after="0" w:line="282"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020" w:right="760" w:hanging="324"/>
        <w:spacing w:after="0" w:line="312" w:lineRule="auto"/>
        <w:tabs>
          <w:tab w:leader="none" w:pos="10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39" w:lineRule="exact"/>
        <w:rPr>
          <w:rFonts w:ascii="Times New Roman" w:cs="Times New Roman" w:eastAsia="Times New Roman" w:hAnsi="Times New Roman"/>
          <w:sz w:val="17"/>
          <w:szCs w:val="17"/>
          <w:color w:val="auto"/>
        </w:rPr>
      </w:pPr>
    </w:p>
    <w:p>
      <w:pPr>
        <w:ind w:left="1020" w:hanging="324"/>
        <w:spacing w:after="0" w:line="266"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175" w:lineRule="exact"/>
        <w:rPr>
          <w:rFonts w:ascii="Times New Roman" w:cs="Times New Roman" w:eastAsia="Times New Roman" w:hAnsi="Times New Roman"/>
          <w:sz w:val="18"/>
          <w:szCs w:val="18"/>
          <w:color w:val="auto"/>
        </w:rPr>
      </w:pPr>
    </w:p>
    <w:p>
      <w:pPr>
        <w:ind w:left="1020" w:right="40" w:hanging="324"/>
        <w:spacing w:after="0" w:line="266" w:lineRule="auto"/>
        <w:tabs>
          <w:tab w:leader="none" w:pos="1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203" w:lineRule="exact"/>
        <w:rPr>
          <w:sz w:val="20"/>
          <w:szCs w:val="20"/>
          <w:color w:val="auto"/>
        </w:rPr>
      </w:pPr>
    </w:p>
    <w:p>
      <w:pPr>
        <w:ind w:right="120" w:firstLine="891"/>
        <w:spacing w:after="0" w:line="245"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1" w:lineRule="exact"/>
        <w:rPr>
          <w:sz w:val="20"/>
          <w:szCs w:val="20"/>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52" w:lineRule="exact"/>
        <w:rPr>
          <w:sz w:val="20"/>
          <w:szCs w:val="20"/>
          <w:color w:val="auto"/>
        </w:rPr>
      </w:pPr>
    </w:p>
    <w:p>
      <w:pPr>
        <w:ind w:firstLine="891"/>
        <w:spacing w:after="0" w:line="238"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21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12" w:lineRule="exact"/>
        <w:rPr>
          <w:sz w:val="20"/>
          <w:szCs w:val="20"/>
          <w:color w:val="auto"/>
        </w:rPr>
      </w:pPr>
    </w:p>
    <w:p>
      <w:pPr>
        <w:ind w:right="40" w:firstLine="881"/>
        <w:spacing w:after="0" w:line="242" w:lineRule="auto"/>
        <w:rPr>
          <w:sz w:val="20"/>
          <w:szCs w:val="20"/>
          <w:color w:val="auto"/>
        </w:rPr>
      </w:pPr>
      <w:r>
        <w:rPr>
          <w:rFonts w:ascii="Times New Roman" w:cs="Times New Roman" w:eastAsia="Times New Roman" w:hAnsi="Times New Roman"/>
          <w:sz w:val="18"/>
          <w:szCs w:val="18"/>
          <w:color w:val="auto"/>
        </w:rPr>
        <w:t>If TP-03 or any other product candidate that we are developing or develop receives marketing approval, it may nonetheless fail to gain sufficient market acceptance by ECPs or other healthcare providers, patients,third-party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212" w:lineRule="exact"/>
        <w:rPr>
          <w:sz w:val="20"/>
          <w:szCs w:val="20"/>
          <w:color w:val="auto"/>
        </w:rPr>
      </w:pPr>
    </w:p>
    <w:p>
      <w:pPr>
        <w:ind w:right="40" w:firstLine="881"/>
        <w:spacing w:after="0" w:line="238" w:lineRule="auto"/>
        <w:rPr>
          <w:sz w:val="20"/>
          <w:szCs w:val="20"/>
          <w:color w:val="auto"/>
        </w:rPr>
      </w:pPr>
      <w:r>
        <w:rPr>
          <w:rFonts w:ascii="Times New Roman" w:cs="Times New Roman" w:eastAsia="Times New Roman" w:hAnsi="Times New Roman"/>
          <w:sz w:val="18"/>
          <w:szCs w:val="18"/>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218" w:lineRule="exact"/>
        <w:rPr>
          <w:sz w:val="20"/>
          <w:szCs w:val="20"/>
          <w:color w:val="auto"/>
        </w:rPr>
      </w:pPr>
    </w:p>
    <w:p>
      <w:pPr>
        <w:ind w:right="120" w:firstLine="881"/>
        <w:spacing w:after="0" w:line="250" w:lineRule="auto"/>
        <w:rPr>
          <w:sz w:val="20"/>
          <w:szCs w:val="20"/>
          <w:color w:val="auto"/>
        </w:rPr>
      </w:pPr>
      <w:r>
        <w:rPr>
          <w:rFonts w:ascii="Times New Roman" w:cs="Times New Roman" w:eastAsia="Times New Roman" w:hAnsi="Times New Roman"/>
          <w:sz w:val="18"/>
          <w:szCs w:val="18"/>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204" w:lineRule="exact"/>
        <w:rPr>
          <w:sz w:val="20"/>
          <w:szCs w:val="20"/>
          <w:color w:val="auto"/>
        </w:rPr>
      </w:pPr>
    </w:p>
    <w:p>
      <w:pPr>
        <w:ind w:right="300" w:firstLine="881"/>
        <w:spacing w:after="0" w:line="250" w:lineRule="auto"/>
        <w:rPr>
          <w:sz w:val="20"/>
          <w:szCs w:val="20"/>
          <w:color w:val="auto"/>
        </w:rPr>
      </w:pPr>
      <w:r>
        <w:rPr>
          <w:rFonts w:ascii="Times New Roman" w:cs="Times New Roman" w:eastAsia="Times New Roman" w:hAnsi="Times New Roman"/>
          <w:sz w:val="18"/>
          <w:szCs w:val="18"/>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77" w:lineRule="exact"/>
        <w:rPr>
          <w:sz w:val="20"/>
          <w:szCs w:val="20"/>
          <w:color w:val="auto"/>
        </w:rPr>
      </w:pPr>
    </w:p>
    <w:p>
      <w:pPr>
        <w:ind w:left="1020" w:right="100" w:hanging="324"/>
        <w:spacing w:after="0" w:line="266" w:lineRule="auto"/>
        <w:tabs>
          <w:tab w:leader="none" w:pos="10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particularly in light of the lower cost of alternative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ECPs to prescribe these therapies;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marketing and distribution support, which may be adversely impacted by the COVID-19 pandemic;</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or physicians that the diseases we are targeting, including Demodex blepharitis, are not burdensome;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competitors to limit our access to the market through anti-competitive contracts or other arrangements;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reimbursement;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4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85" w:lineRule="exact"/>
        <w:rPr>
          <w:sz w:val="20"/>
          <w:szCs w:val="20"/>
          <w:color w:val="auto"/>
        </w:rPr>
      </w:pPr>
    </w:p>
    <w:p>
      <w:pPr>
        <w:ind w:right="60" w:firstLine="881"/>
        <w:spacing w:after="0" w:line="245" w:lineRule="auto"/>
        <w:rPr>
          <w:sz w:val="20"/>
          <w:szCs w:val="20"/>
          <w:color w:val="auto"/>
        </w:rPr>
      </w:pPr>
      <w:r>
        <w:rPr>
          <w:rFonts w:ascii="Times New Roman" w:cs="Times New Roman" w:eastAsia="Times New Roman" w:hAnsi="Times New Roman"/>
          <w:sz w:val="18"/>
          <w:szCs w:val="18"/>
          <w:color w:val="auto"/>
        </w:rPr>
        <w:t>Most of our operations to date have been limited to preclinical studies and clinical trials. We have completed Phase 2 clinical trials for TP-03 for the treatment of Demodex blepharitis and have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208" w:lineRule="exact"/>
        <w:rPr>
          <w:sz w:val="20"/>
          <w:szCs w:val="20"/>
          <w:color w:val="auto"/>
        </w:rPr>
      </w:pPr>
    </w:p>
    <w:p>
      <w:pPr>
        <w:ind w:firstLine="881"/>
        <w:spacing w:after="0" w:line="236" w:lineRule="auto"/>
        <w:rPr>
          <w:sz w:val="20"/>
          <w:szCs w:val="20"/>
          <w:color w:val="auto"/>
        </w:rPr>
      </w:pPr>
      <w:r>
        <w:rPr>
          <w:rFonts w:ascii="Times New Roman" w:cs="Times New Roman" w:eastAsia="Times New Roman" w:hAnsi="Times New Roman"/>
          <w:sz w:val="18"/>
          <w:szCs w:val="18"/>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222" w:lineRule="exact"/>
        <w:rPr>
          <w:sz w:val="20"/>
          <w:szCs w:val="20"/>
          <w:color w:val="auto"/>
        </w:rPr>
      </w:pPr>
    </w:p>
    <w:p>
      <w:pPr>
        <w:jc w:val="both"/>
        <w:ind w:right="400" w:firstLine="881"/>
        <w:spacing w:after="0" w:line="250" w:lineRule="auto"/>
        <w:rPr>
          <w:sz w:val="20"/>
          <w:szCs w:val="20"/>
          <w:color w:val="auto"/>
        </w:rPr>
      </w:pPr>
      <w:r>
        <w:rPr>
          <w:rFonts w:ascii="Times New Roman" w:cs="Times New Roman" w:eastAsia="Times New Roman" w:hAnsi="Times New Roman"/>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other comparable foreign regulatory authorities, or that, if approval is obtained, such product candidates can be successfully commercialized.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trials to date have been small, and we may not be able to replicate our results from completed trials in Phase 3 trials.</w:t>
      </w:r>
    </w:p>
    <w:p>
      <w:pPr>
        <w:spacing w:after="0" w:line="243" w:lineRule="exact"/>
        <w:rPr>
          <w:sz w:val="20"/>
          <w:szCs w:val="20"/>
          <w:color w:val="auto"/>
        </w:rPr>
      </w:pPr>
    </w:p>
    <w:p>
      <w:pPr>
        <w:ind w:right="60" w:firstLine="881"/>
        <w:spacing w:after="0" w:line="238" w:lineRule="auto"/>
        <w:rPr>
          <w:sz w:val="20"/>
          <w:szCs w:val="20"/>
          <w:color w:val="auto"/>
        </w:rPr>
      </w:pPr>
      <w:r>
        <w:rPr>
          <w:rFonts w:ascii="Times New Roman" w:cs="Times New Roman" w:eastAsia="Times New Roman" w:hAnsi="Times New Roman"/>
          <w:sz w:val="18"/>
          <w:szCs w:val="18"/>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21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85" w:lineRule="exact"/>
        <w:rPr>
          <w:sz w:val="20"/>
          <w:szCs w:val="20"/>
          <w:color w:val="auto"/>
        </w:rPr>
      </w:pPr>
    </w:p>
    <w:p>
      <w:pPr>
        <w:ind w:right="140" w:firstLine="881"/>
        <w:spacing w:after="0" w:line="245"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81" w:lineRule="exact"/>
        <w:rPr>
          <w:sz w:val="20"/>
          <w:szCs w:val="20"/>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right="600" w:hanging="324"/>
        <w:spacing w:after="0" w:line="282" w:lineRule="auto"/>
        <w:tabs>
          <w:tab w:leader="none" w:pos="10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or lack of adequate compensation for, prospective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enrolling patients or patients continuing to participate in follow-up visits due to the ongoing COVID-19 pandemic;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52" w:lineRule="exact"/>
        <w:rPr>
          <w:sz w:val="20"/>
          <w:szCs w:val="20"/>
          <w:color w:val="auto"/>
        </w:rPr>
      </w:pPr>
    </w:p>
    <w:p>
      <w:pPr>
        <w:ind w:right="40" w:firstLine="891"/>
        <w:spacing w:after="0" w:line="246"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would reduce the number and types of</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firstLine="881"/>
        <w:spacing w:after="0" w:line="266"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208" w:lineRule="exact"/>
        <w:rPr>
          <w:sz w:val="20"/>
          <w:szCs w:val="20"/>
          <w:color w:val="auto"/>
        </w:rPr>
      </w:pPr>
    </w:p>
    <w:p>
      <w:pPr>
        <w:ind w:right="20" w:firstLine="881"/>
        <w:spacing w:after="0" w:line="250"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204" w:lineRule="exact"/>
        <w:rPr>
          <w:sz w:val="20"/>
          <w:szCs w:val="20"/>
          <w:color w:val="auto"/>
        </w:rPr>
      </w:pPr>
    </w:p>
    <w:p>
      <w:pPr>
        <w:ind w:right="60" w:firstLine="881"/>
        <w:spacing w:after="0" w:line="241"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211" w:lineRule="exact"/>
        <w:rPr>
          <w:sz w:val="20"/>
          <w:szCs w:val="20"/>
          <w:color w:val="auto"/>
        </w:rPr>
      </w:pPr>
    </w:p>
    <w:p>
      <w:pPr>
        <w:ind w:right="60" w:firstLine="881"/>
        <w:spacing w:after="0"/>
        <w:rPr>
          <w:sz w:val="20"/>
          <w:szCs w:val="20"/>
          <w:color w:val="auto"/>
        </w:rPr>
      </w:pPr>
      <w:r>
        <w:rPr>
          <w:rFonts w:ascii="Times New Roman" w:cs="Times New Roman" w:eastAsia="Times New Roman" w:hAnsi="Times New Roman"/>
          <w:sz w:val="18"/>
          <w:szCs w:val="18"/>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 -03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212" w:lineRule="exact"/>
        <w:rPr>
          <w:sz w:val="20"/>
          <w:szCs w:val="20"/>
          <w:color w:val="auto"/>
        </w:rPr>
      </w:pPr>
    </w:p>
    <w:p>
      <w:pPr>
        <w:ind w:right="160" w:firstLine="881"/>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2" w:lineRule="exact"/>
        <w:rPr>
          <w:sz w:val="20"/>
          <w:szCs w:val="20"/>
          <w:color w:val="auto"/>
        </w:rPr>
      </w:pPr>
    </w:p>
    <w:p>
      <w:pPr>
        <w:jc w:val="both"/>
        <w:ind w:left="1020" w:hanging="324"/>
        <w:spacing w:after="0" w:line="250"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76"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seized by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recall of the product;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25" w:lineRule="exact"/>
        <w:rPr>
          <w:rFonts w:ascii="Times New Roman" w:cs="Times New Roman" w:eastAsia="Times New Roman" w:hAnsi="Times New Roman"/>
          <w:sz w:val="18"/>
          <w:szCs w:val="18"/>
          <w:color w:val="auto"/>
        </w:rPr>
      </w:pPr>
    </w:p>
    <w:p>
      <w:pPr>
        <w:ind w:left="1020" w:right="220" w:hanging="324"/>
        <w:spacing w:after="0" w:line="266"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and implement a Risk Evaluation and Mitigation Strategy ("REMS") plan, which could include a medication guide outlining the risks of such side effects for distribution to patients, a communication plan for healthcare providers, including ECPs, and/or other elements to assure safe use;</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there may be resulting harm to physician or patient acceptance of our product.</w:t>
      </w:r>
    </w:p>
    <w:p>
      <w:pPr>
        <w:spacing w:after="0" w:line="252"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85" w:lineRule="exact"/>
        <w:rPr>
          <w:sz w:val="20"/>
          <w:szCs w:val="20"/>
          <w:color w:val="auto"/>
        </w:rPr>
      </w:pPr>
    </w:p>
    <w:p>
      <w:pPr>
        <w:ind w:right="240" w:firstLine="881"/>
        <w:spacing w:after="0" w:line="241"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(“CMC”) and our proposed clinical trial protocol, as part of an IND. The initiation of clinical trials in the European Union(“EU”)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84" w:lineRule="exact"/>
        <w:rPr>
          <w:sz w:val="20"/>
          <w:szCs w:val="20"/>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placing the clinical trial on hold;</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or other product candidates, or participating in competing clinical trials;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of the product;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the supply of our product candidates for our clinical trials;</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66"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product candidates or any of their components being ordered by the FDA or comparable foreign regulatory authorities to temporarily or permanently shut down due to violations of good manufacturing practice ("cGMP") regulations or other applicable requirements, or infections or cross-contaminations of product candidates in the manufacturing process;</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vendors and clinical trial sites;</w:t>
      </w:r>
    </w:p>
    <w:p>
      <w:pPr>
        <w:spacing w:after="0" w:line="225" w:lineRule="exact"/>
        <w:rPr>
          <w:rFonts w:ascii="Times New Roman" w:cs="Times New Roman" w:eastAsia="Times New Roman" w:hAnsi="Times New Roman"/>
          <w:sz w:val="18"/>
          <w:szCs w:val="18"/>
          <w:color w:val="auto"/>
        </w:rPr>
      </w:pPr>
    </w:p>
    <w:p>
      <w:pPr>
        <w:ind w:left="1020" w:hanging="324"/>
        <w:spacing w:after="0" w:line="266"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75" w:lineRule="exact"/>
        <w:rPr>
          <w:rFonts w:ascii="Times New Roman" w:cs="Times New Roman" w:eastAsia="Times New Roman" w:hAnsi="Times New Roman"/>
          <w:sz w:val="18"/>
          <w:szCs w:val="18"/>
          <w:color w:val="auto"/>
        </w:rPr>
      </w:pPr>
    </w:p>
    <w:p>
      <w:pPr>
        <w:ind w:left="1020" w:right="100" w:hanging="324"/>
        <w:spacing w:after="0" w:line="266"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ind w:left="1020" w:right="400" w:hanging="324"/>
        <w:spacing w:after="0" w:line="282"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Institutional Review Boards ("IRBs"), other ethics committees refusing to approve, suspending or terminating the trial at an investigational site, precluding enrollment of additional subjects, or withdrawing its approval of the trial; or</w:t>
      </w:r>
    </w:p>
    <w:p>
      <w:pPr>
        <w:spacing w:after="0" w:line="161" w:lineRule="exact"/>
        <w:rPr>
          <w:rFonts w:ascii="Times New Roman" w:cs="Times New Roman" w:eastAsia="Times New Roman" w:hAnsi="Times New Roman"/>
          <w:sz w:val="18"/>
          <w:szCs w:val="18"/>
          <w:color w:val="auto"/>
        </w:rPr>
      </w:pPr>
    </w:p>
    <w:p>
      <w:pPr>
        <w:ind w:left="1020" w:right="320" w:hanging="324"/>
        <w:spacing w:after="0" w:line="282"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89" w:lineRule="exact"/>
        <w:rPr>
          <w:sz w:val="20"/>
          <w:szCs w:val="20"/>
          <w:color w:val="auto"/>
        </w:rPr>
      </w:pPr>
    </w:p>
    <w:p>
      <w:pPr>
        <w:ind w:firstLine="891"/>
        <w:spacing w:after="0" w:line="242" w:lineRule="auto"/>
        <w:rPr>
          <w:sz w:val="20"/>
          <w:szCs w:val="20"/>
          <w:color w:val="auto"/>
        </w:rPr>
      </w:pPr>
      <w:r>
        <w:rPr>
          <w:rFonts w:ascii="Times New Roman" w:cs="Times New Roman" w:eastAsia="Times New Roman" w:hAnsi="Times New Roman"/>
          <w:sz w:val="18"/>
          <w:szCs w:val="18"/>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development and approval process and jeopardize the commercial prospects of our product candidates and our ability to commence product sales and generate revenue.</w:t>
      </w:r>
    </w:p>
    <w:p>
      <w:pPr>
        <w:spacing w:after="0" w:line="189" w:lineRule="exact"/>
        <w:rPr>
          <w:sz w:val="20"/>
          <w:szCs w:val="20"/>
          <w:color w:val="auto"/>
        </w:rPr>
      </w:pPr>
    </w:p>
    <w:p>
      <w:pPr>
        <w:ind w:right="120" w:firstLine="881"/>
        <w:spacing w:after="0" w:line="241"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20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85" w:lineRule="exact"/>
        <w:rPr>
          <w:sz w:val="20"/>
          <w:szCs w:val="20"/>
          <w:color w:val="auto"/>
        </w:rPr>
      </w:pPr>
    </w:p>
    <w:p>
      <w:pPr>
        <w:ind w:right="60" w:firstLine="881"/>
        <w:spacing w:after="0" w:line="245" w:lineRule="auto"/>
        <w:rPr>
          <w:sz w:val="20"/>
          <w:szCs w:val="20"/>
          <w:color w:val="auto"/>
        </w:rPr>
      </w:pPr>
      <w:r>
        <w:rPr>
          <w:rFonts w:ascii="Times New Roman" w:cs="Times New Roman" w:eastAsia="Times New Roman" w:hAnsi="Times New Roman"/>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208" w:lineRule="exact"/>
        <w:rPr>
          <w:sz w:val="20"/>
          <w:szCs w:val="20"/>
          <w:color w:val="auto"/>
        </w:rPr>
      </w:pPr>
    </w:p>
    <w:p>
      <w:pPr>
        <w:ind w:firstLine="881"/>
        <w:spacing w:after="0" w:line="242" w:lineRule="auto"/>
        <w:rPr>
          <w:sz w:val="20"/>
          <w:szCs w:val="20"/>
          <w:color w:val="auto"/>
        </w:rPr>
      </w:pPr>
      <w:r>
        <w:rPr>
          <w:rFonts w:ascii="Times New Roman" w:cs="Times New Roman" w:eastAsia="Times New Roman" w:hAnsi="Times New Roman"/>
          <w:sz w:val="18"/>
          <w:szCs w:val="18"/>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w:t>
      </w:r>
    </w:p>
    <w:p>
      <w:pPr>
        <w:spacing w:after="0" w:line="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85"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216"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MGD, our opportunity could be less than our forecasts because the actual market for TP-03 might be significantly smaller than our estimates.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blepharitis and Demodex blepharitis may be not be similar to the market for dry eye.</w:t>
      </w:r>
    </w:p>
    <w:p>
      <w:pPr>
        <w:spacing w:after="0" w:line="243" w:lineRule="exact"/>
        <w:rPr>
          <w:sz w:val="20"/>
          <w:szCs w:val="20"/>
          <w:color w:val="auto"/>
        </w:rPr>
      </w:pPr>
    </w:p>
    <w:p>
      <w:pPr>
        <w:ind w:right="40" w:firstLine="881"/>
        <w:spacing w:after="0" w:line="238" w:lineRule="auto"/>
        <w:rPr>
          <w:sz w:val="20"/>
          <w:szCs w:val="20"/>
          <w:color w:val="auto"/>
        </w:rPr>
      </w:pPr>
      <w:r>
        <w:rPr>
          <w:rFonts w:ascii="Times New Roman" w:cs="Times New Roman" w:eastAsia="Times New Roman" w:hAnsi="Times New Roman"/>
          <w:sz w:val="18"/>
          <w:szCs w:val="18"/>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 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211"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85" w:lineRule="exact"/>
        <w:rPr>
          <w:sz w:val="20"/>
          <w:szCs w:val="20"/>
          <w:color w:val="auto"/>
        </w:rPr>
      </w:pPr>
    </w:p>
    <w:p>
      <w:pPr>
        <w:ind w:right="160" w:firstLine="881"/>
        <w:spacing w:after="0" w:line="241" w:lineRule="auto"/>
        <w:rPr>
          <w:sz w:val="20"/>
          <w:szCs w:val="20"/>
          <w:color w:val="auto"/>
        </w:rPr>
      </w:pPr>
      <w:r>
        <w:rPr>
          <w:rFonts w:ascii="Times New Roman" w:cs="Times New Roman" w:eastAsia="Times New Roman" w:hAnsi="Times New Roman"/>
          <w:sz w:val="18"/>
          <w:szCs w:val="18"/>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202" w:lineRule="exact"/>
        <w:rPr>
          <w:sz w:val="20"/>
          <w:szCs w:val="20"/>
          <w:color w:val="auto"/>
        </w:rPr>
      </w:pPr>
    </w:p>
    <w:p>
      <w:pPr>
        <w:ind w:right="100" w:firstLine="881"/>
        <w:spacing w:after="0" w:line="242"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12" w:lineRule="exact"/>
        <w:rPr>
          <w:sz w:val="20"/>
          <w:szCs w:val="20"/>
          <w:color w:val="auto"/>
        </w:rPr>
      </w:pPr>
    </w:p>
    <w:p>
      <w:pPr>
        <w:ind w:right="40" w:firstLine="881"/>
        <w:spacing w:after="0" w:line="24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208" w:lineRule="exact"/>
        <w:rPr>
          <w:sz w:val="20"/>
          <w:szCs w:val="20"/>
          <w:color w:val="auto"/>
        </w:rPr>
      </w:pPr>
    </w:p>
    <w:p>
      <w:pPr>
        <w:ind w:right="80" w:firstLine="881"/>
        <w:spacing w:after="0" w:line="250"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204" w:lineRule="exact"/>
        <w:rPr>
          <w:sz w:val="20"/>
          <w:szCs w:val="20"/>
          <w:color w:val="auto"/>
        </w:rPr>
      </w:pPr>
    </w:p>
    <w:p>
      <w:pPr>
        <w:ind w:right="160" w:firstLine="881"/>
        <w:spacing w:after="0" w:line="24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recruiting and retaining qualified scientific and management personnel,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80" w:firstLine="881"/>
        <w:spacing w:after="0" w:line="245" w:lineRule="auto"/>
        <w:rPr>
          <w:sz w:val="20"/>
          <w:szCs w:val="20"/>
          <w:color w:val="auto"/>
        </w:rPr>
      </w:pPr>
      <w:r>
        <w:rPr>
          <w:rFonts w:ascii="Times New Roman" w:cs="Times New Roman" w:eastAsia="Times New Roman" w:hAnsi="Times New Roman"/>
          <w:sz w:val="18"/>
          <w:szCs w:val="18"/>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204"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85" w:lineRule="exact"/>
        <w:rPr>
          <w:sz w:val="20"/>
          <w:szCs w:val="20"/>
          <w:color w:val="auto"/>
        </w:rPr>
      </w:pPr>
    </w:p>
    <w:p>
      <w:pPr>
        <w:ind w:right="80" w:firstLine="881"/>
        <w:spacing w:after="0"/>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85" w:lineRule="exact"/>
        <w:rPr>
          <w:sz w:val="20"/>
          <w:szCs w:val="20"/>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variation or termination of clinical trials;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recall, restriction on the approval or a “black box” warning or contraindication for an approved drug;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subjects or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of our efforts to commercialize any products that we may develop.</w:t>
      </w:r>
    </w:p>
    <w:p>
      <w:pPr>
        <w:spacing w:after="0" w:line="252" w:lineRule="exact"/>
        <w:rPr>
          <w:sz w:val="20"/>
          <w:szCs w:val="20"/>
          <w:color w:val="auto"/>
        </w:rPr>
      </w:pPr>
    </w:p>
    <w:p>
      <w:pPr>
        <w:ind w:right="100" w:firstLine="891"/>
        <w:spacing w:after="0" w:line="242"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0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85" w:lineRule="exact"/>
        <w:rPr>
          <w:sz w:val="20"/>
          <w:szCs w:val="20"/>
          <w:color w:val="auto"/>
        </w:rPr>
      </w:pPr>
    </w:p>
    <w:p>
      <w:pPr>
        <w:ind w:right="120" w:firstLine="881"/>
        <w:spacing w:after="0" w:line="245"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1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5" w:lineRule="exact"/>
        <w:rPr>
          <w:sz w:val="20"/>
          <w:szCs w:val="20"/>
          <w:color w:val="auto"/>
        </w:rPr>
      </w:pPr>
    </w:p>
    <w:p>
      <w:pPr>
        <w:ind w:right="60" w:firstLine="881"/>
        <w:spacing w:after="0" w:line="239"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7" w:lineRule="exact"/>
        <w:rPr>
          <w:sz w:val="20"/>
          <w:szCs w:val="20"/>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firstLine="891"/>
        <w:spacing w:after="0" w:line="241"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0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881"/>
        <w:spacing w:after="0" w:line="241" w:lineRule="auto"/>
        <w:rPr>
          <w:sz w:val="20"/>
          <w:szCs w:val="20"/>
          <w:color w:val="auto"/>
        </w:rPr>
      </w:pPr>
      <w:r>
        <w:rPr>
          <w:rFonts w:ascii="Times New Roman" w:cs="Times New Roman" w:eastAsia="Times New Roman" w:hAnsi="Times New Roman"/>
          <w:sz w:val="18"/>
          <w:szCs w:val="18"/>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211" w:lineRule="exact"/>
        <w:rPr>
          <w:sz w:val="20"/>
          <w:szCs w:val="20"/>
          <w:color w:val="auto"/>
        </w:rPr>
      </w:pPr>
    </w:p>
    <w:p>
      <w:pPr>
        <w:ind w:right="120" w:firstLine="881"/>
        <w:spacing w:after="0" w:line="238"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215"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62" w:lineRule="exact"/>
        <w:rPr>
          <w:sz w:val="20"/>
          <w:szCs w:val="20"/>
          <w:color w:val="auto"/>
        </w:rPr>
      </w:pPr>
    </w:p>
    <w:p>
      <w:pPr>
        <w:ind w:left="1020" w:hanging="324"/>
        <w:spacing w:after="0" w:line="266" w:lineRule="auto"/>
        <w:tabs>
          <w:tab w:leader="none" w:pos="10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cultural attitudes to self-reported adverse events (such as burning, stinging, blurry vision) leading to a different safety profile; and</w:t>
      </w:r>
    </w:p>
    <w:p>
      <w:pPr>
        <w:spacing w:after="0" w:line="225"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203" w:lineRule="exact"/>
        <w:rPr>
          <w:sz w:val="20"/>
          <w:szCs w:val="20"/>
          <w:color w:val="auto"/>
        </w:rPr>
      </w:pPr>
    </w:p>
    <w:p>
      <w:pPr>
        <w:ind w:right="20" w:firstLine="881"/>
        <w:spacing w:after="0" w:line="238" w:lineRule="auto"/>
        <w:rPr>
          <w:sz w:val="20"/>
          <w:szCs w:val="20"/>
          <w:color w:val="auto"/>
        </w:rPr>
      </w:pPr>
      <w:r>
        <w:rPr>
          <w:rFonts w:ascii="Times New Roman" w:cs="Times New Roman" w:eastAsia="Times New Roman" w:hAnsi="Times New Roman"/>
          <w:sz w:val="18"/>
          <w:szCs w:val="18"/>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firstLine="881"/>
        <w:spacing w:after="0" w:line="238"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20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Managing our obligations under our in-license agreements and other strategic agreements may divert management time and attention, causing delays or disruptions to our business.</w:t>
      </w:r>
    </w:p>
    <w:p>
      <w:pPr>
        <w:spacing w:after="0" w:line="185" w:lineRule="exact"/>
        <w:rPr>
          <w:sz w:val="20"/>
          <w:szCs w:val="20"/>
          <w:color w:val="auto"/>
        </w:rPr>
      </w:pPr>
    </w:p>
    <w:p>
      <w:pPr>
        <w:ind w:right="20" w:firstLine="881"/>
        <w:spacing w:after="0"/>
        <w:rPr>
          <w:sz w:val="20"/>
          <w:szCs w:val="20"/>
          <w:color w:val="auto"/>
        </w:rPr>
      </w:pPr>
      <w:r>
        <w:rPr>
          <w:rFonts w:ascii="Times New Roman" w:cs="Times New Roman" w:eastAsia="Times New Roman" w:hAnsi="Times New Roman"/>
          <w:sz w:val="18"/>
          <w:szCs w:val="18"/>
          <w:color w:val="auto"/>
        </w:rPr>
        <w:t>We have entered into two license agreements with Elanco: (i) an agreement granting us a worldwide, sublicensable license for the development and marketing of lotilaner for the treatment or cure of any eye or skin condition in humans,as amended(“Eye and Derm Elanco Agreement”) and (ii) the All Human Uses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212" w:lineRule="exact"/>
        <w:rPr>
          <w:sz w:val="20"/>
          <w:szCs w:val="20"/>
          <w:color w:val="auto"/>
        </w:rPr>
      </w:pPr>
    </w:p>
    <w:p>
      <w:pPr>
        <w:ind w:right="120" w:firstLine="881"/>
        <w:spacing w:after="0" w:line="245" w:lineRule="auto"/>
        <w:rPr>
          <w:sz w:val="20"/>
          <w:szCs w:val="20"/>
          <w:color w:val="auto"/>
        </w:rPr>
      </w:pPr>
      <w:r>
        <w:rPr>
          <w:rFonts w:ascii="Times New Roman" w:cs="Times New Roman" w:eastAsia="Times New Roman" w:hAnsi="Times New Roman"/>
          <w:sz w:val="18"/>
          <w:szCs w:val="18"/>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2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85" w:lineRule="exact"/>
        <w:rPr>
          <w:sz w:val="20"/>
          <w:szCs w:val="20"/>
          <w:color w:val="auto"/>
        </w:rPr>
      </w:pPr>
    </w:p>
    <w:p>
      <w:pPr>
        <w:ind w:firstLine="881"/>
        <w:spacing w:after="0" w:line="242" w:lineRule="auto"/>
        <w:rPr>
          <w:sz w:val="20"/>
          <w:szCs w:val="20"/>
          <w:color w:val="auto"/>
        </w:rPr>
      </w:pPr>
      <w:r>
        <w:rPr>
          <w:rFonts w:ascii="Times New Roman" w:cs="Times New Roman" w:eastAsia="Times New Roman" w:hAnsi="Times New Roman"/>
          <w:sz w:val="18"/>
          <w:szCs w:val="18"/>
          <w:color w:val="auto"/>
        </w:rPr>
        <w:t>In connection with our in-license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208"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85" w:lineRule="exact"/>
        <w:rPr>
          <w:sz w:val="20"/>
          <w:szCs w:val="20"/>
          <w:color w:val="auto"/>
        </w:rPr>
      </w:pPr>
    </w:p>
    <w:p>
      <w:pPr>
        <w:ind w:right="80" w:firstLine="881"/>
        <w:spacing w:after="0" w:line="239"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1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881"/>
        <w:spacing w:after="0" w:line="246" w:lineRule="auto"/>
        <w:rPr>
          <w:sz w:val="20"/>
          <w:szCs w:val="20"/>
          <w:color w:val="auto"/>
        </w:rPr>
      </w:pPr>
      <w:r>
        <w:rPr>
          <w:rFonts w:ascii="Times New Roman" w:cs="Times New Roman" w:eastAsia="Times New Roman" w:hAnsi="Times New Roman"/>
          <w:sz w:val="18"/>
          <w:szCs w:val="18"/>
          <w:color w:val="auto"/>
        </w:rPr>
        <w:t>Any product candidate for which we obtain regulatory approval, along with the manufacturing processes, post-approval clinical data, labeling, advertising, and promotional activities for such product, will be</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212" w:lineRule="exact"/>
        <w:rPr>
          <w:sz w:val="20"/>
          <w:szCs w:val="20"/>
          <w:color w:val="auto"/>
        </w:rPr>
      </w:pPr>
    </w:p>
    <w:p>
      <w:pPr>
        <w:ind w:right="60" w:firstLine="881"/>
        <w:spacing w:after="0" w:line="241" w:lineRule="auto"/>
        <w:rPr>
          <w:sz w:val="20"/>
          <w:szCs w:val="20"/>
          <w:color w:val="auto"/>
        </w:rPr>
      </w:pPr>
      <w:r>
        <w:rPr>
          <w:rFonts w:ascii="Times New Roman" w:cs="Times New Roman" w:eastAsia="Times New Roman" w:hAnsi="Times New Roman"/>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0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85"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3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203" w:lineRule="exact"/>
        <w:rPr>
          <w:sz w:val="20"/>
          <w:szCs w:val="20"/>
          <w:color w:val="auto"/>
        </w:rPr>
      </w:pPr>
    </w:p>
    <w:p>
      <w:pPr>
        <w:ind w:right="40" w:firstLine="881"/>
        <w:spacing w:after="0"/>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212" w:lineRule="exact"/>
        <w:rPr>
          <w:sz w:val="20"/>
          <w:szCs w:val="20"/>
          <w:color w:val="auto"/>
        </w:rPr>
      </w:pPr>
    </w:p>
    <w:p>
      <w:pPr>
        <w:ind w:right="360" w:firstLine="881"/>
        <w:spacing w:after="0" w:line="246" w:lineRule="auto"/>
        <w:rPr>
          <w:sz w:val="20"/>
          <w:szCs w:val="20"/>
          <w:color w:val="auto"/>
        </w:rPr>
      </w:pPr>
      <w:r>
        <w:rPr>
          <w:rFonts w:ascii="Times New Roman" w:cs="Times New Roman" w:eastAsia="Times New Roman" w:hAnsi="Times New Roman"/>
          <w:sz w:val="18"/>
          <w:szCs w:val="18"/>
          <w:color w:val="auto"/>
        </w:rPr>
        <w:t>Our reliance on these third parties for such development activities will reduce our control over these activities but will not relieve us of our regulatory responsibilities. For example, we will remain responsible for</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208" w:lineRule="exact"/>
        <w:rPr>
          <w:sz w:val="20"/>
          <w:szCs w:val="20"/>
          <w:color w:val="auto"/>
        </w:rPr>
      </w:pPr>
    </w:p>
    <w:p>
      <w:pPr>
        <w:ind w:right="40" w:firstLine="881"/>
        <w:spacing w:after="0" w:line="242" w:lineRule="auto"/>
        <w:rPr>
          <w:sz w:val="20"/>
          <w:szCs w:val="20"/>
          <w:color w:val="auto"/>
        </w:rPr>
      </w:pPr>
      <w:r>
        <w:rPr>
          <w:rFonts w:ascii="Times New Roman" w:cs="Times New Roman" w:eastAsia="Times New Roman" w:hAnsi="Times New Roman"/>
          <w:sz w:val="18"/>
          <w:szCs w:val="18"/>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12" w:lineRule="exact"/>
        <w:rPr>
          <w:sz w:val="20"/>
          <w:szCs w:val="20"/>
          <w:color w:val="auto"/>
        </w:rPr>
      </w:pPr>
    </w:p>
    <w:p>
      <w:pPr>
        <w:ind w:right="80" w:firstLine="881"/>
        <w:spacing w:after="0"/>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12" w:lineRule="exact"/>
        <w:rPr>
          <w:sz w:val="20"/>
          <w:szCs w:val="20"/>
          <w:color w:val="auto"/>
        </w:rPr>
      </w:pPr>
    </w:p>
    <w:p>
      <w:pPr>
        <w:ind w:right="40" w:firstLine="881"/>
        <w:spacing w:after="0" w:line="241"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207"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85" w:lineRule="exact"/>
        <w:rPr>
          <w:sz w:val="20"/>
          <w:szCs w:val="20"/>
          <w:color w:val="auto"/>
        </w:rPr>
      </w:pPr>
    </w:p>
    <w:p>
      <w:pPr>
        <w:ind w:right="80" w:firstLine="881"/>
        <w:spacing w:after="0" w:line="241" w:lineRule="auto"/>
        <w:rPr>
          <w:sz w:val="20"/>
          <w:szCs w:val="20"/>
          <w:color w:val="auto"/>
        </w:rPr>
      </w:pPr>
      <w:r>
        <w:rPr>
          <w:rFonts w:ascii="Times New Roman" w:cs="Times New Roman" w:eastAsia="Times New Roman" w:hAnsi="Times New Roman"/>
          <w:sz w:val="18"/>
          <w:szCs w:val="18"/>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211"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7"/>
          <w:szCs w:val="17"/>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204" w:lineRule="exact"/>
        <w:rPr>
          <w:sz w:val="20"/>
          <w:szCs w:val="20"/>
          <w:color w:val="auto"/>
        </w:rPr>
      </w:pPr>
    </w:p>
    <w:p>
      <w:pPr>
        <w:ind w:right="48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216"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62" w:lineRule="exact"/>
        <w:rPr>
          <w:sz w:val="20"/>
          <w:szCs w:val="20"/>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 including by Elanco under the license agreements with Elanco;</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w:t>
      </w:r>
    </w:p>
    <w:p>
      <w:pPr>
        <w:spacing w:after="0" w:line="189" w:lineRule="exact"/>
        <w:rPr>
          <w:sz w:val="20"/>
          <w:szCs w:val="20"/>
          <w:color w:val="auto"/>
        </w:rPr>
      </w:pPr>
    </w:p>
    <w:p>
      <w:pPr>
        <w:ind w:right="220" w:firstLine="972"/>
        <w:spacing w:after="0" w:line="245"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208" w:lineRule="exact"/>
        <w:rPr>
          <w:sz w:val="20"/>
          <w:szCs w:val="20"/>
          <w:color w:val="auto"/>
        </w:rPr>
      </w:pPr>
    </w:p>
    <w:p>
      <w:pPr>
        <w:ind w:right="60" w:firstLine="992"/>
        <w:spacing w:after="0" w:line="241"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20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203" w:lineRule="exact"/>
        <w:rPr>
          <w:sz w:val="20"/>
          <w:szCs w:val="20"/>
          <w:color w:val="auto"/>
        </w:rPr>
      </w:pPr>
    </w:p>
    <w:p>
      <w:pPr>
        <w:jc w:val="both"/>
        <w:ind w:right="120" w:firstLine="881"/>
        <w:spacing w:after="0" w:line="250" w:lineRule="auto"/>
        <w:rPr>
          <w:sz w:val="20"/>
          <w:szCs w:val="20"/>
          <w:color w:val="auto"/>
        </w:rPr>
      </w:pPr>
      <w:r>
        <w:rPr>
          <w:rFonts w:ascii="Times New Roman" w:cs="Times New Roman" w:eastAsia="Times New Roman" w:hAnsi="Times New Roman"/>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firstLine="881"/>
        <w:spacing w:after="0" w:line="242"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212" w:lineRule="exact"/>
        <w:rPr>
          <w:sz w:val="20"/>
          <w:szCs w:val="20"/>
          <w:color w:val="auto"/>
        </w:rPr>
      </w:pPr>
    </w:p>
    <w:p>
      <w:pPr>
        <w:ind w:left="1020" w:right="20" w:hanging="324"/>
        <w:spacing w:after="0" w:line="266" w:lineRule="auto"/>
        <w:tabs>
          <w:tab w:leader="none" w:pos="10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162"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ECPs or persuade adequate numbers of ECPs to prescribe any future medicines;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2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891"/>
        <w:spacing w:after="0"/>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208"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85" w:lineRule="exact"/>
        <w:rPr>
          <w:sz w:val="20"/>
          <w:szCs w:val="20"/>
          <w:color w:val="auto"/>
        </w:rPr>
      </w:pPr>
    </w:p>
    <w:p>
      <w:pPr>
        <w:ind w:right="40" w:firstLine="881"/>
        <w:spacing w:after="0" w:line="241"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43" w:lineRule="exact"/>
        <w:rPr>
          <w:sz w:val="20"/>
          <w:szCs w:val="20"/>
          <w:color w:val="auto"/>
        </w:rPr>
      </w:pPr>
    </w:p>
    <w:p>
      <w:pPr>
        <w:ind w:right="140" w:firstLine="881"/>
        <w:spacing w:after="0" w:line="242"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3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208" w:lineRule="exact"/>
        <w:rPr>
          <w:sz w:val="20"/>
          <w:szCs w:val="20"/>
          <w:color w:val="auto"/>
        </w:rPr>
      </w:pPr>
    </w:p>
    <w:p>
      <w:pPr>
        <w:ind w:right="80" w:firstLine="881"/>
        <w:spacing w:after="0" w:line="255" w:lineRule="auto"/>
        <w:rPr>
          <w:sz w:val="20"/>
          <w:szCs w:val="20"/>
          <w:color w:val="auto"/>
        </w:rPr>
      </w:pPr>
      <w:r>
        <w:rPr>
          <w:rFonts w:ascii="Times New Roman" w:cs="Times New Roman" w:eastAsia="Times New Roman" w:hAnsi="Times New Roman"/>
          <w:sz w:val="17"/>
          <w:szCs w:val="17"/>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201"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20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03" w:lineRule="exact"/>
        <w:rPr>
          <w:sz w:val="20"/>
          <w:szCs w:val="20"/>
          <w:color w:val="auto"/>
        </w:rPr>
      </w:pPr>
    </w:p>
    <w:p>
      <w:pPr>
        <w:ind w:right="180" w:firstLine="881"/>
        <w:spacing w:after="0" w:line="241"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 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211" w:lineRule="exact"/>
        <w:rPr>
          <w:sz w:val="20"/>
          <w:szCs w:val="20"/>
          <w:color w:val="auto"/>
        </w:rPr>
      </w:pPr>
    </w:p>
    <w:p>
      <w:pPr>
        <w:ind w:right="20" w:firstLine="881"/>
        <w:spacing w:after="0" w:line="242"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204"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212" w:lineRule="exact"/>
        <w:rPr>
          <w:sz w:val="20"/>
          <w:szCs w:val="20"/>
          <w:color w:val="auto"/>
        </w:rPr>
      </w:pPr>
    </w:p>
    <w:p>
      <w:pPr>
        <w:ind w:right="40" w:firstLine="881"/>
        <w:spacing w:after="0" w:line="236" w:lineRule="auto"/>
        <w:rPr>
          <w:sz w:val="20"/>
          <w:szCs w:val="20"/>
          <w:color w:val="auto"/>
        </w:rPr>
      </w:pPr>
      <w:r>
        <w:rPr>
          <w:rFonts w:ascii="Times New Roman" w:cs="Times New Roman" w:eastAsia="Times New Roman" w:hAnsi="Times New Roman"/>
          <w:sz w:val="18"/>
          <w:szCs w:val="18"/>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22" w:lineRule="exact"/>
        <w:rPr>
          <w:sz w:val="20"/>
          <w:szCs w:val="20"/>
          <w:color w:val="auto"/>
        </w:rPr>
      </w:pPr>
    </w:p>
    <w:p>
      <w:pPr>
        <w:ind w:right="40" w:firstLine="881"/>
        <w:spacing w:after="0" w:line="237" w:lineRule="auto"/>
        <w:rPr>
          <w:sz w:val="20"/>
          <w:szCs w:val="20"/>
          <w:color w:val="auto"/>
        </w:rPr>
      </w:pPr>
      <w:r>
        <w:rPr>
          <w:rFonts w:ascii="Times New Roman" w:cs="Times New Roman" w:eastAsia="Times New Roman" w:hAnsi="Times New Roman"/>
          <w:sz w:val="18"/>
          <w:szCs w:val="18"/>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20" w:lineRule="exact"/>
        <w:rPr>
          <w:sz w:val="20"/>
          <w:szCs w:val="20"/>
          <w:color w:val="auto"/>
        </w:rPr>
      </w:pPr>
    </w:p>
    <w:p>
      <w:pPr>
        <w:ind w:right="160" w:firstLine="881"/>
        <w:spacing w:after="0" w:line="242" w:lineRule="auto"/>
        <w:rPr>
          <w:sz w:val="20"/>
          <w:szCs w:val="20"/>
          <w:color w:val="auto"/>
        </w:rPr>
      </w:pPr>
      <w:r>
        <w:rPr>
          <w:rFonts w:ascii="Times New Roman" w:cs="Times New Roman" w:eastAsia="Times New Roman" w:hAnsi="Times New Roman"/>
          <w:sz w:val="18"/>
          <w:szCs w:val="18"/>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United States Patent and Trademark Office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211" w:lineRule="exact"/>
        <w:rPr>
          <w:sz w:val="20"/>
          <w:szCs w:val="20"/>
          <w:color w:val="auto"/>
        </w:rPr>
      </w:pPr>
    </w:p>
    <w:p>
      <w:pPr>
        <w:jc w:val="both"/>
        <w:ind w:right="5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3" w:lineRule="exact"/>
        <w:rPr>
          <w:sz w:val="20"/>
          <w:szCs w:val="20"/>
          <w:color w:val="auto"/>
        </w:rPr>
      </w:pPr>
    </w:p>
    <w:p>
      <w:pPr>
        <w:ind w:right="80" w:firstLine="881"/>
        <w:spacing w:after="0" w:line="238"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20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85" w:lineRule="exact"/>
        <w:rPr>
          <w:sz w:val="20"/>
          <w:szCs w:val="20"/>
          <w:color w:val="auto"/>
        </w:rPr>
      </w:pPr>
    </w:p>
    <w:p>
      <w:pPr>
        <w:ind w:right="80" w:firstLine="881"/>
        <w:spacing w:after="0" w:line="239"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214" w:lineRule="exact"/>
        <w:rPr>
          <w:sz w:val="20"/>
          <w:szCs w:val="20"/>
          <w:color w:val="auto"/>
        </w:rPr>
      </w:pPr>
    </w:p>
    <w:p>
      <w:pPr>
        <w:ind w:right="80" w:firstLine="881"/>
        <w:spacing w:after="0" w:line="241"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85"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88" w:lineRule="exact"/>
        <w:rPr>
          <w:sz w:val="20"/>
          <w:szCs w:val="20"/>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results of clinical trials;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approval by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for the product candidate;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complexities of manufacturing and delivering such product candidate to patients;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competing products;</w:t>
      </w:r>
    </w:p>
    <w:p>
      <w:pPr>
        <w:spacing w:after="0" w:line="225" w:lineRule="exact"/>
        <w:rPr>
          <w:rFonts w:ascii="Times New Roman" w:cs="Times New Roman" w:eastAsia="Times New Roman" w:hAnsi="Times New Roman"/>
          <w:sz w:val="18"/>
          <w:szCs w:val="18"/>
          <w:color w:val="auto"/>
        </w:rPr>
      </w:pPr>
    </w:p>
    <w:p>
      <w:pPr>
        <w:ind w:left="1020" w:right="580" w:hanging="324"/>
        <w:spacing w:after="0" w:line="282" w:lineRule="auto"/>
        <w:tabs>
          <w:tab w:leader="none" w:pos="10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conditions generally.</w:t>
      </w:r>
    </w:p>
    <w:p>
      <w:pPr>
        <w:spacing w:after="0" w:line="252" w:lineRule="exact"/>
        <w:rPr>
          <w:sz w:val="20"/>
          <w:szCs w:val="20"/>
          <w:color w:val="auto"/>
        </w:rPr>
      </w:pPr>
    </w:p>
    <w:p>
      <w:pPr>
        <w:ind w:right="60" w:firstLine="891"/>
        <w:spacing w:after="0" w:line="238"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192" w:lineRule="exact"/>
        <w:rPr>
          <w:sz w:val="20"/>
          <w:szCs w:val="20"/>
          <w:color w:val="auto"/>
        </w:rPr>
      </w:pPr>
    </w:p>
    <w:p>
      <w:pPr>
        <w:ind w:left="1020" w:right="780" w:hanging="324"/>
        <w:spacing w:after="0" w:line="266" w:lineRule="auto"/>
        <w:tabs>
          <w:tab w:leader="none" w:pos="10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020" w:right="140" w:hanging="324"/>
        <w:spacing w:after="0" w:line="266" w:lineRule="auto"/>
        <w:tabs>
          <w:tab w:leader="none" w:pos="10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75" w:lineRule="exact"/>
        <w:rPr>
          <w:rFonts w:ascii="Times New Roman" w:cs="Times New Roman" w:eastAsia="Times New Roman" w:hAnsi="Times New Roman"/>
          <w:sz w:val="18"/>
          <w:szCs w:val="18"/>
          <w:color w:val="auto"/>
        </w:rPr>
      </w:pPr>
    </w:p>
    <w:p>
      <w:pPr>
        <w:ind w:left="1020" w:right="48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1020" w:right="4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75" w:lineRule="exact"/>
        <w:rPr>
          <w:rFonts w:ascii="Times New Roman" w:cs="Times New Roman" w:eastAsia="Times New Roman" w:hAnsi="Times New Roman"/>
          <w:sz w:val="18"/>
          <w:szCs w:val="18"/>
          <w:color w:val="auto"/>
        </w:rPr>
      </w:pPr>
    </w:p>
    <w:p>
      <w:pPr>
        <w:ind w:left="1020" w:right="44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1020" w:right="6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61" w:lineRule="exact"/>
        <w:rPr>
          <w:rFonts w:ascii="Times New Roman" w:cs="Times New Roman" w:eastAsia="Times New Roman" w:hAnsi="Times New Roman"/>
          <w:sz w:val="18"/>
          <w:szCs w:val="18"/>
          <w:color w:val="auto"/>
        </w:rPr>
      </w:pPr>
    </w:p>
    <w:p>
      <w:pPr>
        <w:ind w:left="1020" w:right="30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61" w:lineRule="exact"/>
        <w:rPr>
          <w:rFonts w:ascii="Times New Roman" w:cs="Times New Roman" w:eastAsia="Times New Roman" w:hAnsi="Times New Roman"/>
          <w:sz w:val="18"/>
          <w:szCs w:val="18"/>
          <w:color w:val="auto"/>
        </w:rPr>
      </w:pPr>
    </w:p>
    <w:p>
      <w:pPr>
        <w:ind w:left="1020" w:right="50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1020" w:right="200" w:hanging="324"/>
        <w:spacing w:after="0" w:line="261"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ind w:left="1020" w:hanging="324"/>
        <w:spacing w:after="0" w:line="266"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225" w:lineRule="exact"/>
        <w:rPr>
          <w:rFonts w:ascii="Times New Roman" w:cs="Times New Roman" w:eastAsia="Times New Roman" w:hAnsi="Times New Roman"/>
          <w:sz w:val="18"/>
          <w:szCs w:val="18"/>
          <w:color w:val="auto"/>
        </w:rPr>
      </w:pPr>
    </w:p>
    <w:p>
      <w:pPr>
        <w:ind w:left="1020" w:right="42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161" w:lineRule="exact"/>
        <w:rPr>
          <w:rFonts w:ascii="Times New Roman" w:cs="Times New Roman" w:eastAsia="Times New Roman" w:hAnsi="Times New Roman"/>
          <w:sz w:val="18"/>
          <w:szCs w:val="18"/>
          <w:color w:val="auto"/>
        </w:rPr>
      </w:pPr>
    </w:p>
    <w:p>
      <w:pPr>
        <w:ind w:left="1020" w:right="160" w:hanging="324"/>
        <w:spacing w:after="0" w:line="282" w:lineRule="auto"/>
        <w:tabs>
          <w:tab w:leader="none" w:pos="10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9" w:lineRule="exact"/>
        <w:rPr>
          <w:sz w:val="20"/>
          <w:szCs w:val="20"/>
          <w:color w:val="auto"/>
        </w:rPr>
      </w:pPr>
    </w:p>
    <w:p>
      <w:pPr>
        <w:ind w:right="60" w:firstLine="891"/>
        <w:spacing w:after="0" w:line="241"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85" w:lineRule="exact"/>
        <w:rPr>
          <w:sz w:val="20"/>
          <w:szCs w:val="20"/>
          <w:color w:val="auto"/>
        </w:rPr>
      </w:pPr>
    </w:p>
    <w:p>
      <w:pPr>
        <w:ind w:firstLine="881"/>
        <w:spacing w:after="0" w:line="245" w:lineRule="auto"/>
        <w:rPr>
          <w:sz w:val="20"/>
          <w:szCs w:val="20"/>
          <w:color w:val="auto"/>
        </w:rPr>
      </w:pPr>
      <w:r>
        <w:rPr>
          <w:rFonts w:ascii="Times New Roman" w:cs="Times New Roman" w:eastAsia="Times New Roman" w:hAnsi="Times New Roman"/>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208" w:lineRule="exact"/>
        <w:rPr>
          <w:sz w:val="20"/>
          <w:szCs w:val="20"/>
          <w:color w:val="auto"/>
        </w:rPr>
      </w:pPr>
    </w:p>
    <w:p>
      <w:pPr>
        <w:ind w:right="120" w:firstLine="881"/>
        <w:spacing w:after="0" w:line="242" w:lineRule="auto"/>
        <w:rPr>
          <w:sz w:val="20"/>
          <w:szCs w:val="20"/>
          <w:color w:val="auto"/>
        </w:rPr>
      </w:pPr>
      <w:r>
        <w:rPr>
          <w:rFonts w:ascii="Times New Roman" w:cs="Times New Roman" w:eastAsia="Times New Roman" w:hAnsi="Times New Roman"/>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212" w:lineRule="exact"/>
        <w:rPr>
          <w:sz w:val="20"/>
          <w:szCs w:val="20"/>
          <w:color w:val="auto"/>
        </w:rPr>
      </w:pPr>
    </w:p>
    <w:p>
      <w:pPr>
        <w:ind w:right="60" w:firstLine="881"/>
        <w:spacing w:after="0" w:line="242"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212" w:lineRule="exact"/>
        <w:rPr>
          <w:sz w:val="20"/>
          <w:szCs w:val="20"/>
          <w:color w:val="auto"/>
        </w:rPr>
      </w:pPr>
    </w:p>
    <w:p>
      <w:pPr>
        <w:ind w:right="180" w:firstLine="881"/>
        <w:spacing w:after="0" w:line="239"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14" w:lineRule="exact"/>
        <w:rPr>
          <w:sz w:val="20"/>
          <w:szCs w:val="20"/>
          <w:color w:val="auto"/>
        </w:rPr>
      </w:pPr>
    </w:p>
    <w:p>
      <w:pPr>
        <w:ind w:right="20" w:firstLine="881"/>
        <w:spacing w:after="0" w:line="238"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15" w:lineRule="exact"/>
        <w:rPr>
          <w:sz w:val="20"/>
          <w:szCs w:val="20"/>
          <w:color w:val="auto"/>
        </w:rPr>
      </w:pPr>
    </w:p>
    <w:p>
      <w:pPr>
        <w:ind w:right="40" w:firstLine="881"/>
        <w:spacing w:after="0" w:line="242" w:lineRule="auto"/>
        <w:rPr>
          <w:sz w:val="20"/>
          <w:szCs w:val="20"/>
          <w:color w:val="auto"/>
        </w:rPr>
      </w:pPr>
      <w:r>
        <w:rPr>
          <w:rFonts w:ascii="Times New Roman" w:cs="Times New Roman" w:eastAsia="Times New Roman" w:hAnsi="Times New Roman"/>
          <w:sz w:val="18"/>
          <w:szCs w:val="18"/>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12" w:lineRule="exact"/>
        <w:rPr>
          <w:sz w:val="20"/>
          <w:szCs w:val="20"/>
          <w:color w:val="auto"/>
        </w:rPr>
      </w:pPr>
    </w:p>
    <w:p>
      <w:pPr>
        <w:ind w:left="5540" w:right="3460" w:hanging="4844"/>
        <w:spacing w:after="0" w:line="908" w:lineRule="auto"/>
        <w:tabs>
          <w:tab w:leader="none" w:pos="10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800" w:hanging="324"/>
        <w:spacing w:after="0" w:line="282" w:lineRule="auto"/>
        <w:tabs>
          <w:tab w:leader="none" w:pos="10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20" w:right="140" w:hanging="324"/>
        <w:spacing w:after="0" w:line="282" w:lineRule="auto"/>
        <w:tabs>
          <w:tab w:leader="none" w:pos="10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00" w:lineRule="exact"/>
        <w:rPr>
          <w:sz w:val="20"/>
          <w:szCs w:val="20"/>
          <w:color w:val="auto"/>
        </w:rPr>
      </w:pPr>
    </w:p>
    <w:p>
      <w:pPr>
        <w:spacing w:after="0" w:line="295"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pending U.S. and foreign patent applications in our portfolio, however, we cannot predict:</w:t>
      </w:r>
    </w:p>
    <w:p>
      <w:pPr>
        <w:spacing w:after="0" w:line="212" w:lineRule="exact"/>
        <w:rPr>
          <w:sz w:val="20"/>
          <w:szCs w:val="20"/>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225" w:lineRule="exact"/>
        <w:rPr>
          <w:rFonts w:ascii="Times New Roman" w:cs="Times New Roman" w:eastAsia="Times New Roman" w:hAnsi="Times New Roman"/>
          <w:sz w:val="18"/>
          <w:szCs w:val="18"/>
          <w:color w:val="auto"/>
        </w:rPr>
      </w:pPr>
    </w:p>
    <w:p>
      <w:pPr>
        <w:ind w:left="1020" w:right="52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161" w:lineRule="exact"/>
        <w:rPr>
          <w:rFonts w:ascii="Times New Roman" w:cs="Times New Roman" w:eastAsia="Times New Roman" w:hAnsi="Times New Roman"/>
          <w:sz w:val="18"/>
          <w:szCs w:val="18"/>
          <w:color w:val="auto"/>
        </w:rPr>
      </w:pPr>
    </w:p>
    <w:p>
      <w:pPr>
        <w:ind w:left="1020" w:right="220" w:hanging="324"/>
        <w:spacing w:after="0" w:line="282" w:lineRule="auto"/>
        <w:tabs>
          <w:tab w:leader="none" w:pos="10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89"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certain that the claims in any of our issued patents will be considered valid by courts in the United States or foreign countries.</w:t>
      </w:r>
    </w:p>
    <w:p>
      <w:pPr>
        <w:spacing w:after="0" w:line="235"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85"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212" w:lineRule="exact"/>
        <w:rPr>
          <w:sz w:val="20"/>
          <w:szCs w:val="20"/>
          <w:color w:val="auto"/>
        </w:rPr>
      </w:pPr>
    </w:p>
    <w:p>
      <w:pPr>
        <w:ind w:right="20" w:firstLine="891"/>
        <w:spacing w:after="0" w:line="242" w:lineRule="auto"/>
        <w:rPr>
          <w:sz w:val="20"/>
          <w:szCs w:val="20"/>
          <w:color w:val="auto"/>
        </w:rPr>
      </w:pPr>
      <w:r>
        <w:rPr>
          <w:rFonts w:ascii="Times New Roman" w:cs="Times New Roman" w:eastAsia="Times New Roman" w:hAnsi="Times New Roman"/>
          <w:sz w:val="18"/>
          <w:szCs w:val="18"/>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12"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216" w:lineRule="exact"/>
        <w:rPr>
          <w:sz w:val="20"/>
          <w:szCs w:val="20"/>
          <w:color w:val="auto"/>
        </w:rPr>
      </w:pPr>
    </w:p>
    <w:p>
      <w:pPr>
        <w:ind w:right="20" w:firstLine="881"/>
        <w:spacing w:after="0" w:line="238"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43" w:lineRule="exact"/>
        <w:rPr>
          <w:sz w:val="20"/>
          <w:szCs w:val="20"/>
          <w:color w:val="auto"/>
        </w:rPr>
      </w:pPr>
    </w:p>
    <w:p>
      <w:pPr>
        <w:ind w:right="220" w:firstLine="881"/>
        <w:spacing w:after="0" w:line="266" w:lineRule="auto"/>
        <w:rPr>
          <w:sz w:val="20"/>
          <w:szCs w:val="20"/>
          <w:color w:val="auto"/>
        </w:rPr>
      </w:pPr>
      <w:r>
        <w:rPr>
          <w:rFonts w:ascii="Times New Roman" w:cs="Times New Roman" w:eastAsia="Times New Roman" w:hAnsi="Times New Roman"/>
          <w:sz w:val="18"/>
          <w:szCs w:val="18"/>
          <w:color w:val="auto"/>
        </w:rPr>
        <w:t>In the United States, the term of a patent that covers an FDA-approved drug may be eligible for limited patent term extension, which permits patent term restoration as compensation for the patent term lost during the FDA regulatory review</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21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208" w:lineRule="exact"/>
        <w:rPr>
          <w:sz w:val="20"/>
          <w:szCs w:val="20"/>
          <w:color w:val="auto"/>
        </w:rPr>
      </w:pPr>
    </w:p>
    <w:p>
      <w:pPr>
        <w:ind w:right="100" w:firstLine="881"/>
        <w:spacing w:after="0" w:line="242"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212" w:lineRule="exact"/>
        <w:rPr>
          <w:sz w:val="20"/>
          <w:szCs w:val="20"/>
          <w:color w:val="auto"/>
        </w:rPr>
      </w:pPr>
    </w:p>
    <w:p>
      <w:pPr>
        <w:ind w:right="40" w:firstLine="881"/>
        <w:spacing w:after="0" w:line="238"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218" w:lineRule="exact"/>
        <w:rPr>
          <w:sz w:val="20"/>
          <w:szCs w:val="20"/>
          <w:color w:val="auto"/>
        </w:rPr>
      </w:pPr>
    </w:p>
    <w:p>
      <w:pPr>
        <w:ind w:right="60" w:firstLine="881"/>
        <w:spacing w:after="0" w:line="237"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85" w:lineRule="exact"/>
        <w:rPr>
          <w:sz w:val="20"/>
          <w:szCs w:val="20"/>
          <w:color w:val="auto"/>
        </w:rPr>
      </w:pPr>
    </w:p>
    <w:p>
      <w:pPr>
        <w:ind w:firstLine="881"/>
        <w:spacing w:after="0" w:line="236"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219" w:lineRule="exact"/>
        <w:rPr>
          <w:sz w:val="20"/>
          <w:szCs w:val="20"/>
          <w:color w:val="auto"/>
        </w:rPr>
      </w:pPr>
    </w:p>
    <w:p>
      <w:pPr>
        <w:ind w:firstLine="881"/>
        <w:spacing w:after="0" w:line="239"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43" w:lineRule="exact"/>
        <w:rPr>
          <w:sz w:val="20"/>
          <w:szCs w:val="20"/>
          <w:color w:val="auto"/>
        </w:rPr>
      </w:pPr>
    </w:p>
    <w:p>
      <w:pPr>
        <w:ind w:right="80" w:firstLine="881"/>
        <w:spacing w:after="0" w:line="245"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04"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85" w:lineRule="exact"/>
        <w:rPr>
          <w:sz w:val="20"/>
          <w:szCs w:val="20"/>
          <w:color w:val="auto"/>
        </w:rPr>
      </w:pPr>
    </w:p>
    <w:p>
      <w:pPr>
        <w:ind w:firstLine="881"/>
        <w:spacing w:after="0" w:line="24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(“Leahy-Smith Act”) signed into law on September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15" w:lineRule="exact"/>
        <w:rPr>
          <w:sz w:val="20"/>
          <w:szCs w:val="20"/>
          <w:color w:val="auto"/>
        </w:rPr>
      </w:pPr>
    </w:p>
    <w:p>
      <w:pPr>
        <w:ind w:right="160" w:firstLine="881"/>
        <w:spacing w:after="0" w:line="24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8" w:lineRule="exact"/>
        <w:rPr>
          <w:sz w:val="20"/>
          <w:szCs w:val="20"/>
          <w:color w:val="auto"/>
        </w:rPr>
      </w:pPr>
    </w:p>
    <w:p>
      <w:pPr>
        <w:ind w:right="60" w:firstLine="881"/>
        <w:spacing w:after="0"/>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43"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1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85" w:lineRule="exact"/>
        <w:rPr>
          <w:sz w:val="20"/>
          <w:szCs w:val="20"/>
          <w:color w:val="auto"/>
        </w:rPr>
      </w:pPr>
    </w:p>
    <w:p>
      <w:pPr>
        <w:ind w:right="40" w:firstLine="881"/>
        <w:spacing w:after="0"/>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881"/>
        <w:spacing w:after="0" w:line="236"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22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85"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43" w:lineRule="exact"/>
        <w:rPr>
          <w:sz w:val="20"/>
          <w:szCs w:val="20"/>
          <w:color w:val="auto"/>
        </w:rPr>
      </w:pPr>
    </w:p>
    <w:p>
      <w:pPr>
        <w:ind w:right="300" w:firstLine="881"/>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020" w:right="300" w:hanging="324"/>
        <w:spacing w:after="0" w:line="266"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162" w:lineRule="exact"/>
        <w:rPr>
          <w:rFonts w:ascii="Times New Roman" w:cs="Times New Roman" w:eastAsia="Times New Roman" w:hAnsi="Times New Roman"/>
          <w:sz w:val="18"/>
          <w:szCs w:val="18"/>
          <w:color w:val="auto"/>
        </w:rPr>
      </w:pPr>
    </w:p>
    <w:p>
      <w:pPr>
        <w:ind w:left="1020" w:right="20" w:hanging="324"/>
        <w:spacing w:after="0" w:line="282"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1020" w:right="120" w:hanging="324"/>
        <w:spacing w:after="0" w:line="282"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020" w:right="780" w:hanging="324"/>
        <w:spacing w:after="0" w:line="282"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70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1020" w:right="26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61" w:lineRule="exact"/>
        <w:rPr>
          <w:rFonts w:ascii="Times New Roman" w:cs="Times New Roman" w:eastAsia="Times New Roman" w:hAnsi="Times New Roman"/>
          <w:sz w:val="18"/>
          <w:szCs w:val="18"/>
          <w:color w:val="auto"/>
        </w:rPr>
      </w:pPr>
    </w:p>
    <w:p>
      <w:pPr>
        <w:ind w:left="1020" w:right="46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61" w:lineRule="exact"/>
        <w:rPr>
          <w:rFonts w:ascii="Times New Roman" w:cs="Times New Roman" w:eastAsia="Times New Roman" w:hAnsi="Times New Roman"/>
          <w:sz w:val="18"/>
          <w:szCs w:val="18"/>
          <w:color w:val="auto"/>
        </w:rPr>
      </w:pPr>
    </w:p>
    <w:p>
      <w:pPr>
        <w:ind w:left="1020" w:right="54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for an adequate amount of time;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225"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161" w:lineRule="exact"/>
        <w:rPr>
          <w:rFonts w:ascii="Times New Roman" w:cs="Times New Roman" w:eastAsia="Times New Roman" w:hAnsi="Times New Roman"/>
          <w:sz w:val="18"/>
          <w:szCs w:val="18"/>
          <w:color w:val="auto"/>
        </w:rPr>
      </w:pPr>
    </w:p>
    <w:p>
      <w:pPr>
        <w:ind w:left="1020" w:right="280" w:hanging="324"/>
        <w:spacing w:after="0" w:line="282" w:lineRule="auto"/>
        <w:tabs>
          <w:tab w:leader="none" w:pos="10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4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and preclinical programs for an adequate amount of time.</w:t>
      </w:r>
    </w:p>
    <w:p>
      <w:pPr>
        <w:spacing w:after="0" w:line="185" w:lineRule="exact"/>
        <w:rPr>
          <w:sz w:val="20"/>
          <w:szCs w:val="20"/>
          <w:color w:val="auto"/>
        </w:rPr>
      </w:pPr>
    </w:p>
    <w:p>
      <w:pPr>
        <w:ind w:right="20" w:firstLine="881"/>
        <w:spacing w:after="0" w:line="237" w:lineRule="auto"/>
        <w:rPr>
          <w:sz w:val="20"/>
          <w:szCs w:val="20"/>
          <w:color w:val="auto"/>
        </w:rPr>
      </w:pPr>
      <w:r>
        <w:rPr>
          <w:rFonts w:ascii="Times New Roman" w:cs="Times New Roman" w:eastAsia="Times New Roman" w:hAnsi="Times New Roman"/>
          <w:sz w:val="18"/>
          <w:szCs w:val="18"/>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3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85"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Any product candidates we develop and the activities associated with their development and commercialization, including their design, testing, manufacture, safety, efficacy, recordkeeping, labeling, storage, approval, advertising, promotion,</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91" w:lineRule="exact"/>
        <w:rPr>
          <w:sz w:val="20"/>
          <w:szCs w:val="20"/>
          <w:color w:val="auto"/>
        </w:rPr>
      </w:pPr>
    </w:p>
    <w:p>
      <w:pPr>
        <w:ind w:left="1020" w:right="60" w:hanging="324"/>
        <w:spacing w:after="0" w:line="266"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study or clinical trial may fail to produce safety and efficacy results satisfactory to the FDA or comparable foreign regulatory authorities;</w:t>
      </w:r>
    </w:p>
    <w:p>
      <w:pPr>
        <w:spacing w:after="0" w:line="162"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ind w:left="1020" w:right="300" w:hanging="324"/>
        <w:spacing w:after="0" w:line="266"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1020" w:right="600" w:hanging="324"/>
        <w:spacing w:after="0" w:line="282"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1020" w:right="80" w:hanging="324"/>
        <w:spacing w:after="0" w:line="266"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1020" w:right="20" w:hanging="324"/>
        <w:spacing w:after="0" w:line="266" w:lineRule="auto"/>
        <w:tabs>
          <w:tab w:leader="none" w:pos="10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203"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w:t>
      </w:r>
    </w:p>
    <w:p>
      <w:pPr>
        <w:spacing w:after="0" w:line="189" w:lineRule="exact"/>
        <w:rPr>
          <w:sz w:val="20"/>
          <w:szCs w:val="20"/>
          <w:color w:val="auto"/>
        </w:rPr>
      </w:pPr>
    </w:p>
    <w:p>
      <w:pPr>
        <w:ind w:right="20" w:firstLine="891"/>
        <w:spacing w:after="0" w:line="239" w:lineRule="auto"/>
        <w:rPr>
          <w:sz w:val="20"/>
          <w:szCs w:val="20"/>
          <w:color w:val="auto"/>
        </w:rPr>
      </w:pPr>
      <w:r>
        <w:rPr>
          <w:rFonts w:ascii="Times New Roman" w:cs="Times New Roman" w:eastAsia="Times New Roman" w:hAnsi="Times New Roman"/>
          <w:sz w:val="18"/>
          <w:szCs w:val="18"/>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21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85" w:lineRule="exact"/>
        <w:rPr>
          <w:sz w:val="20"/>
          <w:szCs w:val="20"/>
          <w:color w:val="auto"/>
        </w:rPr>
      </w:pPr>
    </w:p>
    <w:p>
      <w:pPr>
        <w:ind w:right="120" w:firstLine="881"/>
        <w:spacing w:after="0" w:line="24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4" w:lineRule="exact"/>
        <w:rPr>
          <w:sz w:val="20"/>
          <w:szCs w:val="20"/>
          <w:color w:val="auto"/>
        </w:rPr>
      </w:pPr>
    </w:p>
    <w:p>
      <w:pPr>
        <w:ind w:right="20" w:firstLine="881"/>
        <w:spacing w:after="0" w:line="237" w:lineRule="auto"/>
        <w:rPr>
          <w:sz w:val="20"/>
          <w:szCs w:val="20"/>
          <w:color w:val="auto"/>
        </w:rPr>
      </w:pPr>
      <w:r>
        <w:rPr>
          <w:rFonts w:ascii="Times New Roman" w:cs="Times New Roman" w:eastAsia="Times New Roman" w:hAnsi="Times New Roman"/>
          <w:sz w:val="18"/>
          <w:szCs w:val="18"/>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(“CMS”) to test innovative payment and service delivery models to lower Medicare and Medicaid spending, potentially including prescription drug spending.</w:t>
      </w:r>
    </w:p>
    <w:p>
      <w:pPr>
        <w:spacing w:after="0" w:line="216"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213" w:lineRule="exact"/>
        <w:rPr>
          <w:sz w:val="20"/>
          <w:szCs w:val="20"/>
          <w:color w:val="auto"/>
        </w:rPr>
      </w:pPr>
    </w:p>
    <w:p>
      <w:pPr>
        <w:ind w:right="20" w:firstLine="881"/>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CARES Act signed into law in March</w:t>
      </w:r>
    </w:p>
    <w:p>
      <w:pPr>
        <w:spacing w:after="0" w:line="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2020 and designed to provide financial support and resources to individuals and businesses affected by the COVID-19 pandemic. The American Taxpayer Relief Act of 2012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881"/>
        <w:spacing w:after="0" w:line="238" w:lineRule="auto"/>
        <w:rPr>
          <w:sz w:val="20"/>
          <w:szCs w:val="20"/>
          <w:color w:val="auto"/>
        </w:rPr>
      </w:pPr>
      <w:r>
        <w:rPr>
          <w:rFonts w:ascii="Times New Roman" w:cs="Times New Roman" w:eastAsia="Times New Roman" w:hAnsi="Times New Roman"/>
          <w:sz w:val="18"/>
          <w:szCs w:val="18"/>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213" w:lineRule="exact"/>
        <w:rPr>
          <w:sz w:val="20"/>
          <w:szCs w:val="20"/>
          <w:color w:val="auto"/>
        </w:rPr>
      </w:pPr>
    </w:p>
    <w:p>
      <w:pPr>
        <w:ind w:right="680" w:firstLine="881"/>
        <w:spacing w:after="0" w:line="242" w:lineRule="auto"/>
        <w:rPr>
          <w:sz w:val="20"/>
          <w:szCs w:val="20"/>
          <w:color w:val="auto"/>
        </w:rPr>
      </w:pPr>
      <w:r>
        <w:rPr>
          <w:rFonts w:ascii="Times New Roman" w:cs="Times New Roman" w:eastAsia="Times New Roman" w:hAnsi="Times New Roman"/>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212" w:lineRule="exact"/>
        <w:rPr>
          <w:sz w:val="20"/>
          <w:szCs w:val="20"/>
          <w:color w:val="auto"/>
        </w:rPr>
      </w:pPr>
    </w:p>
    <w:p>
      <w:pPr>
        <w:ind w:right="40" w:firstLine="881"/>
        <w:spacing w:after="0" w:line="242" w:lineRule="auto"/>
        <w:rPr>
          <w:sz w:val="20"/>
          <w:szCs w:val="20"/>
          <w:color w:val="auto"/>
        </w:rPr>
      </w:pPr>
      <w:r>
        <w:rPr>
          <w:rFonts w:ascii="Times New Roman" w:cs="Times New Roman" w:eastAsia="Times New Roman" w:hAnsi="Times New Roman"/>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212" w:lineRule="exact"/>
        <w:rPr>
          <w:sz w:val="20"/>
          <w:szCs w:val="20"/>
          <w:color w:val="auto"/>
        </w:rPr>
      </w:pPr>
    </w:p>
    <w:p>
      <w:pPr>
        <w:ind w:right="40" w:firstLine="881"/>
        <w:spacing w:after="0" w:line="24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85" w:lineRule="exact"/>
        <w:rPr>
          <w:sz w:val="20"/>
          <w:szCs w:val="20"/>
          <w:color w:val="auto"/>
        </w:rPr>
      </w:pPr>
    </w:p>
    <w:p>
      <w:pPr>
        <w:ind w:firstLine="881"/>
        <w:spacing w:after="0" w:line="23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5"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212" w:lineRule="exact"/>
        <w:rPr>
          <w:sz w:val="20"/>
          <w:szCs w:val="20"/>
          <w:color w:val="auto"/>
        </w:rPr>
      </w:pPr>
    </w:p>
    <w:p>
      <w:pPr>
        <w:ind w:right="60" w:firstLine="881"/>
        <w:spacing w:after="0" w:line="245"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8" w:lineRule="exact"/>
        <w:rPr>
          <w:sz w:val="20"/>
          <w:szCs w:val="20"/>
          <w:color w:val="auto"/>
        </w:rPr>
      </w:pPr>
    </w:p>
    <w:p>
      <w:pPr>
        <w:ind w:right="120" w:firstLine="881"/>
        <w:spacing w:after="0" w:line="25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204" w:lineRule="exact"/>
        <w:rPr>
          <w:sz w:val="20"/>
          <w:szCs w:val="20"/>
          <w:color w:val="auto"/>
        </w:rPr>
      </w:pPr>
    </w:p>
    <w:p>
      <w:pPr>
        <w:ind w:right="100" w:firstLine="881"/>
        <w:spacing w:after="0" w:line="242"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203" w:lineRule="exact"/>
        <w:rPr>
          <w:sz w:val="20"/>
          <w:szCs w:val="20"/>
          <w:color w:val="auto"/>
        </w:rPr>
      </w:pPr>
    </w:p>
    <w:p>
      <w:pPr>
        <w:ind w:right="20" w:firstLine="881"/>
        <w:spacing w:after="0" w:line="242" w:lineRule="auto"/>
        <w:rPr>
          <w:sz w:val="20"/>
          <w:szCs w:val="20"/>
          <w:color w:val="auto"/>
        </w:rPr>
      </w:pPr>
      <w:r>
        <w:rPr>
          <w:rFonts w:ascii="Times New Roman" w:cs="Times New Roman" w:eastAsia="Times New Roman" w:hAnsi="Times New Roman"/>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185" w:lineRule="exact"/>
        <w:rPr>
          <w:sz w:val="20"/>
          <w:szCs w:val="20"/>
          <w:color w:val="auto"/>
        </w:rPr>
      </w:pPr>
    </w:p>
    <w:p>
      <w:pPr>
        <w:ind w:left="1020" w:hanging="324"/>
        <w:spacing w:after="0" w:line="238" w:lineRule="auto"/>
        <w:tabs>
          <w:tab w:leader="none" w:pos="10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20"/>
        <w:spacing w:after="0" w:line="266" w:lineRule="auto"/>
        <w:rPr>
          <w:sz w:val="20"/>
          <w:szCs w:val="20"/>
          <w:color w:val="auto"/>
        </w:rPr>
      </w:pPr>
      <w:r>
        <w:rPr>
          <w:rFonts w:ascii="Times New Roman" w:cs="Times New Roman" w:eastAsia="Times New Roman" w:hAnsi="Times New Roman"/>
          <w:sz w:val="18"/>
          <w:szCs w:val="18"/>
          <w:color w:val="auto"/>
        </w:rPr>
        <w:t>safe harbors are drawn narrowly, and practices that do not fit squarely within an exemption or safe harbor, or for which no exception or safe harbor is available, may be subject to scrutiny;</w:t>
      </w:r>
    </w:p>
    <w:p>
      <w:pPr>
        <w:spacing w:after="0" w:line="162" w:lineRule="exact"/>
        <w:rPr>
          <w:sz w:val="20"/>
          <w:szCs w:val="20"/>
          <w:color w:val="auto"/>
        </w:rPr>
      </w:pPr>
    </w:p>
    <w:p>
      <w:pPr>
        <w:ind w:left="1020" w:right="40" w:hanging="324"/>
        <w:spacing w:after="0" w:line="252"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laws, such as the False Claims Act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90" w:lineRule="exact"/>
        <w:rPr>
          <w:rFonts w:ascii="Times New Roman" w:cs="Times New Roman" w:eastAsia="Times New Roman" w:hAnsi="Times New Roman"/>
          <w:sz w:val="18"/>
          <w:szCs w:val="18"/>
          <w:color w:val="auto"/>
        </w:rPr>
      </w:pPr>
    </w:p>
    <w:p>
      <w:pPr>
        <w:ind w:left="1020" w:hanging="324"/>
        <w:spacing w:after="0" w:line="254"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91" w:lineRule="exact"/>
        <w:rPr>
          <w:rFonts w:ascii="Times New Roman" w:cs="Times New Roman" w:eastAsia="Times New Roman" w:hAnsi="Times New Roman"/>
          <w:sz w:val="18"/>
          <w:szCs w:val="18"/>
          <w:color w:val="auto"/>
        </w:rPr>
      </w:pPr>
    </w:p>
    <w:p>
      <w:pPr>
        <w:ind w:left="1020" w:hanging="324"/>
        <w:spacing w:after="0" w:line="255"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88" w:lineRule="exact"/>
        <w:rPr>
          <w:rFonts w:ascii="Times New Roman" w:cs="Times New Roman" w:eastAsia="Times New Roman" w:hAnsi="Times New Roman"/>
          <w:sz w:val="18"/>
          <w:szCs w:val="18"/>
          <w:color w:val="auto"/>
        </w:rPr>
      </w:pPr>
    </w:p>
    <w:p>
      <w:pPr>
        <w:ind w:left="1020" w:right="740" w:hanging="324"/>
        <w:spacing w:after="0" w:line="282"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ind w:left="1020" w:right="420" w:hanging="324"/>
        <w:spacing w:after="0" w:line="282"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61" w:lineRule="exact"/>
        <w:rPr>
          <w:rFonts w:ascii="Times New Roman" w:cs="Times New Roman" w:eastAsia="Times New Roman" w:hAnsi="Times New Roman"/>
          <w:sz w:val="18"/>
          <w:szCs w:val="18"/>
          <w:color w:val="auto"/>
        </w:rPr>
      </w:pPr>
    </w:p>
    <w:p>
      <w:pPr>
        <w:ind w:left="1020" w:right="120" w:hanging="324"/>
        <w:spacing w:after="0" w:line="258"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020" w:right="20"/>
        <w:spacing w:after="0" w:line="261" w:lineRule="auto"/>
        <w:rPr>
          <w:sz w:val="20"/>
          <w:szCs w:val="20"/>
          <w:color w:val="auto"/>
        </w:rPr>
      </w:pPr>
      <w:r>
        <w:rPr>
          <w:rFonts w:ascii="Times New Roman" w:cs="Times New Roman" w:eastAsia="Times New Roman" w:hAnsi="Times New Roman"/>
          <w:sz w:val="18"/>
          <w:szCs w:val="18"/>
          <w:color w:val="auto"/>
        </w:rPr>
        <w:t>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80" w:lineRule="exact"/>
        <w:rPr>
          <w:sz w:val="20"/>
          <w:szCs w:val="20"/>
          <w:color w:val="auto"/>
        </w:rPr>
      </w:pPr>
    </w:p>
    <w:p>
      <w:pPr>
        <w:ind w:left="1020" w:right="100" w:hanging="324"/>
        <w:spacing w:after="0" w:line="266" w:lineRule="auto"/>
        <w:tabs>
          <w:tab w:leader="none" w:pos="10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ind w:left="1020" w:right="40" w:hanging="324"/>
        <w:spacing w:after="0" w:line="255" w:lineRule="auto"/>
        <w:tabs>
          <w:tab w:leader="none" w:pos="10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216" w:lineRule="exact"/>
        <w:rPr>
          <w:sz w:val="20"/>
          <w:szCs w:val="20"/>
          <w:color w:val="auto"/>
        </w:rPr>
      </w:pPr>
    </w:p>
    <w:p>
      <w:pPr>
        <w:ind w:right="20" w:firstLine="891"/>
        <w:spacing w:after="0" w:line="242"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212" w:lineRule="exact"/>
        <w:rPr>
          <w:sz w:val="20"/>
          <w:szCs w:val="20"/>
          <w:color w:val="auto"/>
        </w:rPr>
      </w:pPr>
    </w:p>
    <w:p>
      <w:pPr>
        <w:ind w:firstLine="881"/>
        <w:spacing w:after="0" w:line="24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211" w:lineRule="exact"/>
        <w:rPr>
          <w:sz w:val="20"/>
          <w:szCs w:val="20"/>
          <w:color w:val="auto"/>
        </w:rPr>
      </w:pPr>
    </w:p>
    <w:p>
      <w:pPr>
        <w:ind w:right="100" w:firstLine="881"/>
        <w:spacing w:after="0" w:line="239" w:lineRule="auto"/>
        <w:rPr>
          <w:sz w:val="20"/>
          <w:szCs w:val="20"/>
          <w:color w:val="auto"/>
        </w:rPr>
      </w:pPr>
      <w:r>
        <w:rPr>
          <w:rFonts w:ascii="Times New Roman" w:cs="Times New Roman" w:eastAsia="Times New Roman" w:hAnsi="Times New Roman"/>
          <w:sz w:val="18"/>
          <w:szCs w:val="18"/>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21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3" w:lineRule="exact"/>
        <w:rPr>
          <w:sz w:val="20"/>
          <w:szCs w:val="20"/>
          <w:color w:val="auto"/>
        </w:rPr>
      </w:pPr>
    </w:p>
    <w:p>
      <w:pPr>
        <w:jc w:val="both"/>
        <w:ind w:right="80" w:firstLine="881"/>
        <w:spacing w:after="0" w:line="24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ind w:right="260" w:firstLine="881"/>
        <w:spacing w:after="0" w:line="26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If a prolonged government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85"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1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203" w:lineRule="exact"/>
        <w:rPr>
          <w:sz w:val="20"/>
          <w:szCs w:val="20"/>
          <w:color w:val="auto"/>
        </w:rPr>
      </w:pPr>
    </w:p>
    <w:p>
      <w:pPr>
        <w:ind w:right="80" w:firstLine="881"/>
        <w:spacing w:after="0" w:line="238"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215" w:lineRule="exact"/>
        <w:rPr>
          <w:sz w:val="20"/>
          <w:szCs w:val="20"/>
          <w:color w:val="auto"/>
        </w:rPr>
      </w:pPr>
    </w:p>
    <w:p>
      <w:pPr>
        <w:ind w:firstLine="881"/>
        <w:spacing w:after="0" w:line="250"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204"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w:t>
      </w:r>
    </w:p>
    <w:p>
      <w:pPr>
        <w:spacing w:after="0" w:line="162" w:lineRule="exact"/>
        <w:rPr>
          <w:sz w:val="20"/>
          <w:szCs w:val="20"/>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52" w:lineRule="exact"/>
        <w:rPr>
          <w:sz w:val="20"/>
          <w:szCs w:val="20"/>
          <w:color w:val="auto"/>
        </w:rPr>
      </w:pPr>
    </w:p>
    <w:p>
      <w:pPr>
        <w:ind w:right="600" w:firstLine="891"/>
        <w:spacing w:after="0" w:line="266"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product that we commercialize and, if coverage and reimbursement are available, what the level of reimbursement will be. Obtaining reimbursement for our products may be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8" w:lineRule="exact"/>
        <w:rPr>
          <w:sz w:val="20"/>
          <w:szCs w:val="20"/>
          <w:color w:val="auto"/>
        </w:rPr>
      </w:pPr>
    </w:p>
    <w:p>
      <w:pPr>
        <w:ind w:firstLine="881"/>
        <w:spacing w:after="0"/>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212" w:lineRule="exact"/>
        <w:rPr>
          <w:sz w:val="20"/>
          <w:szCs w:val="20"/>
          <w:color w:val="auto"/>
        </w:rPr>
      </w:pPr>
    </w:p>
    <w:p>
      <w:pPr>
        <w:ind w:right="100" w:firstLine="881"/>
        <w:spacing w:after="0" w:line="241"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211" w:lineRule="exact"/>
        <w:rPr>
          <w:sz w:val="20"/>
          <w:szCs w:val="20"/>
          <w:color w:val="auto"/>
        </w:rPr>
      </w:pPr>
    </w:p>
    <w:p>
      <w:pPr>
        <w:ind w:firstLine="881"/>
        <w:spacing w:after="0" w:line="239"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1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203" w:lineRule="exact"/>
        <w:rPr>
          <w:sz w:val="20"/>
          <w:szCs w:val="20"/>
          <w:color w:val="auto"/>
        </w:rPr>
      </w:pPr>
    </w:p>
    <w:p>
      <w:pPr>
        <w:ind w:right="120" w:firstLine="881"/>
        <w:spacing w:after="0" w:line="239"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214" w:lineRule="exact"/>
        <w:rPr>
          <w:sz w:val="20"/>
          <w:szCs w:val="20"/>
          <w:color w:val="auto"/>
        </w:rPr>
      </w:pPr>
    </w:p>
    <w:p>
      <w:pPr>
        <w:ind w:right="20" w:firstLine="881"/>
        <w:spacing w:after="0" w:line="239" w:lineRule="auto"/>
        <w:rPr>
          <w:sz w:val="20"/>
          <w:szCs w:val="20"/>
          <w:color w:val="auto"/>
        </w:rPr>
      </w:pPr>
      <w:r>
        <w:rPr>
          <w:rFonts w:ascii="Times New Roman" w:cs="Times New Roman" w:eastAsia="Times New Roman" w:hAnsi="Times New Roman"/>
          <w:sz w:val="18"/>
          <w:szCs w:val="18"/>
          <w:color w:val="auto"/>
        </w:rPr>
        <w:t>Furthermore, states are constantly adopting new laws or amending existing laws, requiring attention to frequently changing regulatory requirements. For example, California has enacted the California Consumer Privacy Act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881"/>
        <w:spacing w:after="0" w:line="238" w:lineRule="auto"/>
        <w:rPr>
          <w:sz w:val="20"/>
          <w:szCs w:val="20"/>
          <w:color w:val="auto"/>
        </w:rPr>
      </w:pPr>
      <w:r>
        <w:rPr>
          <w:rFonts w:ascii="Times New Roman" w:cs="Times New Roman" w:eastAsia="Times New Roman" w:hAnsi="Times New Roman"/>
          <w:sz w:val="18"/>
          <w:szCs w:val="18"/>
          <w:color w:val="auto"/>
        </w:rPr>
        <w:t>International data protection laws, including the EU General Data Protection Regulation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w:t>
      </w:r>
    </w:p>
    <w:p>
      <w:pPr>
        <w:spacing w:after="0" w:line="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 xml:space="preserve">Union. In particular, on July 16, 2020, the Court of Justice of the European Union, in the case of </w:t>
      </w:r>
      <w:r>
        <w:rPr>
          <w:rFonts w:ascii="Times New Roman" w:cs="Times New Roman" w:eastAsia="Times New Roman" w:hAnsi="Times New Roman"/>
          <w:sz w:val="18"/>
          <w:szCs w:val="18"/>
          <w:i w:val="1"/>
          <w:iCs w:val="1"/>
          <w:color w:val="auto"/>
        </w:rPr>
        <w:t>Data Protection Commissioner v. Facebook Ireland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Limited, Maximillian Schrems </w:t>
      </w:r>
      <w:r>
        <w:rPr>
          <w:rFonts w:ascii="Times New Roman" w:cs="Times New Roman" w:eastAsia="Times New Roman" w:hAnsi="Times New Roman"/>
          <w:sz w:val="18"/>
          <w:szCs w:val="18"/>
          <w:color w:val="auto"/>
        </w:rPr>
        <w:t>(Case C-311/18)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invalidated the EU-U.S. Privacy Shield Program for transfers of personal data from the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United States, and added further uncertainty and complexity to the use of the Standard Contractual Clauses as a compliance mechanism for transfers of personal data outside the EU.</w:t>
      </w:r>
    </w:p>
    <w:p>
      <w:pPr>
        <w:spacing w:after="0" w:line="206" w:lineRule="exact"/>
        <w:rPr>
          <w:sz w:val="20"/>
          <w:szCs w:val="20"/>
          <w:color w:val="auto"/>
        </w:rPr>
      </w:pPr>
    </w:p>
    <w:p>
      <w:pPr>
        <w:ind w:right="40" w:firstLine="881"/>
        <w:spacing w:after="0" w:line="239"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214" w:lineRule="exact"/>
        <w:rPr>
          <w:sz w:val="20"/>
          <w:szCs w:val="20"/>
          <w:color w:val="auto"/>
        </w:rPr>
      </w:pPr>
    </w:p>
    <w:p>
      <w:pPr>
        <w:ind w:right="40" w:firstLine="881"/>
        <w:spacing w:after="0" w:line="237"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203" w:lineRule="exact"/>
        <w:rPr>
          <w:sz w:val="20"/>
          <w:szCs w:val="20"/>
          <w:color w:val="auto"/>
        </w:rPr>
      </w:pPr>
    </w:p>
    <w:p>
      <w:pPr>
        <w:ind w:right="220" w:firstLine="881"/>
        <w:spacing w:after="0" w:line="242"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212" w:lineRule="exact"/>
        <w:rPr>
          <w:sz w:val="20"/>
          <w:szCs w:val="20"/>
          <w:color w:val="auto"/>
        </w:rPr>
      </w:pPr>
    </w:p>
    <w:p>
      <w:pPr>
        <w:jc w:val="both"/>
        <w:ind w:right="200" w:firstLine="881"/>
        <w:spacing w:after="0" w:line="250"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204"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201" w:lineRule="exact"/>
        <w:rPr>
          <w:sz w:val="20"/>
          <w:szCs w:val="20"/>
          <w:color w:val="auto"/>
        </w:rPr>
      </w:pPr>
    </w:p>
    <w:p>
      <w:pPr>
        <w:ind w:right="80" w:firstLine="881"/>
        <w:spacing w:after="0" w:line="245" w:lineRule="auto"/>
        <w:rPr>
          <w:sz w:val="20"/>
          <w:szCs w:val="20"/>
          <w:color w:val="auto"/>
        </w:rPr>
      </w:pPr>
      <w:r>
        <w:rPr>
          <w:rFonts w:ascii="Times New Roman" w:cs="Times New Roman" w:eastAsia="Times New Roman" w:hAnsi="Times New Roman"/>
          <w:sz w:val="18"/>
          <w:szCs w:val="18"/>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3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may decline regardless of our operating performance and you may not be able to resell your shares at or above the initial public offering price.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numerous factors, many of which are beyond our control,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192" w:lineRule="exact"/>
        <w:rPr>
          <w:sz w:val="20"/>
          <w:szCs w:val="20"/>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1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ongoing clinical trials and future clinical trials with our current and future product candidates or of our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ultimate completion of clinical trials;</w:t>
      </w:r>
    </w:p>
    <w:p>
      <w:pPr>
        <w:spacing w:after="0" w:line="225"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future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product development or commercialization goals or regulatory approval milestones in the timeframe we announce;</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ECP practices;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strategic alliances or significant agreements by us or by our competitors;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 including conditions resulting from COVID-19;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 limited number of stockholders who together beneficially own a majority of our outstanding common stock;</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float;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report.</w:t>
      </w:r>
    </w:p>
    <w:p>
      <w:pPr>
        <w:spacing w:after="0" w:line="252" w:lineRule="exact"/>
        <w:rPr>
          <w:sz w:val="20"/>
          <w:szCs w:val="20"/>
          <w:color w:val="auto"/>
        </w:rPr>
      </w:pPr>
    </w:p>
    <w:p>
      <w:pPr>
        <w:ind w:firstLine="891"/>
        <w:spacing w:after="0" w:line="242"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5" w:lineRule="exact"/>
        <w:rPr>
          <w:sz w:val="20"/>
          <w:szCs w:val="20"/>
          <w:color w:val="auto"/>
        </w:rPr>
      </w:pPr>
    </w:p>
    <w:p>
      <w:pPr>
        <w:ind w:right="20" w:firstLine="881"/>
        <w:spacing w:after="0" w:line="24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0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will make our common stock less attractive to investors.</w:t>
      </w:r>
    </w:p>
    <w:p>
      <w:pPr>
        <w:spacing w:after="0" w:line="185" w:lineRule="exact"/>
        <w:rPr>
          <w:sz w:val="20"/>
          <w:szCs w:val="20"/>
          <w:color w:val="auto"/>
        </w:rPr>
      </w:pPr>
    </w:p>
    <w:p>
      <w:pPr>
        <w:ind w:right="40" w:firstLine="881"/>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and we intend to take advantage of some of the exemptions from reporting requirements that are applicable to other public companies that are not emerging growth companies, including:</w:t>
      </w:r>
    </w:p>
    <w:p>
      <w:pPr>
        <w:spacing w:after="0" w:line="177" w:lineRule="exact"/>
        <w:rPr>
          <w:sz w:val="20"/>
          <w:szCs w:val="20"/>
          <w:color w:val="auto"/>
        </w:rPr>
      </w:pPr>
    </w:p>
    <w:p>
      <w:pPr>
        <w:ind w:left="1020" w:right="200" w:hanging="324"/>
        <w:spacing w:after="0" w:line="266"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62" w:lineRule="exact"/>
        <w:rPr>
          <w:rFonts w:ascii="Times New Roman" w:cs="Times New Roman" w:eastAsia="Times New Roman" w:hAnsi="Times New Roman"/>
          <w:sz w:val="18"/>
          <w:szCs w:val="18"/>
          <w:color w:val="auto"/>
        </w:rPr>
      </w:pPr>
    </w:p>
    <w:p>
      <w:pPr>
        <w:ind w:left="1020" w:right="8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 Oxley Act of 2002, as amended (the "Sarbanes Oxley Act");</w:t>
      </w:r>
    </w:p>
    <w:p>
      <w:pPr>
        <w:spacing w:after="0" w:line="161" w:lineRule="exact"/>
        <w:rPr>
          <w:rFonts w:ascii="Times New Roman" w:cs="Times New Roman" w:eastAsia="Times New Roman" w:hAnsi="Times New Roman"/>
          <w:sz w:val="18"/>
          <w:szCs w:val="18"/>
          <w:color w:val="auto"/>
        </w:rPr>
      </w:pPr>
    </w:p>
    <w:p>
      <w:pPr>
        <w:ind w:left="1020" w:right="460" w:hanging="324"/>
        <w:spacing w:after="0" w:line="266"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1020" w:right="42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61" w:lineRule="exact"/>
        <w:rPr>
          <w:rFonts w:ascii="Times New Roman" w:cs="Times New Roman" w:eastAsia="Times New Roman" w:hAnsi="Times New Roman"/>
          <w:sz w:val="18"/>
          <w:szCs w:val="18"/>
          <w:color w:val="auto"/>
        </w:rPr>
      </w:pPr>
    </w:p>
    <w:p>
      <w:pPr>
        <w:ind w:left="1020" w:right="820" w:hanging="324"/>
        <w:spacing w:after="0" w:line="282" w:lineRule="auto"/>
        <w:tabs>
          <w:tab w:leader="none" w:pos="10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w:t>
      </w:r>
    </w:p>
    <w:p>
      <w:pPr>
        <w:spacing w:after="0" w:line="18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this provision and, as a result, we will comply with new or revised accounting standards as required when they are adopted.</w:t>
      </w:r>
    </w:p>
    <w:p>
      <w:pPr>
        <w:spacing w:after="0" w:line="239" w:lineRule="exact"/>
        <w:rPr>
          <w:sz w:val="20"/>
          <w:szCs w:val="20"/>
          <w:color w:val="auto"/>
        </w:rPr>
      </w:pPr>
    </w:p>
    <w:p>
      <w:pPr>
        <w:ind w:firstLine="881"/>
        <w:spacing w:after="0" w:line="237"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initial public offering, (b)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20" w:lineRule="exact"/>
        <w:rPr>
          <w:sz w:val="20"/>
          <w:szCs w:val="20"/>
          <w:color w:val="auto"/>
        </w:rPr>
      </w:pPr>
    </w:p>
    <w:p>
      <w:pPr>
        <w:ind w:right="60" w:firstLine="881"/>
        <w:spacing w:after="0" w:line="250"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should cause the price of our common stock to fall.</w:t>
      </w:r>
    </w:p>
    <w:p>
      <w:pPr>
        <w:spacing w:after="0" w:line="243" w:lineRule="exact"/>
        <w:rPr>
          <w:sz w:val="20"/>
          <w:szCs w:val="20"/>
          <w:color w:val="auto"/>
        </w:rPr>
      </w:pPr>
    </w:p>
    <w:p>
      <w:pPr>
        <w:ind w:right="80" w:firstLine="881"/>
        <w:spacing w:after="0" w:line="23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should occur at any time. 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As of November 23, 2020, we had 20,320,426 shares of common stock outstanding. Of these shares, approximately 6,325,000 shares sold in our IPO may be resold in the public market, unless purchased by our affiliates or existing stockholders. Of the remaining shares, a significant percentage of these shares of common stock are currently restricted as a result of securities laws or lock-up agreements entered into in connection with the IPO. These shares will become available to be sold in the public market as early as 180 days following the date of our final prospectus filed with the SEC on October 16, 2020 pursuant to Rule 424(b) under the Securities Act of 1933, as amended (“Securities Act”). Shares held by directors, executive officers and other affiliates will be subject to volume limitations under Rule 144 under the Securities Act and various vesting agreements. The underwriters of the IPO may, in their discretion, permit our stockholders to sell shares prior to the expiration of the restrictive provisions contained in those lock-up agreements.</w:t>
      </w:r>
    </w:p>
    <w:p>
      <w:pPr>
        <w:spacing w:after="0" w:line="215" w:lineRule="exact"/>
        <w:rPr>
          <w:sz w:val="20"/>
          <w:szCs w:val="20"/>
          <w:color w:val="auto"/>
        </w:rPr>
      </w:pPr>
    </w:p>
    <w:p>
      <w:pPr>
        <w:ind w:right="40" w:firstLine="881"/>
        <w:spacing w:after="0" w:line="241" w:lineRule="auto"/>
        <w:rPr>
          <w:sz w:val="20"/>
          <w:szCs w:val="20"/>
          <w:color w:val="auto"/>
        </w:rPr>
      </w:pPr>
      <w:r>
        <w:rPr>
          <w:rFonts w:ascii="Times New Roman" w:cs="Times New Roman" w:eastAsia="Times New Roman" w:hAnsi="Times New Roman"/>
          <w:sz w:val="18"/>
          <w:szCs w:val="18"/>
          <w:color w:val="auto"/>
        </w:rPr>
        <w:t>Moreover, holders of an aggregate of 11,107,018 shares of our common stock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In addition, on October 20, 2020, we filed a registration statement on Form S-8 registering 13,732,980 shares of common stock that we have issued and may issue under our employee equity incentive plans. As a result, shares registered under this registration statement on Form S-8 can be freely sold in the public market subject to the satisfaction of vesting arrangements and the exercise of such options, volume limitations applicable to affiliates or lock-up agreements.</w:t>
      </w:r>
    </w:p>
    <w:p>
      <w:pPr>
        <w:spacing w:after="0" w:line="211"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85" w:lineRule="exact"/>
        <w:rPr>
          <w:sz w:val="20"/>
          <w:szCs w:val="20"/>
          <w:color w:val="auto"/>
        </w:rPr>
      </w:pPr>
    </w:p>
    <w:p>
      <w:pPr>
        <w:ind w:right="120" w:firstLine="881"/>
        <w:spacing w:after="0" w:line="242" w:lineRule="auto"/>
        <w:rPr>
          <w:sz w:val="20"/>
          <w:szCs w:val="20"/>
          <w:color w:val="auto"/>
        </w:rPr>
      </w:pPr>
      <w:r>
        <w:rPr>
          <w:rFonts w:ascii="Times New Roman" w:cs="Times New Roman" w:eastAsia="Times New Roman" w:hAnsi="Times New Roman"/>
          <w:sz w:val="18"/>
          <w:szCs w:val="18"/>
          <w:color w:val="auto"/>
        </w:rPr>
        <w:t>Immediately following our IPO, our officers, directors and the holders of more than 5% of our outstanding stock collectively beneficially own approximately 68%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85" w:lineRule="exact"/>
        <w:rPr>
          <w:sz w:val="20"/>
          <w:szCs w:val="20"/>
          <w:color w:val="auto"/>
        </w:rPr>
      </w:pPr>
    </w:p>
    <w:p>
      <w:pPr>
        <w:ind w:right="80" w:firstLine="881"/>
        <w:spacing w:after="0" w:line="242"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amended(the “Exchange Act”), or the other rules and regulations of the Securities and Exchange Commission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spacing w:after="0" w:line="212" w:lineRule="exact"/>
        <w:rPr>
          <w:sz w:val="20"/>
          <w:szCs w:val="20"/>
          <w:color w:val="auto"/>
        </w:rPr>
      </w:pPr>
    </w:p>
    <w:p>
      <w:pPr>
        <w:ind w:right="300" w:firstLine="881"/>
        <w:spacing w:after="0" w:line="245" w:lineRule="auto"/>
        <w:rPr>
          <w:sz w:val="20"/>
          <w:szCs w:val="20"/>
          <w:color w:val="auto"/>
        </w:rPr>
      </w:pPr>
      <w:r>
        <w:rPr>
          <w:rFonts w:ascii="Times New Roman" w:cs="Times New Roman" w:eastAsia="Times New Roman" w:hAnsi="Times New Roman"/>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85" w:lineRule="exact"/>
        <w:rPr>
          <w:sz w:val="20"/>
          <w:szCs w:val="20"/>
          <w:color w:val="auto"/>
        </w:rPr>
      </w:pPr>
    </w:p>
    <w:p>
      <w:pPr>
        <w:ind w:right="40" w:firstLine="881"/>
        <w:spacing w:after="0" w:line="237"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the Nasdaq Stock Market (“Nasdaq”). The Sarbanes-Oxley Act requires, among other things, that we maintain effective disclosure controls and procedures and internal controls over financial reporting. Commencing in the fiscal year ending December 31, 2021,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218" w:lineRule="exact"/>
        <w:rPr>
          <w:sz w:val="20"/>
          <w:szCs w:val="20"/>
          <w:color w:val="auto"/>
        </w:rPr>
      </w:pPr>
    </w:p>
    <w:p>
      <w:pPr>
        <w:ind w:firstLine="881"/>
        <w:spacing w:after="0" w:line="242"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2" w:lineRule="exact"/>
        <w:rPr>
          <w:sz w:val="20"/>
          <w:szCs w:val="20"/>
          <w:color w:val="auto"/>
        </w:rPr>
      </w:pPr>
    </w:p>
    <w:p>
      <w:pPr>
        <w:ind w:right="400" w:firstLine="881"/>
        <w:spacing w:after="0" w:line="24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43" w:lineRule="exact"/>
        <w:rPr>
          <w:sz w:val="20"/>
          <w:szCs w:val="20"/>
          <w:color w:val="auto"/>
        </w:rPr>
      </w:pPr>
    </w:p>
    <w:p>
      <w:pPr>
        <w:ind w:right="80" w:firstLine="881"/>
        <w:spacing w:after="0" w:line="250"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43" w:lineRule="exact"/>
        <w:rPr>
          <w:sz w:val="20"/>
          <w:szCs w:val="20"/>
          <w:color w:val="auto"/>
        </w:rPr>
      </w:pPr>
    </w:p>
    <w:p>
      <w:pPr>
        <w:ind w:right="180" w:firstLine="881"/>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stock price volatility in recent years. If we face such litigation, it could result in substantial costs and a diversion of management’s attention and resources, which could harm our business.</w:t>
      </w:r>
    </w:p>
    <w:p>
      <w:pPr>
        <w:spacing w:after="0" w:line="18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85" w:lineRule="exact"/>
        <w:rPr>
          <w:sz w:val="20"/>
          <w:szCs w:val="20"/>
          <w:color w:val="auto"/>
        </w:rPr>
      </w:pPr>
    </w:p>
    <w:p>
      <w:pPr>
        <w:ind w:right="160" w:firstLine="881"/>
        <w:spacing w:after="0" w:line="250"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77" w:lineRule="exact"/>
        <w:rPr>
          <w:sz w:val="20"/>
          <w:szCs w:val="20"/>
          <w:color w:val="auto"/>
        </w:rPr>
      </w:pPr>
    </w:p>
    <w:p>
      <w:pPr>
        <w:ind w:left="1020" w:right="380" w:hanging="324"/>
        <w:spacing w:after="0" w:line="266" w:lineRule="auto"/>
        <w:tabs>
          <w:tab w:leader="none" w:pos="10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62" w:lineRule="exact"/>
        <w:rPr>
          <w:rFonts w:ascii="Times New Roman" w:cs="Times New Roman" w:eastAsia="Times New Roman" w:hAnsi="Times New Roman"/>
          <w:sz w:val="18"/>
          <w:szCs w:val="18"/>
          <w:color w:val="auto"/>
        </w:rPr>
      </w:pPr>
    </w:p>
    <w:p>
      <w:pPr>
        <w:ind w:left="1020" w:right="140" w:hanging="324"/>
        <w:spacing w:after="0" w:line="282" w:lineRule="auto"/>
        <w:tabs>
          <w:tab w:leader="none" w:pos="10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patients for preclinical studies and clinical trials, and any delays caused by difficulties in such recruitment efforts;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25" w:lineRule="exact"/>
        <w:rPr>
          <w:rFonts w:ascii="Times New Roman" w:cs="Times New Roman" w:eastAsia="Times New Roman" w:hAnsi="Times New Roman"/>
          <w:sz w:val="18"/>
          <w:szCs w:val="18"/>
          <w:color w:val="auto"/>
        </w:rPr>
      </w:pPr>
    </w:p>
    <w:p>
      <w:pPr>
        <w:ind w:left="1020" w:right="100" w:hanging="324"/>
        <w:spacing w:after="0" w:line="282" w:lineRule="auto"/>
        <w:tabs>
          <w:tab w:leader="none" w:pos="10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1020" w:right="120" w:hanging="324"/>
        <w:spacing w:after="0" w:line="282" w:lineRule="auto"/>
        <w:tabs>
          <w:tab w:leader="none" w:pos="10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25" w:lineRule="exact"/>
        <w:rPr>
          <w:rFonts w:ascii="Times New Roman" w:cs="Times New Roman" w:eastAsia="Times New Roman" w:hAnsi="Times New Roman"/>
          <w:sz w:val="18"/>
          <w:szCs w:val="18"/>
          <w:color w:val="auto"/>
        </w:rPr>
      </w:pPr>
    </w:p>
    <w:p>
      <w:pPr>
        <w:ind w:left="1020" w:right="40" w:hanging="324"/>
        <w:spacing w:after="0" w:line="282" w:lineRule="auto"/>
        <w:tabs>
          <w:tab w:leader="none" w:pos="10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drugs that compete with our product candidates;</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European and global economic environments, including impact of COVID-19; and</w:t>
      </w:r>
    </w:p>
    <w:p>
      <w:pPr>
        <w:spacing w:after="0" w:line="225"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52" w:lineRule="exact"/>
        <w:rPr>
          <w:sz w:val="20"/>
          <w:szCs w:val="20"/>
          <w:color w:val="auto"/>
        </w:rPr>
      </w:pPr>
    </w:p>
    <w:p>
      <w:pPr>
        <w:ind w:firstLine="891"/>
        <w:spacing w:after="0" w:line="24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85" w:lineRule="exact"/>
        <w:rPr>
          <w:sz w:val="20"/>
          <w:szCs w:val="20"/>
          <w:color w:val="auto"/>
        </w:rPr>
      </w:pPr>
    </w:p>
    <w:p>
      <w:pPr>
        <w:ind w:right="200" w:firstLine="881"/>
        <w:spacing w:after="0" w:line="242"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right="180" w:hanging="324"/>
        <w:spacing w:after="0" w:line="266"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2" w:lineRule="exact"/>
        <w:rPr>
          <w:rFonts w:ascii="Times New Roman" w:cs="Times New Roman" w:eastAsia="Times New Roman" w:hAnsi="Times New Roman"/>
          <w:sz w:val="18"/>
          <w:szCs w:val="18"/>
          <w:color w:val="auto"/>
        </w:rPr>
      </w:pPr>
    </w:p>
    <w:p>
      <w:pPr>
        <w:ind w:left="1020" w:right="160" w:hanging="324"/>
        <w:spacing w:after="0" w:line="312" w:lineRule="auto"/>
        <w:tabs>
          <w:tab w:leader="none" w:pos="10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9" w:lineRule="exact"/>
        <w:rPr>
          <w:rFonts w:ascii="Times New Roman" w:cs="Times New Roman" w:eastAsia="Times New Roman" w:hAnsi="Times New Roman"/>
          <w:sz w:val="17"/>
          <w:szCs w:val="17"/>
          <w:color w:val="auto"/>
        </w:rPr>
      </w:pPr>
    </w:p>
    <w:p>
      <w:pPr>
        <w:ind w:left="1020" w:right="480" w:hanging="324"/>
        <w:spacing w:after="0" w:line="282"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020" w:right="340" w:hanging="324"/>
        <w:spacing w:after="0" w:line="282"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1020" w:right="60" w:hanging="324"/>
        <w:spacing w:after="0" w:line="266"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jc w:val="both"/>
        <w:ind w:left="1020" w:right="100" w:hanging="324"/>
        <w:spacing w:after="0" w:line="289" w:lineRule="auto"/>
        <w:tabs>
          <w:tab w:leader="none" w:pos="10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57" w:lineRule="exact"/>
        <w:rPr>
          <w:rFonts w:ascii="Times New Roman" w:cs="Times New Roman" w:eastAsia="Times New Roman" w:hAnsi="Times New Roman"/>
          <w:sz w:val="17"/>
          <w:szCs w:val="17"/>
          <w:color w:val="auto"/>
        </w:rPr>
      </w:pPr>
    </w:p>
    <w:p>
      <w:pPr>
        <w:ind w:left="1020" w:right="40" w:hanging="324"/>
        <w:spacing w:after="0" w:line="266"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3" w:lineRule="exact"/>
        <w:rPr>
          <w:sz w:val="20"/>
          <w:szCs w:val="20"/>
          <w:color w:val="auto"/>
        </w:rPr>
      </w:pPr>
    </w:p>
    <w:p>
      <w:pPr>
        <w:ind w:firstLine="881"/>
        <w:spacing w:after="0" w:line="245"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08" w:lineRule="exact"/>
        <w:rPr>
          <w:sz w:val="20"/>
          <w:szCs w:val="20"/>
          <w:color w:val="auto"/>
        </w:rPr>
      </w:pPr>
    </w:p>
    <w:p>
      <w:pPr>
        <w:jc w:val="both"/>
        <w:ind w:right="340" w:firstLine="881"/>
        <w:spacing w:after="0" w:line="245"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203" w:lineRule="exact"/>
        <w:rPr>
          <w:sz w:val="20"/>
          <w:szCs w:val="20"/>
          <w:color w:val="auto"/>
        </w:rPr>
      </w:pPr>
    </w:p>
    <w:p>
      <w:pPr>
        <w:ind w:firstLine="881"/>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208" w:lineRule="exact"/>
        <w:rPr>
          <w:sz w:val="20"/>
          <w:szCs w:val="20"/>
          <w:color w:val="auto"/>
        </w:rPr>
      </w:pPr>
    </w:p>
    <w:p>
      <w:pPr>
        <w:ind w:right="40" w:firstLine="881"/>
        <w:spacing w:after="0" w:line="239"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costs associated with resolving such action in other jurisdictions and there can be no assurance that the provisions will be enforced by a court in those other jurisdictions.</w:t>
      </w:r>
    </w:p>
    <w:p>
      <w:pPr>
        <w:spacing w:after="0" w:line="189" w:lineRule="exact"/>
        <w:rPr>
          <w:sz w:val="20"/>
          <w:szCs w:val="20"/>
          <w:color w:val="auto"/>
        </w:rPr>
      </w:pPr>
    </w:p>
    <w:p>
      <w:pPr>
        <w:ind w:right="20" w:firstLine="881"/>
        <w:spacing w:after="0" w:line="24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by us from July 1, 2020 through September 30, 2020.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76" w:lineRule="exact"/>
        <w:rPr>
          <w:sz w:val="20"/>
          <w:szCs w:val="20"/>
          <w:color w:val="auto"/>
        </w:rPr>
      </w:pPr>
    </w:p>
    <w:p>
      <w:pPr>
        <w:ind w:right="40" w:firstLine="1790"/>
        <w:spacing w:after="0" w:line="282" w:lineRule="auto"/>
        <w:tabs>
          <w:tab w:leader="none" w:pos="21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we granted certain of our employees stock options to purchase an aggregate of 320,829 shares of common stock upon the exercise of options under our 2016 Plan at an exercise price per share of $2.0055, for an aggregate exercise price of approximately $0.6 million.</w:t>
      </w:r>
    </w:p>
    <w:p>
      <w:pPr>
        <w:spacing w:after="0" w:line="161" w:lineRule="exact"/>
        <w:rPr>
          <w:rFonts w:ascii="Times New Roman" w:cs="Times New Roman" w:eastAsia="Times New Roman" w:hAnsi="Times New Roman"/>
          <w:sz w:val="18"/>
          <w:szCs w:val="18"/>
          <w:color w:val="auto"/>
        </w:rPr>
      </w:pPr>
    </w:p>
    <w:p>
      <w:pPr>
        <w:ind w:right="240" w:firstLine="1790"/>
        <w:spacing w:after="0" w:line="266" w:lineRule="auto"/>
        <w:tabs>
          <w:tab w:leader="none" w:pos="21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that certain License Agreement between the Company and Elanco Tiergesundheit AG ("Elanco"), dated September 3, 2020 (the "All Human Uses Elanco Agreement"), in September 2020 we issued 222,460 shares of our common stock to Elanco as consideration for licenses included in the All Human Uses Elanco Agreement.</w:t>
      </w:r>
    </w:p>
    <w:p>
      <w:pPr>
        <w:spacing w:after="0" w:line="175" w:lineRule="exact"/>
        <w:rPr>
          <w:rFonts w:ascii="Times New Roman" w:cs="Times New Roman" w:eastAsia="Times New Roman" w:hAnsi="Times New Roman"/>
          <w:sz w:val="18"/>
          <w:szCs w:val="18"/>
          <w:color w:val="auto"/>
        </w:rPr>
      </w:pPr>
    </w:p>
    <w:p>
      <w:pPr>
        <w:ind w:right="100" w:firstLine="1790"/>
        <w:spacing w:after="0" w:line="282" w:lineRule="auto"/>
        <w:tabs>
          <w:tab w:leader="none" w:pos="21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we issued and sold to 11 accredited investors an aggregate of 2,857,079 shares of our Series C preferred stock at a purchase price of $14.0003 per share, for aggregate consideration of approximately $40.0 million.</w:t>
      </w:r>
    </w:p>
    <w:p>
      <w:pPr>
        <w:spacing w:after="0" w:line="161" w:lineRule="exact"/>
        <w:rPr>
          <w:rFonts w:ascii="Times New Roman" w:cs="Times New Roman" w:eastAsia="Times New Roman" w:hAnsi="Times New Roman"/>
          <w:sz w:val="18"/>
          <w:szCs w:val="18"/>
          <w:color w:val="auto"/>
        </w:rPr>
      </w:pPr>
    </w:p>
    <w:p>
      <w:pPr>
        <w:ind w:right="120" w:firstLine="1790"/>
        <w:spacing w:after="0" w:line="266" w:lineRule="auto"/>
        <w:tabs>
          <w:tab w:leader="none" w:pos="20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we granted certain of our employees stock options to purchase an aggregate of 416,688 shares of common stock upon the exercise of options under our 2016 Plan at an exercise price per share of $10.99, for an aggregate exercise price of approximately $4.6 million.</w:t>
      </w:r>
    </w:p>
    <w:p>
      <w:pPr>
        <w:spacing w:after="0" w:line="176"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Items (a) and (d)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7" w:lineRule="exact"/>
        <w:rPr>
          <w:sz w:val="20"/>
          <w:szCs w:val="20"/>
          <w:color w:val="auto"/>
        </w:rPr>
      </w:pPr>
    </w:p>
    <w:p>
      <w:pPr>
        <w:ind w:right="240" w:firstLine="891"/>
        <w:spacing w:after="0" w:line="277" w:lineRule="auto"/>
        <w:rPr>
          <w:sz w:val="20"/>
          <w:szCs w:val="20"/>
          <w:color w:val="auto"/>
        </w:rPr>
      </w:pPr>
      <w:r>
        <w:rPr>
          <w:rFonts w:ascii="Times New Roman" w:cs="Times New Roman" w:eastAsia="Times New Roman" w:hAnsi="Times New Roman"/>
          <w:sz w:val="17"/>
          <w:szCs w:val="17"/>
          <w:color w:val="auto"/>
        </w:rPr>
        <w:t>The offers, sales and issuances of the securities described in Items (b) and (c)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On October 16, 2020, our Registration Statement on Form S-1 (File No. 333-249076) ("Registration Statement") relating to the initial public offering of our common stock was declared effective by the SEC. Pursuant to such Registration Statement, we sold an aggregate of 6,325,000 shares of our common stock, which includes 825,000 shares sold pursuant to the underwriters’ full exercise of their option to purchase additional shares, at a price of $16.00 per share. The aggregate offering price for shares sold in the offering was $101.2 million. On October 20, 2020, we closed the sale of such shares, resulting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aggregate cash proceeds to us of approximately $91.7 million, net of underwriting discounts, commissions and offering expenses paid or payable by us. No offering expenses were paid or are payable, directly or indirectly, to our directors or officers, to persons owning 10% or more of any class of our equity securities or to any of our affiliates.</w:t>
      </w:r>
    </w:p>
    <w:p>
      <w:pPr>
        <w:spacing w:after="0" w:line="176"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the final prospectus, dated October 15, 2020, filed with the SEC on October 16, 2020, pursuant to Rule 424(b)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720" w:type="dxa"/>
            <w:vAlign w:val="bottom"/>
          </w:tcPr>
          <w:p>
            <w:pPr>
              <w:spacing w:after="0"/>
              <w:rPr>
                <w:sz w:val="13"/>
                <w:szCs w:val="13"/>
                <w:color w:val="auto"/>
              </w:rPr>
            </w:pP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5"/>
        </w:trPr>
        <w:tc>
          <w:tcPr>
            <w:tcW w:w="1000" w:type="dxa"/>
            <w:vAlign w:val="bottom"/>
            <w:gridSpan w:val="2"/>
            <w:vMerge w:val="continue"/>
          </w:tcPr>
          <w:p>
            <w:pPr>
              <w:spacing w:after="0"/>
              <w:rPr>
                <w:sz w:val="11"/>
                <w:szCs w:val="11"/>
                <w:color w:val="auto"/>
              </w:rPr>
            </w:pPr>
          </w:p>
        </w:tc>
        <w:tc>
          <w:tcPr>
            <w:tcW w:w="45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4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5700" w:type="dxa"/>
            <w:vAlign w:val="bottom"/>
            <w:gridSpan w:val="23"/>
          </w:tcPr>
          <w:p>
            <w:pPr>
              <w:spacing w:after="0"/>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Amended and Restated Certificate of Incorporation of Registrant.</w:t>
              </w:r>
            </w:hyperlink>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001-39614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10/20/20</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5700" w:type="dxa"/>
            <w:vAlign w:val="bottom"/>
            <w:gridSpan w:val="23"/>
          </w:tcPr>
          <w:p>
            <w:pPr>
              <w:spacing w:after="0"/>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Amended and Restated Bylaws of Registrant</w:t>
              </w:r>
            </w:hyperlink>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001-39614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10/20/20</w:t>
            </w:r>
          </w:p>
        </w:tc>
        <w:tc>
          <w:tcPr>
            <w:tcW w:w="0" w:type="dxa"/>
            <w:vAlign w:val="bottom"/>
          </w:tcPr>
          <w:p>
            <w:pPr>
              <w:spacing w:after="0"/>
              <w:rPr>
                <w:sz w:val="1"/>
                <w:szCs w:val="1"/>
                <w:color w:val="auto"/>
              </w:rPr>
            </w:pPr>
          </w:p>
        </w:tc>
      </w:tr>
      <w:tr>
        <w:trPr>
          <w:trHeight w:val="172"/>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Amended and Restated Investors’ Rights Agreement, dated September 24, 2020, by and among</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2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the Registrant and the other parties 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Indemnification Agreement between the Registrant and each of its directors and</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120" w:type="dxa"/>
            <w:vAlign w:val="bottom"/>
            <w:tcBorders>
              <w:top w:val="single" w:sz="8" w:color="0000FF"/>
            </w:tcBorders>
            <w:gridSpan w:val="11"/>
          </w:tcPr>
          <w:p>
            <w:pPr>
              <w:spacing w:after="0" w:line="115"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executive officers.</w:t>
              </w:r>
            </w:hyperlink>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5700" w:type="dxa"/>
            <w:vAlign w:val="bottom"/>
            <w:gridSpan w:val="23"/>
          </w:tcPr>
          <w:p>
            <w:pPr>
              <w:spacing w:after="0"/>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Tarsus Pharmaceuticals, Inc. 2016 Stock Plan, as amended and forms of agreements thereunder.</w:t>
              </w:r>
            </w:hyperlink>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9/25/20</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5700" w:type="dxa"/>
            <w:vAlign w:val="bottom"/>
            <w:gridSpan w:val="23"/>
          </w:tcPr>
          <w:p>
            <w:pPr>
              <w:spacing w:after="0"/>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Tarsus Pharmaceuticals, Inc. 2020 Equity Incentive Plan and form of agreements thereunder.</w:t>
              </w:r>
            </w:hyperlink>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333-249571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10/20/20</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u w:val="single" w:color="auto"/>
                  <w:color w:val="0000FF"/>
                </w:rPr>
                <w:t>Tarsus Pharmaceuticals, Inc. 2020 Employee Stock Purchase Plan</w:t>
              </w:r>
              <w:r>
                <w:rPr>
                  <w:rFonts w:ascii="Times New Roman" w:cs="Times New Roman" w:eastAsia="Times New Roman" w:hAnsi="Times New Roman"/>
                  <w:sz w:val="14"/>
                  <w:szCs w:val="14"/>
                  <w:color w:val="0000FF"/>
                </w:rPr>
                <w:t>.</w:t>
              </w:r>
            </w:hyperlink>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333-249571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99.3</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10/20/20</w:t>
            </w:r>
          </w:p>
        </w:tc>
        <w:tc>
          <w:tcPr>
            <w:tcW w:w="0" w:type="dxa"/>
            <w:vAlign w:val="bottom"/>
          </w:tcPr>
          <w:p>
            <w:pPr>
              <w:spacing w:after="0"/>
              <w:rPr>
                <w:sz w:val="1"/>
                <w:szCs w:val="1"/>
                <w:color w:val="auto"/>
              </w:rPr>
            </w:pPr>
          </w:p>
        </w:tc>
      </w:tr>
      <w:tr>
        <w:trPr>
          <w:trHeight w:val="158"/>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5700" w:type="dxa"/>
            <w:vAlign w:val="bottom"/>
            <w:gridSpan w:val="23"/>
          </w:tcPr>
          <w:p>
            <w:pPr>
              <w:spacing w:after="0" w:line="15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Offer Letter, dated October 8, 2020, between the Registrant and Bobak</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6"/>
          </w:tcPr>
          <w:p>
            <w:pPr>
              <w:spacing w:after="0" w:line="115"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Azamian, M.D., Ph.D.</w:t>
              </w:r>
            </w:hyperlink>
          </w:p>
        </w:tc>
        <w:tc>
          <w:tcPr>
            <w:tcW w:w="416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License Agreement, dated January 31, 2019, between the Registrant and Elanco Tiergesundheit</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500" w:type="dxa"/>
            <w:vAlign w:val="bottom"/>
            <w:tcBorders>
              <w:top w:val="single" w:sz="8" w:color="0000FF"/>
            </w:tcBorders>
            <w:gridSpan w:val="19"/>
          </w:tcPr>
          <w:p>
            <w:pPr>
              <w:spacing w:after="0" w:line="115"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AG.</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Amendment to License Agreement, dated September 3, 2020, between the Registrant and</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7"/>
          </w:tcPr>
          <w:p>
            <w:pPr>
              <w:spacing w:after="0" w:line="115"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Elanco Tiergesundheit AG.</w:t>
              </w:r>
            </w:hyperlink>
          </w:p>
        </w:tc>
        <w:tc>
          <w:tcPr>
            <w:tcW w:w="3580" w:type="dxa"/>
            <w:vAlign w:val="bottom"/>
            <w:tcBorders>
              <w:top w:val="single" w:sz="8" w:color="0000FF"/>
            </w:tcBorders>
            <w:gridSpan w:val="5"/>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5700" w:type="dxa"/>
            <w:vAlign w:val="bottom"/>
            <w:gridSpan w:val="23"/>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License Agreement, dated September 3, 2020, between the Registrant and Elanco</w:t>
              </w:r>
            </w:hyperlink>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Tiergesundheit AG.</w:t>
              </w:r>
            </w:hyperlink>
          </w:p>
        </w:tc>
        <w:tc>
          <w:tcPr>
            <w:tcW w:w="3560" w:type="dxa"/>
            <w:vAlign w:val="bottom"/>
            <w:tcBorders>
              <w:top w:val="single" w:sz="8" w:color="0000FF"/>
            </w:tcBorders>
            <w:gridSpan w:val="5"/>
          </w:tcPr>
          <w:p>
            <w:pPr>
              <w:spacing w:after="0"/>
              <w:rPr>
                <w:sz w:val="10"/>
                <w:szCs w:val="10"/>
                <w:color w:val="auto"/>
              </w:rPr>
            </w:pPr>
          </w:p>
        </w:tc>
        <w:tc>
          <w:tcPr>
            <w:tcW w:w="5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5700" w:type="dxa"/>
            <w:vAlign w:val="bottom"/>
            <w:gridSpan w:val="23"/>
          </w:tcPr>
          <w:p>
            <w:pPr>
              <w:spacing w:after="0"/>
              <w:rPr>
                <w:rFonts w:ascii="Times New Roman" w:cs="Times New Roman" w:eastAsia="Times New Roman" w:hAnsi="Times New Roman"/>
                <w:sz w:val="14"/>
                <w:szCs w:val="14"/>
                <w:u w:val="single" w:color="auto"/>
                <w:color w:val="0000FF"/>
              </w:rPr>
            </w:pPr>
            <w:hyperlink r:id="rId139">
              <w:r>
                <w:rPr>
                  <w:rFonts w:ascii="Times New Roman" w:cs="Times New Roman" w:eastAsia="Times New Roman" w:hAnsi="Times New Roman"/>
                  <w:sz w:val="14"/>
                  <w:szCs w:val="14"/>
                  <w:u w:val="single" w:color="auto"/>
                  <w:color w:val="0000FF"/>
                </w:rPr>
                <w:t>Management Cash Incentive Plan.</w:t>
              </w:r>
            </w:hyperlink>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58"/>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5700" w:type="dxa"/>
            <w:vAlign w:val="bottom"/>
            <w:gridSpan w:val="23"/>
          </w:tcPr>
          <w:p>
            <w:pPr>
              <w:spacing w:after="0" w:line="15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Sublease Agreement, dated May 29, 2020, between the Registrant and Avent, Inc., as amended</w:t>
              </w:r>
            </w:hyperlink>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480" w:type="dxa"/>
            <w:vAlign w:val="bottom"/>
            <w:tcBorders>
              <w:top w:val="single" w:sz="8" w:color="0000FF"/>
            </w:tcBorders>
            <w:gridSpan w:val="18"/>
          </w:tcPr>
          <w:p>
            <w:pPr>
              <w:spacing w:after="0" w:line="115"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by First Amendment to Sublease Agreement, dated July 30, 2020, between the Registrant and</w:t>
              </w:r>
            </w:hyperlink>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333-249076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7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10/9/20</w:t>
            </w: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640" w:type="dxa"/>
            <w:vAlign w:val="bottom"/>
            <w:tcBorders>
              <w:top w:val="single" w:sz="8" w:color="0000FF"/>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Avent, Inc.</w:t>
              </w:r>
            </w:hyperlink>
          </w:p>
        </w:tc>
        <w:tc>
          <w:tcPr>
            <w:tcW w:w="4760" w:type="dxa"/>
            <w:vAlign w:val="bottom"/>
            <w:tcBorders>
              <w:top w:val="single" w:sz="8" w:color="0000FF"/>
            </w:tcBorders>
            <w:gridSpan w:val="14"/>
          </w:tcPr>
          <w:p>
            <w:pPr>
              <w:spacing w:after="0"/>
              <w:rPr>
                <w:sz w:val="10"/>
                <w:szCs w:val="10"/>
                <w:color w:val="auto"/>
              </w:rPr>
            </w:pPr>
          </w:p>
        </w:tc>
        <w:tc>
          <w:tcPr>
            <w:tcW w:w="140" w:type="dxa"/>
            <w:vAlign w:val="bottom"/>
            <w:gridSpan w:val="5"/>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700" w:type="dxa"/>
            <w:vAlign w:val="bottom"/>
            <w:gridSpan w:val="23"/>
          </w:tcPr>
          <w:p>
            <w:pPr>
              <w:spacing w:after="0"/>
              <w:rPr>
                <w:rFonts w:ascii="Times New Roman" w:cs="Times New Roman" w:eastAsia="Times New Roman" w:hAnsi="Times New Roman"/>
                <w:sz w:val="14"/>
                <w:szCs w:val="14"/>
                <w:color w:val="0000FF"/>
              </w:rPr>
            </w:pPr>
            <w:hyperlink w:anchor="page98">
              <w:r>
                <w:rPr>
                  <w:rFonts w:ascii="Times New Roman" w:cs="Times New Roman" w:eastAsia="Times New Roman" w:hAnsi="Times New Roman"/>
                  <w:sz w:val="14"/>
                  <w:szCs w:val="14"/>
                  <w:color w:val="0000FF"/>
                </w:rPr>
                <w:t>Certification of Principal Executive Officer Pursuant to Rules 13a-14(a) and 15d-14(a) under the</w:t>
              </w:r>
            </w:hyperlink>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58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w:anchor="page98">
              <w:r>
                <w:rPr>
                  <w:rFonts w:ascii="Times New Roman" w:cs="Times New Roman" w:eastAsia="Times New Roman" w:hAnsi="Times New Roman"/>
                  <w:sz w:val="13"/>
                  <w:szCs w:val="13"/>
                  <w:color w:val="0000FF"/>
                </w:rPr>
                <w:t>Securities Exchange Act of 1934, as Adopted Pursuant to Section 302 of the Sarbanes-Oxley</w:t>
              </w:r>
            </w:hyperlink>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360" w:type="dxa"/>
            <w:vAlign w:val="bottom"/>
            <w:tcBorders>
              <w:top w:val="single" w:sz="8" w:color="0000FF"/>
            </w:tcBorders>
            <w:gridSpan w:val="15"/>
          </w:tcPr>
          <w:p>
            <w:pPr>
              <w:spacing w:after="0" w:line="115" w:lineRule="exact"/>
              <w:rPr>
                <w:rFonts w:ascii="Times New Roman" w:cs="Times New Roman" w:eastAsia="Times New Roman" w:hAnsi="Times New Roman"/>
                <w:sz w:val="13"/>
                <w:szCs w:val="13"/>
                <w:color w:val="0000FF"/>
              </w:rPr>
            </w:pPr>
            <w:hyperlink w:anchor="page98">
              <w:r>
                <w:rPr>
                  <w:rFonts w:ascii="Times New Roman" w:cs="Times New Roman" w:eastAsia="Times New Roman" w:hAnsi="Times New Roman"/>
                  <w:sz w:val="13"/>
                  <w:szCs w:val="13"/>
                  <w:color w:val="0000FF"/>
                </w:rPr>
                <w:t>Act of 2002.</w:t>
              </w:r>
            </w:hyperlink>
          </w:p>
        </w:tc>
        <w:tc>
          <w:tcPr>
            <w:tcW w:w="180" w:type="dxa"/>
            <w:vAlign w:val="bottom"/>
            <w:gridSpan w:val="6"/>
          </w:tcPr>
          <w:p>
            <w:pPr>
              <w:spacing w:after="0"/>
              <w:rPr>
                <w:sz w:val="10"/>
                <w:szCs w:val="10"/>
                <w:color w:val="auto"/>
              </w:rPr>
            </w:pPr>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700" w:type="dxa"/>
            <w:vAlign w:val="bottom"/>
            <w:gridSpan w:val="23"/>
          </w:tcPr>
          <w:p>
            <w:pPr>
              <w:spacing w:after="0"/>
              <w:rPr>
                <w:rFonts w:ascii="Times New Roman" w:cs="Times New Roman" w:eastAsia="Times New Roman" w:hAnsi="Times New Roman"/>
                <w:sz w:val="14"/>
                <w:szCs w:val="14"/>
                <w:color w:val="0000FF"/>
              </w:rPr>
            </w:pPr>
            <w:hyperlink w:anchor="page99">
              <w:r>
                <w:rPr>
                  <w:rFonts w:ascii="Times New Roman" w:cs="Times New Roman" w:eastAsia="Times New Roman" w:hAnsi="Times New Roman"/>
                  <w:sz w:val="14"/>
                  <w:szCs w:val="14"/>
                  <w:color w:val="0000FF"/>
                </w:rPr>
                <w:t>Certification of Principal Financial Officer Pursuant to Rules 13a-14(a) and 15d-14(a) under the</w:t>
              </w:r>
            </w:hyperlink>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540" w:type="dxa"/>
            <w:vAlign w:val="bottom"/>
            <w:tcBorders>
              <w:top w:val="single" w:sz="8" w:color="0000FF"/>
            </w:tcBorders>
            <w:gridSpan w:val="21"/>
          </w:tcPr>
          <w:p>
            <w:pPr>
              <w:spacing w:after="0" w:line="115" w:lineRule="exact"/>
              <w:rPr>
                <w:rFonts w:ascii="Times New Roman" w:cs="Times New Roman" w:eastAsia="Times New Roman" w:hAnsi="Times New Roman"/>
                <w:sz w:val="13"/>
                <w:szCs w:val="13"/>
                <w:color w:val="0000FF"/>
              </w:rPr>
            </w:pPr>
            <w:hyperlink w:anchor="page99">
              <w:r>
                <w:rPr>
                  <w:rFonts w:ascii="Times New Roman" w:cs="Times New Roman" w:eastAsia="Times New Roman" w:hAnsi="Times New Roman"/>
                  <w:sz w:val="13"/>
                  <w:szCs w:val="13"/>
                  <w:color w:val="0000FF"/>
                </w:rPr>
                <w:t>Securities Exchange Act of 1934, as Adopted Pursuant to Section 302 of the Sarbanes-Oxley</w:t>
              </w:r>
            </w:hyperlink>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5360" w:type="dxa"/>
            <w:vAlign w:val="bottom"/>
            <w:tcBorders>
              <w:top w:val="single" w:sz="8" w:color="0000FF"/>
            </w:tcBorders>
            <w:gridSpan w:val="15"/>
          </w:tcPr>
          <w:p>
            <w:pPr>
              <w:spacing w:after="0" w:line="115" w:lineRule="exact"/>
              <w:rPr>
                <w:rFonts w:ascii="Times New Roman" w:cs="Times New Roman" w:eastAsia="Times New Roman" w:hAnsi="Times New Roman"/>
                <w:sz w:val="13"/>
                <w:szCs w:val="13"/>
                <w:color w:val="0000FF"/>
              </w:rPr>
            </w:pPr>
            <w:hyperlink w:anchor="page99">
              <w:r>
                <w:rPr>
                  <w:rFonts w:ascii="Times New Roman" w:cs="Times New Roman" w:eastAsia="Times New Roman" w:hAnsi="Times New Roman"/>
                  <w:sz w:val="13"/>
                  <w:szCs w:val="13"/>
                  <w:color w:val="0000FF"/>
                </w:rPr>
                <w:t>Act of 2002.</w:t>
              </w:r>
            </w:hyperlink>
          </w:p>
        </w:tc>
        <w:tc>
          <w:tcPr>
            <w:tcW w:w="340" w:type="dxa"/>
            <w:vAlign w:val="bottom"/>
            <w:gridSpan w:val="8"/>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700" w:type="dxa"/>
            <w:vAlign w:val="bottom"/>
            <w:gridSpan w:val="23"/>
          </w:tcPr>
          <w:p>
            <w:pPr>
              <w:spacing w:after="0"/>
              <w:rPr>
                <w:rFonts w:ascii="Times New Roman" w:cs="Times New Roman" w:eastAsia="Times New Roman" w:hAnsi="Times New Roman"/>
                <w:sz w:val="14"/>
                <w:szCs w:val="14"/>
                <w:color w:val="0000FF"/>
              </w:rPr>
            </w:pPr>
            <w:hyperlink w:anchor="page100">
              <w:r>
                <w:rPr>
                  <w:rFonts w:ascii="Times New Roman" w:cs="Times New Roman" w:eastAsia="Times New Roman" w:hAnsi="Times New Roman"/>
                  <w:sz w:val="14"/>
                  <w:szCs w:val="14"/>
                  <w:color w:val="0000FF"/>
                </w:rPr>
                <w:t>Certification of Principal Executive Officer Pursuant to 18 U.S.C. Section 1350, as Adopted</w:t>
              </w:r>
            </w:hyperlink>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9"/>
          </w:tcPr>
          <w:p>
            <w:pPr>
              <w:spacing w:after="0" w:line="115" w:lineRule="exact"/>
              <w:rPr>
                <w:rFonts w:ascii="Times New Roman" w:cs="Times New Roman" w:eastAsia="Times New Roman" w:hAnsi="Times New Roman"/>
                <w:sz w:val="13"/>
                <w:szCs w:val="13"/>
                <w:color w:val="0000FF"/>
              </w:rPr>
            </w:pPr>
            <w:hyperlink w:anchor="page100">
              <w:r>
                <w:rPr>
                  <w:rFonts w:ascii="Times New Roman" w:cs="Times New Roman" w:eastAsia="Times New Roman" w:hAnsi="Times New Roman"/>
                  <w:sz w:val="13"/>
                  <w:szCs w:val="13"/>
                  <w:color w:val="0000FF"/>
                </w:rPr>
                <w:t>Pursuant to Section 906 of the Sarbanes-Oxley Act of 2002.</w:t>
              </w:r>
            </w:hyperlink>
          </w:p>
        </w:tc>
        <w:tc>
          <w:tcPr>
            <w:tcW w:w="1840" w:type="dxa"/>
            <w:vAlign w:val="bottom"/>
            <w:tcBorders>
              <w:top w:val="single" w:sz="8" w:color="0000FF"/>
            </w:tcBorders>
            <w:gridSpan w:val="5"/>
          </w:tcPr>
          <w:p>
            <w:pPr>
              <w:spacing w:after="0"/>
              <w:rPr>
                <w:sz w:val="10"/>
                <w:szCs w:val="10"/>
                <w:color w:val="auto"/>
              </w:rPr>
            </w:pPr>
          </w:p>
        </w:tc>
        <w:tc>
          <w:tcPr>
            <w:tcW w:w="400" w:type="dxa"/>
            <w:vAlign w:val="bottom"/>
            <w:gridSpan w:val="9"/>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700" w:type="dxa"/>
            <w:vAlign w:val="bottom"/>
            <w:gridSpan w:val="23"/>
          </w:tcPr>
          <w:p>
            <w:pPr>
              <w:spacing w:after="0"/>
              <w:rPr>
                <w:rFonts w:ascii="Times New Roman" w:cs="Times New Roman" w:eastAsia="Times New Roman" w:hAnsi="Times New Roman"/>
                <w:sz w:val="14"/>
                <w:szCs w:val="14"/>
                <w:color w:val="0000FF"/>
              </w:rPr>
            </w:pPr>
            <w:hyperlink w:anchor="page101">
              <w:r>
                <w:rPr>
                  <w:rFonts w:ascii="Times New Roman" w:cs="Times New Roman" w:eastAsia="Times New Roman" w:hAnsi="Times New Roman"/>
                  <w:sz w:val="14"/>
                  <w:szCs w:val="14"/>
                  <w:color w:val="0000FF"/>
                </w:rPr>
                <w:t>Certification of Principal Financial Officer Pursuant to 18 U.S.C. Section 1350, as Adopted</w:t>
              </w:r>
            </w:hyperlink>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9"/>
          </w:tcPr>
          <w:p>
            <w:pPr>
              <w:spacing w:after="0" w:line="115" w:lineRule="exact"/>
              <w:rPr>
                <w:rFonts w:ascii="Times New Roman" w:cs="Times New Roman" w:eastAsia="Times New Roman" w:hAnsi="Times New Roman"/>
                <w:sz w:val="13"/>
                <w:szCs w:val="13"/>
                <w:color w:val="0000FF"/>
              </w:rPr>
            </w:pPr>
            <w:hyperlink w:anchor="page101">
              <w:r>
                <w:rPr>
                  <w:rFonts w:ascii="Times New Roman" w:cs="Times New Roman" w:eastAsia="Times New Roman" w:hAnsi="Times New Roman"/>
                  <w:sz w:val="13"/>
                  <w:szCs w:val="13"/>
                  <w:color w:val="0000FF"/>
                </w:rPr>
                <w:t>Pursuant to Section 906 of the Sarbanes-Oxley Act of 2002.</w:t>
              </w:r>
            </w:hyperlink>
          </w:p>
        </w:tc>
        <w:tc>
          <w:tcPr>
            <w:tcW w:w="1800" w:type="dxa"/>
            <w:vAlign w:val="bottom"/>
            <w:tcBorders>
              <w:top w:val="single" w:sz="8" w:color="0000FF"/>
            </w:tcBorders>
            <w:gridSpan w:val="4"/>
          </w:tcPr>
          <w:p>
            <w:pPr>
              <w:spacing w:after="0"/>
              <w:rPr>
                <w:sz w:val="10"/>
                <w:szCs w:val="10"/>
                <w:color w:val="auto"/>
              </w:rPr>
            </w:pPr>
          </w:p>
        </w:tc>
        <w:tc>
          <w:tcPr>
            <w:tcW w:w="440" w:type="dxa"/>
            <w:vAlign w:val="bottom"/>
            <w:gridSpan w:val="10"/>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90" w:lineRule="exact"/>
        <w:rPr>
          <w:sz w:val="20"/>
          <w:szCs w:val="20"/>
          <w:color w:val="auto"/>
        </w:rPr>
      </w:pPr>
    </w:p>
    <w:p>
      <w:pPr>
        <w:sectPr>
          <w:pgSz w:w="11900" w:h="16838" w:orient="portrait"/>
          <w:cols w:equalWidth="0" w:num="2">
            <w:col w:w="10160" w:space="580"/>
            <w:col w:w="5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w:t>
            </w:r>
          </w:p>
        </w:tc>
        <w:tc>
          <w:tcPr>
            <w:tcW w:w="22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12"/>
        </w:trPr>
        <w:tc>
          <w:tcPr>
            <w:tcW w:w="780" w:type="dxa"/>
            <w:vAlign w:val="bottom"/>
          </w:tcPr>
          <w:p>
            <w:pPr>
              <w:spacing w:after="0"/>
              <w:rPr>
                <w:sz w:val="9"/>
                <w:szCs w:val="9"/>
                <w:color w:val="auto"/>
              </w:rPr>
            </w:pPr>
          </w:p>
        </w:tc>
        <w:tc>
          <w:tcPr>
            <w:tcW w:w="7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because its XBRL tags are embedded within the inline XBRL document.</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780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2240" w:type="dxa"/>
            <w:vAlign w:val="bottom"/>
          </w:tcPr>
          <w:p>
            <w:pPr>
              <w:ind w:left="214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80" w:right="280" w:hanging="368"/>
        <w:spacing w:after="0" w:line="271" w:lineRule="auto"/>
        <w:tabs>
          <w:tab w:leader="none" w:pos="6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601(a)(5) of Regulation S-K, certain exhibits and schedules have been omitted. The Company hereby undertakes to furnish supplementally a copy of any omitted exhibit or schedule upon request by the SEC.</w:t>
      </w:r>
    </w:p>
    <w:p>
      <w:pPr>
        <w:spacing w:after="0" w:line="1" w:lineRule="exact"/>
        <w:rPr>
          <w:sz w:val="20"/>
          <w:szCs w:val="20"/>
          <w:color w:val="auto"/>
        </w:rPr>
      </w:pPr>
    </w:p>
    <w:p>
      <w:pPr>
        <w:ind w:left="680" w:right="400" w:hanging="371"/>
        <w:spacing w:after="0" w:line="241" w:lineRule="auto"/>
        <w:tabs>
          <w:tab w:leader="none" w:pos="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 w:lineRule="exact"/>
        <w:rPr>
          <w:sz w:val="20"/>
          <w:szCs w:val="20"/>
          <w:color w:val="auto"/>
        </w:rPr>
      </w:pPr>
    </w:p>
    <w:p>
      <w:pPr>
        <w:ind w:left="680" w:hanging="371"/>
        <w:spacing w:after="0"/>
        <w:tabs>
          <w:tab w:leader="none" w:pos="6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60"/>
        <w:spacing w:after="0"/>
        <w:tabs>
          <w:tab w:leader="none" w:pos="2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60"/>
        <w:spacing w:after="0"/>
        <w:tabs>
          <w:tab w:leader="none" w:pos="2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3775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3775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 Greenstein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4900"/>
          </w:cols>
          <w:pgMar w:left="320" w:top="12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840"/>
          </w:cols>
          <w:pgMar w:left="320" w:top="121" w:right="7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8" w:lineRule="auto"/>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Bobak Azamian, M.D., Ph.D.,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1.</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 have reviewed this Quarterly Report on Form 10-Q of Tarsus Pharmaceuticals, Inc;</w:t>
            </w:r>
          </w:p>
        </w:tc>
      </w:tr>
      <w:tr>
        <w:trPr>
          <w:trHeight w:val="195"/>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2.</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w:t>
            </w:r>
          </w:p>
        </w:tc>
      </w:tr>
      <w:tr>
        <w:trPr>
          <w:trHeight w:val="210"/>
        </w:trPr>
        <w:tc>
          <w:tcPr>
            <w:tcW w:w="140" w:type="dxa"/>
            <w:vAlign w:val="bottom"/>
          </w:tcPr>
          <w:p>
            <w:pPr>
              <w:spacing w:after="0"/>
              <w:rPr>
                <w:sz w:val="18"/>
                <w:szCs w:val="18"/>
                <w:color w:val="auto"/>
              </w:rPr>
            </w:pPr>
          </w:p>
        </w:tc>
        <w:tc>
          <w:tcPr>
            <w:tcW w:w="10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light of the circumstances under which such statements were made, not misleading with respect to the period covered by this report;</w:t>
            </w:r>
          </w:p>
        </w:tc>
      </w:tr>
    </w:tbl>
    <w:p>
      <w:pPr>
        <w:spacing w:after="0" w:line="19" w:lineRule="exact"/>
        <w:rPr>
          <w:sz w:val="20"/>
          <w:szCs w:val="20"/>
          <w:color w:val="auto"/>
        </w:rPr>
      </w:pPr>
    </w:p>
    <w:p>
      <w:pPr>
        <w:ind w:left="340" w:right="320" w:hanging="332"/>
        <w:spacing w:after="0" w:line="263" w:lineRule="auto"/>
        <w:tabs>
          <w:tab w:leader="none" w:pos="17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9"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for the registrant and have:</w:t>
      </w:r>
    </w:p>
    <w:p>
      <w:pPr>
        <w:spacing w:after="0" w:line="81" w:lineRule="exact"/>
        <w:rPr>
          <w:rFonts w:ascii="Times New Roman" w:cs="Times New Roman" w:eastAsia="Times New Roman" w:hAnsi="Times New Roman"/>
          <w:sz w:val="16"/>
          <w:szCs w:val="16"/>
          <w:color w:val="auto"/>
        </w:rPr>
      </w:pPr>
    </w:p>
    <w:p>
      <w:pPr>
        <w:ind w:left="1460" w:right="220" w:hanging="318"/>
        <w:spacing w:after="0" w:line="246" w:lineRule="auto"/>
        <w:tabs>
          <w:tab w:leader="none" w:pos="1356"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6"/>
          <w:szCs w:val="16"/>
          <w:color w:val="auto"/>
        </w:rPr>
      </w:pPr>
    </w:p>
    <w:p>
      <w:pPr>
        <w:ind w:left="1460" w:right="80" w:hanging="318"/>
        <w:spacing w:after="0" w:line="280" w:lineRule="auto"/>
        <w:tabs>
          <w:tab w:leader="none" w:pos="1379"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sz w:val="20"/>
          <w:szCs w:val="20"/>
          <w:color w:val="auto"/>
        </w:rPr>
      </w:pPr>
    </w:p>
    <w:p>
      <w:pPr>
        <w:ind w:left="1460" w:right="40" w:hanging="323"/>
        <w:spacing w:after="0" w:line="259" w:lineRule="auto"/>
        <w:rPr>
          <w:sz w:val="20"/>
          <w:szCs w:val="20"/>
          <w:color w:val="auto"/>
        </w:rPr>
      </w:pPr>
      <w:r>
        <w:rPr>
          <w:rFonts w:ascii="Times New Roman" w:cs="Times New Roman" w:eastAsia="Times New Roman" w:hAnsi="Times New Roman"/>
          <w:sz w:val="16"/>
          <w:szCs w:val="16"/>
          <w:color w:val="auto"/>
        </w:rPr>
        <w:t>(c)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sz w:val="20"/>
          <w:szCs w:val="20"/>
          <w:color w:val="auto"/>
        </w:rPr>
      </w:pPr>
    </w:p>
    <w:p>
      <w:pPr>
        <w:ind w:left="340" w:right="60" w:hanging="332"/>
        <w:spacing w:after="0" w:line="280" w:lineRule="auto"/>
        <w:tabs>
          <w:tab w:leader="none" w:pos="19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6"/>
          <w:szCs w:val="16"/>
          <w:color w:val="auto"/>
        </w:rPr>
      </w:pPr>
    </w:p>
    <w:p>
      <w:pPr>
        <w:ind w:left="1460" w:hanging="318"/>
        <w:spacing w:after="0" w:line="280" w:lineRule="auto"/>
        <w:tabs>
          <w:tab w:leader="none" w:pos="137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460" w:right="220" w:hanging="318"/>
        <w:spacing w:after="0" w:line="280" w:lineRule="auto"/>
        <w:tabs>
          <w:tab w:leader="none" w:pos="1379"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ind w:left="40"/>
        <w:spacing w:after="0"/>
        <w:tabs>
          <w:tab w:leader="none" w:pos="5680" w:val="left"/>
          <w:tab w:leader="none" w:pos="7520" w:val="left"/>
        </w:tabs>
        <w:rPr>
          <w:sz w:val="20"/>
          <w:szCs w:val="20"/>
          <w:color w:val="auto"/>
        </w:rPr>
      </w:pPr>
      <w:r>
        <w:rPr>
          <w:rFonts w:ascii="Times New Roman" w:cs="Times New Roman" w:eastAsia="Times New Roman" w:hAnsi="Times New Roman"/>
          <w:sz w:val="16"/>
          <w:szCs w:val="16"/>
          <w:color w:val="auto"/>
        </w:rPr>
        <w:t>Date: November 25,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33604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Bobak Azamian, M.D., Ph.D.</w:t>
      </w:r>
    </w:p>
    <w:p>
      <w:pPr>
        <w:spacing w:after="0" w:line="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jc w:val="center"/>
        <w:ind w:left="59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0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8" w:lineRule="auto"/>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Leo M. Greenstein, certify that: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1.</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 have reviewed this Quarterly Report on Form 10-Q of Tarsus Pharmaceuticals, Inc;</w:t>
            </w:r>
          </w:p>
        </w:tc>
      </w:tr>
      <w:tr>
        <w:trPr>
          <w:trHeight w:val="195"/>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2.</w:t>
            </w:r>
          </w:p>
        </w:tc>
        <w:tc>
          <w:tcPr>
            <w:tcW w:w="10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w:t>
            </w:r>
          </w:p>
        </w:tc>
      </w:tr>
      <w:tr>
        <w:trPr>
          <w:trHeight w:val="210"/>
        </w:trPr>
        <w:tc>
          <w:tcPr>
            <w:tcW w:w="140" w:type="dxa"/>
            <w:vAlign w:val="bottom"/>
          </w:tcPr>
          <w:p>
            <w:pPr>
              <w:spacing w:after="0"/>
              <w:rPr>
                <w:sz w:val="18"/>
                <w:szCs w:val="18"/>
                <w:color w:val="auto"/>
              </w:rPr>
            </w:pPr>
          </w:p>
        </w:tc>
        <w:tc>
          <w:tcPr>
            <w:tcW w:w="10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light of the circumstances under which such statements were made, not misleading with respect to the period covered by this report;</w:t>
            </w:r>
          </w:p>
        </w:tc>
      </w:tr>
    </w:tbl>
    <w:p>
      <w:pPr>
        <w:spacing w:after="0" w:line="19" w:lineRule="exact"/>
        <w:rPr>
          <w:sz w:val="20"/>
          <w:szCs w:val="20"/>
          <w:color w:val="auto"/>
        </w:rPr>
      </w:pPr>
    </w:p>
    <w:p>
      <w:pPr>
        <w:ind w:left="340" w:right="320" w:hanging="332"/>
        <w:spacing w:after="0" w:line="263" w:lineRule="auto"/>
        <w:tabs>
          <w:tab w:leader="none" w:pos="17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9"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for the registrant and have:</w:t>
      </w:r>
    </w:p>
    <w:p>
      <w:pPr>
        <w:spacing w:after="0" w:line="81" w:lineRule="exact"/>
        <w:rPr>
          <w:rFonts w:ascii="Times New Roman" w:cs="Times New Roman" w:eastAsia="Times New Roman" w:hAnsi="Times New Roman"/>
          <w:sz w:val="16"/>
          <w:szCs w:val="16"/>
          <w:color w:val="auto"/>
        </w:rPr>
      </w:pPr>
    </w:p>
    <w:p>
      <w:pPr>
        <w:ind w:left="1460" w:right="220" w:hanging="318"/>
        <w:spacing w:after="0" w:line="246" w:lineRule="auto"/>
        <w:tabs>
          <w:tab w:leader="none" w:pos="1356"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6"/>
          <w:szCs w:val="16"/>
          <w:color w:val="auto"/>
        </w:rPr>
      </w:pPr>
    </w:p>
    <w:p>
      <w:pPr>
        <w:ind w:left="1460" w:right="80" w:hanging="318"/>
        <w:spacing w:after="0" w:line="280" w:lineRule="auto"/>
        <w:tabs>
          <w:tab w:leader="none" w:pos="137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sz w:val="20"/>
          <w:szCs w:val="20"/>
          <w:color w:val="auto"/>
        </w:rPr>
      </w:pPr>
    </w:p>
    <w:p>
      <w:pPr>
        <w:ind w:left="1460" w:right="40" w:hanging="323"/>
        <w:spacing w:after="0" w:line="259" w:lineRule="auto"/>
        <w:rPr>
          <w:sz w:val="20"/>
          <w:szCs w:val="20"/>
          <w:color w:val="auto"/>
        </w:rPr>
      </w:pPr>
      <w:r>
        <w:rPr>
          <w:rFonts w:ascii="Times New Roman" w:cs="Times New Roman" w:eastAsia="Times New Roman" w:hAnsi="Times New Roman"/>
          <w:sz w:val="16"/>
          <w:szCs w:val="16"/>
          <w:color w:val="auto"/>
        </w:rPr>
        <w:t>(c)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6"/>
          <w:szCs w:val="16"/>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sz w:val="20"/>
          <w:szCs w:val="20"/>
          <w:color w:val="auto"/>
        </w:rPr>
      </w:pPr>
    </w:p>
    <w:p>
      <w:pPr>
        <w:ind w:left="340" w:right="60" w:hanging="332"/>
        <w:spacing w:after="0" w:line="280" w:lineRule="auto"/>
        <w:tabs>
          <w:tab w:leader="none" w:pos="19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Times New Roman" w:cs="Times New Roman" w:eastAsia="Times New Roman" w:hAnsi="Times New Roman"/>
          <w:sz w:val="16"/>
          <w:szCs w:val="16"/>
          <w:color w:val="auto"/>
        </w:rPr>
      </w:pPr>
    </w:p>
    <w:p>
      <w:pPr>
        <w:ind w:left="1460" w:hanging="318"/>
        <w:spacing w:after="0" w:line="280" w:lineRule="auto"/>
        <w:tabs>
          <w:tab w:leader="none" w:pos="137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460" w:right="220" w:hanging="318"/>
        <w:spacing w:after="0" w:line="280" w:lineRule="auto"/>
        <w:tabs>
          <w:tab w:leader="none" w:pos="1379"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ind w:left="40"/>
        <w:spacing w:after="0"/>
        <w:tabs>
          <w:tab w:leader="none" w:pos="5680" w:val="left"/>
          <w:tab w:leader="none" w:pos="7880" w:val="left"/>
        </w:tabs>
        <w:rPr>
          <w:sz w:val="20"/>
          <w:szCs w:val="20"/>
          <w:color w:val="auto"/>
        </w:rPr>
      </w:pPr>
      <w:r>
        <w:rPr>
          <w:rFonts w:ascii="Times New Roman" w:cs="Times New Roman" w:eastAsia="Times New Roman" w:hAnsi="Times New Roman"/>
          <w:sz w:val="16"/>
          <w:szCs w:val="16"/>
          <w:color w:val="auto"/>
        </w:rPr>
        <w:t>Date: November 25,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33604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Leo M. Greenstein</w:t>
      </w:r>
    </w:p>
    <w:p>
      <w:pPr>
        <w:spacing w:after="0" w:line="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left="59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 and Principal Accounting Officer</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1406" w:right="339" w:bottom="1440" w:gutter="0" w:footer="0" w:header="0"/>
        </w:sectPr>
      </w:pPr>
    </w:p>
    <w:bookmarkStart w:id="99" w:name="page100"/>
    <w:bookmarkEnd w:id="99"/>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9" w:lineRule="exact"/>
        <w:rPr>
          <w:sz w:val="20"/>
          <w:szCs w:val="20"/>
          <w:color w:val="auto"/>
        </w:rPr>
      </w:pPr>
    </w:p>
    <w:p>
      <w:pPr>
        <w:ind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Pharmaceutials, Inc. (the “Company”) on Form 10-Q for the period ended September 30, 2020 as filed with the Securities and Exchange Commission on the date hereof (the “Report”), I, Bobak Azamian, hereby certify, pursuant to 18 U.S.C. § 1350, as adopted pursuant to § 906 of the Sarbanes-Oxley Act of 2002, that:</w:t>
      </w:r>
    </w:p>
    <w:p>
      <w:pPr>
        <w:spacing w:after="0" w:line="285" w:lineRule="exact"/>
        <w:rPr>
          <w:sz w:val="20"/>
          <w:szCs w:val="20"/>
          <w:color w:val="auto"/>
        </w:rPr>
      </w:pPr>
    </w:p>
    <w:p>
      <w:pPr>
        <w:ind w:left="920" w:right="2700" w:hanging="539"/>
        <w:spacing w:after="0" w:line="266"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7" w:lineRule="exact"/>
        <w:rPr>
          <w:rFonts w:ascii="Times New Roman" w:cs="Times New Roman" w:eastAsia="Times New Roman" w:hAnsi="Times New Roman"/>
          <w:sz w:val="18"/>
          <w:szCs w:val="18"/>
          <w:color w:val="auto"/>
        </w:rPr>
      </w:pPr>
    </w:p>
    <w:p>
      <w:pPr>
        <w:ind w:left="920" w:right="2620" w:hanging="539"/>
        <w:spacing w:after="0" w:line="266" w:lineRule="auto"/>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97"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8"/>
          <w:szCs w:val="18"/>
          <w:color w:val="auto"/>
        </w:rPr>
        <w:t>Date: November 25,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Bobak Azamian, M.D., Ph.D.</w:t>
      </w:r>
    </w:p>
    <w:p>
      <w:pPr>
        <w:spacing w:after="0" w:line="5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9" w:lineRule="exact"/>
        <w:rPr>
          <w:sz w:val="20"/>
          <w:szCs w:val="20"/>
          <w:color w:val="auto"/>
        </w:rPr>
      </w:pPr>
    </w:p>
    <w:p>
      <w:pPr>
        <w:ind w:firstLine="577"/>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Tarsus Pharmaceutials, Inc. (the “Company”) on Form 10-Q for the period ended September 30, 2020 as filed with the Securities and Exchange Commission on the date hereof (the “Report”), I, Leo M. Greenstein, hereby certify, pursuant to 18 U.S.C. § 1350, as adopted pursuant to § 906 of the Sarbanes-Oxley Act of 2002, that:</w:t>
      </w:r>
    </w:p>
    <w:p>
      <w:pPr>
        <w:spacing w:after="0" w:line="285" w:lineRule="exact"/>
        <w:rPr>
          <w:sz w:val="20"/>
          <w:szCs w:val="20"/>
          <w:color w:val="auto"/>
        </w:rPr>
      </w:pPr>
    </w:p>
    <w:p>
      <w:pPr>
        <w:ind w:left="920" w:right="2700" w:hanging="539"/>
        <w:spacing w:after="0" w:line="266" w:lineRule="auto"/>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91" w:lineRule="exact"/>
        <w:rPr>
          <w:rFonts w:ascii="Times New Roman" w:cs="Times New Roman" w:eastAsia="Times New Roman" w:hAnsi="Times New Roman"/>
          <w:sz w:val="18"/>
          <w:szCs w:val="18"/>
          <w:color w:val="auto"/>
        </w:rPr>
      </w:pPr>
    </w:p>
    <w:p>
      <w:pPr>
        <w:ind w:left="920" w:right="2620" w:hanging="539"/>
        <w:spacing w:after="0" w:line="266" w:lineRule="auto"/>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8"/>
          <w:szCs w:val="18"/>
          <w:color w:val="auto"/>
        </w:rPr>
        <w:t>Date: November 25,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Leo M. Greenstein</w:t>
      </w:r>
    </w:p>
    <w:p>
      <w:pPr>
        <w:spacing w:after="0" w:line="5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lowerRoman"/>
      <w:start w:val="3"/>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9"/>
    </w:lvl>
  </w:abstractNum>
  <w:abstractNum w:abstractNumId="6">
    <w:nsid w:val="77465F01"/>
    <w:multiLevelType w:val="hybridMultilevel"/>
    <w:lvl w:ilvl="0">
      <w:lvlJc w:val="left"/>
      <w:lvlText w:val="%1."/>
      <w:numFmt w:val="decimal"/>
      <w:start w:val="10"/>
    </w:lvl>
    <w:lvl w:ilvl="1">
      <w:lvlJc w:val="left"/>
      <w:lvlText w:val="(%2)"/>
      <w:numFmt w:val="lowerLetter"/>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3"/>
    </w:lvl>
    <w:lvl w:ilvl="1">
      <w:lvlJc w:val="left"/>
      <w:lvlText w:val="(%2)"/>
      <w:numFmt w:val="lowerLetter"/>
      <w:start w:val="1"/>
    </w:lvl>
  </w:abstractNum>
  <w:abstractNum w:abstractNumId="62">
    <w:nsid w:val="2F305DEF"/>
    <w:multiLevelType w:val="hybridMultilevel"/>
    <w:lvl w:ilvl="0">
      <w:lvlJc w:val="left"/>
      <w:lvlText w:val="%1."/>
      <w:numFmt w:val="decimal"/>
      <w:start w:val="5"/>
    </w:lvl>
    <w:lvl w:ilvl="1">
      <w:lvlJc w:val="left"/>
      <w:lvlText w:val="(%2)"/>
      <w:numFmt w:val="lowerLetter"/>
      <w:start w:val="1"/>
    </w:lvl>
  </w:abstractNum>
  <w:abstractNum w:abstractNumId="63">
    <w:nsid w:val="25A70BF7"/>
    <w:multiLevelType w:val="hybridMultilevel"/>
    <w:lvl w:ilvl="0">
      <w:lvlJc w:val="left"/>
      <w:lvlText w:val="%1."/>
      <w:numFmt w:val="decimal"/>
      <w:start w:val="3"/>
    </w:lvl>
    <w:lvl w:ilvl="1">
      <w:lvlJc w:val="left"/>
      <w:lvlText w:val="(%2)"/>
      <w:numFmt w:val="lowerLetter"/>
      <w:start w:val="1"/>
    </w:lvl>
  </w:abstractNum>
  <w:abstractNum w:abstractNumId="64">
    <w:nsid w:val="1DBABF00"/>
    <w:multiLevelType w:val="hybridMultilevel"/>
    <w:lvl w:ilvl="0">
      <w:lvlJc w:val="left"/>
      <w:lvlText w:val="%1."/>
      <w:numFmt w:val="decimal"/>
      <w:start w:val="5"/>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28" Type="http://schemas.openxmlformats.org/officeDocument/2006/relationships/hyperlink" Target="https://www.sec.gov/Archives/edgar/data/1819790/000119312520272900/d11649dex31.htm" TargetMode="External"/><Relationship Id="rId129" Type="http://schemas.openxmlformats.org/officeDocument/2006/relationships/hyperlink" Target="https://www.sec.gov/Archives/edgar/data/1819790/000119312520272900/d11649dex32.htm" TargetMode="External"/><Relationship Id="rId130" Type="http://schemas.openxmlformats.org/officeDocument/2006/relationships/hyperlink" Target="https://www.sec.gov/Archives/edgar/data/1819790/000119312520267327/d30607dex42.htm" TargetMode="External"/><Relationship Id="rId131" Type="http://schemas.openxmlformats.org/officeDocument/2006/relationships/hyperlink" Target="https://www.sec.gov/Archives/edgar/data/1819790/000119312520267327/d30607dex101.htm" TargetMode="External"/><Relationship Id="rId132" Type="http://schemas.openxmlformats.org/officeDocument/2006/relationships/hyperlink" Target="https://www.sec.gov/Archives/edgar/data/1819790/000119312520254758/d30607dex102.htm" TargetMode="External"/><Relationship Id="rId133" Type="http://schemas.openxmlformats.org/officeDocument/2006/relationships/hyperlink" Target="https://www.sec.gov/Archives/edgar/data/1819790/000119312520272944/d55477dex992.htm" TargetMode="External"/><Relationship Id="rId134" Type="http://schemas.openxmlformats.org/officeDocument/2006/relationships/hyperlink" Target="https://www.sec.gov/Archives/edgar/data/1819790/000119312520272944/d55477dex993.htm" TargetMode="External"/><Relationship Id="rId135" Type="http://schemas.openxmlformats.org/officeDocument/2006/relationships/hyperlink" Target="https://www.sec.gov/Archives/edgar/data/1819790/000119312520267327/d30607dex105.htm" TargetMode="External"/><Relationship Id="rId136" Type="http://schemas.openxmlformats.org/officeDocument/2006/relationships/hyperlink" Target="https://www.sec.gov/Archives/edgar/data/1819790/000119312520267327/d30607dex1010.htm" TargetMode="External"/><Relationship Id="rId137" Type="http://schemas.openxmlformats.org/officeDocument/2006/relationships/hyperlink" Target="https://www.sec.gov/Archives/edgar/data/1819790/000119312520267327/d30607dex1011.htm" TargetMode="External"/><Relationship Id="rId138" Type="http://schemas.openxmlformats.org/officeDocument/2006/relationships/hyperlink" Target="https://www.sec.gov/Archives/edgar/data/1819790/000119312520267327/d30607dex1012.htm" TargetMode="External"/><Relationship Id="rId139" Type="http://schemas.openxmlformats.org/officeDocument/2006/relationships/hyperlink" Target="https://www.sec.gov/Archives/edgar/data/1819790/000119312520267327/d30607dex1015.htm" TargetMode="External"/><Relationship Id="rId140" Type="http://schemas.openxmlformats.org/officeDocument/2006/relationships/hyperlink" Target="https://www.sec.gov/Archives/edgar/data/1819790/000119312520254758/d30607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2020-11-25T05:24:56Z</dcterms:created>
  <dcterms:modified xsi:type="dcterms:W3CDTF">2020-11-25T05:24:56Z</dcterms:modified>
</cp:coreProperties>
</file>