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SCHEDULE 13G</w:t>
      </w:r>
    </w:p>
    <w:p>
      <w:pPr>
        <w:spacing w:after="0" w:line="23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w:t>
      </w:r>
      <w:r>
        <w:rPr>
          <w:rFonts w:ascii="Times New Roman" w:cs="Times New Roman" w:eastAsia="Times New Roman" w:hAnsi="Times New Roman"/>
          <w:sz w:val="17"/>
          <w:szCs w:val="17"/>
          <w:b w:val="1"/>
          <w:bCs w:val="1"/>
          <w:color w:val="auto"/>
        </w:rPr>
        <w:t>NDER THE</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7"/>
          <w:szCs w:val="17"/>
          <w:b w:val="1"/>
          <w:bCs w:val="1"/>
          <w:color w:val="auto"/>
        </w:rPr>
        <w:t>ECURITIES</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7"/>
          <w:szCs w:val="17"/>
          <w:b w:val="1"/>
          <w:bCs w:val="1"/>
          <w:color w:val="auto"/>
        </w:rPr>
        <w:t>XCHANGE</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7"/>
          <w:szCs w:val="17"/>
          <w:b w:val="1"/>
          <w:bCs w:val="1"/>
          <w:color w:val="auto"/>
        </w:rPr>
        <w:t>CT OF</w:t>
      </w:r>
      <w:r>
        <w:rPr>
          <w:rFonts w:ascii="Times New Roman" w:cs="Times New Roman" w:eastAsia="Times New Roman" w:hAnsi="Times New Roman"/>
          <w:sz w:val="22"/>
          <w:szCs w:val="22"/>
          <w:b w:val="1"/>
          <w:bCs w:val="1"/>
          <w:color w:val="auto"/>
        </w:rPr>
        <w:t xml:space="preserve">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Tarsus Pharmaceuticals,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87650L 103</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304800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31"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52" w:lineRule="exact"/>
        <w:rPr>
          <w:sz w:val="24"/>
          <w:szCs w:val="24"/>
          <w:color w:val="auto"/>
        </w:rPr>
      </w:pPr>
    </w:p>
    <w:p>
      <w:pPr>
        <w:ind w:left="960" w:hanging="532"/>
        <w:spacing w:after="0"/>
        <w:tabs>
          <w:tab w:leader="none" w:pos="9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11" w:lineRule="exact"/>
        <w:rPr>
          <w:sz w:val="24"/>
          <w:szCs w:val="24"/>
          <w:color w:val="auto"/>
        </w:rPr>
      </w:pPr>
    </w:p>
    <w:p>
      <w:pPr>
        <w:ind w:left="420"/>
        <w:spacing w:after="0" w:line="207" w:lineRule="exact"/>
        <w:rPr>
          <w:sz w:val="24"/>
          <w:szCs w:val="24"/>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Rule 13d-1(d)</w:t>
      </w:r>
    </w:p>
    <w:p>
      <w:pPr>
        <w:spacing w:after="0" w:line="292" w:lineRule="exact"/>
        <w:rPr>
          <w:sz w:val="24"/>
          <w:szCs w:val="24"/>
          <w:color w:val="auto"/>
        </w:rPr>
      </w:pPr>
    </w:p>
    <w:p>
      <w:pPr>
        <w:ind w:left="420" w:hanging="432"/>
        <w:spacing w:after="0" w:line="282" w:lineRule="auto"/>
        <w:rPr>
          <w:sz w:val="24"/>
          <w:szCs w:val="24"/>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174625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376" w:right="51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87650L 103</w:t>
      </w:r>
    </w:p>
    <w:p>
      <w:pPr>
        <w:spacing w:after="0" w:line="175" w:lineRule="exact"/>
        <w:rPr>
          <w:sz w:val="20"/>
          <w:szCs w:val="20"/>
          <w:color w:val="auto"/>
        </w:rPr>
      </w:pPr>
    </w:p>
    <w:p>
      <w:pPr>
        <w:ind w:left="244" w:hanging="87"/>
        <w:spacing w:after="0"/>
        <w:tabs>
          <w:tab w:leader="none" w:pos="24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Frazier Life Sciences IX, L.P.</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0" w:lineRule="exact"/>
        <w:rPr>
          <w:sz w:val="20"/>
          <w:szCs w:val="20"/>
          <w:color w:val="auto"/>
        </w:rPr>
      </w:pPr>
    </w:p>
    <w:p>
      <w:pPr>
        <w:ind w:left="664" w:hanging="97"/>
        <w:spacing w:after="0"/>
        <w:tabs>
          <w:tab w:leader="none" w:pos="6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40" w:lineRule="exact"/>
        <w:rPr>
          <w:sz w:val="20"/>
          <w:szCs w:val="20"/>
          <w:color w:val="auto"/>
        </w:rPr>
      </w:pPr>
    </w:p>
    <w:p>
      <w:pPr>
        <w:ind w:left="1164"/>
        <w:spacing w:after="0"/>
        <w:tabs>
          <w:tab w:leader="none" w:pos="1464"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  Sole Voting Power</w:t>
      </w:r>
    </w:p>
    <w:p>
      <w:pPr>
        <w:spacing w:after="0" w:line="248" w:lineRule="exact"/>
        <w:rPr>
          <w:sz w:val="20"/>
          <w:szCs w:val="20"/>
          <w:color w:val="auto"/>
        </w:rPr>
      </w:pPr>
    </w:p>
    <w:tbl>
      <w:tblPr>
        <w:tblLayout w:type="fixed"/>
        <w:tblInd w:w="164" w:type="dxa"/>
        <w:tblCellMar>
          <w:top w:w="0" w:type="dxa"/>
          <w:left w:w="0" w:type="dxa"/>
          <w:bottom w:w="0" w:type="dxa"/>
          <w:right w:w="0" w:type="dxa"/>
        </w:tblCellMar>
      </w:tblPr>
      <w:tr>
        <w:trPr>
          <w:trHeight w:val="25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40" w:type="dxa"/>
            <w:vAlign w:val="bottom"/>
            <w:tcBorders>
              <w:bottom w:val="single" w:sz="8" w:color="auto"/>
            </w:tcBorders>
          </w:tcPr>
          <w:p>
            <w:pPr>
              <w:spacing w:after="0"/>
              <w:rPr>
                <w:sz w:val="21"/>
                <w:szCs w:val="21"/>
                <w:color w:val="auto"/>
              </w:rPr>
            </w:pPr>
          </w:p>
        </w:tc>
        <w:tc>
          <w:tcPr>
            <w:tcW w:w="9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1,587,527 shares (1)</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4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40" w:type="dxa"/>
            <w:vAlign w:val="bottom"/>
          </w:tcPr>
          <w:p>
            <w:pPr>
              <w:spacing w:after="0"/>
              <w:rPr>
                <w:sz w:val="19"/>
                <w:szCs w:val="19"/>
                <w:color w:val="auto"/>
              </w:rPr>
            </w:pP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40" w:type="dxa"/>
            <w:vAlign w:val="bottom"/>
            <w:tcBorders>
              <w:bottom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hanging="99"/>
        <w:spacing w:after="0"/>
        <w:tabs>
          <w:tab w:leader="none" w:pos="158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1,587,527 shares (1)</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1,587,527 shares (1)</w:t>
      </w:r>
    </w:p>
    <w:p>
      <w:pPr>
        <w:spacing w:after="0" w:line="40" w:lineRule="exact"/>
        <w:rPr>
          <w:sz w:val="20"/>
          <w:szCs w:val="20"/>
          <w:color w:val="auto"/>
        </w:rPr>
      </w:pPr>
    </w:p>
    <w:p>
      <w:pPr>
        <w:ind w:left="564" w:hanging="407"/>
        <w:spacing w:after="0"/>
        <w:tabs>
          <w:tab w:leader="none" w:pos="5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4.2% (2)</w:t>
      </w:r>
    </w:p>
    <w:p>
      <w:pPr>
        <w:spacing w:after="0" w:line="40"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PN</w:t>
      </w:r>
    </w:p>
    <w:p>
      <w:pPr>
        <w:spacing w:after="0" w:line="283" w:lineRule="exact"/>
        <w:rPr>
          <w:rFonts w:ascii="Times New Roman" w:cs="Times New Roman" w:eastAsia="Times New Roman" w:hAnsi="Times New Roman"/>
          <w:sz w:val="18"/>
          <w:szCs w:val="18"/>
          <w:color w:val="auto"/>
        </w:rPr>
      </w:pPr>
    </w:p>
    <w:p>
      <w:pPr>
        <w:ind w:left="424" w:right="140" w:hanging="424"/>
        <w:spacing w:after="0" w:line="257"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1,587,527 shares of Common Stock held directly by Frazier Life Sciences IX, L.P. FHMLS IX, L.P. is the general partner of Frazier Life Sciences IX, L.P. and FHMLS IX, L.L.C. is the general partner of FHMLS IX, L.P. Patrick Heron and James Topper are the members of FHMLS IX, L.L.C. and therefore share voting and investment power over the shares held by Frazier Life Sciences IX, L.P.</w:t>
      </w:r>
    </w:p>
    <w:p>
      <w:pPr>
        <w:spacing w:after="0" w:line="1" w:lineRule="exact"/>
        <w:rPr>
          <w:rFonts w:ascii="Times New Roman" w:cs="Times New Roman" w:eastAsia="Times New Roman" w:hAnsi="Times New Roman"/>
          <w:sz w:val="18"/>
          <w:szCs w:val="18"/>
          <w:color w:val="auto"/>
        </w:rPr>
      </w:pPr>
    </w:p>
    <w:p>
      <w:pPr>
        <w:ind w:left="424" w:right="500" w:hanging="424"/>
        <w:spacing w:after="0" w:line="26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38,041,737 shares of Common Stock outstanding on August 2, 2024 as set forth in the Issuer’s Form 10-Q filed with the SEC on August 8, 2024.</w:t>
      </w:r>
    </w:p>
    <w:p>
      <w:pPr>
        <w:sectPr>
          <w:pgSz w:w="11900" w:h="16838" w:orient="portrait"/>
          <w:cols w:equalWidth="0" w:num="1">
            <w:col w:w="10904"/>
          </w:cols>
          <w:pgMar w:left="436" w:top="266" w:right="55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87650L 103</w:t>
      </w:r>
    </w:p>
    <w:p>
      <w:pPr>
        <w:spacing w:after="0" w:line="175" w:lineRule="exact"/>
        <w:rPr>
          <w:sz w:val="20"/>
          <w:szCs w:val="20"/>
          <w:color w:val="auto"/>
        </w:rPr>
      </w:pPr>
    </w:p>
    <w:p>
      <w:pPr>
        <w:ind w:left="244" w:hanging="87"/>
        <w:spacing w:after="0"/>
        <w:tabs>
          <w:tab w:leader="none" w:pos="24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FHMLS IX, L.P.</w:t>
      </w:r>
    </w:p>
    <w:p>
      <w:pPr>
        <w:spacing w:after="0" w:line="40" w:lineRule="exact"/>
        <w:rPr>
          <w:rFonts w:ascii="Times New Roman" w:cs="Times New Roman" w:eastAsia="Times New Roman" w:hAnsi="Times New Roman"/>
          <w:sz w:val="18"/>
          <w:szCs w:val="18"/>
          <w:b w:val="1"/>
          <w:bCs w:val="1"/>
          <w:color w:val="auto"/>
        </w:rPr>
      </w:pPr>
    </w:p>
    <w:p>
      <w:pPr>
        <w:ind w:left="244" w:hanging="87"/>
        <w:spacing w:after="0"/>
        <w:tabs>
          <w:tab w:leader="none" w:pos="24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0" w:lineRule="exact"/>
        <w:rPr>
          <w:sz w:val="20"/>
          <w:szCs w:val="20"/>
          <w:color w:val="auto"/>
        </w:rPr>
      </w:pPr>
    </w:p>
    <w:p>
      <w:pPr>
        <w:ind w:left="664" w:hanging="97"/>
        <w:spacing w:after="0"/>
        <w:tabs>
          <w:tab w:leader="none" w:pos="6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40" w:lineRule="exact"/>
        <w:rPr>
          <w:sz w:val="20"/>
          <w:szCs w:val="20"/>
          <w:color w:val="auto"/>
        </w:rPr>
      </w:pPr>
    </w:p>
    <w:p>
      <w:pPr>
        <w:ind w:left="1164"/>
        <w:spacing w:after="0"/>
        <w:tabs>
          <w:tab w:leader="none" w:pos="1464"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  Sole Voting Power</w:t>
      </w:r>
    </w:p>
    <w:p>
      <w:pPr>
        <w:spacing w:after="0" w:line="248" w:lineRule="exact"/>
        <w:rPr>
          <w:sz w:val="20"/>
          <w:szCs w:val="20"/>
          <w:color w:val="auto"/>
        </w:rPr>
      </w:pPr>
    </w:p>
    <w:tbl>
      <w:tblPr>
        <w:tblLayout w:type="fixed"/>
        <w:tblInd w:w="164" w:type="dxa"/>
        <w:tblCellMar>
          <w:top w:w="0" w:type="dxa"/>
          <w:left w:w="0" w:type="dxa"/>
          <w:bottom w:w="0" w:type="dxa"/>
          <w:right w:w="0" w:type="dxa"/>
        </w:tblCellMar>
      </w:tblPr>
      <w:tr>
        <w:trPr>
          <w:trHeight w:val="25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40" w:type="dxa"/>
            <w:vAlign w:val="bottom"/>
            <w:tcBorders>
              <w:bottom w:val="single" w:sz="8" w:color="auto"/>
            </w:tcBorders>
          </w:tcPr>
          <w:p>
            <w:pPr>
              <w:spacing w:after="0"/>
              <w:rPr>
                <w:sz w:val="21"/>
                <w:szCs w:val="21"/>
                <w:color w:val="auto"/>
              </w:rPr>
            </w:pPr>
          </w:p>
        </w:tc>
        <w:tc>
          <w:tcPr>
            <w:tcW w:w="9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1,587,527 shares (1)</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4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40" w:type="dxa"/>
            <w:vAlign w:val="bottom"/>
          </w:tcPr>
          <w:p>
            <w:pPr>
              <w:spacing w:after="0"/>
              <w:rPr>
                <w:sz w:val="19"/>
                <w:szCs w:val="19"/>
                <w:color w:val="auto"/>
              </w:rPr>
            </w:pP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40" w:type="dxa"/>
            <w:vAlign w:val="bottom"/>
            <w:tcBorders>
              <w:bottom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hanging="99"/>
        <w:spacing w:after="0"/>
        <w:tabs>
          <w:tab w:leader="none" w:pos="1584"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1,587,527 shares (1)</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1,587,527 shares (1)</w:t>
      </w:r>
    </w:p>
    <w:p>
      <w:pPr>
        <w:spacing w:after="0" w:line="40" w:lineRule="exact"/>
        <w:rPr>
          <w:sz w:val="20"/>
          <w:szCs w:val="20"/>
          <w:color w:val="auto"/>
        </w:rPr>
      </w:pPr>
    </w:p>
    <w:p>
      <w:pPr>
        <w:ind w:left="564" w:hanging="407"/>
        <w:spacing w:after="0"/>
        <w:tabs>
          <w:tab w:leader="none" w:pos="5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4.2% (2)</w:t>
      </w:r>
    </w:p>
    <w:p>
      <w:pPr>
        <w:spacing w:after="0" w:line="40"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PN</w:t>
      </w:r>
    </w:p>
    <w:p>
      <w:pPr>
        <w:spacing w:after="0" w:line="283" w:lineRule="exact"/>
        <w:rPr>
          <w:rFonts w:ascii="Times New Roman" w:cs="Times New Roman" w:eastAsia="Times New Roman" w:hAnsi="Times New Roman"/>
          <w:sz w:val="18"/>
          <w:szCs w:val="18"/>
          <w:color w:val="auto"/>
        </w:rPr>
      </w:pPr>
    </w:p>
    <w:p>
      <w:pPr>
        <w:ind w:left="424" w:right="140" w:hanging="424"/>
        <w:spacing w:after="0" w:line="257"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1,587,527 shares of Common Stock held directly by Frazier Life Sciences IX, L.P. FHMLS IX, L.P. is the general partner of Frazier Life Sciences IX, L.P. and FHMLS IX, L.L.C. is the general partner of FHMLS IX, L.P. Patrick Heron and James Topper are the members of FHMLS IX, L.L.C. and therefore share voting and investment power over the shares held by Frazier Life Sciences IX, L.P.</w:t>
      </w:r>
    </w:p>
    <w:p>
      <w:pPr>
        <w:spacing w:after="0" w:line="1" w:lineRule="exact"/>
        <w:rPr>
          <w:rFonts w:ascii="Times New Roman" w:cs="Times New Roman" w:eastAsia="Times New Roman" w:hAnsi="Times New Roman"/>
          <w:sz w:val="18"/>
          <w:szCs w:val="18"/>
          <w:color w:val="auto"/>
        </w:rPr>
      </w:pPr>
    </w:p>
    <w:p>
      <w:pPr>
        <w:ind w:left="424" w:right="500" w:hanging="424"/>
        <w:spacing w:after="0" w:line="260"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38,041,737 shares of Common Stock outstanding on August 2, 2024 as set forth in the Issuer’s Form 10-Q filed with the SEC on August 8, 2024.</w:t>
      </w:r>
    </w:p>
    <w:p>
      <w:pPr>
        <w:sectPr>
          <w:pgSz w:w="11900" w:h="16838" w:orient="portrait"/>
          <w:cols w:equalWidth="0" w:num="1">
            <w:col w:w="10904"/>
          </w:cols>
          <w:pgMar w:left="436" w:top="266" w:right="5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87650L 103</w:t>
      </w:r>
    </w:p>
    <w:p>
      <w:pPr>
        <w:spacing w:after="0" w:line="175" w:lineRule="exact"/>
        <w:rPr>
          <w:sz w:val="20"/>
          <w:szCs w:val="20"/>
          <w:color w:val="auto"/>
        </w:rPr>
      </w:pPr>
    </w:p>
    <w:p>
      <w:pPr>
        <w:ind w:left="244" w:hanging="87"/>
        <w:spacing w:after="0"/>
        <w:tabs>
          <w:tab w:leader="none" w:pos="244"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FHMLS IX, L.L.C.</w:t>
      </w:r>
    </w:p>
    <w:p>
      <w:pPr>
        <w:spacing w:after="0" w:line="40" w:lineRule="exact"/>
        <w:rPr>
          <w:rFonts w:ascii="Times New Roman" w:cs="Times New Roman" w:eastAsia="Times New Roman" w:hAnsi="Times New Roman"/>
          <w:sz w:val="18"/>
          <w:szCs w:val="18"/>
          <w:b w:val="1"/>
          <w:bCs w:val="1"/>
          <w:color w:val="auto"/>
        </w:rPr>
      </w:pPr>
    </w:p>
    <w:p>
      <w:pPr>
        <w:ind w:left="244" w:hanging="87"/>
        <w:spacing w:after="0"/>
        <w:tabs>
          <w:tab w:leader="none" w:pos="244"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0" w:lineRule="exact"/>
        <w:rPr>
          <w:sz w:val="20"/>
          <w:szCs w:val="20"/>
          <w:color w:val="auto"/>
        </w:rPr>
      </w:pPr>
    </w:p>
    <w:p>
      <w:pPr>
        <w:ind w:left="664" w:hanging="97"/>
        <w:spacing w:after="0"/>
        <w:tabs>
          <w:tab w:leader="none" w:pos="6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40" w:lineRule="exact"/>
        <w:rPr>
          <w:sz w:val="20"/>
          <w:szCs w:val="20"/>
          <w:color w:val="auto"/>
        </w:rPr>
      </w:pPr>
    </w:p>
    <w:p>
      <w:pPr>
        <w:ind w:left="1164"/>
        <w:spacing w:after="0"/>
        <w:tabs>
          <w:tab w:leader="none" w:pos="1464"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  Sole Voting Power</w:t>
      </w:r>
    </w:p>
    <w:p>
      <w:pPr>
        <w:spacing w:after="0" w:line="248" w:lineRule="exact"/>
        <w:rPr>
          <w:sz w:val="20"/>
          <w:szCs w:val="20"/>
          <w:color w:val="auto"/>
        </w:rPr>
      </w:pPr>
    </w:p>
    <w:tbl>
      <w:tblPr>
        <w:tblLayout w:type="fixed"/>
        <w:tblInd w:w="164" w:type="dxa"/>
        <w:tblCellMar>
          <w:top w:w="0" w:type="dxa"/>
          <w:left w:w="0" w:type="dxa"/>
          <w:bottom w:w="0" w:type="dxa"/>
          <w:right w:w="0" w:type="dxa"/>
        </w:tblCellMar>
      </w:tblPr>
      <w:tr>
        <w:trPr>
          <w:trHeight w:val="25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40" w:type="dxa"/>
            <w:vAlign w:val="bottom"/>
            <w:tcBorders>
              <w:bottom w:val="single" w:sz="8" w:color="auto"/>
            </w:tcBorders>
          </w:tcPr>
          <w:p>
            <w:pPr>
              <w:spacing w:after="0"/>
              <w:rPr>
                <w:sz w:val="21"/>
                <w:szCs w:val="21"/>
                <w:color w:val="auto"/>
              </w:rPr>
            </w:pPr>
          </w:p>
        </w:tc>
        <w:tc>
          <w:tcPr>
            <w:tcW w:w="9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1,587,527 shares (1)</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4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40" w:type="dxa"/>
            <w:vAlign w:val="bottom"/>
          </w:tcPr>
          <w:p>
            <w:pPr>
              <w:spacing w:after="0"/>
              <w:rPr>
                <w:sz w:val="19"/>
                <w:szCs w:val="19"/>
                <w:color w:val="auto"/>
              </w:rPr>
            </w:pP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40" w:type="dxa"/>
            <w:vAlign w:val="bottom"/>
            <w:tcBorders>
              <w:bottom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hanging="99"/>
        <w:spacing w:after="0"/>
        <w:tabs>
          <w:tab w:leader="none" w:pos="1584"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1,587,527 shares (1)</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1,587,527 shares (1)</w:t>
      </w:r>
    </w:p>
    <w:p>
      <w:pPr>
        <w:spacing w:after="0" w:line="40" w:lineRule="exact"/>
        <w:rPr>
          <w:sz w:val="20"/>
          <w:szCs w:val="20"/>
          <w:color w:val="auto"/>
        </w:rPr>
      </w:pPr>
    </w:p>
    <w:p>
      <w:pPr>
        <w:ind w:left="564" w:hanging="407"/>
        <w:spacing w:after="0"/>
        <w:tabs>
          <w:tab w:leader="none" w:pos="56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4.2% (2)</w:t>
      </w:r>
    </w:p>
    <w:p>
      <w:pPr>
        <w:spacing w:after="0" w:line="40"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OO</w:t>
      </w:r>
    </w:p>
    <w:p>
      <w:pPr>
        <w:spacing w:after="0" w:line="283" w:lineRule="exact"/>
        <w:rPr>
          <w:rFonts w:ascii="Times New Roman" w:cs="Times New Roman" w:eastAsia="Times New Roman" w:hAnsi="Times New Roman"/>
          <w:sz w:val="18"/>
          <w:szCs w:val="18"/>
          <w:color w:val="auto"/>
        </w:rPr>
      </w:pPr>
    </w:p>
    <w:p>
      <w:pPr>
        <w:ind w:left="424" w:right="140" w:hanging="424"/>
        <w:spacing w:after="0" w:line="257"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1,587,527 shares of Common Stock held directly by Frazier Life Sciences IX, L.P. FHMLS IX, L.P. is the general partner of Frazier Life Sciences IX, L.P. and FHMLS IX, L.L.C. is the general partner of FHMLS IX, L.P. Patrick Heron and James Topper are the members of FHMLS IX, L.L.C. and therefore share voting and investment power over the shares held by Frazier Life Sciences IX, L.P.</w:t>
      </w:r>
    </w:p>
    <w:p>
      <w:pPr>
        <w:spacing w:after="0" w:line="1" w:lineRule="exact"/>
        <w:rPr>
          <w:rFonts w:ascii="Times New Roman" w:cs="Times New Roman" w:eastAsia="Times New Roman" w:hAnsi="Times New Roman"/>
          <w:sz w:val="18"/>
          <w:szCs w:val="18"/>
          <w:color w:val="auto"/>
        </w:rPr>
      </w:pPr>
    </w:p>
    <w:p>
      <w:pPr>
        <w:ind w:left="424" w:right="500" w:hanging="424"/>
        <w:spacing w:after="0" w:line="260"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38,041,737 shares of Common Stock outstanding on August 2, 2024 as set forth in the Issuer’s Form 10-Q filed with the SEC on August 8, 2024.</w:t>
      </w:r>
    </w:p>
    <w:p>
      <w:pPr>
        <w:sectPr>
          <w:pgSz w:w="11900" w:h="16838" w:orient="portrait"/>
          <w:cols w:equalWidth="0" w:num="1">
            <w:col w:w="10904"/>
          </w:cols>
          <w:pgMar w:left="436" w:top="266" w:right="55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87650L 103</w:t>
      </w:r>
    </w:p>
    <w:p>
      <w:pPr>
        <w:spacing w:after="0" w:line="175" w:lineRule="exact"/>
        <w:rPr>
          <w:sz w:val="20"/>
          <w:szCs w:val="20"/>
          <w:color w:val="auto"/>
        </w:rPr>
      </w:pPr>
    </w:p>
    <w:p>
      <w:pPr>
        <w:ind w:left="244" w:hanging="87"/>
        <w:spacing w:after="0"/>
        <w:tabs>
          <w:tab w:leader="none" w:pos="24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James Topper</w:t>
      </w:r>
    </w:p>
    <w:p>
      <w:pPr>
        <w:spacing w:after="0" w:line="40" w:lineRule="exact"/>
        <w:rPr>
          <w:rFonts w:ascii="Times New Roman" w:cs="Times New Roman" w:eastAsia="Times New Roman" w:hAnsi="Times New Roman"/>
          <w:sz w:val="18"/>
          <w:szCs w:val="18"/>
          <w:b w:val="1"/>
          <w:bCs w:val="1"/>
          <w:color w:val="auto"/>
        </w:rPr>
      </w:pPr>
    </w:p>
    <w:p>
      <w:pPr>
        <w:ind w:left="244" w:hanging="87"/>
        <w:spacing w:after="0"/>
        <w:tabs>
          <w:tab w:leader="none" w:pos="24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0"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b w:val="1"/>
          <w:bCs w:val="1"/>
          <w:color w:val="auto"/>
        </w:rPr>
        <w:t>  United States Citizen</w:t>
      </w:r>
    </w:p>
    <w:p>
      <w:pPr>
        <w:spacing w:after="0" w:line="40" w:lineRule="exact"/>
        <w:rPr>
          <w:sz w:val="20"/>
          <w:szCs w:val="20"/>
          <w:color w:val="auto"/>
        </w:rPr>
      </w:pPr>
    </w:p>
    <w:p>
      <w:pPr>
        <w:ind w:left="1164"/>
        <w:spacing w:after="0"/>
        <w:tabs>
          <w:tab w:leader="none" w:pos="1464"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  Sole Voting Power</w:t>
      </w:r>
    </w:p>
    <w:p>
      <w:pPr>
        <w:spacing w:after="0" w:line="248" w:lineRule="exact"/>
        <w:rPr>
          <w:sz w:val="20"/>
          <w:szCs w:val="20"/>
          <w:color w:val="auto"/>
        </w:rPr>
      </w:pPr>
    </w:p>
    <w:tbl>
      <w:tblPr>
        <w:tblLayout w:type="fixed"/>
        <w:tblInd w:w="164" w:type="dxa"/>
        <w:tblCellMar>
          <w:top w:w="0" w:type="dxa"/>
          <w:left w:w="0" w:type="dxa"/>
          <w:bottom w:w="0" w:type="dxa"/>
          <w:right w:w="0" w:type="dxa"/>
        </w:tblCellMar>
      </w:tblPr>
      <w:tr>
        <w:trPr>
          <w:trHeight w:val="25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40" w:type="dxa"/>
            <w:vAlign w:val="bottom"/>
            <w:tcBorders>
              <w:bottom w:val="single" w:sz="8" w:color="auto"/>
            </w:tcBorders>
          </w:tcPr>
          <w:p>
            <w:pPr>
              <w:spacing w:after="0"/>
              <w:rPr>
                <w:sz w:val="21"/>
                <w:szCs w:val="21"/>
                <w:color w:val="auto"/>
              </w:rPr>
            </w:pPr>
          </w:p>
        </w:tc>
        <w:tc>
          <w:tcPr>
            <w:tcW w:w="9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1,587,527 shares (1)</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4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40" w:type="dxa"/>
            <w:vAlign w:val="bottom"/>
          </w:tcPr>
          <w:p>
            <w:pPr>
              <w:spacing w:after="0"/>
              <w:rPr>
                <w:sz w:val="19"/>
                <w:szCs w:val="19"/>
                <w:color w:val="auto"/>
              </w:rPr>
            </w:pP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40" w:type="dxa"/>
            <w:vAlign w:val="bottom"/>
            <w:tcBorders>
              <w:bottom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hanging="99"/>
        <w:spacing w:after="0"/>
        <w:tabs>
          <w:tab w:leader="none" w:pos="1584"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1,587,527 shares (1)</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1,587,527 shares (1)</w:t>
      </w:r>
    </w:p>
    <w:p>
      <w:pPr>
        <w:spacing w:after="0" w:line="40" w:lineRule="exact"/>
        <w:rPr>
          <w:sz w:val="20"/>
          <w:szCs w:val="20"/>
          <w:color w:val="auto"/>
        </w:rPr>
      </w:pPr>
    </w:p>
    <w:p>
      <w:pPr>
        <w:ind w:left="564" w:hanging="407"/>
        <w:spacing w:after="0"/>
        <w:tabs>
          <w:tab w:leader="none" w:pos="56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2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4.2% (2)</w:t>
      </w:r>
    </w:p>
    <w:p>
      <w:pPr>
        <w:spacing w:after="0" w:line="40"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w:t>
      </w:r>
    </w:p>
    <w:p>
      <w:pPr>
        <w:spacing w:after="0" w:line="283" w:lineRule="exact"/>
        <w:rPr>
          <w:rFonts w:ascii="Times New Roman" w:cs="Times New Roman" w:eastAsia="Times New Roman" w:hAnsi="Times New Roman"/>
          <w:sz w:val="18"/>
          <w:szCs w:val="18"/>
          <w:b w:val="1"/>
          <w:bCs w:val="1"/>
          <w:color w:val="auto"/>
        </w:rPr>
      </w:pPr>
    </w:p>
    <w:p>
      <w:pPr>
        <w:ind w:left="424" w:right="140" w:hanging="424"/>
        <w:spacing w:after="0" w:line="257"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1,587,527 shares of Common Stock held directly by Frazier Life Sciences IX, L.P. FHMLS IX, L.P. is the general partner of Frazier Life Sciences IX, L.P. and FHMLS IX, L.L.C. is the general partner of FHMLS IX, L.P. Patrick Heron and James Topper are the members of FHMLS IX, L.L.C. and therefore share voting and investment power over the shares held by Frazier Life Sciences IX, L.P.</w:t>
      </w:r>
    </w:p>
    <w:p>
      <w:pPr>
        <w:spacing w:after="0" w:line="1" w:lineRule="exact"/>
        <w:rPr>
          <w:rFonts w:ascii="Times New Roman" w:cs="Times New Roman" w:eastAsia="Times New Roman" w:hAnsi="Times New Roman"/>
          <w:sz w:val="18"/>
          <w:szCs w:val="18"/>
          <w:color w:val="auto"/>
        </w:rPr>
      </w:pPr>
    </w:p>
    <w:p>
      <w:pPr>
        <w:ind w:left="424" w:right="500" w:hanging="424"/>
        <w:spacing w:after="0" w:line="260"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38,041,737 shares of Common Stock outstanding on August 2, 2024 as set forth in the Issuer’s Form 10-Q filed with the SEC on August 8, 2024.</w:t>
      </w:r>
    </w:p>
    <w:p>
      <w:pPr>
        <w:sectPr>
          <w:pgSz w:w="11900" w:h="16838" w:orient="portrait"/>
          <w:cols w:equalWidth="0" w:num="1">
            <w:col w:w="10904"/>
          </w:cols>
          <w:pgMar w:left="436" w:top="266" w:right="55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87650L 103</w:t>
      </w:r>
    </w:p>
    <w:p>
      <w:pPr>
        <w:spacing w:after="0" w:line="175" w:lineRule="exact"/>
        <w:rPr>
          <w:sz w:val="20"/>
          <w:szCs w:val="20"/>
          <w:color w:val="auto"/>
        </w:rPr>
      </w:pPr>
    </w:p>
    <w:p>
      <w:pPr>
        <w:ind w:left="244" w:hanging="87"/>
        <w:spacing w:after="0"/>
        <w:tabs>
          <w:tab w:leader="none" w:pos="24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Patrick Heron</w:t>
      </w:r>
    </w:p>
    <w:p>
      <w:pPr>
        <w:spacing w:after="0" w:line="40" w:lineRule="exact"/>
        <w:rPr>
          <w:rFonts w:ascii="Times New Roman" w:cs="Times New Roman" w:eastAsia="Times New Roman" w:hAnsi="Times New Roman"/>
          <w:sz w:val="18"/>
          <w:szCs w:val="18"/>
          <w:b w:val="1"/>
          <w:bCs w:val="1"/>
          <w:color w:val="auto"/>
        </w:rPr>
      </w:pPr>
    </w:p>
    <w:p>
      <w:pPr>
        <w:ind w:left="244" w:hanging="87"/>
        <w:spacing w:after="0"/>
        <w:tabs>
          <w:tab w:leader="none" w:pos="24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0"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b w:val="1"/>
          <w:bCs w:val="1"/>
          <w:color w:val="auto"/>
        </w:rPr>
        <w:t>  United States Citizen</w:t>
      </w:r>
    </w:p>
    <w:p>
      <w:pPr>
        <w:spacing w:after="0" w:line="40" w:lineRule="exact"/>
        <w:rPr>
          <w:sz w:val="20"/>
          <w:szCs w:val="20"/>
          <w:color w:val="auto"/>
        </w:rPr>
      </w:pPr>
    </w:p>
    <w:p>
      <w:pPr>
        <w:ind w:left="1164"/>
        <w:spacing w:after="0"/>
        <w:tabs>
          <w:tab w:leader="none" w:pos="1464"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  Sole Voting Power</w:t>
      </w:r>
    </w:p>
    <w:p>
      <w:pPr>
        <w:spacing w:after="0" w:line="248" w:lineRule="exact"/>
        <w:rPr>
          <w:sz w:val="20"/>
          <w:szCs w:val="20"/>
          <w:color w:val="auto"/>
        </w:rPr>
      </w:pPr>
    </w:p>
    <w:tbl>
      <w:tblPr>
        <w:tblLayout w:type="fixed"/>
        <w:tblInd w:w="164" w:type="dxa"/>
        <w:tblCellMar>
          <w:top w:w="0" w:type="dxa"/>
          <w:left w:w="0" w:type="dxa"/>
          <w:bottom w:w="0" w:type="dxa"/>
          <w:right w:w="0" w:type="dxa"/>
        </w:tblCellMar>
      </w:tblPr>
      <w:tr>
        <w:trPr>
          <w:trHeight w:val="25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40" w:type="dxa"/>
            <w:vAlign w:val="bottom"/>
            <w:tcBorders>
              <w:bottom w:val="single" w:sz="8" w:color="auto"/>
            </w:tcBorders>
          </w:tcPr>
          <w:p>
            <w:pPr>
              <w:spacing w:after="0"/>
              <w:rPr>
                <w:sz w:val="21"/>
                <w:szCs w:val="21"/>
                <w:color w:val="auto"/>
              </w:rPr>
            </w:pPr>
          </w:p>
        </w:tc>
        <w:tc>
          <w:tcPr>
            <w:tcW w:w="9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1,587,527 shares (1)</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4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40" w:type="dxa"/>
            <w:vAlign w:val="bottom"/>
          </w:tcPr>
          <w:p>
            <w:pPr>
              <w:spacing w:after="0"/>
              <w:rPr>
                <w:sz w:val="19"/>
                <w:szCs w:val="19"/>
                <w:color w:val="auto"/>
              </w:rPr>
            </w:pP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40" w:type="dxa"/>
            <w:vAlign w:val="bottom"/>
            <w:tcBorders>
              <w:bottom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hanging="99"/>
        <w:spacing w:after="0"/>
        <w:tabs>
          <w:tab w:leader="none" w:pos="1584"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1,587,527 shares (1)</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1,587,527 shares (1)</w:t>
      </w:r>
    </w:p>
    <w:p>
      <w:pPr>
        <w:spacing w:after="0" w:line="40" w:lineRule="exact"/>
        <w:rPr>
          <w:sz w:val="20"/>
          <w:szCs w:val="20"/>
          <w:color w:val="auto"/>
        </w:rPr>
      </w:pPr>
    </w:p>
    <w:p>
      <w:pPr>
        <w:ind w:left="564" w:hanging="407"/>
        <w:spacing w:after="0"/>
        <w:tabs>
          <w:tab w:leader="none" w:pos="56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3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4.2% (2)</w:t>
      </w:r>
    </w:p>
    <w:p>
      <w:pPr>
        <w:spacing w:after="0" w:line="40"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w:t>
      </w:r>
    </w:p>
    <w:p>
      <w:pPr>
        <w:spacing w:after="0" w:line="283" w:lineRule="exact"/>
        <w:rPr>
          <w:rFonts w:ascii="Times New Roman" w:cs="Times New Roman" w:eastAsia="Times New Roman" w:hAnsi="Times New Roman"/>
          <w:sz w:val="18"/>
          <w:szCs w:val="18"/>
          <w:b w:val="1"/>
          <w:bCs w:val="1"/>
          <w:color w:val="auto"/>
        </w:rPr>
      </w:pPr>
    </w:p>
    <w:p>
      <w:pPr>
        <w:ind w:left="424" w:right="140" w:hanging="424"/>
        <w:spacing w:after="0" w:line="257" w:lineRule="auto"/>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1,587,527 shares of Common Stock held directly by Frazier Life Sciences IX, L.P. FHMLS IX, L.P. is the general partner of Frazier Life Sciences IX, L.P. and FHMLS IX, L.L.C. is the general partner of FHMLS IX, L.P. Patrick Heron and James Topper are the members of FHMLS IX, L.L.C. and therefore share voting and investment power over the shares held by Frazier Life Sciences IX, L.P.</w:t>
      </w:r>
    </w:p>
    <w:p>
      <w:pPr>
        <w:spacing w:after="0" w:line="1" w:lineRule="exact"/>
        <w:rPr>
          <w:rFonts w:ascii="Times New Roman" w:cs="Times New Roman" w:eastAsia="Times New Roman" w:hAnsi="Times New Roman"/>
          <w:sz w:val="18"/>
          <w:szCs w:val="18"/>
          <w:color w:val="auto"/>
        </w:rPr>
      </w:pPr>
    </w:p>
    <w:p>
      <w:pPr>
        <w:ind w:left="424" w:right="500" w:hanging="424"/>
        <w:spacing w:after="0" w:line="260" w:lineRule="auto"/>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38,041,737 shares of Common Stock outstanding on August 2, 2024 as set forth in the Issuer’s Form 10-Q filed with the SEC on August 8, 2024.</w:t>
      </w:r>
    </w:p>
    <w:p>
      <w:pPr>
        <w:sectPr>
          <w:pgSz w:w="11900" w:h="16838" w:orient="portrait"/>
          <w:cols w:equalWidth="0" w:num="1">
            <w:col w:w="10904"/>
          </w:cols>
          <w:pgMar w:left="436" w:top="266" w:right="559" w:bottom="1440" w:gutter="0" w:footer="0" w:header="0"/>
        </w:sectPr>
      </w:pPr>
    </w:p>
    <w:bookmarkStart w:id="6" w:name="page7"/>
    <w:bookmarkEnd w:id="6"/>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1(a).</w:t>
      </w:r>
      <w:r>
        <w:rPr>
          <w:sz w:val="20"/>
          <w:szCs w:val="20"/>
          <w:color w:val="auto"/>
        </w:rPr>
        <w:tab/>
      </w:r>
      <w:r>
        <w:rPr>
          <w:rFonts w:ascii="Times New Roman" w:cs="Times New Roman" w:eastAsia="Times New Roman" w:hAnsi="Times New Roman"/>
          <w:sz w:val="17"/>
          <w:szCs w:val="17"/>
          <w:color w:val="auto"/>
        </w:rPr>
        <w:t>Name of Issuer: Tarsus Pharmaceuticals, Inc.</w:t>
      </w:r>
    </w:p>
    <w:p>
      <w:pPr>
        <w:spacing w:after="0" w:line="333"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color w:val="auto"/>
        </w:rPr>
        <w:t>Address of Issuer’s Principal Executive Offices: 15440 Laguna Canyon Road, Suite 160, Irvine, CA 92618</w:t>
      </w:r>
    </w:p>
    <w:p>
      <w:pPr>
        <w:spacing w:after="0" w:line="333"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7"/>
          <w:szCs w:val="17"/>
          <w:color w:val="auto"/>
        </w:rPr>
        <w:t>Name of Person Filing:</w:t>
      </w:r>
    </w:p>
    <w:p>
      <w:pPr>
        <w:spacing w:after="0" w:line="1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The entities and persons filing this statement (collectively, the “Reporting Persons”) are:</w:t>
      </w:r>
    </w:p>
    <w:p>
      <w:pPr>
        <w:spacing w:after="0" w:line="1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Frazier Life Sciences IX, L.P. (“FLS IX”)</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FHMLS IX, L.P.</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FHMLS IX, L.L.C.</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James Topper (“Topper”)</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Patrick Heron (“Heron” and together with Topper, the “Members”)</w:t>
      </w:r>
    </w:p>
    <w:p>
      <w:pPr>
        <w:spacing w:after="0" w:line="324"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color w:val="auto"/>
        </w:rPr>
        <w:t>Address of Principal Business Office or, if none, Residence:</w:t>
      </w:r>
    </w:p>
    <w:p>
      <w:pPr>
        <w:spacing w:after="0" w:line="1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The address and principal business office of the Reporting Persons is:</w:t>
      </w:r>
    </w:p>
    <w:p>
      <w:pPr>
        <w:spacing w:after="0" w:line="1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c/o Frazier Life Sciences Management, L.P.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1001 Page Mill Rd, Building 4, Suite B</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Palo Alto, CA 94304</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1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Citizenship:</w:t>
            </w:r>
          </w:p>
        </w:tc>
        <w:tc>
          <w:tcPr>
            <w:tcW w:w="1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340" w:type="dxa"/>
            <w:vAlign w:val="bottom"/>
          </w:tcPr>
          <w:p>
            <w:pPr>
              <w:spacing w:after="0"/>
              <w:rPr>
                <w:sz w:val="20"/>
                <w:szCs w:val="20"/>
                <w:color w:val="auto"/>
              </w:rPr>
            </w:pPr>
          </w:p>
        </w:tc>
      </w:tr>
      <w:tr>
        <w:trPr>
          <w:trHeight w:val="279"/>
        </w:trPr>
        <w:tc>
          <w:tcPr>
            <w:tcW w:w="1040" w:type="dxa"/>
            <w:vAlign w:val="bottom"/>
          </w:tcPr>
          <w:p>
            <w:pPr>
              <w:spacing w:after="0"/>
              <w:rPr>
                <w:sz w:val="24"/>
                <w:szCs w:val="24"/>
                <w:color w:val="auto"/>
              </w:rPr>
            </w:pPr>
          </w:p>
        </w:tc>
        <w:tc>
          <w:tcPr>
            <w:tcW w:w="1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Entities:</w:t>
            </w:r>
          </w:p>
        </w:tc>
        <w:tc>
          <w:tcPr>
            <w:tcW w:w="1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FLS IX</w:t>
            </w:r>
          </w:p>
        </w:tc>
        <w:tc>
          <w:tcPr>
            <w:tcW w:w="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 </w:t>
            </w:r>
          </w:p>
        </w:tc>
        <w:tc>
          <w:tcPr>
            <w:tcW w:w="5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 Delaware, U.S.A.</w:t>
            </w:r>
          </w:p>
        </w:tc>
      </w:tr>
      <w:tr>
        <w:trPr>
          <w:trHeight w:val="216"/>
        </w:trPr>
        <w:tc>
          <w:tcPr>
            <w:tcW w:w="1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FHMLS IX, L.P.</w:t>
            </w:r>
          </w:p>
        </w:tc>
        <w:tc>
          <w:tcPr>
            <w:tcW w:w="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 </w:t>
            </w:r>
          </w:p>
        </w:tc>
        <w:tc>
          <w:tcPr>
            <w:tcW w:w="5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 Delaware, U.S.A.</w:t>
            </w:r>
          </w:p>
        </w:tc>
      </w:tr>
      <w:tr>
        <w:trPr>
          <w:trHeight w:val="234"/>
        </w:trPr>
        <w:tc>
          <w:tcPr>
            <w:tcW w:w="10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FHMLS IX, L.L.C</w:t>
            </w:r>
          </w:p>
        </w:tc>
        <w:tc>
          <w:tcPr>
            <w:tcW w:w="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 </w:t>
            </w:r>
          </w:p>
        </w:tc>
        <w:tc>
          <w:tcPr>
            <w:tcW w:w="5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 Delaware, U.S.A.</w:t>
            </w:r>
          </w:p>
        </w:tc>
      </w:tr>
      <w:tr>
        <w:trPr>
          <w:trHeight w:val="441"/>
        </w:trPr>
        <w:tc>
          <w:tcPr>
            <w:tcW w:w="1040" w:type="dxa"/>
            <w:vAlign w:val="bottom"/>
          </w:tcPr>
          <w:p>
            <w:pPr>
              <w:spacing w:after="0"/>
              <w:rPr>
                <w:sz w:val="24"/>
                <w:szCs w:val="24"/>
                <w:color w:val="auto"/>
              </w:rPr>
            </w:pPr>
          </w:p>
        </w:tc>
        <w:tc>
          <w:tcPr>
            <w:tcW w:w="1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Individuals:</w:t>
            </w:r>
          </w:p>
        </w:tc>
        <w:tc>
          <w:tcPr>
            <w:tcW w:w="1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Topper</w:t>
            </w:r>
          </w:p>
        </w:tc>
        <w:tc>
          <w:tcPr>
            <w:tcW w:w="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 </w:t>
            </w:r>
          </w:p>
        </w:tc>
        <w:tc>
          <w:tcPr>
            <w:tcW w:w="5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 United States Citizen</w:t>
            </w:r>
          </w:p>
        </w:tc>
      </w:tr>
      <w:tr>
        <w:trPr>
          <w:trHeight w:val="234"/>
        </w:trPr>
        <w:tc>
          <w:tcPr>
            <w:tcW w:w="10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Heron</w:t>
            </w:r>
          </w:p>
        </w:tc>
        <w:tc>
          <w:tcPr>
            <w:tcW w:w="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 </w:t>
            </w:r>
          </w:p>
        </w:tc>
        <w:tc>
          <w:tcPr>
            <w:tcW w:w="5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 United States Citizen</w:t>
            </w:r>
          </w:p>
        </w:tc>
      </w:tr>
      <w:tr>
        <w:trPr>
          <w:trHeight w:val="553"/>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34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Title of Class of Securities: Common Stock</w:t>
            </w:r>
          </w:p>
        </w:tc>
        <w:tc>
          <w:tcPr>
            <w:tcW w:w="5340" w:type="dxa"/>
            <w:vAlign w:val="bottom"/>
          </w:tcPr>
          <w:p>
            <w:pPr>
              <w:spacing w:after="0"/>
              <w:rPr>
                <w:sz w:val="24"/>
                <w:szCs w:val="24"/>
                <w:color w:val="auto"/>
              </w:rPr>
            </w:pPr>
          </w:p>
        </w:tc>
      </w:tr>
      <w:tr>
        <w:trPr>
          <w:trHeight w:val="540"/>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30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CUSIP Number: 87650L 103</w:t>
            </w:r>
          </w:p>
        </w:tc>
        <w:tc>
          <w:tcPr>
            <w:tcW w:w="460" w:type="dxa"/>
            <w:vAlign w:val="bottom"/>
          </w:tcPr>
          <w:p>
            <w:pPr>
              <w:spacing w:after="0"/>
              <w:rPr>
                <w:sz w:val="24"/>
                <w:szCs w:val="24"/>
                <w:color w:val="auto"/>
              </w:rPr>
            </w:pPr>
          </w:p>
        </w:tc>
        <w:tc>
          <w:tcPr>
            <w:tcW w:w="5340" w:type="dxa"/>
            <w:vAlign w:val="bottom"/>
          </w:tcPr>
          <w:p>
            <w:pPr>
              <w:spacing w:after="0"/>
              <w:rPr>
                <w:sz w:val="24"/>
                <w:szCs w:val="24"/>
                <w:color w:val="auto"/>
              </w:rPr>
            </w:pPr>
          </w:p>
        </w:tc>
      </w:tr>
      <w:tr>
        <w:trPr>
          <w:trHeight w:val="540"/>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880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w w:val="99"/>
              </w:rPr>
              <w:t>If this statement is filed pursuant to §§240.13d-1(b), or 240.13d-2(b) or (c), check whether the person filing is a:</w:t>
            </w:r>
          </w:p>
        </w:tc>
      </w:tr>
    </w:tbl>
    <w:p>
      <w:pPr>
        <w:spacing w:after="0" w:line="49" w:lineRule="exact"/>
        <w:rPr>
          <w:sz w:val="20"/>
          <w:szCs w:val="20"/>
          <w:color w:val="auto"/>
        </w:rPr>
      </w:pPr>
    </w:p>
    <w:p>
      <w:pPr>
        <w:ind w:left="1320" w:hanging="964"/>
        <w:spacing w:after="0" w:line="207" w:lineRule="exact"/>
        <w:tabs>
          <w:tab w:leader="none" w:pos="1320" w:val="left"/>
        </w:tabs>
        <w:numPr>
          <w:ilvl w:val="0"/>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17" w:lineRule="exact"/>
        <w:rPr>
          <w:rFonts w:ascii="Times New Roman" w:cs="Times New Roman" w:eastAsia="Times New Roman" w:hAnsi="Times New Roman"/>
          <w:sz w:val="18"/>
          <w:szCs w:val="18"/>
          <w:color w:val="auto"/>
        </w:rPr>
      </w:pPr>
    </w:p>
    <w:p>
      <w:pPr>
        <w:ind w:left="1320" w:hanging="964"/>
        <w:spacing w:after="0" w:line="207" w:lineRule="exact"/>
        <w:tabs>
          <w:tab w:leader="none" w:pos="1320" w:val="left"/>
        </w:tabs>
        <w:numPr>
          <w:ilvl w:val="0"/>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17" w:lineRule="exact"/>
        <w:rPr>
          <w:rFonts w:ascii="Times New Roman" w:cs="Times New Roman" w:eastAsia="Times New Roman" w:hAnsi="Times New Roman"/>
          <w:sz w:val="18"/>
          <w:szCs w:val="18"/>
          <w:color w:val="auto"/>
        </w:rPr>
      </w:pPr>
    </w:p>
    <w:p>
      <w:pPr>
        <w:ind w:left="1320" w:hanging="964"/>
        <w:spacing w:after="0" w:line="207" w:lineRule="exact"/>
        <w:tabs>
          <w:tab w:leader="none" w:pos="1320" w:val="left"/>
        </w:tabs>
        <w:numPr>
          <w:ilvl w:val="0"/>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17" w:lineRule="exact"/>
        <w:rPr>
          <w:rFonts w:ascii="Times New Roman" w:cs="Times New Roman" w:eastAsia="Times New Roman" w:hAnsi="Times New Roman"/>
          <w:sz w:val="18"/>
          <w:szCs w:val="18"/>
          <w:color w:val="auto"/>
        </w:rPr>
      </w:pPr>
    </w:p>
    <w:p>
      <w:pPr>
        <w:ind w:left="1320" w:hanging="964"/>
        <w:spacing w:after="0" w:line="207" w:lineRule="exact"/>
        <w:tabs>
          <w:tab w:leader="none" w:pos="1320" w:val="left"/>
        </w:tabs>
        <w:numPr>
          <w:ilvl w:val="0"/>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17" w:lineRule="exact"/>
        <w:rPr>
          <w:rFonts w:ascii="Times New Roman" w:cs="Times New Roman" w:eastAsia="Times New Roman" w:hAnsi="Times New Roman"/>
          <w:sz w:val="18"/>
          <w:szCs w:val="18"/>
          <w:color w:val="auto"/>
        </w:rPr>
      </w:pPr>
    </w:p>
    <w:p>
      <w:pPr>
        <w:ind w:left="1320" w:hanging="964"/>
        <w:spacing w:after="0" w:line="207" w:lineRule="exact"/>
        <w:tabs>
          <w:tab w:leader="none" w:pos="1320" w:val="left"/>
        </w:tabs>
        <w:numPr>
          <w:ilvl w:val="0"/>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p>
      <w:pPr>
        <w:spacing w:after="0" w:line="117" w:lineRule="exact"/>
        <w:rPr>
          <w:rFonts w:ascii="Times New Roman" w:cs="Times New Roman" w:eastAsia="Times New Roman" w:hAnsi="Times New Roman"/>
          <w:sz w:val="18"/>
          <w:szCs w:val="18"/>
          <w:color w:val="auto"/>
        </w:rPr>
      </w:pPr>
    </w:p>
    <w:p>
      <w:pPr>
        <w:ind w:left="1320" w:hanging="964"/>
        <w:spacing w:after="0" w:line="207" w:lineRule="exact"/>
        <w:tabs>
          <w:tab w:leader="none" w:pos="1320" w:val="left"/>
        </w:tabs>
        <w:numPr>
          <w:ilvl w:val="0"/>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17" w:lineRule="exact"/>
        <w:rPr>
          <w:rFonts w:ascii="Times New Roman" w:cs="Times New Roman" w:eastAsia="Times New Roman" w:hAnsi="Times New Roman"/>
          <w:sz w:val="18"/>
          <w:szCs w:val="18"/>
          <w:color w:val="auto"/>
        </w:rPr>
      </w:pPr>
    </w:p>
    <w:p>
      <w:pPr>
        <w:ind w:left="1320" w:hanging="964"/>
        <w:spacing w:after="0" w:line="207" w:lineRule="exact"/>
        <w:tabs>
          <w:tab w:leader="none" w:pos="1320" w:val="left"/>
        </w:tabs>
        <w:numPr>
          <w:ilvl w:val="0"/>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17" w:lineRule="exact"/>
        <w:rPr>
          <w:rFonts w:ascii="Times New Roman" w:cs="Times New Roman" w:eastAsia="Times New Roman" w:hAnsi="Times New Roman"/>
          <w:sz w:val="18"/>
          <w:szCs w:val="18"/>
          <w:color w:val="auto"/>
        </w:rPr>
      </w:pPr>
    </w:p>
    <w:p>
      <w:pPr>
        <w:ind w:left="1320" w:hanging="964"/>
        <w:spacing w:after="0" w:line="207" w:lineRule="exact"/>
        <w:tabs>
          <w:tab w:leader="none" w:pos="1320" w:val="left"/>
        </w:tabs>
        <w:numPr>
          <w:ilvl w:val="0"/>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17" w:lineRule="exact"/>
        <w:rPr>
          <w:rFonts w:ascii="Times New Roman" w:cs="Times New Roman" w:eastAsia="Times New Roman" w:hAnsi="Times New Roman"/>
          <w:sz w:val="18"/>
          <w:szCs w:val="18"/>
          <w:color w:val="auto"/>
        </w:rPr>
      </w:pPr>
    </w:p>
    <w:p>
      <w:pPr>
        <w:ind w:left="1680" w:hanging="1324"/>
        <w:spacing w:after="0" w:line="245" w:lineRule="exact"/>
        <w:tabs>
          <w:tab w:leader="none" w:pos="1320" w:val="left"/>
        </w:tabs>
        <w:numPr>
          <w:ilvl w:val="0"/>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50" w:lineRule="exact"/>
        <w:rPr>
          <w:rFonts w:ascii="Times New Roman" w:cs="Times New Roman" w:eastAsia="Times New Roman" w:hAnsi="Times New Roman"/>
          <w:sz w:val="18"/>
          <w:szCs w:val="18"/>
          <w:color w:val="auto"/>
        </w:rPr>
      </w:pPr>
    </w:p>
    <w:p>
      <w:pPr>
        <w:ind w:left="1320" w:hanging="964"/>
        <w:spacing w:after="0" w:line="207" w:lineRule="exact"/>
        <w:tabs>
          <w:tab w:leader="none" w:pos="1320" w:val="left"/>
        </w:tabs>
        <w:numPr>
          <w:ilvl w:val="0"/>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17" w:lineRule="exact"/>
        <w:rPr>
          <w:rFonts w:ascii="Times New Roman" w:cs="Times New Roman" w:eastAsia="Times New Roman" w:hAnsi="Times New Roman"/>
          <w:sz w:val="18"/>
          <w:szCs w:val="18"/>
          <w:color w:val="auto"/>
        </w:rPr>
      </w:pPr>
    </w:p>
    <w:p>
      <w:pPr>
        <w:ind w:left="1320" w:hanging="964"/>
        <w:spacing w:after="0" w:line="207" w:lineRule="exact"/>
        <w:tabs>
          <w:tab w:leader="none" w:pos="1320" w:val="left"/>
        </w:tabs>
        <w:numPr>
          <w:ilvl w:val="0"/>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§240.13d–1(b)(1)(ii)(K).</w:t>
      </w:r>
    </w:p>
    <w:p>
      <w:pPr>
        <w:spacing w:after="0" w:line="157" w:lineRule="exact"/>
        <w:rPr>
          <w:rFonts w:ascii="Times New Roman" w:cs="Times New Roman" w:eastAsia="Times New Roman" w:hAnsi="Times New Roman"/>
          <w:sz w:val="18"/>
          <w:szCs w:val="18"/>
          <w:color w:val="auto"/>
        </w:rPr>
      </w:pPr>
    </w:p>
    <w:p>
      <w:pPr>
        <w:ind w:left="1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filing as a non-U.S. institution in accordance with §240.13d–1(b)(1)(ii)(J), please specify the type of institution: ____</w:t>
      </w:r>
    </w:p>
    <w:p>
      <w:pPr>
        <w:spacing w:after="0" w:line="329"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ectPr>
          <w:pgSz w:w="11900" w:h="16838" w:orient="portrait"/>
          <w:cols w:equalWidth="0" w:num="1">
            <w:col w:w="10880"/>
          </w:cols>
          <w:pgMar w:left="440" w:top="266" w:right="579" w:bottom="1440" w:gutter="0" w:footer="0" w:header="0"/>
        </w:sectPr>
      </w:pPr>
    </w:p>
    <w:bookmarkStart w:id="7" w:name="page8"/>
    <w:bookmarkEnd w:id="7"/>
    <w:p>
      <w:pPr>
        <w:ind w:left="960" w:hanging="532"/>
        <w:spacing w:after="0"/>
        <w:tabs>
          <w:tab w:leader="none" w:pos="9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Amount Beneficially Owned: See Row 9 of cover page for each Reporting Person.</w:t>
      </w:r>
    </w:p>
    <w:p>
      <w:pPr>
        <w:spacing w:after="0" w:line="130"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See Row 11 of cover page for each Reporting Person</w:t>
      </w:r>
    </w:p>
    <w:p>
      <w:pPr>
        <w:spacing w:after="0" w:line="130"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Number of shares as to which the person has:</w:t>
      </w:r>
    </w:p>
    <w:p>
      <w:pPr>
        <w:spacing w:after="0" w:line="130"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power to vote or to direct the vote: See Row 5 of cover page for each Reporting Person.</w:t>
      </w:r>
    </w:p>
    <w:p>
      <w:pPr>
        <w:spacing w:after="0" w:line="130"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Shared power to vote or to direct the vote: See Row 6 of cover page for each Reporting Person.</w:t>
      </w:r>
    </w:p>
    <w:p>
      <w:pPr>
        <w:spacing w:after="0" w:line="130"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power to dispose or to direct the disposition of: See Row 7 of cover page for each Reporting Person.</w:t>
      </w:r>
    </w:p>
    <w:p>
      <w:pPr>
        <w:spacing w:after="0" w:line="130"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Shared power to dispose or to direct the disposition of: See Row 8 of cover page for each Reporting Person.</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Ownership of 5 Percent or Less of a Class</w:t>
      </w:r>
    </w:p>
    <w:p>
      <w:pPr>
        <w:spacing w:after="0" w:line="121" w:lineRule="exact"/>
        <w:rPr>
          <w:sz w:val="20"/>
          <w:szCs w:val="20"/>
          <w:color w:val="auto"/>
        </w:rPr>
      </w:pPr>
    </w:p>
    <w:p>
      <w:pPr>
        <w:ind w:right="54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ectPr>
          <w:pgSz w:w="11900" w:h="16838" w:orient="portrait"/>
          <w:cols w:equalWidth="0" w:num="1">
            <w:col w:w="10920"/>
          </w:cols>
          <w:pgMar w:left="440" w:top="270" w:right="539" w:bottom="1440" w:gutter="0" w:footer="0" w:header="0"/>
        </w:sect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Ownership of More than 5 Percent on Behalf of Another Person</w:t>
      </w:r>
    </w:p>
    <w:p>
      <w:pPr>
        <w:spacing w:after="0" w:line="133" w:lineRule="exact"/>
        <w:rPr>
          <w:sz w:val="20"/>
          <w:szCs w:val="20"/>
          <w:color w:val="auto"/>
        </w:rPr>
      </w:pPr>
    </w:p>
    <w:p>
      <w:pPr>
        <w:sectPr>
          <w:pgSz w:w="11900" w:h="16838" w:orient="portrait"/>
          <w:cols w:equalWidth="0" w:num="2">
            <w:col w:w="520" w:space="460"/>
            <w:col w:w="9940"/>
          </w:cols>
          <w:pgMar w:left="440" w:top="270" w:right="5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920"/>
          </w:cols>
          <w:pgMar w:left="440" w:top="270" w:right="53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51" w:lineRule="exact"/>
        <w:rPr>
          <w:sz w:val="20"/>
          <w:szCs w:val="20"/>
          <w:color w:val="auto"/>
        </w:rPr>
      </w:pPr>
    </w:p>
    <w:p>
      <w:pPr>
        <w:sectPr>
          <w:pgSz w:w="11900" w:h="16838" w:orient="portrait"/>
          <w:cols w:equalWidth="0" w:num="2">
            <w:col w:w="520" w:space="460"/>
            <w:col w:w="9940"/>
          </w:cols>
          <w:pgMar w:left="440" w:top="270" w:right="5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920"/>
          </w:cols>
          <w:pgMar w:left="440" w:top="270" w:right="53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Identification and Classification of Members of the Group</w:t>
      </w:r>
    </w:p>
    <w:p>
      <w:pPr>
        <w:spacing w:after="0" w:line="133" w:lineRule="exact"/>
        <w:rPr>
          <w:sz w:val="20"/>
          <w:szCs w:val="20"/>
          <w:color w:val="auto"/>
        </w:rPr>
      </w:pPr>
    </w:p>
    <w:p>
      <w:pPr>
        <w:sectPr>
          <w:pgSz w:w="11900" w:h="16838" w:orient="portrait"/>
          <w:cols w:equalWidth="0" w:num="2">
            <w:col w:w="520" w:space="460"/>
            <w:col w:w="9940"/>
          </w:cols>
          <w:pgMar w:left="440" w:top="270" w:right="5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Each member of the group is identified on Exhibit A to this Schedule 13G.</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Notice of Dissolution of a Group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0920"/>
          </w:cols>
          <w:pgMar w:left="440" w:top="270" w:right="539" w:bottom="1440" w:gutter="0" w:footer="0" w:header="0"/>
          <w:type w:val="continuous"/>
        </w:sectPr>
      </w:pPr>
    </w:p>
    <w:bookmarkStart w:id="8" w:name="page9"/>
    <w:bookmarkEnd w:id="8"/>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85" w:lineRule="exact"/>
        <w:rPr>
          <w:sz w:val="20"/>
          <w:szCs w:val="20"/>
          <w:color w:val="auto"/>
        </w:rPr>
      </w:pPr>
    </w:p>
    <w:tbl>
      <w:tblPr>
        <w:tblLayout w:type="fixed"/>
        <w:tblInd w:w="4" w:type="dxa"/>
        <w:tblCellMar>
          <w:top w:w="0" w:type="dxa"/>
          <w:left w:w="0" w:type="dxa"/>
          <w:bottom w:w="0" w:type="dxa"/>
          <w:right w:w="0" w:type="dxa"/>
        </w:tblCellMar>
      </w:tblPr>
      <w:tr>
        <w:trPr>
          <w:trHeight w:val="22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2024</w:t>
            </w:r>
          </w:p>
        </w:tc>
        <w:tc>
          <w:tcPr>
            <w:tcW w:w="73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FRAZIER LIFE SCIENCES IX, L.P.</w:t>
            </w:r>
          </w:p>
        </w:tc>
      </w:tr>
      <w:tr>
        <w:trPr>
          <w:trHeight w:val="216"/>
        </w:trPr>
        <w:tc>
          <w:tcPr>
            <w:tcW w:w="3700" w:type="dxa"/>
            <w:vAlign w:val="bottom"/>
          </w:tcPr>
          <w:p>
            <w:pPr>
              <w:spacing w:after="0"/>
              <w:rPr>
                <w:sz w:val="18"/>
                <w:szCs w:val="18"/>
                <w:color w:val="auto"/>
              </w:rPr>
            </w:pPr>
          </w:p>
        </w:tc>
        <w:tc>
          <w:tcPr>
            <w:tcW w:w="73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FHMLS IX, L.P., its general partner</w:t>
            </w:r>
          </w:p>
        </w:tc>
      </w:tr>
      <w:tr>
        <w:trPr>
          <w:trHeight w:val="234"/>
        </w:trPr>
        <w:tc>
          <w:tcPr>
            <w:tcW w:w="3700" w:type="dxa"/>
            <w:vAlign w:val="bottom"/>
          </w:tcPr>
          <w:p>
            <w:pPr>
              <w:spacing w:after="0"/>
              <w:rPr>
                <w:sz w:val="20"/>
                <w:szCs w:val="20"/>
                <w:color w:val="auto"/>
              </w:rPr>
            </w:pPr>
          </w:p>
        </w:tc>
        <w:tc>
          <w:tcPr>
            <w:tcW w:w="73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FHMLS IX, L.L.C., its general partner</w:t>
            </w:r>
          </w:p>
        </w:tc>
      </w:tr>
      <w:tr>
        <w:trPr>
          <w:trHeight w:val="432"/>
        </w:trPr>
        <w:tc>
          <w:tcPr>
            <w:tcW w:w="3700" w:type="dxa"/>
            <w:vAlign w:val="bottom"/>
          </w:tcPr>
          <w:p>
            <w:pPr>
              <w:spacing w:after="0"/>
              <w:rPr>
                <w:sz w:val="24"/>
                <w:szCs w:val="24"/>
                <w:color w:val="auto"/>
              </w:rPr>
            </w:pPr>
          </w:p>
        </w:tc>
        <w:tc>
          <w:tcPr>
            <w:tcW w:w="24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 R. Bailey</w:t>
            </w:r>
          </w:p>
        </w:tc>
      </w:tr>
      <w:tr>
        <w:trPr>
          <w:trHeight w:val="228"/>
        </w:trPr>
        <w:tc>
          <w:tcPr>
            <w:tcW w:w="37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40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2024</w:t>
            </w:r>
          </w:p>
        </w:tc>
        <w:tc>
          <w:tcPr>
            <w:tcW w:w="73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FHMLS IX, L.P.</w:t>
            </w:r>
          </w:p>
        </w:tc>
      </w:tr>
      <w:tr>
        <w:trPr>
          <w:trHeight w:val="234"/>
        </w:trPr>
        <w:tc>
          <w:tcPr>
            <w:tcW w:w="3700" w:type="dxa"/>
            <w:vAlign w:val="bottom"/>
          </w:tcPr>
          <w:p>
            <w:pPr>
              <w:spacing w:after="0"/>
              <w:rPr>
                <w:sz w:val="20"/>
                <w:szCs w:val="20"/>
                <w:color w:val="auto"/>
              </w:rPr>
            </w:pPr>
          </w:p>
        </w:tc>
        <w:tc>
          <w:tcPr>
            <w:tcW w:w="24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FHMLS IX, L.L.C., its general partner</w:t>
            </w:r>
          </w:p>
        </w:tc>
      </w:tr>
      <w:tr>
        <w:trPr>
          <w:trHeight w:val="432"/>
        </w:trPr>
        <w:tc>
          <w:tcPr>
            <w:tcW w:w="3700" w:type="dxa"/>
            <w:vAlign w:val="bottom"/>
          </w:tcPr>
          <w:p>
            <w:pPr>
              <w:spacing w:after="0"/>
              <w:rPr>
                <w:sz w:val="24"/>
                <w:szCs w:val="24"/>
                <w:color w:val="auto"/>
              </w:rPr>
            </w:pPr>
          </w:p>
        </w:tc>
        <w:tc>
          <w:tcPr>
            <w:tcW w:w="24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 R. Bailey</w:t>
            </w:r>
          </w:p>
        </w:tc>
      </w:tr>
      <w:tr>
        <w:trPr>
          <w:trHeight w:val="228"/>
        </w:trPr>
        <w:tc>
          <w:tcPr>
            <w:tcW w:w="37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427"/>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2024</w:t>
            </w:r>
          </w:p>
        </w:tc>
        <w:tc>
          <w:tcPr>
            <w:tcW w:w="73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FHMLS IX, L.L.C.</w:t>
            </w:r>
          </w:p>
        </w:tc>
      </w:tr>
      <w:tr>
        <w:trPr>
          <w:trHeight w:val="432"/>
        </w:trPr>
        <w:tc>
          <w:tcPr>
            <w:tcW w:w="3700" w:type="dxa"/>
            <w:vAlign w:val="bottom"/>
          </w:tcPr>
          <w:p>
            <w:pPr>
              <w:spacing w:after="0"/>
              <w:rPr>
                <w:sz w:val="24"/>
                <w:szCs w:val="24"/>
                <w:color w:val="auto"/>
              </w:rPr>
            </w:pPr>
          </w:p>
        </w:tc>
        <w:tc>
          <w:tcPr>
            <w:tcW w:w="24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 R. Bailey</w:t>
            </w:r>
          </w:p>
        </w:tc>
      </w:tr>
      <w:tr>
        <w:trPr>
          <w:trHeight w:val="228"/>
        </w:trPr>
        <w:tc>
          <w:tcPr>
            <w:tcW w:w="37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427"/>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2024</w:t>
            </w:r>
          </w:p>
        </w:tc>
        <w:tc>
          <w:tcPr>
            <w:tcW w:w="24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7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James Topper</w:t>
            </w:r>
          </w:p>
        </w:tc>
      </w:tr>
      <w:tr>
        <w:trPr>
          <w:trHeight w:val="427"/>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2024</w:t>
            </w:r>
          </w:p>
        </w:tc>
        <w:tc>
          <w:tcPr>
            <w:tcW w:w="24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7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Patrick Heron</w:t>
            </w:r>
          </w:p>
        </w:tc>
      </w:tr>
      <w:tr>
        <w:trPr>
          <w:trHeight w:val="427"/>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2024</w:t>
            </w:r>
          </w:p>
        </w:tc>
        <w:tc>
          <w:tcPr>
            <w:tcW w:w="24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 R. Bailey</w:t>
            </w:r>
          </w:p>
        </w:tc>
      </w:tr>
      <w:tr>
        <w:trPr>
          <w:trHeight w:val="228"/>
        </w:trPr>
        <w:tc>
          <w:tcPr>
            <w:tcW w:w="37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Steve R. Bailey, as Attorney-in-Fact</w:t>
            </w:r>
          </w:p>
        </w:tc>
      </w:tr>
    </w:tbl>
    <w:p>
      <w:pPr>
        <w:spacing w:after="0" w:line="220" w:lineRule="exact"/>
        <w:rPr>
          <w:sz w:val="20"/>
          <w:szCs w:val="20"/>
          <w:color w:val="auto"/>
        </w:rPr>
      </w:pPr>
    </w:p>
    <w:p>
      <w:pPr>
        <w:ind w:left="424" w:right="280" w:hanging="424"/>
        <w:spacing w:after="0" w:line="282" w:lineRule="auto"/>
        <w:tabs>
          <w:tab w:leader="none" w:pos="4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was executed by Steve R. Bailey on behalf of the individuals listed above pursuant to a Power of Attorney, a copy of which was filed with the SEC on July 31, 2017.</w:t>
      </w:r>
    </w:p>
    <w:p>
      <w:pPr>
        <w:sectPr>
          <w:pgSz w:w="11900" w:h="16838" w:orient="portrait"/>
          <w:cols w:equalWidth="0" w:num="1">
            <w:col w:w="11024"/>
          </w:cols>
          <w:pgMar w:left="436" w:top="266" w:right="4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left="4" w:right="380" w:firstLine="440"/>
        <w:spacing w:after="0" w:line="266" w:lineRule="auto"/>
        <w:rPr>
          <w:sz w:val="20"/>
          <w:szCs w:val="20"/>
          <w:color w:val="auto"/>
        </w:rPr>
      </w:pPr>
      <w:r>
        <w:rPr>
          <w:rFonts w:ascii="Times New Roman" w:cs="Times New Roman" w:eastAsia="Times New Roman" w:hAnsi="Times New Roman"/>
          <w:sz w:val="18"/>
          <w:szCs w:val="18"/>
          <w:color w:val="auto"/>
        </w:rPr>
        <w:t>Pursuant to Rule 13d-1(k)(1) under the Securities Exchange Act of 1934, the undersigned hereby agree that only one statement containing the information required by Schedule 13G need be filed with respect to the ownership by each of the undersigned of Common Stock of Tarsus Pharmaceuticals, Inc.</w:t>
      </w:r>
    </w:p>
    <w:p>
      <w:pPr>
        <w:spacing w:after="0" w:line="199" w:lineRule="exact"/>
        <w:rPr>
          <w:sz w:val="20"/>
          <w:szCs w:val="20"/>
          <w:color w:val="auto"/>
        </w:rPr>
      </w:pPr>
    </w:p>
    <w:tbl>
      <w:tblPr>
        <w:tblLayout w:type="fixed"/>
        <w:tblInd w:w="4" w:type="dxa"/>
        <w:tblCellMar>
          <w:top w:w="0" w:type="dxa"/>
          <w:left w:w="0" w:type="dxa"/>
          <w:bottom w:w="0" w:type="dxa"/>
          <w:right w:w="0" w:type="dxa"/>
        </w:tblCellMar>
      </w:tblPr>
      <w:tr>
        <w:trPr>
          <w:trHeight w:val="22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2024</w:t>
            </w:r>
          </w:p>
        </w:tc>
        <w:tc>
          <w:tcPr>
            <w:tcW w:w="73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FRAZIER LIFE SCIENCES IX, L.P.</w:t>
            </w:r>
          </w:p>
        </w:tc>
      </w:tr>
      <w:tr>
        <w:trPr>
          <w:trHeight w:val="216"/>
        </w:trPr>
        <w:tc>
          <w:tcPr>
            <w:tcW w:w="3700" w:type="dxa"/>
            <w:vAlign w:val="bottom"/>
          </w:tcPr>
          <w:p>
            <w:pPr>
              <w:spacing w:after="0"/>
              <w:rPr>
                <w:sz w:val="18"/>
                <w:szCs w:val="18"/>
                <w:color w:val="auto"/>
              </w:rPr>
            </w:pPr>
          </w:p>
        </w:tc>
        <w:tc>
          <w:tcPr>
            <w:tcW w:w="73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FHMLS IX, L.P., its general partner</w:t>
            </w:r>
          </w:p>
        </w:tc>
      </w:tr>
      <w:tr>
        <w:trPr>
          <w:trHeight w:val="234"/>
        </w:trPr>
        <w:tc>
          <w:tcPr>
            <w:tcW w:w="3700" w:type="dxa"/>
            <w:vAlign w:val="bottom"/>
          </w:tcPr>
          <w:p>
            <w:pPr>
              <w:spacing w:after="0"/>
              <w:rPr>
                <w:sz w:val="20"/>
                <w:szCs w:val="20"/>
                <w:color w:val="auto"/>
              </w:rPr>
            </w:pPr>
          </w:p>
        </w:tc>
        <w:tc>
          <w:tcPr>
            <w:tcW w:w="73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FHMLS IX, L.L.C., its general partner</w:t>
            </w:r>
          </w:p>
        </w:tc>
      </w:tr>
      <w:tr>
        <w:trPr>
          <w:trHeight w:val="432"/>
        </w:trPr>
        <w:tc>
          <w:tcPr>
            <w:tcW w:w="3700" w:type="dxa"/>
            <w:vAlign w:val="bottom"/>
          </w:tcPr>
          <w:p>
            <w:pPr>
              <w:spacing w:after="0"/>
              <w:rPr>
                <w:sz w:val="24"/>
                <w:szCs w:val="24"/>
                <w:color w:val="auto"/>
              </w:rPr>
            </w:pPr>
          </w:p>
        </w:tc>
        <w:tc>
          <w:tcPr>
            <w:tcW w:w="24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 R. Bailey</w:t>
            </w:r>
          </w:p>
        </w:tc>
      </w:tr>
      <w:tr>
        <w:trPr>
          <w:trHeight w:val="228"/>
        </w:trPr>
        <w:tc>
          <w:tcPr>
            <w:tcW w:w="37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40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2024</w:t>
            </w:r>
          </w:p>
        </w:tc>
        <w:tc>
          <w:tcPr>
            <w:tcW w:w="73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FHMLS IX, L.P.</w:t>
            </w:r>
          </w:p>
        </w:tc>
      </w:tr>
      <w:tr>
        <w:trPr>
          <w:trHeight w:val="234"/>
        </w:trPr>
        <w:tc>
          <w:tcPr>
            <w:tcW w:w="3700" w:type="dxa"/>
            <w:vAlign w:val="bottom"/>
          </w:tcPr>
          <w:p>
            <w:pPr>
              <w:spacing w:after="0"/>
              <w:rPr>
                <w:sz w:val="20"/>
                <w:szCs w:val="20"/>
                <w:color w:val="auto"/>
              </w:rPr>
            </w:pPr>
          </w:p>
        </w:tc>
        <w:tc>
          <w:tcPr>
            <w:tcW w:w="73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FHMLS IX, L.L.C., its general partner</w:t>
            </w:r>
          </w:p>
        </w:tc>
      </w:tr>
      <w:tr>
        <w:trPr>
          <w:trHeight w:val="432"/>
        </w:trPr>
        <w:tc>
          <w:tcPr>
            <w:tcW w:w="3700" w:type="dxa"/>
            <w:vAlign w:val="bottom"/>
          </w:tcPr>
          <w:p>
            <w:pPr>
              <w:spacing w:after="0"/>
              <w:rPr>
                <w:sz w:val="24"/>
                <w:szCs w:val="24"/>
                <w:color w:val="auto"/>
              </w:rPr>
            </w:pPr>
          </w:p>
        </w:tc>
        <w:tc>
          <w:tcPr>
            <w:tcW w:w="24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 R. Bailey</w:t>
            </w:r>
          </w:p>
        </w:tc>
      </w:tr>
      <w:tr>
        <w:trPr>
          <w:trHeight w:val="228"/>
        </w:trPr>
        <w:tc>
          <w:tcPr>
            <w:tcW w:w="37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427"/>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2024</w:t>
            </w:r>
          </w:p>
        </w:tc>
        <w:tc>
          <w:tcPr>
            <w:tcW w:w="73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FHMLS IX, L.L.C.</w:t>
            </w:r>
          </w:p>
        </w:tc>
      </w:tr>
      <w:tr>
        <w:trPr>
          <w:trHeight w:val="432"/>
        </w:trPr>
        <w:tc>
          <w:tcPr>
            <w:tcW w:w="3700" w:type="dxa"/>
            <w:vAlign w:val="bottom"/>
          </w:tcPr>
          <w:p>
            <w:pPr>
              <w:spacing w:after="0"/>
              <w:rPr>
                <w:sz w:val="24"/>
                <w:szCs w:val="24"/>
                <w:color w:val="auto"/>
              </w:rPr>
            </w:pPr>
          </w:p>
        </w:tc>
        <w:tc>
          <w:tcPr>
            <w:tcW w:w="24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 R. Bailey</w:t>
            </w:r>
          </w:p>
        </w:tc>
      </w:tr>
      <w:tr>
        <w:trPr>
          <w:trHeight w:val="228"/>
        </w:trPr>
        <w:tc>
          <w:tcPr>
            <w:tcW w:w="37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427"/>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2024</w:t>
            </w:r>
          </w:p>
        </w:tc>
        <w:tc>
          <w:tcPr>
            <w:tcW w:w="24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7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James Topper</w:t>
            </w:r>
          </w:p>
        </w:tc>
      </w:tr>
      <w:tr>
        <w:trPr>
          <w:trHeight w:val="427"/>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2024</w:t>
            </w:r>
          </w:p>
        </w:tc>
        <w:tc>
          <w:tcPr>
            <w:tcW w:w="24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7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Patrick Heron</w:t>
            </w:r>
          </w:p>
        </w:tc>
      </w:tr>
      <w:tr>
        <w:trPr>
          <w:trHeight w:val="427"/>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2024</w:t>
            </w:r>
          </w:p>
        </w:tc>
        <w:tc>
          <w:tcPr>
            <w:tcW w:w="24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 R. Bailey</w:t>
            </w:r>
          </w:p>
        </w:tc>
      </w:tr>
      <w:tr>
        <w:trPr>
          <w:trHeight w:val="228"/>
        </w:trPr>
        <w:tc>
          <w:tcPr>
            <w:tcW w:w="37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Steve R. Bailey, as Attorney-in-Fact</w:t>
            </w:r>
          </w:p>
        </w:tc>
      </w:tr>
    </w:tbl>
    <w:p>
      <w:pPr>
        <w:spacing w:after="0" w:line="220" w:lineRule="exact"/>
        <w:rPr>
          <w:sz w:val="20"/>
          <w:szCs w:val="20"/>
          <w:color w:val="auto"/>
        </w:rPr>
      </w:pPr>
    </w:p>
    <w:p>
      <w:pPr>
        <w:ind w:left="424" w:right="180" w:hanging="424"/>
        <w:spacing w:after="0" w:line="282" w:lineRule="auto"/>
        <w:tabs>
          <w:tab w:leader="none" w:pos="4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was executed by Steve R. Bailey on behalf of the individuals listed above pursuant to a Power of Attorney, a copy of which was filed with the SEC on July 31, 2017.</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
      <w:numFmt w:val="bullet"/>
      <w:start w:val="1"/>
    </w:lvl>
    <w:lvl w:ilvl="1">
      <w:lvlJc w:val="left"/>
      <w:lvlText w:val=" "/>
      <w:numFmt w:val="bullet"/>
      <w:start w:val="1"/>
    </w:lvl>
  </w:abstractNum>
  <w:abstractNum w:abstractNumId="4">
    <w:nsid w:val="62BBD95A"/>
    <w:multiLevelType w:val="hybridMultilevel"/>
    <w:lvl w:ilvl="0">
      <w:lvlJc w:val="left"/>
      <w:lvlText w:val=" "/>
      <w:numFmt w:val="bullet"/>
      <w:start w:val="1"/>
    </w:lvl>
  </w:abstractNum>
  <w:abstractNum w:abstractNumId="5">
    <w:nsid w:val="436C6125"/>
    <w:multiLevelType w:val="hybridMultilevel"/>
    <w:lvl w:ilvl="0">
      <w:lvlJc w:val="left"/>
      <w:lvlText w:val=" "/>
      <w:numFmt w:val="bullet"/>
      <w:start w:val="1"/>
    </w:lvl>
  </w:abstractNum>
  <w:abstractNum w:abstractNumId="6">
    <w:nsid w:val="628C895D"/>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7">
    <w:nsid w:val="333AB105"/>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8">
    <w:nsid w:val="721DA317"/>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9">
    <w:nsid w:val="2443A858"/>
    <w:multiLevelType w:val="hybridMultilevel"/>
    <w:lvl w:ilvl="0">
      <w:lvlJc w:val="left"/>
      <w:lvlText w:val=" "/>
      <w:numFmt w:val="bullet"/>
      <w:start w:val="1"/>
    </w:lvl>
    <w:lvl w:ilvl="1">
      <w:lvlJc w:val="left"/>
      <w:lvlText w:val=" "/>
      <w:numFmt w:val="bullet"/>
      <w:start w:val="1"/>
    </w:lvl>
  </w:abstractNum>
  <w:abstractNum w:abstractNumId="10">
    <w:nsid w:val="2D1D5AE9"/>
    <w:multiLevelType w:val="hybridMultilevel"/>
    <w:lvl w:ilvl="0">
      <w:lvlJc w:val="left"/>
      <w:lvlText w:val=" "/>
      <w:numFmt w:val="bullet"/>
      <w:start w:val="1"/>
    </w:lvl>
  </w:abstractNum>
  <w:abstractNum w:abstractNumId="11">
    <w:nsid w:val="6763845E"/>
    <w:multiLevelType w:val="hybridMultilevel"/>
    <w:lvl w:ilvl="0">
      <w:lvlJc w:val="left"/>
      <w:lvlText w:val=" "/>
      <w:numFmt w:val="bullet"/>
      <w:start w:val="1"/>
    </w:lvl>
  </w:abstractNum>
  <w:abstractNum w:abstractNumId="12">
    <w:nsid w:val="75A2A8D4"/>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3">
    <w:nsid w:val="8EDBDAB"/>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14">
    <w:nsid w:val="79838CB2"/>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15">
    <w:nsid w:val="4353D0CD"/>
    <w:multiLevelType w:val="hybridMultilevel"/>
    <w:lvl w:ilvl="0">
      <w:lvlJc w:val="left"/>
      <w:lvlText w:val=" "/>
      <w:numFmt w:val="bullet"/>
      <w:start w:val="1"/>
    </w:lvl>
    <w:lvl w:ilvl="1">
      <w:lvlJc w:val="left"/>
      <w:lvlText w:val=" "/>
      <w:numFmt w:val="bullet"/>
      <w:start w:val="1"/>
    </w:lvl>
  </w:abstractNum>
  <w:abstractNum w:abstractNumId="16">
    <w:nsid w:val="B03E0C6"/>
    <w:multiLevelType w:val="hybridMultilevel"/>
    <w:lvl w:ilvl="0">
      <w:lvlJc w:val="left"/>
      <w:lvlText w:val=" "/>
      <w:numFmt w:val="bullet"/>
      <w:start w:val="1"/>
    </w:lvl>
  </w:abstractNum>
  <w:abstractNum w:abstractNumId="17">
    <w:nsid w:val="189A769B"/>
    <w:multiLevelType w:val="hybridMultilevel"/>
    <w:lvl w:ilvl="0">
      <w:lvlJc w:val="left"/>
      <w:lvlText w:val=" "/>
      <w:numFmt w:val="bullet"/>
      <w:start w:val="1"/>
    </w:lvl>
  </w:abstractNum>
  <w:abstractNum w:abstractNumId="18">
    <w:nsid w:val="54E49EB4"/>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9">
    <w:nsid w:val="71F32454"/>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20">
    <w:nsid w:val="2CA88611"/>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21">
    <w:nsid w:val="836C40E"/>
    <w:multiLevelType w:val="hybridMultilevel"/>
    <w:lvl w:ilvl="0">
      <w:lvlJc w:val="left"/>
      <w:lvlText w:val=" "/>
      <w:numFmt w:val="bullet"/>
      <w:start w:val="1"/>
    </w:lvl>
    <w:lvl w:ilvl="1">
      <w:lvlJc w:val="left"/>
      <w:lvlText w:val=" "/>
      <w:numFmt w:val="bullet"/>
      <w:start w:val="1"/>
    </w:lvl>
  </w:abstractNum>
  <w:abstractNum w:abstractNumId="22">
    <w:nsid w:val="2901D82"/>
    <w:multiLevelType w:val="hybridMultilevel"/>
    <w:lvl w:ilvl="0">
      <w:lvlJc w:val="left"/>
      <w:lvlText w:val=" "/>
      <w:numFmt w:val="bullet"/>
      <w:start w:val="1"/>
    </w:lvl>
  </w:abstractNum>
  <w:abstractNum w:abstractNumId="23">
    <w:nsid w:val="3A95F874"/>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4">
    <w:nsid w:val="8138641"/>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25">
    <w:nsid w:val="1E7FF521"/>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26">
    <w:nsid w:val="7C3DBD3D"/>
    <w:multiLevelType w:val="hybridMultilevel"/>
    <w:lvl w:ilvl="0">
      <w:lvlJc w:val="left"/>
      <w:lvlText w:val=" "/>
      <w:numFmt w:val="bullet"/>
      <w:start w:val="1"/>
    </w:lvl>
    <w:lvl w:ilvl="1">
      <w:lvlJc w:val="left"/>
      <w:lvlText w:val=" "/>
      <w:numFmt w:val="bullet"/>
      <w:start w:val="1"/>
    </w:lvl>
  </w:abstractNum>
  <w:abstractNum w:abstractNumId="27">
    <w:nsid w:val="737B8DDC"/>
    <w:multiLevelType w:val="hybridMultilevel"/>
    <w:lvl w:ilvl="0">
      <w:lvlJc w:val="left"/>
      <w:lvlText w:val=" "/>
      <w:numFmt w:val="bullet"/>
      <w:start w:val="1"/>
    </w:lvl>
  </w:abstractNum>
  <w:abstractNum w:abstractNumId="28">
    <w:nsid w:val="6CEAF087"/>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9">
    <w:nsid w:val="22221A70"/>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30">
    <w:nsid w:val="4516DDE9"/>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31">
    <w:nsid w:val="3006C83E"/>
    <w:multiLevelType w:val="hybridMultilevel"/>
    <w:lvl w:ilvl="0">
      <w:lvlJc w:val="left"/>
      <w:lvlText w:val="(%1)"/>
      <w:numFmt w:val="lowerLetter"/>
      <w:start w:val="1"/>
    </w:lvl>
  </w:abstractNum>
  <w:abstractNum w:abstractNumId="32">
    <w:nsid w:val="614FD4A1"/>
    <w:multiLevelType w:val="hybridMultilevel"/>
    <w:lvl w:ilvl="0">
      <w:lvlJc w:val="left"/>
      <w:lvlText w:val="(%1)"/>
      <w:numFmt w:val="lowerLetter"/>
      <w:start w:val="1"/>
    </w:lvl>
    <w:lvl w:ilvl="1">
      <w:lvlJc w:val="left"/>
      <w:lvlText w:val="(%2)"/>
      <w:numFmt w:val="lowerRoman"/>
      <w:start w:val="1"/>
    </w:lvl>
  </w:abstractNum>
  <w:abstractNum w:abstractNumId="33">
    <w:nsid w:val="419AC241"/>
    <w:multiLevelType w:val="hybridMultilevel"/>
    <w:lvl w:ilvl="0">
      <w:lvlJc w:val="left"/>
      <w:lvlText w:val="*"/>
      <w:numFmt w:val="bullet"/>
      <w:start w:val="1"/>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2024-11-06T09:34:19Z</dcterms:created>
  <dcterms:modified xsi:type="dcterms:W3CDTF">2024-11-06T09:34:19Z</dcterms:modified>
</cp:coreProperties>
</file>