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-13970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574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17145</wp:posOffset>
            </wp:positionV>
            <wp:extent cx="7019290" cy="334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6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7"/>
          <w:szCs w:val="17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Morrison Scott W</w:t>
        </w:r>
      </w:hyperlink>
    </w:p>
    <w:p>
      <w:pPr>
        <w:spacing w:after="0" w:line="23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15440 LAGUNA CANYON ROAD, SUITE 160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6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IRVINE</w:t>
            </w:r>
          </w:p>
        </w:tc>
        <w:tc>
          <w:tcPr>
            <w:tcW w:w="11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92673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0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Tarsus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09/15/2023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6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09/15/2023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1,333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1,333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 Stock Units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09/15/2023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1,333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1,333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2,667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1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6"/>
              </w:rPr>
              <w:t>1. The shares were issued pursuant to settlement of vested Restricted Stock Units ("RSUs"). Each RSU represents a contingent right to receive one share of the Company's common stock.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2. The RSUs vest in three equal annual installments on September 15th of 2023, 2024, and 2025, subject to the Reporting Person's continuous service.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/s/ Jeffrey Farrow,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09/19/2023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6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2426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2023-09-19T15:36:11Z</dcterms:created>
  <dcterms:modified xsi:type="dcterms:W3CDTF">2023-09-19T15:36:11Z</dcterms:modified>
</cp:coreProperties>
</file>