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180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08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Vivo Capital IX,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05/02/2022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gridSpan w:val="4"/>
            <w:vMerge w:val="continue"/>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80" w:type="dxa"/>
            <w:vAlign w:val="bottom"/>
            <w:gridSpan w:val="8"/>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05/02/2022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41,800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15.19</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2,945,531</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05/03/2022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451,418</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2,494,113</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05/04/2022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19,738</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12.67</w:t>
            </w:r>
            <w:r>
              <w:rPr>
                <w:rFonts w:ascii="Times New Roman" w:cs="Times New Roman" w:eastAsia="Times New Roman" w:hAnsi="Times New Roman"/>
                <w:sz w:val="22"/>
                <w:szCs w:val="22"/>
                <w:color w:val="008000"/>
                <w:vertAlign w:val="superscript"/>
              </w:rPr>
              <w:t>(3)</w:t>
            </w: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2,474,375</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Vivo Capital IX,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5"/>
          </w:tcPr>
          <w:p>
            <w:pPr>
              <w:spacing w:after="0" w:line="22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Vivo Capital Fund IX,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herein is a weighted average price. These shares were sold in multiple transactions at prices ranging from $14.75 to $15.92,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herein is a weighted average price. These shares were sold in multiple transactions at prices ranging from $13.05 to $13.89,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herein is a weighted average price. These shares were sold in multiple transactions at prices ranging from $ 12.25 to $13.00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Vivo Capital Fund IX, L.P. Vivo Capital IX, LLC is the general partner of Vivo Capital Fund IX, L.P. As the managing members of Vivo Capital IX, LLC, Frank Kung, Edgar Engleman, Shan Fu, Hongbo Lu, Jack Nielsen, Mahendra Shah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0760"/>
          </w:cols>
          <w:pgMar w:left="500" w:top="127" w:right="6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0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5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020"/>
          </w:cols>
          <w:pgMar w:left="500" w:top="127" w:right="6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750698"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2022-05-04T19:11:51Z</dcterms:created>
  <dcterms:modified xsi:type="dcterms:W3CDTF">2022-05-04T19:11:51Z</dcterms:modified>
</cp:coreProperties>
</file>