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240" w:after="283"/>
        <w:jc w:val="center"/>
        <w:rPr>
          <w:rFonts w:ascii="Times New Roman;sans-serif" w:hAnsi="Times New Roman;sans-serif"/>
          <w:b/>
          <w:color w:val="231F20"/>
          <w:sz w:val="22"/>
        </w:rPr>
      </w:pPr>
      <w:r>
        <w:rPr>
          <w:rFonts w:ascii="Times New Roman;sans-serif" w:hAnsi="Times New Roman;sans-serif"/>
          <w:b/>
          <w:color w:val="231F20"/>
          <w:sz w:val="22"/>
        </w:rPr>
        <w:t>CURRENT REPORT</w:t>
      </w:r>
    </w:p>
    <w:p>
      <w:pPr>
        <w:pStyle w:val="TextBody"/>
        <w:bidi w:val="0"/>
        <w:spacing w:lineRule="auto" w:line="288" w:before="0" w:after="0"/>
        <w:jc w:val="center"/>
        <w:rPr>
          <w:rFonts w:ascii="Times New Roman;sans-serif" w:hAnsi="Times New Roman;sans-serif"/>
          <w:b/>
          <w:color w:val="231F20"/>
          <w:sz w:val="22"/>
        </w:rPr>
      </w:pPr>
      <w:r>
        <w:rPr>
          <w:rFonts w:ascii="Times New Roman;sans-serif" w:hAnsi="Times New Roman;sans-serif"/>
          <w:b/>
          <w:color w:val="231F20"/>
          <w:sz w:val="22"/>
        </w:rPr>
        <w:t>Pursuant to Section 13 OR 15(d) of The Securities Exchange Act of 1934</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June 12, 2025</w:t>
      </w:r>
    </w:p>
    <w:p>
      <w:pPr>
        <w:pStyle w:val="TextBody"/>
        <w:bidi w:val="0"/>
        <w:spacing w:lineRule="auto" w:line="276"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p>
      <w:pPr>
        <w:pStyle w:val="TextBody"/>
        <w:bidi w:val="0"/>
        <w:spacing w:lineRule="auto" w:line="288" w:before="240" w:after="283"/>
        <w:jc w:val="center"/>
        <w:rPr>
          <w:rFonts w:ascii="Times New Roman;sans-serif" w:hAnsi="Times New Roman;sans-serif"/>
          <w:b/>
          <w:color w:val="000000"/>
          <w:sz w:val="44"/>
        </w:rPr>
      </w:pPr>
      <w:r>
        <w:rPr>
          <w:rFonts w:ascii="Times New Roman;sans-serif" w:hAnsi="Times New Roman;sans-serif"/>
          <w:b/>
          <w:color w:val="000000"/>
          <w:sz w:val="44"/>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ans-serif" w:hAnsi="Times New Roman;sans-serif"/>
                <w:b/>
                <w:color w:val="000000"/>
                <w:sz w:val="18"/>
              </w:rPr>
            </w:pPr>
            <w:r>
              <w:rPr>
                <w:rFonts w:ascii="Times New Roman;sans-serif" w:hAnsi="Times New Roman;sans-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231F20"/>
          <w:sz w:val="20"/>
        </w:rPr>
      </w:pPr>
      <w:r>
        <w:rPr>
          <w:rFonts w:ascii="Times New Roman;sans-serif" w:hAnsi="Times New Roman;sans-serif"/>
          <w:b/>
          <w:color w:val="231F20"/>
          <w:sz w:val="20"/>
        </w:rPr>
        <w:t>15440 Laguna Canyon Road, Suite 160</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Irvine, CA 92618</w:t>
      </w:r>
    </w:p>
    <w:p>
      <w:pPr>
        <w:pStyle w:val="TextBody"/>
        <w:bidi w:val="0"/>
        <w:spacing w:lineRule="auto" w:line="288" w:before="0" w:after="0"/>
        <w:jc w:val="center"/>
        <w:rPr>
          <w:rFonts w:ascii="Times New Roman;sans-serif" w:hAnsi="Times New Roman;sans-serif"/>
          <w:b/>
          <w:color w:val="231F20"/>
          <w:sz w:val="14"/>
        </w:rPr>
      </w:pPr>
      <w:r>
        <w:rPr>
          <w:rFonts w:ascii="Times New Roman;sans-serif" w:hAnsi="Times New Roman;sans-serif"/>
          <w:b/>
          <w:color w:val="231F20"/>
          <w:sz w:val="14"/>
        </w:rPr>
        <w:t>(Address of principal executive offices, including Zip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(949) 418-1801</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Pre-commencement communications pursuant to Rule 13e-4(c) under the Exchange Act (17 CFR 240.13e-4(c))</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TARS</w:t>
            </w:r>
          </w:p>
        </w:tc>
        <w:tc>
          <w:tcPr>
            <w:tcW w:w="3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240" w:after="283"/>
        <w:jc w:val="left"/>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ans-serif" w:hAnsi="Times New Roman;sans-serif"/>
          <w:b w:val="false"/>
          <w:color w:val="231F20"/>
          <w:sz w:val="20"/>
        </w:rPr>
        <w:t xml:space="preserve">Emerging growth company </w:t>
      </w:r>
      <w:r>
        <w:rPr>
          <w:color w:val="00000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 xml:space="preserve">Item 5.07. </w:t>
      </w:r>
      <w:r>
        <w:rPr>
          <w:rFonts w:ascii="Times New Roman;sans-serif" w:hAnsi="Times New Roman;sans-serif"/>
          <w:b/>
          <w:color w:val="000000"/>
          <w:sz w:val="18"/>
        </w:rPr>
        <w:t>Submission of Matters to a Vote of Security Holders.</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 June 12, 2025, Tarsus Pharmaceuticals, Inc. (the “Company”) held its Annual Meeting of Stockholders (the “Annual Meeting”). The Company filed its definitive proxy statement for the proposals voted upon at the Annual Meeting with the Securities and Exchange Commission on April 28, 2025 (the “Proxy Statement”).</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At the close of business on April 14, 2025, the record date of the Annual Meeting, the Company had 42,007,037 shares of common stock outstanding and entitled to vote. The holders of a total of 34,851,820 shares of common stock were present at the Annual Meeting, either in person or by proxy, which total constituted a quorum of the issued and outstanding shares on the record date of the Annual Meeting.</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proposals were submitted to the Company’s stockholders at the Annual Meeting:</w:t>
      </w:r>
    </w:p>
    <w:p>
      <w:pPr>
        <w:pStyle w:val="TextBody"/>
        <w:bidi w:val="0"/>
        <w:spacing w:lineRule="auto" w:line="288" w:before="200" w:after="283"/>
        <w:ind w:left="0" w:right="0" w:firstLine="250"/>
        <w:jc w:val="left"/>
        <w:rPr>
          <w:rFonts w:ascii="Times New Roman;sans-serif" w:hAnsi="Times New Roman;sans-serif"/>
          <w:b w:val="false"/>
          <w:color w:val="000000"/>
          <w:sz w:val="18"/>
        </w:rPr>
      </w:pPr>
      <w:r>
        <w:rPr>
          <w:rFonts w:ascii="Times New Roman;sans-serif" w:hAnsi="Times New Roman;sans-serif"/>
          <w:b w:val="false"/>
          <w:color w:val="000000"/>
          <w:sz w:val="18"/>
        </w:rPr>
        <w:t>1. The election of two nominees as Class II directors to serve until the Company’s 2028 annual meeting of stockholders.</w:t>
      </w:r>
    </w:p>
    <w:p>
      <w:pPr>
        <w:pStyle w:val="TextBody"/>
        <w:bidi w:val="0"/>
        <w:spacing w:lineRule="auto" w:line="288" w:before="200" w:after="283"/>
        <w:ind w:left="0" w:right="0" w:firstLine="250"/>
        <w:jc w:val="left"/>
        <w:rPr>
          <w:rFonts w:ascii="Times New Roman;sans-serif" w:hAnsi="Times New Roman;sans-serif"/>
          <w:b w:val="false"/>
          <w:color w:val="000000"/>
          <w:sz w:val="18"/>
        </w:rPr>
      </w:pPr>
      <w:r>
        <w:rPr>
          <w:rFonts w:ascii="Times New Roman;sans-serif" w:hAnsi="Times New Roman;sans-serif"/>
          <w:b w:val="false"/>
          <w:color w:val="000000"/>
          <w:sz w:val="18"/>
        </w:rPr>
        <w:t>2. An advisory vote to approve, on a non-binding basis, the Company’s named executive offer compensation.</w:t>
      </w:r>
    </w:p>
    <w:p>
      <w:pPr>
        <w:pStyle w:val="TextBody"/>
        <w:bidi w:val="0"/>
        <w:spacing w:lineRule="auto" w:line="288" w:before="200" w:after="283"/>
        <w:ind w:left="0" w:right="0" w:firstLine="2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 An advisory vote to approve, on a non-binding basis, the frequency with which future stockholder votes on the compensation of the </w:t>
      </w:r>
    </w:p>
    <w:p>
      <w:pPr>
        <w:pStyle w:val="TextBody"/>
        <w:bidi w:val="0"/>
        <w:spacing w:lineRule="auto" w:line="288" w:before="0" w:after="0"/>
        <w:ind w:left="0" w:right="0" w:firstLine="250"/>
        <w:jc w:val="left"/>
        <w:rPr>
          <w:rFonts w:ascii="Times New Roman;sans-serif" w:hAnsi="Times New Roman;sans-serif"/>
          <w:b w:val="false"/>
          <w:color w:val="000000"/>
          <w:sz w:val="18"/>
        </w:rPr>
      </w:pPr>
      <w:r>
        <w:rPr>
          <w:rFonts w:ascii="Times New Roman;sans-serif" w:hAnsi="Times New Roman;sans-serif"/>
          <w:b w:val="false"/>
          <w:color w:val="000000"/>
          <w:sz w:val="18"/>
        </w:rPr>
        <w:t>Company’s named executive officers will be conducted of one, two or three years.</w:t>
      </w:r>
    </w:p>
    <w:p>
      <w:pPr>
        <w:pStyle w:val="TextBody"/>
        <w:bidi w:val="0"/>
        <w:spacing w:lineRule="auto" w:line="288" w:before="200" w:after="283"/>
        <w:ind w:left="0" w:right="0" w:firstLine="2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 The ratification of the appointment of Ernst &amp; Young LLP as the Company’s independent registered public accounting firm for the </w:t>
      </w:r>
    </w:p>
    <w:p>
      <w:pPr>
        <w:pStyle w:val="TextBody"/>
        <w:bidi w:val="0"/>
        <w:spacing w:lineRule="auto" w:line="288" w:before="0" w:after="0"/>
        <w:ind w:left="0" w:right="0" w:firstLine="250"/>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ending December 31, 2025.</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votes cast for and against or withheld and the number of abstentions and broker non-votes with respect to each matter voted upon, as applicable, are set forth below:</w:t>
      </w:r>
    </w:p>
    <w:p>
      <w:pPr>
        <w:pStyle w:val="TextBody"/>
        <w:bidi w:val="0"/>
        <w:spacing w:lineRule="auto" w:line="288" w:before="200" w:after="283"/>
        <w:ind w:left="0" w:right="0" w:firstLine="250"/>
        <w:jc w:val="left"/>
        <w:rPr/>
      </w:pPr>
      <w:r>
        <w:rPr>
          <w:rFonts w:ascii="Times New Roman;sans-serif" w:hAnsi="Times New Roman;sans-serif"/>
          <w:b/>
          <w:color w:val="000000"/>
          <w:sz w:val="18"/>
        </w:rPr>
        <w:t xml:space="preserve">1. </w:t>
      </w:r>
      <w:r>
        <w:rPr>
          <w:rFonts w:ascii="Times New Roman;sans-serif" w:hAnsi="Times New Roman;sans-serif"/>
          <w:b/>
          <w:i/>
          <w:color w:val="000000"/>
          <w:sz w:val="18"/>
        </w:rPr>
        <w:t>Board of Directors Election Results</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nominees were elected to serve as Class II directors for a term that will continue until the 2028 annual meeting of stockholders or until their respective successors have been duly elected and qualified. The number of votes cast regarding each nominee were as follows:</w:t>
      </w:r>
    </w:p>
    <w:tbl>
      <w:tblPr>
        <w:tblW w:w="8023" w:type="dxa"/>
        <w:jc w:val="left"/>
        <w:tblInd w:w="0" w:type="dxa"/>
        <w:tblLayout w:type="fixed"/>
        <w:tblCellMar>
          <w:top w:w="28" w:type="dxa"/>
          <w:left w:w="28" w:type="dxa"/>
          <w:bottom w:w="28" w:type="dxa"/>
          <w:right w:w="28" w:type="dxa"/>
        </w:tblCellMar>
      </w:tblPr>
      <w:tblGrid>
        <w:gridCol w:w="906"/>
        <w:gridCol w:w="796"/>
        <w:gridCol w:w="803"/>
        <w:gridCol w:w="159"/>
        <w:gridCol w:w="159"/>
        <w:gridCol w:w="159"/>
        <w:gridCol w:w="109"/>
        <w:gridCol w:w="109"/>
        <w:gridCol w:w="109"/>
        <w:gridCol w:w="305"/>
        <w:gridCol w:w="305"/>
        <w:gridCol w:w="306"/>
        <w:gridCol w:w="112"/>
        <w:gridCol w:w="112"/>
        <w:gridCol w:w="112"/>
        <w:gridCol w:w="109"/>
        <w:gridCol w:w="109"/>
        <w:gridCol w:w="109"/>
        <w:gridCol w:w="275"/>
        <w:gridCol w:w="275"/>
        <w:gridCol w:w="276"/>
        <w:gridCol w:w="169"/>
        <w:gridCol w:w="169"/>
        <w:gridCol w:w="171"/>
        <w:gridCol w:w="109"/>
        <w:gridCol w:w="109"/>
        <w:gridCol w:w="109"/>
        <w:gridCol w:w="275"/>
        <w:gridCol w:w="275"/>
        <w:gridCol w:w="276"/>
        <w:gridCol w:w="188"/>
        <w:gridCol w:w="188"/>
        <w:gridCol w:w="271"/>
      </w:tblGrid>
      <w:tr>
        <w:trPr/>
        <w:tc>
          <w:tcPr>
            <w:tcW w:w="90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4"/>
              </w:rPr>
            </w:pPr>
            <w:r>
              <w:rPr>
                <w:rFonts w:ascii="Times New Roman;sans-serif" w:hAnsi="Times New Roman;sans-serif"/>
                <w:b/>
                <w:color w:val="000000"/>
                <w:sz w:val="14"/>
              </w:rPr>
              <w:t>Director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Votes 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Broker Non-Votes</w:t>
            </w:r>
          </w:p>
        </w:tc>
      </w:tr>
      <w:tr>
        <w:trPr/>
        <w:tc>
          <w:tcPr>
            <w:tcW w:w="2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Bobak Azamian, M.D., Ph.D.</w:t>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20,770,139</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6,796,180</w:t>
            </w:r>
          </w:p>
        </w:tc>
        <w:tc>
          <w:tcPr>
            <w:tcW w:w="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7,285,501</w:t>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Katherine Goodrich, M.D., MHS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26,837,786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728,533</w:t>
            </w:r>
          </w:p>
        </w:tc>
        <w:tc>
          <w:tcPr>
            <w:tcW w:w="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7,285,501</w:t>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directors, in addition to Dr. Azamian and Dr. Goodrich, will continue to serve as members of our Board of Directors (“Board”) until the expiration of their respective terms or until their respective successors have been duly elected and qualified: Bhaskar Chaudhuri, Ph.D., Andrew Goldberg, M.D., William Link, Ph.D., Scott Morrison, and Wendy Yarno, MBA.</w:t>
      </w:r>
    </w:p>
    <w:p>
      <w:pPr>
        <w:pStyle w:val="TextBody"/>
        <w:bidi w:val="0"/>
        <w:spacing w:lineRule="auto" w:line="288" w:before="200" w:after="283"/>
        <w:ind w:left="0" w:right="0" w:firstLine="250"/>
        <w:jc w:val="left"/>
        <w:rPr/>
      </w:pPr>
      <w:r>
        <w:rPr>
          <w:rFonts w:ascii="Times New Roman;sans-serif" w:hAnsi="Times New Roman;sans-serif"/>
          <w:b/>
          <w:color w:val="000000"/>
          <w:sz w:val="18"/>
        </w:rPr>
        <w:t xml:space="preserve">2. </w:t>
      </w:r>
      <w:r>
        <w:rPr>
          <w:rFonts w:ascii="Times New Roman;sans-serif" w:hAnsi="Times New Roman;sans-serif"/>
          <w:b/>
          <w:i/>
          <w:color w:val="000000"/>
          <w:sz w:val="18"/>
        </w:rPr>
        <w:t>Advisory Vote on Named Executive Officer Compensation</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Our stockholders approved, on an advisory, non-binding basis, the compensation paid to the Company’s named executive officers as disclosed in the Proxy Statement. The number of votes cast regarding the proposal were as follows:</w:t>
      </w:r>
    </w:p>
    <w:tbl>
      <w:tblPr>
        <w:tblW w:w="4329" w:type="dxa"/>
        <w:jc w:val="left"/>
        <w:tblInd w:w="0" w:type="dxa"/>
        <w:tblLayout w:type="fixed"/>
        <w:tblCellMar>
          <w:top w:w="28" w:type="dxa"/>
          <w:left w:w="28" w:type="dxa"/>
          <w:bottom w:w="28" w:type="dxa"/>
          <w:right w:w="28" w:type="dxa"/>
        </w:tblCellMar>
      </w:tblPr>
      <w:tblGrid>
        <w:gridCol w:w="336"/>
        <w:gridCol w:w="295"/>
        <w:gridCol w:w="300"/>
        <w:gridCol w:w="109"/>
        <w:gridCol w:w="109"/>
        <w:gridCol w:w="109"/>
        <w:gridCol w:w="309"/>
        <w:gridCol w:w="309"/>
        <w:gridCol w:w="311"/>
        <w:gridCol w:w="109"/>
        <w:gridCol w:w="109"/>
        <w:gridCol w:w="109"/>
        <w:gridCol w:w="199"/>
        <w:gridCol w:w="199"/>
        <w:gridCol w:w="203"/>
        <w:gridCol w:w="355"/>
        <w:gridCol w:w="355"/>
        <w:gridCol w:w="50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Abstain</w:t>
            </w:r>
          </w:p>
        </w:tc>
        <w:tc>
          <w:tcPr>
            <w:tcW w:w="12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Broker Non-Votes</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27,132,839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416,845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16,635</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7,285,501</w:t>
            </w:r>
          </w:p>
        </w:tc>
      </w:tr>
    </w:tbl>
    <w:p>
      <w:pPr>
        <w:pStyle w:val="TextBody"/>
        <w:bidi w:val="0"/>
        <w:spacing w:lineRule="auto" w:line="288" w:before="200" w:after="283"/>
        <w:ind w:left="0" w:right="0" w:firstLine="250"/>
        <w:jc w:val="left"/>
        <w:rPr/>
      </w:pPr>
      <w:r>
        <w:rPr>
          <w:rFonts w:ascii="Times New Roman;sans-serif" w:hAnsi="Times New Roman;sans-serif"/>
          <w:b/>
          <w:color w:val="000000"/>
          <w:sz w:val="18"/>
        </w:rPr>
        <w:t xml:space="preserve">3. </w:t>
      </w:r>
      <w:r>
        <w:rPr>
          <w:rFonts w:ascii="Times New Roman;sans-serif" w:hAnsi="Times New Roman;sans-serif"/>
          <w:b/>
          <w:i/>
          <w:color w:val="000000"/>
          <w:sz w:val="18"/>
        </w:rPr>
        <w:t>Advisory Vote on Frequency of Advisory Vote on Named Executive Officer Compensation</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Our stockholders approved, on an advisory, non-binding basis, conducting, on an every 1 year frequency, future stockholder votes on the compensation of our named executive officers. The number of votes cast regarding the proposal were as follows:</w:t>
      </w:r>
    </w:p>
    <w:tbl>
      <w:tblPr>
        <w:tblW w:w="6998" w:type="dxa"/>
        <w:jc w:val="left"/>
        <w:tblInd w:w="0" w:type="dxa"/>
        <w:tblLayout w:type="fixed"/>
        <w:tblCellMar>
          <w:top w:w="28" w:type="dxa"/>
          <w:left w:w="28" w:type="dxa"/>
          <w:bottom w:w="28" w:type="dxa"/>
          <w:right w:w="28" w:type="dxa"/>
        </w:tblCellMar>
      </w:tblPr>
      <w:tblGrid>
        <w:gridCol w:w="542"/>
        <w:gridCol w:w="477"/>
        <w:gridCol w:w="480"/>
        <w:gridCol w:w="109"/>
        <w:gridCol w:w="109"/>
        <w:gridCol w:w="109"/>
        <w:gridCol w:w="514"/>
        <w:gridCol w:w="514"/>
        <w:gridCol w:w="517"/>
        <w:gridCol w:w="109"/>
        <w:gridCol w:w="109"/>
        <w:gridCol w:w="109"/>
        <w:gridCol w:w="504"/>
        <w:gridCol w:w="504"/>
        <w:gridCol w:w="507"/>
        <w:gridCol w:w="190"/>
        <w:gridCol w:w="190"/>
        <w:gridCol w:w="191"/>
        <w:gridCol w:w="355"/>
        <w:gridCol w:w="355"/>
        <w:gridCol w:w="504"/>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Votes For Every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Votes For Every 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Votes for Every 3 Years</w:t>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Abstain</w:t>
            </w:r>
          </w:p>
        </w:tc>
        <w:tc>
          <w:tcPr>
            <w:tcW w:w="12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Broker Non-Votes</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26,916,300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637,239</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9,404</w:t>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7,285,501</w:t>
            </w:r>
          </w:p>
        </w:tc>
      </w:tr>
    </w:tbl>
    <w:p>
      <w:pPr>
        <w:pStyle w:val="TextBody"/>
        <w:bidi w:val="0"/>
        <w:spacing w:lineRule="auto" w:line="288" w:before="200" w:after="283"/>
        <w:ind w:left="0" w:right="0" w:firstLine="250"/>
        <w:jc w:val="left"/>
        <w:rPr/>
      </w:pPr>
      <w:r>
        <w:rPr>
          <w:rFonts w:ascii="Times New Roman;sans-serif" w:hAnsi="Times New Roman;sans-serif"/>
          <w:b/>
          <w:color w:val="000000"/>
          <w:sz w:val="18"/>
        </w:rPr>
        <w:t xml:space="preserve">4. </w:t>
      </w:r>
      <w:r>
        <w:rPr>
          <w:rFonts w:ascii="Times New Roman;sans-serif" w:hAnsi="Times New Roman;sans-serif"/>
          <w:b/>
          <w:i/>
          <w:color w:val="000000"/>
          <w:sz w:val="18"/>
        </w:rPr>
        <w:t>Ratification of Ernst &amp; Young LLP as our independent registered public accounting firm</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Our stockholders approved the ratification of the appointment of Ernst &amp; Young LLP as our independent registered public accounting firm for the fiscal year ending December 31, 2025. The number of votes cast for and against and the number of abstentions for this proposal were as follows (there were no broker non-votes for this proposal):</w:t>
      </w:r>
    </w:p>
    <w:tbl>
      <w:tblPr>
        <w:tblW w:w="3130" w:type="dxa"/>
        <w:jc w:val="left"/>
        <w:tblInd w:w="0" w:type="dxa"/>
        <w:tblLayout w:type="fixed"/>
        <w:tblCellMar>
          <w:top w:w="28" w:type="dxa"/>
          <w:left w:w="28" w:type="dxa"/>
          <w:bottom w:w="28" w:type="dxa"/>
          <w:right w:w="28" w:type="dxa"/>
        </w:tblCellMar>
      </w:tblPr>
      <w:tblGrid>
        <w:gridCol w:w="336"/>
        <w:gridCol w:w="295"/>
        <w:gridCol w:w="300"/>
        <w:gridCol w:w="109"/>
        <w:gridCol w:w="109"/>
        <w:gridCol w:w="109"/>
        <w:gridCol w:w="309"/>
        <w:gridCol w:w="309"/>
        <w:gridCol w:w="311"/>
        <w:gridCol w:w="109"/>
        <w:gridCol w:w="109"/>
        <w:gridCol w:w="109"/>
        <w:gridCol w:w="180"/>
        <w:gridCol w:w="180"/>
        <w:gridCol w:w="256"/>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Votes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Votes 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Abstain</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34,718,262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7,803</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both"/>
        <w:rPr/>
      </w:pPr>
      <w:r>
        <w:rPr/>
      </w:r>
    </w:p>
    <w:tbl>
      <w:tblPr>
        <w:tblW w:w="6665" w:type="dxa"/>
        <w:jc w:val="left"/>
        <w:tblInd w:w="0" w:type="dxa"/>
        <w:tblLayout w:type="fixed"/>
        <w:tblCellMar>
          <w:top w:w="28" w:type="dxa"/>
          <w:left w:w="28" w:type="dxa"/>
          <w:bottom w:w="28" w:type="dxa"/>
          <w:right w:w="28" w:type="dxa"/>
        </w:tblCellMar>
      </w:tblPr>
      <w:tblGrid>
        <w:gridCol w:w="225"/>
        <w:gridCol w:w="197"/>
        <w:gridCol w:w="198"/>
        <w:gridCol w:w="414"/>
        <w:gridCol w:w="414"/>
        <w:gridCol w:w="417"/>
        <w:gridCol w:w="109"/>
        <w:gridCol w:w="109"/>
        <w:gridCol w:w="109"/>
        <w:gridCol w:w="109"/>
        <w:gridCol w:w="109"/>
        <w:gridCol w:w="109"/>
        <w:gridCol w:w="109"/>
        <w:gridCol w:w="109"/>
        <w:gridCol w:w="109"/>
        <w:gridCol w:w="109"/>
        <w:gridCol w:w="109"/>
        <w:gridCol w:w="109"/>
        <w:gridCol w:w="544"/>
        <w:gridCol w:w="544"/>
        <w:gridCol w:w="544"/>
        <w:gridCol w:w="544"/>
        <w:gridCol w:w="544"/>
        <w:gridCol w:w="772"/>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2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34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Bryan Wahl</w:t>
            </w:r>
          </w:p>
        </w:tc>
      </w:tr>
      <w:tr>
        <w:trPr/>
        <w:tc>
          <w:tcPr>
            <w:tcW w:w="21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4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Wahl</w:t>
            </w:r>
          </w:p>
        </w:tc>
      </w:tr>
      <w:tr>
        <w:trPr/>
        <w:tc>
          <w:tcPr>
            <w:tcW w:w="21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349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955</Words>
  <Characters>5226</Characters>
  <CharactersWithSpaces>6082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