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jc w:val="both"/>
        <w:ind w:left="320" w:right="340" w:hanging="245"/>
        <w:spacing w:after="0" w:line="182" w:lineRule="auto"/>
        <w:tabs>
          <w:tab w:leader="none" w:pos="320" w:val="left"/>
        </w:tabs>
        <w:numPr>
          <w:ilvl w:val="0"/>
          <w:numId w:val="1"/>
        </w:numPr>
        <w:rPr>
          <w:rFonts w:ascii="Arial" w:cs="Arial" w:eastAsia="Arial" w:hAnsi="Arial"/>
          <w:sz w:val="24"/>
          <w:szCs w:val="24"/>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-241935</wp:posOffset>
            </wp:positionV>
            <wp:extent cx="111125" cy="158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125" cy="1587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564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5646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60" w:space="480"/>
            <w:col w:w="844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Frazier Life Sciences IX, L.P.</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601 UNION STREET, SUITE 3200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129"/>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Tarsus Pharmaceuticals,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TARS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10/20/2020</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31"/>
        <w:spacing w:after="0"/>
        <w:tabs>
          <w:tab w:leader="none" w:pos="1751" w:val="left"/>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180" w:space="720"/>
            <w:col w:w="3109" w:space="720"/>
            <w:col w:w="3351"/>
          </w:cols>
          <w:pgMar w:left="460" w:top="218" w:right="359" w:bottom="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0000FF"/>
              </w:rPr>
              <w:t>SEATTLE</w:t>
            </w:r>
          </w:p>
        </w:tc>
        <w:tc>
          <w:tcPr>
            <w:tcW w:w="1080" w:type="dxa"/>
            <w:vAlign w:val="bottom"/>
          </w:tcPr>
          <w:p>
            <w:pPr>
              <w:ind w:left="280"/>
              <w:spacing w:after="0"/>
              <w:rPr>
                <w:sz w:val="20"/>
                <w:szCs w:val="20"/>
                <w:color w:val="auto"/>
              </w:rPr>
            </w:pPr>
            <w:r>
              <w:rPr>
                <w:rFonts w:ascii="Arial" w:cs="Arial" w:eastAsia="Arial" w:hAnsi="Arial"/>
                <w:sz w:val="16"/>
                <w:szCs w:val="16"/>
                <w:color w:val="0000FF"/>
              </w:rPr>
              <w:t>WA</w:t>
            </w:r>
          </w:p>
        </w:tc>
        <w:tc>
          <w:tcPr>
            <w:tcW w:w="1620" w:type="dxa"/>
            <w:vAlign w:val="bottom"/>
          </w:tcPr>
          <w:p>
            <w:pPr>
              <w:ind w:left="420"/>
              <w:spacing w:after="0"/>
              <w:rPr>
                <w:sz w:val="20"/>
                <w:szCs w:val="20"/>
                <w:color w:val="auto"/>
              </w:rPr>
            </w:pPr>
            <w:r>
              <w:rPr>
                <w:rFonts w:ascii="Arial" w:cs="Arial" w:eastAsia="Arial" w:hAnsi="Arial"/>
                <w:sz w:val="16"/>
                <w:szCs w:val="16"/>
                <w:color w:val="0000FF"/>
              </w:rPr>
              <w:t>98101</w:t>
            </w:r>
          </w:p>
        </w:tc>
      </w:tr>
      <w:tr>
        <w:trPr>
          <w:trHeight w:val="145"/>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jc w:val="both"/>
        <w:ind w:left="4040"/>
        <w:spacing w:after="0" w:line="23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260350</wp:posOffset>
            </wp:positionV>
            <wp:extent cx="6972300" cy="1469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1469390"/>
                    </a:xfrm>
                    <a:prstGeom prst="rect">
                      <a:avLst/>
                    </a:prstGeom>
                    <a:noFill/>
                  </pic:spPr>
                </pic:pic>
              </a:graphicData>
            </a:graphic>
          </wp:anchor>
        </w:drawing>
      </w:r>
    </w:p>
    <w:p>
      <w:pPr>
        <w:spacing w:after="0" w:line="468" w:lineRule="exact"/>
        <w:rPr>
          <w:sz w:val="24"/>
          <w:szCs w:val="24"/>
          <w:color w:val="auto"/>
        </w:rPr>
      </w:pPr>
    </w:p>
    <w:p>
      <w:pPr>
        <w:sectPr>
          <w:pgSz w:w="11900" w:h="16838" w:orient="portrait"/>
          <w:cols w:equalWidth="0" w:num="2">
            <w:col w:w="3760" w:space="140"/>
            <w:col w:w="718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94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w w:val="92"/>
              </w:rPr>
              <w:t>Date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8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920"/>
              <w:spacing w:after="0"/>
              <w:rPr>
                <w:sz w:val="20"/>
                <w:szCs w:val="20"/>
                <w:color w:val="auto"/>
              </w:rPr>
            </w:pPr>
            <w:r>
              <w:rPr>
                <w:rFonts w:ascii="Arial" w:cs="Arial" w:eastAsia="Arial" w:hAnsi="Arial"/>
                <w:sz w:val="16"/>
                <w:szCs w:val="16"/>
                <w:color w:val="0000FF"/>
              </w:rPr>
              <w:t>10/20/2020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1,390,376</w:t>
            </w:r>
          </w:p>
        </w:tc>
        <w:tc>
          <w:tcPr>
            <w:tcW w:w="30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5"/>
              <w:spacing w:after="0"/>
              <w:rPr>
                <w:sz w:val="20"/>
                <w:szCs w:val="20"/>
                <w:color w:val="auto"/>
              </w:rPr>
            </w:pPr>
            <w:r>
              <w:rPr>
                <w:rFonts w:ascii="Arial" w:cs="Arial" w:eastAsia="Arial" w:hAnsi="Arial"/>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1,390,376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920"/>
              <w:spacing w:after="0"/>
              <w:rPr>
                <w:sz w:val="20"/>
                <w:szCs w:val="20"/>
                <w:color w:val="auto"/>
              </w:rPr>
            </w:pPr>
            <w:r>
              <w:rPr>
                <w:rFonts w:ascii="Arial" w:cs="Arial" w:eastAsia="Arial" w:hAnsi="Arial"/>
                <w:sz w:val="16"/>
                <w:szCs w:val="16"/>
                <w:color w:val="0000FF"/>
              </w:rPr>
              <w:t>10/20/2020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214,281</w:t>
            </w:r>
          </w:p>
        </w:tc>
        <w:tc>
          <w:tcPr>
            <w:tcW w:w="30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5"/>
              <w:spacing w:after="0"/>
              <w:rPr>
                <w:sz w:val="20"/>
                <w:szCs w:val="20"/>
                <w:color w:val="auto"/>
              </w:rPr>
            </w:pPr>
            <w:r>
              <w:rPr>
                <w:rFonts w:ascii="Arial" w:cs="Arial" w:eastAsia="Arial" w:hAnsi="Arial"/>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1,604,657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920"/>
              <w:spacing w:after="0"/>
              <w:rPr>
                <w:sz w:val="20"/>
                <w:szCs w:val="20"/>
                <w:color w:val="auto"/>
              </w:rPr>
            </w:pPr>
            <w:r>
              <w:rPr>
                <w:rFonts w:ascii="Arial" w:cs="Arial" w:eastAsia="Arial" w:hAnsi="Arial"/>
                <w:sz w:val="16"/>
                <w:szCs w:val="16"/>
                <w:color w:val="0000FF"/>
              </w:rPr>
              <w:t>10/20/2020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312,500</w:t>
            </w:r>
          </w:p>
        </w:tc>
        <w:tc>
          <w:tcPr>
            <w:tcW w:w="30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5"/>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16</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1,917,157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80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5"/>
          </w:tcPr>
          <w:p>
            <w:pPr>
              <w:jc w:val="right"/>
              <w:ind w:righ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0" w:type="dxa"/>
            <w:vAlign w:val="bottom"/>
            <w:gridSpan w:val="14"/>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280" w:type="dxa"/>
            <w:vAlign w:val="bottom"/>
          </w:tcPr>
          <w:p>
            <w:pPr>
              <w:spacing w:after="0"/>
              <w:rPr>
                <w:sz w:val="10"/>
                <w:szCs w:val="10"/>
                <w:color w:val="auto"/>
              </w:rPr>
            </w:pPr>
          </w:p>
        </w:tc>
        <w:tc>
          <w:tcPr>
            <w:tcW w:w="148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280" w:type="dxa"/>
            <w:vAlign w:val="bottom"/>
          </w:tcPr>
          <w:p>
            <w:pPr>
              <w:spacing w:after="0"/>
              <w:rPr>
                <w:sz w:val="10"/>
                <w:szCs w:val="10"/>
                <w:color w:val="auto"/>
              </w:rPr>
            </w:pPr>
          </w:p>
        </w:tc>
        <w:tc>
          <w:tcPr>
            <w:tcW w:w="148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80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jc w:val="center"/>
              <w:ind w:right="135"/>
              <w:spacing w:after="0"/>
              <w:rPr>
                <w:sz w:val="20"/>
                <w:szCs w:val="20"/>
                <w:color w:val="auto"/>
              </w:rPr>
            </w:pPr>
            <w:r>
              <w:rPr>
                <w:rFonts w:ascii="Arial" w:cs="Arial" w:eastAsia="Arial" w:hAnsi="Arial"/>
                <w:sz w:val="10"/>
                <w:szCs w:val="10"/>
                <w:color w:val="008000"/>
                <w:w w:val="97"/>
              </w:rPr>
              <w:t>(1)</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0000FF"/>
                <w:w w:val="89"/>
              </w:rPr>
              <w:t>1,390,376</w:t>
            </w:r>
          </w:p>
        </w:tc>
        <w:tc>
          <w:tcPr>
            <w:tcW w:w="60" w:type="dxa"/>
            <w:vAlign w:val="bottom"/>
          </w:tcPr>
          <w:p>
            <w:pPr>
              <w:spacing w:after="0"/>
              <w:rPr>
                <w:sz w:val="15"/>
                <w:szCs w:val="15"/>
                <w:color w:val="auto"/>
              </w:rPr>
            </w:pPr>
          </w:p>
        </w:tc>
        <w:tc>
          <w:tcPr>
            <w:tcW w:w="680" w:type="dxa"/>
            <w:vAlign w:val="bottom"/>
            <w:vMerge w:val="restart"/>
          </w:tcPr>
          <w:p>
            <w:pPr>
              <w:jc w:val="right"/>
              <w:ind w:right="280"/>
              <w:spacing w:after="0"/>
              <w:rPr>
                <w:sz w:val="20"/>
                <w:szCs w:val="20"/>
                <w:color w:val="auto"/>
              </w:rPr>
            </w:pPr>
            <w:r>
              <w:rPr>
                <w:rFonts w:ascii="Arial" w:cs="Arial" w:eastAsia="Arial" w:hAnsi="Arial"/>
                <w:sz w:val="10"/>
                <w:szCs w:val="10"/>
                <w:color w:val="008000"/>
              </w:rPr>
              <w:t>(1)</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rPr>
              <w:t>Preferred</w:t>
            </w:r>
          </w:p>
        </w:tc>
        <w:tc>
          <w:tcPr>
            <w:tcW w:w="800" w:type="dxa"/>
            <w:vAlign w:val="bottom"/>
            <w:vMerge w:val="continue"/>
          </w:tcPr>
          <w:p>
            <w:pPr>
              <w:spacing w:after="0"/>
              <w:rPr>
                <w:sz w:val="10"/>
                <w:szCs w:val="10"/>
                <w:color w:val="auto"/>
              </w:rPr>
            </w:pPr>
          </w:p>
        </w:tc>
        <w:tc>
          <w:tcPr>
            <w:tcW w:w="1040" w:type="dxa"/>
            <w:vAlign w:val="bottom"/>
          </w:tcPr>
          <w:p>
            <w:pPr>
              <w:ind w:left="200"/>
              <w:spacing w:after="0" w:line="121" w:lineRule="exact"/>
              <w:rPr>
                <w:sz w:val="20"/>
                <w:szCs w:val="20"/>
                <w:color w:val="auto"/>
              </w:rPr>
            </w:pPr>
            <w:r>
              <w:rPr>
                <w:rFonts w:ascii="Arial" w:cs="Arial" w:eastAsia="Arial" w:hAnsi="Arial"/>
                <w:sz w:val="13"/>
                <w:szCs w:val="13"/>
                <w:color w:val="0000FF"/>
              </w:rPr>
              <w:t>10/20/2020</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100"/>
              <w:spacing w:after="0" w:line="121" w:lineRule="exact"/>
              <w:rPr>
                <w:sz w:val="20"/>
                <w:szCs w:val="20"/>
                <w:color w:val="auto"/>
              </w:rPr>
            </w:pPr>
            <w:r>
              <w:rPr>
                <w:rFonts w:ascii="Arial" w:cs="Arial" w:eastAsia="Arial" w:hAnsi="Arial"/>
                <w:sz w:val="13"/>
                <w:szCs w:val="13"/>
                <w:color w:val="0000FF"/>
              </w:rPr>
              <w:t>C</w:t>
            </w:r>
          </w:p>
        </w:tc>
        <w:tc>
          <w:tcPr>
            <w:tcW w:w="900" w:type="dxa"/>
            <w:vAlign w:val="bottom"/>
          </w:tcPr>
          <w:p>
            <w:pPr>
              <w:jc w:val="right"/>
              <w:ind w:right="43"/>
              <w:spacing w:after="0" w:line="121" w:lineRule="exact"/>
              <w:rPr>
                <w:sz w:val="20"/>
                <w:szCs w:val="20"/>
                <w:color w:val="auto"/>
              </w:rPr>
            </w:pPr>
            <w:r>
              <w:rPr>
                <w:rFonts w:ascii="Arial" w:cs="Arial" w:eastAsia="Arial" w:hAnsi="Arial"/>
                <w:sz w:val="13"/>
                <w:szCs w:val="13"/>
                <w:color w:val="0000FF"/>
              </w:rPr>
              <w:t>1,390,376</w:t>
            </w: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ind w:left="360"/>
              <w:spacing w:after="0" w:line="12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140"/>
              <w:spacing w:after="0" w:line="138" w:lineRule="exact"/>
              <w:rPr>
                <w:sz w:val="20"/>
                <w:szCs w:val="20"/>
                <w:color w:val="auto"/>
              </w:rPr>
            </w:pPr>
            <w:r>
              <w:rPr>
                <w:rFonts w:ascii="Arial" w:cs="Arial" w:eastAsia="Arial" w:hAnsi="Arial"/>
                <w:sz w:val="13"/>
                <w:szCs w:val="13"/>
                <w:color w:val="0000FF"/>
              </w:rPr>
              <w:t>Stock</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80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jc w:val="center"/>
              <w:ind w:right="135"/>
              <w:spacing w:after="0"/>
              <w:rPr>
                <w:sz w:val="20"/>
                <w:szCs w:val="20"/>
                <w:color w:val="auto"/>
              </w:rPr>
            </w:pPr>
            <w:r>
              <w:rPr>
                <w:rFonts w:ascii="Arial" w:cs="Arial" w:eastAsia="Arial" w:hAnsi="Arial"/>
                <w:sz w:val="10"/>
                <w:szCs w:val="10"/>
                <w:color w:val="008000"/>
                <w:w w:val="97"/>
              </w:rPr>
              <w:t>(1)</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0" w:type="dxa"/>
            <w:vAlign w:val="bottom"/>
          </w:tcPr>
          <w:p>
            <w:pPr>
              <w:spacing w:after="0"/>
              <w:rPr>
                <w:sz w:val="15"/>
                <w:szCs w:val="15"/>
                <w:color w:val="auto"/>
              </w:rPr>
            </w:pPr>
          </w:p>
        </w:tc>
        <w:tc>
          <w:tcPr>
            <w:tcW w:w="660" w:type="dxa"/>
            <w:vAlign w:val="bottom"/>
            <w:vMerge w:val="restart"/>
          </w:tcPr>
          <w:p>
            <w:pPr>
              <w:jc w:val="right"/>
              <w:ind w:right="55"/>
              <w:spacing w:after="0"/>
              <w:rPr>
                <w:sz w:val="20"/>
                <w:szCs w:val="20"/>
                <w:color w:val="auto"/>
              </w:rPr>
            </w:pPr>
            <w:r>
              <w:rPr>
                <w:rFonts w:ascii="Arial" w:cs="Arial" w:eastAsia="Arial" w:hAnsi="Arial"/>
                <w:sz w:val="16"/>
                <w:szCs w:val="16"/>
                <w:color w:val="0000FF"/>
                <w:w w:val="89"/>
              </w:rPr>
              <w:t>214,281</w:t>
            </w:r>
          </w:p>
        </w:tc>
        <w:tc>
          <w:tcPr>
            <w:tcW w:w="60" w:type="dxa"/>
            <w:vAlign w:val="bottom"/>
          </w:tcPr>
          <w:p>
            <w:pPr>
              <w:spacing w:after="0"/>
              <w:rPr>
                <w:sz w:val="15"/>
                <w:szCs w:val="15"/>
                <w:color w:val="auto"/>
              </w:rPr>
            </w:pPr>
          </w:p>
        </w:tc>
        <w:tc>
          <w:tcPr>
            <w:tcW w:w="680" w:type="dxa"/>
            <w:vAlign w:val="bottom"/>
            <w:vMerge w:val="restart"/>
          </w:tcPr>
          <w:p>
            <w:pPr>
              <w:jc w:val="right"/>
              <w:ind w:right="280"/>
              <w:spacing w:after="0"/>
              <w:rPr>
                <w:sz w:val="20"/>
                <w:szCs w:val="20"/>
                <w:color w:val="auto"/>
              </w:rPr>
            </w:pPr>
            <w:r>
              <w:rPr>
                <w:rFonts w:ascii="Arial" w:cs="Arial" w:eastAsia="Arial" w:hAnsi="Arial"/>
                <w:sz w:val="10"/>
                <w:szCs w:val="10"/>
                <w:color w:val="008000"/>
              </w:rPr>
              <w:t>(1)</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800" w:type="dxa"/>
            <w:vAlign w:val="bottom"/>
            <w:vMerge w:val="continue"/>
          </w:tcPr>
          <w:p>
            <w:pPr>
              <w:spacing w:after="0"/>
              <w:rPr>
                <w:sz w:val="5"/>
                <w:szCs w:val="5"/>
                <w:color w:val="auto"/>
              </w:rPr>
            </w:pPr>
          </w:p>
        </w:tc>
        <w:tc>
          <w:tcPr>
            <w:tcW w:w="1040" w:type="dxa"/>
            <w:vAlign w:val="bottom"/>
            <w:vMerge w:val="restart"/>
          </w:tcPr>
          <w:p>
            <w:pPr>
              <w:ind w:left="200"/>
              <w:spacing w:after="0" w:line="138" w:lineRule="exact"/>
              <w:rPr>
                <w:sz w:val="20"/>
                <w:szCs w:val="20"/>
                <w:color w:val="auto"/>
              </w:rPr>
            </w:pPr>
            <w:r>
              <w:rPr>
                <w:rFonts w:ascii="Arial" w:cs="Arial" w:eastAsia="Arial" w:hAnsi="Arial"/>
                <w:sz w:val="13"/>
                <w:szCs w:val="13"/>
                <w:color w:val="0000FF"/>
              </w:rPr>
              <w:t>10/20/2020</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restart"/>
          </w:tcPr>
          <w:p>
            <w:pPr>
              <w:ind w:left="100"/>
              <w:spacing w:after="0" w:line="138" w:lineRule="exact"/>
              <w:rPr>
                <w:sz w:val="20"/>
                <w:szCs w:val="20"/>
                <w:color w:val="auto"/>
              </w:rPr>
            </w:pPr>
            <w:r>
              <w:rPr>
                <w:rFonts w:ascii="Arial" w:cs="Arial" w:eastAsia="Arial" w:hAnsi="Arial"/>
                <w:sz w:val="13"/>
                <w:szCs w:val="13"/>
                <w:color w:val="0000FF"/>
              </w:rPr>
              <w:t>C</w:t>
            </w:r>
          </w:p>
        </w:tc>
        <w:tc>
          <w:tcPr>
            <w:tcW w:w="900" w:type="dxa"/>
            <w:vAlign w:val="bottom"/>
            <w:vMerge w:val="restart"/>
          </w:tcPr>
          <w:p>
            <w:pPr>
              <w:jc w:val="right"/>
              <w:ind w:right="83"/>
              <w:spacing w:after="0" w:line="138" w:lineRule="exact"/>
              <w:rPr>
                <w:sz w:val="20"/>
                <w:szCs w:val="20"/>
                <w:color w:val="auto"/>
              </w:rPr>
            </w:pPr>
            <w:r>
              <w:rPr>
                <w:rFonts w:ascii="Arial" w:cs="Arial" w:eastAsia="Arial" w:hAnsi="Arial"/>
                <w:sz w:val="13"/>
                <w:szCs w:val="13"/>
                <w:color w:val="0000FF"/>
              </w:rPr>
              <w:t>214,281</w:t>
            </w: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3"/>
                <w:szCs w:val="13"/>
                <w:color w:val="0000FF"/>
              </w:rPr>
              <w:t>Stock</w:t>
            </w: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4"/>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Arial" w:cs="Arial" w:eastAsia="Arial" w:hAnsi="Arial"/>
                <w:sz w:val="20"/>
                <w:szCs w:val="20"/>
                <w:u w:val="single" w:color="auto"/>
                <w:color w:val="0000EE"/>
                <w:w w:val="92"/>
              </w:rPr>
            </w:pPr>
            <w:hyperlink r:id="rId13">
              <w:r>
                <w:rPr>
                  <w:rFonts w:ascii="Arial" w:cs="Arial" w:eastAsia="Arial" w:hAnsi="Arial"/>
                  <w:sz w:val="20"/>
                  <w:szCs w:val="20"/>
                  <w:u w:val="single" w:color="auto"/>
                  <w:color w:val="0000EE"/>
                  <w:w w:val="92"/>
                </w:rPr>
                <w:t>Frazier Life Sciences IX, L.P.</w:t>
              </w:r>
            </w:hyperlink>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Arial" w:cs="Arial" w:eastAsia="Arial" w:hAnsi="Arial"/>
                <w:sz w:val="16"/>
                <w:szCs w:val="16"/>
                <w:color w:val="0000FF"/>
                <w:w w:val="96"/>
              </w:rPr>
              <w:t>601 UNION STREET, SUITE 3200</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0000FF"/>
              </w:rPr>
              <w:t>SEATTLE</w:t>
            </w:r>
          </w:p>
        </w:tc>
        <w:tc>
          <w:tcPr>
            <w:tcW w:w="1040" w:type="dxa"/>
            <w:vAlign w:val="bottom"/>
          </w:tcPr>
          <w:p>
            <w:pPr>
              <w:ind w:left="40"/>
              <w:spacing w:after="0"/>
              <w:rPr>
                <w:sz w:val="20"/>
                <w:szCs w:val="20"/>
                <w:color w:val="auto"/>
              </w:rPr>
            </w:pPr>
            <w:r>
              <w:rPr>
                <w:rFonts w:ascii="Arial" w:cs="Arial" w:eastAsia="Arial" w:hAnsi="Arial"/>
                <w:sz w:val="16"/>
                <w:szCs w:val="16"/>
                <w:color w:val="0000FF"/>
              </w:rPr>
              <w:t>WA</w:t>
            </w:r>
          </w:p>
        </w:tc>
        <w:tc>
          <w:tcPr>
            <w:tcW w:w="1020" w:type="dxa"/>
            <w:vAlign w:val="bottom"/>
          </w:tcPr>
          <w:p>
            <w:pPr>
              <w:ind w:left="400"/>
              <w:spacing w:after="0"/>
              <w:rPr>
                <w:sz w:val="20"/>
                <w:szCs w:val="20"/>
                <w:color w:val="auto"/>
              </w:rPr>
            </w:pPr>
            <w:r>
              <w:rPr>
                <w:rFonts w:ascii="Arial" w:cs="Arial" w:eastAsia="Arial" w:hAnsi="Arial"/>
                <w:sz w:val="16"/>
                <w:szCs w:val="16"/>
                <w:color w:val="0000FF"/>
              </w:rPr>
              <w:t>98101</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2"/>
          </w:tcPr>
          <w:p>
            <w:pPr>
              <w:ind w:left="20"/>
              <w:spacing w:after="0"/>
              <w:rPr>
                <w:rFonts w:ascii="Arial" w:cs="Arial" w:eastAsia="Arial" w:hAnsi="Arial"/>
                <w:sz w:val="20"/>
                <w:szCs w:val="20"/>
                <w:u w:val="single" w:color="auto"/>
                <w:color w:val="0000EE"/>
                <w:w w:val="96"/>
              </w:rPr>
            </w:pPr>
            <w:hyperlink r:id="rId16">
              <w:r>
                <w:rPr>
                  <w:rFonts w:ascii="Arial" w:cs="Arial" w:eastAsia="Arial" w:hAnsi="Arial"/>
                  <w:sz w:val="20"/>
                  <w:szCs w:val="20"/>
                  <w:u w:val="single" w:color="auto"/>
                  <w:color w:val="0000EE"/>
                  <w:w w:val="96"/>
                </w:rPr>
                <w:t>FHMLS IX, L.P.</w:t>
              </w:r>
            </w:hyperlink>
          </w:p>
        </w:tc>
        <w:tc>
          <w:tcPr>
            <w:tcW w:w="1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Arial" w:cs="Arial" w:eastAsia="Arial" w:hAnsi="Arial"/>
                <w:sz w:val="16"/>
                <w:szCs w:val="16"/>
                <w:color w:val="0000FF"/>
                <w:w w:val="96"/>
              </w:rPr>
              <w:t>601 UNION STREET, SUITE 3200</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0000FF"/>
              </w:rPr>
              <w:t>SEATTLE</w:t>
            </w:r>
          </w:p>
        </w:tc>
        <w:tc>
          <w:tcPr>
            <w:tcW w:w="1040" w:type="dxa"/>
            <w:vAlign w:val="bottom"/>
          </w:tcPr>
          <w:p>
            <w:pPr>
              <w:ind w:left="40"/>
              <w:spacing w:after="0"/>
              <w:rPr>
                <w:sz w:val="20"/>
                <w:szCs w:val="20"/>
                <w:color w:val="auto"/>
              </w:rPr>
            </w:pPr>
            <w:r>
              <w:rPr>
                <w:rFonts w:ascii="Arial" w:cs="Arial" w:eastAsia="Arial" w:hAnsi="Arial"/>
                <w:sz w:val="16"/>
                <w:szCs w:val="16"/>
                <w:color w:val="0000FF"/>
              </w:rPr>
              <w:t>WA</w:t>
            </w:r>
          </w:p>
        </w:tc>
        <w:tc>
          <w:tcPr>
            <w:tcW w:w="1020" w:type="dxa"/>
            <w:vAlign w:val="bottom"/>
          </w:tcPr>
          <w:p>
            <w:pPr>
              <w:ind w:left="400"/>
              <w:spacing w:after="0"/>
              <w:rPr>
                <w:sz w:val="20"/>
                <w:szCs w:val="20"/>
                <w:color w:val="auto"/>
              </w:rPr>
            </w:pPr>
            <w:r>
              <w:rPr>
                <w:rFonts w:ascii="Arial" w:cs="Arial" w:eastAsia="Arial" w:hAnsi="Arial"/>
                <w:sz w:val="16"/>
                <w:szCs w:val="16"/>
                <w:color w:val="0000FF"/>
              </w:rPr>
              <w:t>98101</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Arial" w:cs="Arial" w:eastAsia="Arial" w:hAnsi="Arial"/>
                <w:sz w:val="20"/>
                <w:szCs w:val="20"/>
                <w:color w:val="0000EE"/>
              </w:rPr>
            </w:pPr>
            <w:hyperlink r:id="rId17">
              <w:r>
                <w:rPr>
                  <w:rFonts w:ascii="Arial" w:cs="Arial" w:eastAsia="Arial" w:hAnsi="Arial"/>
                  <w:sz w:val="20"/>
                  <w:szCs w:val="20"/>
                  <w:u w:val="single" w:color="auto"/>
                  <w:color w:val="0000EE"/>
                </w:rPr>
                <w:t>FHMLS IX, L.L.C</w:t>
              </w:r>
              <w:r>
                <w:rPr>
                  <w:rFonts w:ascii="Arial" w:cs="Arial" w:eastAsia="Arial" w:hAnsi="Arial"/>
                  <w:sz w:val="20"/>
                  <w:szCs w:val="20"/>
                  <w:color w:val="0000EE"/>
                </w:rPr>
                <w:t>.</w:t>
              </w:r>
            </w:hyperlink>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-5676265</wp:posOffset>
            </wp:positionV>
            <wp:extent cx="7035800" cy="638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5800" cy="638429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601 UNION STREET, SUITE 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134620</wp:posOffset>
            </wp:positionV>
            <wp:extent cx="266001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60015" cy="15875"/>
                    </a:xfrm>
                    <a:prstGeom prst="rect">
                      <a:avLst/>
                    </a:prstGeom>
                    <a:noFill/>
                  </pic:spPr>
                </pic:pic>
              </a:graphicData>
            </a:graphic>
          </wp:anchor>
        </w:drawing>
      </w:r>
    </w:p>
    <w:p>
      <w:pPr>
        <w:spacing w:after="0" w:line="31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8" w:right="359" w:bottom="0" w:gutter="0" w:footer="0" w:header="0"/>
          <w:type w:val="continuous"/>
        </w:sectPr>
      </w:pPr>
    </w:p>
    <w:p>
      <w:pPr>
        <w:spacing w:after="0" w:line="1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6"/>
          <w:szCs w:val="16"/>
          <w:color w:val="0000FF"/>
        </w:rPr>
        <w:t>SEATTLE</w:t>
      </w:r>
      <w:r>
        <w:rPr>
          <w:sz w:val="20"/>
          <w:szCs w:val="20"/>
          <w:color w:val="auto"/>
        </w:rPr>
        <w:tab/>
      </w:r>
      <w:r>
        <w:rPr>
          <w:rFonts w:ascii="Arial" w:cs="Arial" w:eastAsia="Arial" w:hAnsi="Arial"/>
          <w:sz w:val="16"/>
          <w:szCs w:val="16"/>
          <w:color w:val="0000FF"/>
        </w:rPr>
        <w:t>WA</w:t>
      </w:r>
      <w:r>
        <w:rPr>
          <w:sz w:val="20"/>
          <w:szCs w:val="20"/>
          <w:color w:val="auto"/>
        </w:rPr>
        <w:tab/>
      </w:r>
      <w:r>
        <w:rPr>
          <w:rFonts w:ascii="Arial" w:cs="Arial" w:eastAsia="Arial" w:hAnsi="Arial"/>
          <w:sz w:val="14"/>
          <w:szCs w:val="14"/>
          <w:color w:val="0000FF"/>
        </w:rPr>
        <w:t>98101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102870</wp:posOffset>
            </wp:positionV>
            <wp:extent cx="266001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60015" cy="15875"/>
                    </a:xfrm>
                    <a:prstGeom prst="rect">
                      <a:avLst/>
                    </a:prstGeom>
                    <a:noFill/>
                  </pic:spPr>
                </pic:pic>
              </a:graphicData>
            </a:graphic>
          </wp:anchor>
        </w:drawing>
      </w:r>
    </w:p>
    <w:p>
      <w:pPr>
        <w:sectPr>
          <w:pgSz w:w="11900" w:h="16838" w:orient="portrait"/>
          <w:cols w:equalWidth="0" w:num="1">
            <w:col w:w="11080"/>
          </w:cols>
          <w:pgMar w:left="460" w:top="218"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6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80" w:type="dxa"/>
            <w:vAlign w:val="bottom"/>
          </w:tcPr>
          <w:p>
            <w:pPr>
              <w:spacing w:after="0"/>
              <w:rPr>
                <w:sz w:val="22"/>
                <w:szCs w:val="22"/>
                <w:color w:val="auto"/>
              </w:rPr>
            </w:pPr>
          </w:p>
        </w:tc>
        <w:tc>
          <w:tcPr>
            <w:tcW w:w="1360" w:type="dxa"/>
            <w:vAlign w:val="bottom"/>
          </w:tcPr>
          <w:p>
            <w:pPr>
              <w:ind w:left="20"/>
              <w:spacing w:after="0"/>
              <w:rPr>
                <w:rFonts w:ascii="Arial" w:cs="Arial" w:eastAsia="Arial" w:hAnsi="Arial"/>
                <w:sz w:val="20"/>
                <w:szCs w:val="20"/>
                <w:u w:val="single" w:color="auto"/>
                <w:color w:val="0000EE"/>
                <w:w w:val="89"/>
              </w:rPr>
            </w:pPr>
            <w:hyperlink r:id="rId21">
              <w:r>
                <w:rPr>
                  <w:rFonts w:ascii="Arial" w:cs="Arial" w:eastAsia="Arial" w:hAnsi="Arial"/>
                  <w:sz w:val="20"/>
                  <w:szCs w:val="20"/>
                  <w:u w:val="single" w:color="auto"/>
                  <w:color w:val="0000EE"/>
                  <w:w w:val="89"/>
                </w:rPr>
                <w:t>Topper James N</w:t>
              </w:r>
            </w:hyperlink>
          </w:p>
        </w:tc>
        <w:tc>
          <w:tcPr>
            <w:tcW w:w="1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3"/>
        </w:trPr>
        <w:tc>
          <w:tcPr>
            <w:tcW w:w="8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6"/>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Arial" w:cs="Arial" w:eastAsia="Arial" w:hAnsi="Arial"/>
                <w:sz w:val="16"/>
                <w:szCs w:val="16"/>
                <w:color w:val="0000FF"/>
              </w:rPr>
              <w:t>601 UNION STREET, SUITE 3200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4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6"/>
                <w:szCs w:val="16"/>
                <w:color w:val="0000FF"/>
              </w:rPr>
              <w:t>SEATTLE</w:t>
            </w:r>
          </w:p>
        </w:tc>
        <w:tc>
          <w:tcPr>
            <w:tcW w:w="1240" w:type="dxa"/>
            <w:vAlign w:val="bottom"/>
          </w:tcPr>
          <w:p>
            <w:pPr>
              <w:ind w:left="60"/>
              <w:spacing w:after="0"/>
              <w:rPr>
                <w:sz w:val="20"/>
                <w:szCs w:val="20"/>
                <w:color w:val="auto"/>
              </w:rPr>
            </w:pPr>
            <w:r>
              <w:rPr>
                <w:rFonts w:ascii="Arial" w:cs="Arial" w:eastAsia="Arial" w:hAnsi="Arial"/>
                <w:sz w:val="16"/>
                <w:szCs w:val="16"/>
                <w:color w:val="0000FF"/>
              </w:rPr>
              <w:t>WA</w:t>
            </w:r>
          </w:p>
        </w:tc>
        <w:tc>
          <w:tcPr>
            <w:tcW w:w="1580" w:type="dxa"/>
            <w:vAlign w:val="bottom"/>
          </w:tcPr>
          <w:p>
            <w:pPr>
              <w:ind w:left="220"/>
              <w:spacing w:after="0"/>
              <w:rPr>
                <w:sz w:val="20"/>
                <w:szCs w:val="20"/>
                <w:color w:val="auto"/>
              </w:rPr>
            </w:pPr>
            <w:r>
              <w:rPr>
                <w:rFonts w:ascii="Arial" w:cs="Arial" w:eastAsia="Arial" w:hAnsi="Arial"/>
                <w:sz w:val="16"/>
                <w:szCs w:val="16"/>
                <w:color w:val="0000FF"/>
              </w:rPr>
              <w:t>92101</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6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80" w:type="dxa"/>
            <w:vAlign w:val="bottom"/>
          </w:tcPr>
          <w:p>
            <w:pPr>
              <w:spacing w:after="0"/>
              <w:rPr>
                <w:sz w:val="22"/>
                <w:szCs w:val="22"/>
                <w:color w:val="auto"/>
              </w:rPr>
            </w:pPr>
          </w:p>
        </w:tc>
        <w:tc>
          <w:tcPr>
            <w:tcW w:w="1360" w:type="dxa"/>
            <w:vAlign w:val="bottom"/>
          </w:tcPr>
          <w:p>
            <w:pPr>
              <w:ind w:left="20"/>
              <w:spacing w:after="0"/>
              <w:rPr>
                <w:rFonts w:ascii="Arial" w:cs="Arial" w:eastAsia="Arial" w:hAnsi="Arial"/>
                <w:sz w:val="20"/>
                <w:szCs w:val="20"/>
                <w:u w:val="single" w:color="auto"/>
                <w:color w:val="0000EE"/>
                <w:w w:val="96"/>
              </w:rPr>
            </w:pPr>
            <w:hyperlink r:id="rId22">
              <w:r>
                <w:rPr>
                  <w:rFonts w:ascii="Arial" w:cs="Arial" w:eastAsia="Arial" w:hAnsi="Arial"/>
                  <w:sz w:val="20"/>
                  <w:szCs w:val="20"/>
                  <w:u w:val="single" w:color="auto"/>
                  <w:color w:val="0000EE"/>
                  <w:w w:val="96"/>
                </w:rPr>
                <w:t>Heron Patrick J</w:t>
              </w:r>
            </w:hyperlink>
          </w:p>
        </w:tc>
        <w:tc>
          <w:tcPr>
            <w:tcW w:w="1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3"/>
        </w:trPr>
        <w:tc>
          <w:tcPr>
            <w:tcW w:w="8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6"/>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Arial" w:cs="Arial" w:eastAsia="Arial" w:hAnsi="Arial"/>
                <w:sz w:val="16"/>
                <w:szCs w:val="16"/>
                <w:color w:val="0000FF"/>
              </w:rPr>
              <w:t>601 UNION STREET, SUITE 3200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4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6"/>
                <w:szCs w:val="16"/>
                <w:color w:val="0000FF"/>
              </w:rPr>
              <w:t>SEATTLE</w:t>
            </w:r>
          </w:p>
        </w:tc>
        <w:tc>
          <w:tcPr>
            <w:tcW w:w="1240" w:type="dxa"/>
            <w:vAlign w:val="bottom"/>
          </w:tcPr>
          <w:p>
            <w:pPr>
              <w:ind w:left="60"/>
              <w:spacing w:after="0"/>
              <w:rPr>
                <w:sz w:val="20"/>
                <w:szCs w:val="20"/>
                <w:color w:val="auto"/>
              </w:rPr>
            </w:pPr>
            <w:r>
              <w:rPr>
                <w:rFonts w:ascii="Arial" w:cs="Arial" w:eastAsia="Arial" w:hAnsi="Arial"/>
                <w:sz w:val="16"/>
                <w:szCs w:val="16"/>
                <w:color w:val="0000FF"/>
              </w:rPr>
              <w:t>WA</w:t>
            </w:r>
          </w:p>
        </w:tc>
        <w:tc>
          <w:tcPr>
            <w:tcW w:w="1580" w:type="dxa"/>
            <w:vAlign w:val="bottom"/>
          </w:tcPr>
          <w:p>
            <w:pPr>
              <w:ind w:left="220"/>
              <w:spacing w:after="0"/>
              <w:rPr>
                <w:sz w:val="20"/>
                <w:szCs w:val="20"/>
                <w:color w:val="auto"/>
              </w:rPr>
            </w:pPr>
            <w:r>
              <w:rPr>
                <w:rFonts w:ascii="Arial" w:cs="Arial" w:eastAsia="Arial" w:hAnsi="Arial"/>
                <w:sz w:val="16"/>
                <w:szCs w:val="16"/>
                <w:color w:val="0000FF"/>
              </w:rPr>
              <w:t>98101</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87015" cy="3279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787015" cy="32797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hanging="2"/>
        <w:spacing w:after="0" w:line="236" w:lineRule="auto"/>
        <w:tabs>
          <w:tab w:leader="none" w:pos="14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Immediately prior to the closing of the Issuer's initial public offering, each share of Series B Preferred Stock and Series C Preferred Stock (collectively, the "Preferred Stock") automatically converted into shares of the Issuer's common stock, par value $0.0001 per share, on a one-for-one basis. The shares of Preferred Stock had no expiration date.</w:t>
      </w:r>
    </w:p>
    <w:p>
      <w:pPr>
        <w:spacing w:after="0" w:line="31" w:lineRule="exact"/>
        <w:rPr>
          <w:rFonts w:ascii="Arial" w:cs="Arial" w:eastAsia="Arial" w:hAnsi="Arial"/>
          <w:sz w:val="13"/>
          <w:szCs w:val="13"/>
          <w:color w:val="008000"/>
        </w:rPr>
      </w:pPr>
    </w:p>
    <w:p>
      <w:pPr>
        <w:jc w:val="both"/>
        <w:ind w:left="20" w:right="200" w:hanging="2"/>
        <w:spacing w:after="0" w:line="231" w:lineRule="auto"/>
        <w:tabs>
          <w:tab w:leader="none" w:pos="14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shares are held directly by Frazier Life Sciences IX, L.P. ("FLS LP"). The general partner of FLS LP is FHMLS IX, L.P., and the general partner of FHMLS IX, L.P. is FHMLS IX, LLC. James Topper and Patrick Heron are the sole managing members of FHMLS IX, LLC, and share voting and dispositive power over the shares held by FLS LP. Each of Dr. Topper, Mr. Heron, FHMLS IX, L.P. and FHMLS IX, LLC disclaim beneficial ownership of the shares held by FLS LP, except to the extent of their pecuniary interest therein.</w:t>
      </w:r>
    </w:p>
    <w:p>
      <w:pPr>
        <w:sectPr>
          <w:pgSz w:w="11900" w:h="16838" w:orient="portrait"/>
          <w:cols w:equalWidth="0" w:num="1">
            <w:col w:w="10800"/>
          </w:cols>
          <w:pgMar w:left="480" w:top="176" w:right="61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James N. Topper,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9518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Managing Director of FHMLS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00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IX, L.L.C.,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585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of FHMLS IX,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100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partner of Frazier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2540</wp:posOffset>
            </wp:positionV>
            <wp:extent cx="13068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3213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2131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James N. Topper,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951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Managing Director of FHMLS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00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IX, L.L.C.,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585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of FHMLS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8026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James N. Topper,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9518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Managing Director of FHMLS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00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IX,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4330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0000FF"/>
        </w:rPr>
        <w:t>10/20/2020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0000FF"/>
        </w:rPr>
        <w:t>10/20/2020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0000FF"/>
        </w:rPr>
        <w:t>10/20/2020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8640" w:space="140"/>
            <w:col w:w="2020"/>
          </w:cols>
          <w:pgMar w:left="480" w:top="176" w:right="619" w:bottom="1440" w:gutter="0" w:footer="0" w:header="0"/>
          <w:type w:val="continuous"/>
        </w:sectPr>
      </w:pPr>
    </w:p>
    <w:tbl>
      <w:tblPr>
        <w:tblLayout w:type="fixed"/>
        <w:tblInd w:w="6580" w:type="dxa"/>
        <w:tblCellMar>
          <w:top w:w="0" w:type="dxa"/>
          <w:left w:w="0" w:type="dxa"/>
          <w:bottom w:w="0" w:type="dxa"/>
          <w:right w:w="0" w:type="dxa"/>
        </w:tblCellMar>
      </w:tblPr>
      <w:tr>
        <w:trPr>
          <w:trHeight w:val="184"/>
        </w:trPr>
        <w:tc>
          <w:tcPr>
            <w:tcW w:w="1240" w:type="dxa"/>
            <w:vAlign w:val="bottom"/>
          </w:tcPr>
          <w:p>
            <w:pPr>
              <w:spacing w:after="0"/>
              <w:rPr>
                <w:sz w:val="20"/>
                <w:szCs w:val="20"/>
                <w:color w:val="auto"/>
              </w:rPr>
            </w:pPr>
            <w:r>
              <w:rPr>
                <w:rFonts w:ascii="Arial" w:cs="Arial" w:eastAsia="Arial" w:hAnsi="Arial"/>
                <w:sz w:val="16"/>
                <w:szCs w:val="16"/>
                <w:color w:val="0000FF"/>
                <w:w w:val="83"/>
              </w:rPr>
              <w:t>/s/ James N. Topper</w:t>
            </w:r>
          </w:p>
        </w:tc>
        <w:tc>
          <w:tcPr>
            <w:tcW w:w="76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10/20/2020</w:t>
            </w:r>
          </w:p>
        </w:tc>
      </w:tr>
      <w:tr>
        <w:trPr>
          <w:trHeight w:val="20"/>
        </w:trPr>
        <w:tc>
          <w:tcPr>
            <w:tcW w:w="124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6"/>
                <w:szCs w:val="16"/>
                <w:color w:val="0000FF"/>
                <w:w w:val="88"/>
              </w:rPr>
              <w:t>/s/ Patrick J. Heron</w:t>
            </w:r>
          </w:p>
        </w:tc>
        <w:tc>
          <w:tcPr>
            <w:tcW w:w="76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10/20/2020</w:t>
            </w:r>
          </w:p>
        </w:tc>
      </w:tr>
      <w:tr>
        <w:trPr>
          <w:trHeight w:val="20"/>
        </w:trPr>
        <w:tc>
          <w:tcPr>
            <w:tcW w:w="1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560" w:hanging="2"/>
        <w:spacing w:after="0" w:line="352" w:lineRule="auto"/>
        <w:tabs>
          <w:tab w:leader="none" w:pos="152"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76"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13" Type="http://schemas.openxmlformats.org/officeDocument/2006/relationships/hyperlink" Target="http://www.sec.gov/cgi-bin/browse-edgar?action=getcompany&amp;CIK=0001720320" TargetMode="External"/><Relationship Id="rId14" Type="http://schemas.openxmlformats.org/officeDocument/2006/relationships/hyperlink" Target="http://www.sec.gov/cgi-bin/browse-edgar?action=getcompany&amp;CIK=0001819790" TargetMode="External"/><Relationship Id="rId16" Type="http://schemas.openxmlformats.org/officeDocument/2006/relationships/hyperlink" Target="http://www.sec.gov/cgi-bin/browse-edgar?action=getcompany&amp;CIK=0001782789" TargetMode="External"/><Relationship Id="rId17" Type="http://schemas.openxmlformats.org/officeDocument/2006/relationships/hyperlink" Target="http://www.sec.gov/cgi-bin/browse-edgar?action=getcompany&amp;CIK=0001782791" TargetMode="External"/><Relationship Id="rId21" Type="http://schemas.openxmlformats.org/officeDocument/2006/relationships/hyperlink" Target="http://www.sec.gov/cgi-bin/browse-edgar?action=getcompany&amp;CIK=0001341382" TargetMode="External"/><Relationship Id="rId22" Type="http://schemas.openxmlformats.org/officeDocument/2006/relationships/hyperlink" Target="http://www.sec.gov/cgi-bin/browse-edgar?action=getcompany&amp;CIK=0001365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2020-10-20T19:02:35Z</dcterms:created>
  <dcterms:modified xsi:type="dcterms:W3CDTF">2020-10-20T19:02:35Z</dcterms:modified>
</cp:coreProperties>
</file>