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497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49795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686"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Azamian Bobak R.</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403"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IRVINE</w:t>
            </w:r>
          </w:p>
        </w:tc>
        <w:tc>
          <w:tcPr>
            <w:tcW w:w="1120" w:type="dxa"/>
            <w:vAlign w:val="bottom"/>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tcPr>
          <w:p>
            <w:pPr>
              <w:ind w:left="420"/>
              <w:spacing w:after="0"/>
              <w:rPr>
                <w:sz w:val="20"/>
                <w:szCs w:val="20"/>
                <w:color w:val="auto"/>
              </w:rPr>
            </w:pPr>
            <w:r>
              <w:rPr>
                <w:rFonts w:ascii="Arial" w:cs="Arial" w:eastAsia="Arial" w:hAnsi="Arial"/>
                <w:sz w:val="18"/>
                <w:szCs w:val="18"/>
                <w:color w:val="0000FF"/>
              </w:rPr>
              <w:t>92618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Tarsus Pharmaceuticals,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TARS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44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4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00" w:type="dxa"/>
            <w:vAlign w:val="bottom"/>
            <w:gridSpan w:val="2"/>
            <w:vMerge w:val="continue"/>
          </w:tcPr>
          <w:p>
            <w:pPr>
              <w:spacing w:after="0"/>
              <w:rPr>
                <w:sz w:val="7"/>
                <w:szCs w:val="7"/>
                <w:color w:val="auto"/>
              </w:rPr>
            </w:pPr>
          </w:p>
        </w:tc>
        <w:tc>
          <w:tcPr>
            <w:tcW w:w="364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420" w:type="dxa"/>
            <w:vAlign w:val="bottom"/>
            <w:vMerge w:val="restart"/>
          </w:tcPr>
          <w:p>
            <w:pPr>
              <w:ind w:left="140"/>
              <w:spacing w:after="0"/>
              <w:rPr>
                <w:sz w:val="20"/>
                <w:szCs w:val="20"/>
                <w:color w:val="auto"/>
              </w:rPr>
            </w:pPr>
            <w:r>
              <w:rPr>
                <w:rFonts w:ascii="Arial" w:cs="Arial" w:eastAsia="Arial" w:hAnsi="Arial"/>
                <w:sz w:val="14"/>
                <w:szCs w:val="14"/>
                <w:color w:val="auto"/>
              </w:rPr>
              <w:t>below)</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25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06/08/2023</w:t>
            </w:r>
          </w:p>
        </w:tc>
        <w:tc>
          <w:tcPr>
            <w:tcW w:w="1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540" w:type="dxa"/>
            <w:vAlign w:val="bottom"/>
            <w:gridSpan w:val="3"/>
            <w:vMerge w:val="continue"/>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8"/>
                <w:szCs w:val="18"/>
                <w:color w:val="0000FF"/>
              </w:rPr>
              <w:t>President/CEO and Board Chair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34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686"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3"/>
          </w:tcPr>
          <w:p>
            <w:pPr>
              <w:ind w:left="24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By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Bobak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Azamian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80" w:type="dxa"/>
            <w:vAlign w:val="bottom"/>
            <w:gridSpan w:val="2"/>
            <w:vMerge w:val="restart"/>
          </w:tcPr>
          <w:p>
            <w:pPr>
              <w:ind w:left="380"/>
              <w:spacing w:after="0"/>
              <w:rPr>
                <w:sz w:val="20"/>
                <w:szCs w:val="20"/>
                <w:color w:val="auto"/>
              </w:rPr>
            </w:pPr>
            <w:r>
              <w:rPr>
                <w:rFonts w:ascii="Arial" w:cs="Arial" w:eastAsia="Arial" w:hAnsi="Arial"/>
                <w:sz w:val="18"/>
                <w:szCs w:val="18"/>
                <w:color w:val="0000FF"/>
                <w:w w:val="86"/>
              </w:rPr>
              <w:t>06/08/2023</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ind w:left="220"/>
              <w:spacing w:after="0"/>
              <w:rPr>
                <w:sz w:val="20"/>
                <w:szCs w:val="20"/>
                <w:color w:val="auto"/>
              </w:rPr>
            </w:pPr>
            <w:r>
              <w:rPr>
                <w:rFonts w:ascii="Arial" w:cs="Arial" w:eastAsia="Arial" w:hAnsi="Arial"/>
                <w:sz w:val="18"/>
                <w:szCs w:val="18"/>
                <w:color w:val="0000FF"/>
              </w:rPr>
              <w:t>3,100</w:t>
            </w:r>
          </w:p>
        </w:tc>
        <w:tc>
          <w:tcPr>
            <w:tcW w:w="420" w:type="dxa"/>
            <w:vAlign w:val="bottom"/>
            <w:vMerge w:val="restart"/>
          </w:tcPr>
          <w:p>
            <w:pPr>
              <w:ind w:left="120"/>
              <w:spacing w:after="0"/>
              <w:rPr>
                <w:sz w:val="20"/>
                <w:szCs w:val="20"/>
                <w:color w:val="auto"/>
              </w:rPr>
            </w:pPr>
            <w:r>
              <w:rPr>
                <w:rFonts w:ascii="Arial" w:cs="Arial" w:eastAsia="Arial" w:hAnsi="Arial"/>
                <w:sz w:val="18"/>
                <w:szCs w:val="18"/>
                <w:color w:val="0000FF"/>
              </w:rPr>
              <w:t>D</w:t>
            </w:r>
          </w:p>
        </w:tc>
        <w:tc>
          <w:tcPr>
            <w:tcW w:w="760" w:type="dxa"/>
            <w:vAlign w:val="bottom"/>
            <w:gridSpan w:val="2"/>
            <w:vMerge w:val="restart"/>
          </w:tcPr>
          <w:p>
            <w:pPr>
              <w:ind w:left="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20.01</w:t>
            </w:r>
            <w:r>
              <w:rPr>
                <w:rFonts w:ascii="Arial" w:cs="Arial" w:eastAsia="Arial" w:hAnsi="Arial"/>
                <w:sz w:val="22"/>
                <w:szCs w:val="22"/>
                <w:color w:val="008000"/>
                <w:w w:val="93"/>
                <w:vertAlign w:val="superscript"/>
              </w:rPr>
              <w:t>(2)</w:t>
            </w:r>
          </w:p>
        </w:tc>
        <w:tc>
          <w:tcPr>
            <w:tcW w:w="116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rPr>
              <w:t>1,040,006</w:t>
            </w:r>
          </w:p>
        </w:tc>
        <w:tc>
          <w:tcPr>
            <w:tcW w:w="34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Living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established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8"/>
                <w:szCs w:val="18"/>
                <w:color w:val="0000FF"/>
              </w:rPr>
              <w:t>April 16,</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2018</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359"/>
              <w:spacing w:after="0"/>
              <w:rPr>
                <w:sz w:val="20"/>
                <w:szCs w:val="20"/>
                <w:color w:val="auto"/>
              </w:rPr>
            </w:pPr>
            <w:r>
              <w:rPr>
                <w:rFonts w:ascii="Arial" w:cs="Arial" w:eastAsia="Arial" w:hAnsi="Arial"/>
                <w:sz w:val="18"/>
                <w:szCs w:val="18"/>
                <w:color w:val="0000FF"/>
              </w:rPr>
              <w:t>1,750</w:t>
            </w:r>
          </w:p>
        </w:tc>
        <w:tc>
          <w:tcPr>
            <w:tcW w:w="340" w:type="dxa"/>
            <w:vAlign w:val="bottom"/>
          </w:tcPr>
          <w:p>
            <w:pPr>
              <w:spacing w:after="0"/>
              <w:rPr>
                <w:sz w:val="23"/>
                <w:szCs w:val="23"/>
                <w:color w:val="auto"/>
              </w:rPr>
            </w:pPr>
          </w:p>
        </w:tc>
        <w:tc>
          <w:tcPr>
            <w:tcW w:w="520" w:type="dxa"/>
            <w:vAlign w:val="bottom"/>
          </w:tcPr>
          <w:p>
            <w:pPr>
              <w:spacing w:after="0"/>
              <w:rPr>
                <w:sz w:val="20"/>
                <w:szCs w:val="20"/>
                <w:color w:val="auto"/>
              </w:rPr>
            </w:pPr>
            <w:r>
              <w:rPr>
                <w:rFonts w:ascii="Arial" w:cs="Arial" w:eastAsia="Arial" w:hAnsi="Arial"/>
                <w:sz w:val="18"/>
                <w:szCs w:val="18"/>
                <w:color w:val="0000FF"/>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20" w:type="dxa"/>
            <w:vAlign w:val="bottom"/>
            <w:tcBorders>
              <w:bottom w:val="single" w:sz="8" w:color="2C2C2C"/>
            </w:tcBorders>
            <w:gridSpan w:val="8"/>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340" w:type="dxa"/>
            <w:vAlign w:val="bottom"/>
            <w:gridSpan w:val="10"/>
          </w:tcPr>
          <w:p>
            <w:pPr>
              <w:ind w:left="4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6"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by an automatic sale pursuant to a Rule 10b5-1 trading plan adopted by the Reporting Person on June 14, 2022.</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pooled and sold in multiple transactions at prices ranging from $20.00 to $20.06.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is the trustee of the Bobak Azamian Living Trust, established April 16, 2018 and has voting and dispositive power with respect to these shares.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Jeffrey Farrow, Attorney-</w:t>
            </w: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06/12/2023</w:t>
            </w:r>
          </w:p>
        </w:tc>
        <w:tc>
          <w:tcPr>
            <w:tcW w:w="0" w:type="dxa"/>
            <w:vAlign w:val="bottom"/>
          </w:tcPr>
          <w:p>
            <w:pPr>
              <w:spacing w:after="0"/>
              <w:rPr>
                <w:sz w:val="1"/>
                <w:szCs w:val="1"/>
                <w:color w:val="auto"/>
              </w:rPr>
            </w:pPr>
          </w:p>
        </w:tc>
      </w:tr>
      <w:tr>
        <w:trPr>
          <w:trHeight w:val="88"/>
        </w:trPr>
        <w:tc>
          <w:tcPr>
            <w:tcW w:w="20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2023-06-12T16:45:19Z</dcterms:created>
  <dcterms:modified xsi:type="dcterms:W3CDTF">2023-06-12T16:45:19Z</dcterms:modified>
</cp:coreProperties>
</file>