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10, 2022</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060" w:type="dxa"/>
            <w:vAlign w:val="bottom"/>
          </w:tcPr>
          <w:p>
            <w:pPr>
              <w:jc w:val="center"/>
              <w:ind w:right="588"/>
              <w:spacing w:after="0"/>
              <w:rPr>
                <w:sz w:val="20"/>
                <w:szCs w:val="20"/>
                <w:color w:val="auto"/>
              </w:rPr>
            </w:pPr>
            <w:r>
              <w:rPr>
                <w:rFonts w:ascii="Arial" w:cs="Arial" w:eastAsia="Arial" w:hAnsi="Arial"/>
                <w:sz w:val="16"/>
                <w:szCs w:val="16"/>
                <w:b w:val="1"/>
                <w:bCs w:val="1"/>
                <w:color w:val="auto"/>
                <w:w w:val="91"/>
              </w:rPr>
              <w:t>Delaware</w:t>
            </w:r>
          </w:p>
        </w:tc>
        <w:tc>
          <w:tcPr>
            <w:tcW w:w="2920" w:type="dxa"/>
            <w:vAlign w:val="bottom"/>
            <w:vMerge w:val="restart"/>
          </w:tcPr>
          <w:p>
            <w:pPr>
              <w:jc w:val="right"/>
              <w:ind w:right="1088"/>
              <w:spacing w:after="0"/>
              <w:rPr>
                <w:sz w:val="20"/>
                <w:szCs w:val="20"/>
                <w:color w:val="auto"/>
              </w:rPr>
            </w:pPr>
            <w:r>
              <w:rPr>
                <w:rFonts w:ascii="Arial" w:cs="Arial" w:eastAsia="Arial" w:hAnsi="Arial"/>
                <w:sz w:val="16"/>
                <w:szCs w:val="16"/>
                <w:b w:val="1"/>
                <w:bCs w:val="1"/>
                <w:color w:val="auto"/>
              </w:rPr>
              <w:t>001-39614</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tcPr>
          <w:p>
            <w:pPr>
              <w:jc w:val="center"/>
              <w:ind w:right="58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292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Stock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May 10, 2022, Tarsus Pharmaceuticals, Inc. (the “Company”) issued a press release, which, among other matters, sets forth the Company’s results of operations for the three months ended March 31, 2022. A copy of the press release is attached hereto as Exhibit 99.1 and is incorporated herein by reference.</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8"/>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12, 2022</w:t>
              </w:r>
            </w:hyperlink>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1680" w:val="left"/>
          <w:tab w:leader="none" w:pos="3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2022</w:t>
      </w:r>
      <w:r>
        <w:rPr>
          <w:sz w:val="20"/>
          <w:szCs w:val="20"/>
          <w:color w:val="auto"/>
        </w:rPr>
        <w:tab/>
      </w:r>
      <w:r>
        <w:rPr>
          <w:rFonts w:ascii="Arial" w:cs="Arial" w:eastAsia="Arial" w:hAnsi="Arial"/>
          <w:sz w:val="16"/>
          <w:szCs w:val="16"/>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23495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Leonard M. Greenstein</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Reports First Quarter 2022 Financial Results and Recent Business Achievements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TP-03 for the treatment of Demodex blepharitis met all endpoints in the Saturn-2 Phase 3 trial; anticipated NDA submission in the second half of this year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Cash runway expected into at least 2026</w:t>
      </w:r>
    </w:p>
    <w:p>
      <w:pPr>
        <w:spacing w:after="0" w:line="200" w:lineRule="exact"/>
        <w:rPr>
          <w:sz w:val="20"/>
          <w:szCs w:val="20"/>
          <w:color w:val="auto"/>
        </w:rPr>
      </w:pPr>
    </w:p>
    <w:p>
      <w:pPr>
        <w:spacing w:after="0" w:line="27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b w:val="1"/>
          <w:bCs w:val="1"/>
          <w:color w:val="auto"/>
        </w:rPr>
        <w:t xml:space="preserve">IRVINE, Calif., May 10, 2022 (GLOBE NEWSWIRE) </w:t>
      </w:r>
      <w:r>
        <w:rPr>
          <w:rFonts w:ascii="Arial" w:cs="Arial" w:eastAsia="Arial" w:hAnsi="Arial"/>
          <w:sz w:val="18"/>
          <w:szCs w:val="18"/>
          <w:color w:val="auto"/>
        </w:rPr>
        <w:t>-- Tarsus Pharmaceuticals, Inc. (NASDAQ: TARS), whose mission is to focus on unmet needs</w:t>
      </w:r>
      <w:r>
        <w:rPr>
          <w:rFonts w:ascii="Arial" w:cs="Arial" w:eastAsia="Arial" w:hAnsi="Arial"/>
          <w:sz w:val="18"/>
          <w:szCs w:val="18"/>
          <w:b w:val="1"/>
          <w:bCs w:val="1"/>
          <w:color w:val="auto"/>
        </w:rPr>
        <w:t xml:space="preserve"> </w:t>
      </w:r>
      <w:r>
        <w:rPr>
          <w:rFonts w:ascii="Arial" w:cs="Arial" w:eastAsia="Arial" w:hAnsi="Arial"/>
          <w:sz w:val="18"/>
          <w:szCs w:val="18"/>
          <w:color w:val="auto"/>
        </w:rPr>
        <w:t>and apply proven science and new technology to revolutionize treatment for eye diseases, today announced financial results for the first quarter ended March 31, 2022, and recent business achievements.</w:t>
      </w:r>
    </w:p>
    <w:p>
      <w:pPr>
        <w:spacing w:after="0" w:line="21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“In the first quarter, we took important steps towards becoming a leading eye care pharmaceutical company. We reported strong and consistent Saturn-2 data, further validating the safety and efficacy of TP-03 and positioning it as the definitive standard of care for millions of patients who suffer from </w:t>
      </w:r>
      <w:r>
        <w:rPr>
          <w:rFonts w:ascii="Arial" w:cs="Arial" w:eastAsia="Arial" w:hAnsi="Arial"/>
          <w:sz w:val="18"/>
          <w:szCs w:val="18"/>
          <w:i w:val="1"/>
          <w:iCs w:val="1"/>
          <w:color w:val="auto"/>
        </w:rPr>
        <w:t xml:space="preserve">Demodex </w:t>
      </w:r>
      <w:r>
        <w:rPr>
          <w:rFonts w:ascii="Arial" w:cs="Arial" w:eastAsia="Arial" w:hAnsi="Arial"/>
          <w:sz w:val="18"/>
          <w:szCs w:val="18"/>
          <w:color w:val="auto"/>
        </w:rPr>
        <w:t>blepharitis,” said Bobak Azamian, M.D., Ph.D., President and Chief Executive Officer of Tarsus. “We also further strengthened our 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 $76 million public offering earlier this month. These proceeds, along with our other cash resources and expected commercialization of TP-03, are anticipated to bridge our company into profitability.”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Corporate Update</w:t>
      </w:r>
    </w:p>
    <w:p>
      <w:pPr>
        <w:spacing w:after="0" w:line="270" w:lineRule="exact"/>
        <w:rPr>
          <w:sz w:val="20"/>
          <w:szCs w:val="20"/>
          <w:color w:val="auto"/>
        </w:rPr>
      </w:pPr>
    </w:p>
    <w:p>
      <w:pPr>
        <w:ind w:left="660" w:right="1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 xml:space="preserve">TP-03 met the primary and all secondary endpoints, resolved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blepharitis (DB) and was safe and well-tolerated in Saturn-2 Phase 3, the second and final pivotal trial</w:t>
      </w:r>
    </w:p>
    <w:p>
      <w:pPr>
        <w:spacing w:after="0" w:line="1" w:lineRule="exact"/>
        <w:rPr>
          <w:rFonts w:ascii="Arial" w:cs="Arial" w:eastAsia="Arial" w:hAnsi="Arial"/>
          <w:sz w:val="22"/>
          <w:szCs w:val="22"/>
          <w:color w:val="auto"/>
        </w:rPr>
      </w:pPr>
    </w:p>
    <w:p>
      <w:pPr>
        <w:ind w:left="1300" w:hanging="320"/>
        <w:spacing w:after="0" w:line="232" w:lineRule="auto"/>
        <w:tabs>
          <w:tab w:leader="none" w:pos="1296" w:val="left"/>
        </w:tabs>
        <w:numPr>
          <w:ilvl w:val="1"/>
          <w:numId w:val="2"/>
        </w:numPr>
        <w:rPr>
          <w:rFonts w:ascii="Arial" w:cs="Arial" w:eastAsia="Arial" w:hAnsi="Arial"/>
          <w:sz w:val="22"/>
          <w:szCs w:val="22"/>
          <w:color w:val="auto"/>
        </w:rPr>
      </w:pPr>
      <w:r>
        <w:rPr>
          <w:rFonts w:ascii="Arial" w:cs="Arial" w:eastAsia="Arial" w:hAnsi="Arial"/>
          <w:sz w:val="18"/>
          <w:szCs w:val="18"/>
          <w:color w:val="auto"/>
        </w:rPr>
        <w:t xml:space="preserve">Primary endpoint: </w:t>
      </w:r>
      <w:r>
        <w:rPr>
          <w:rFonts w:ascii="Arial" w:cs="Arial" w:eastAsia="Arial" w:hAnsi="Arial"/>
          <w:sz w:val="18"/>
          <w:szCs w:val="18"/>
          <w:i w:val="1"/>
          <w:iCs w:val="1"/>
          <w:color w:val="auto"/>
        </w:rPr>
        <w:t>Demodex</w:t>
      </w:r>
      <w:r>
        <w:rPr>
          <w:rFonts w:ascii="Arial" w:cs="Arial" w:eastAsia="Arial" w:hAnsi="Arial"/>
          <w:sz w:val="18"/>
          <w:szCs w:val="18"/>
          <w:color w:val="auto"/>
        </w:rPr>
        <w:t xml:space="preserve"> complete collarette cure was achieved by 56% of patients on TP-03, compared to 13% on vehicle (p&lt;0.0001) on day 43</w:t>
      </w:r>
    </w:p>
    <w:p>
      <w:pPr>
        <w:ind w:left="1960" w:right="120" w:hanging="332"/>
        <w:spacing w:after="0" w:line="232" w:lineRule="auto"/>
        <w:tabs>
          <w:tab w:leader="none" w:pos="1956" w:val="left"/>
        </w:tabs>
        <w:numPr>
          <w:ilvl w:val="2"/>
          <w:numId w:val="2"/>
        </w:numPr>
        <w:rPr>
          <w:rFonts w:ascii="Arial" w:cs="Arial" w:eastAsia="Arial" w:hAnsi="Arial"/>
          <w:sz w:val="22"/>
          <w:szCs w:val="22"/>
          <w:color w:val="auto"/>
        </w:rPr>
      </w:pPr>
      <w:r>
        <w:rPr>
          <w:rFonts w:ascii="Arial" w:cs="Arial" w:eastAsia="Arial" w:hAnsi="Arial"/>
          <w:sz w:val="18"/>
          <w:szCs w:val="18"/>
          <w:color w:val="auto"/>
        </w:rPr>
        <w:t>Additionally, 89% of patients achieved a significant, clinically meaningful collarette cure compared to 33% of those on vehicle (p&lt;0.0001)</w:t>
      </w:r>
    </w:p>
    <w:p>
      <w:pPr>
        <w:ind w:left="1300" w:hanging="320"/>
        <w:spacing w:after="0" w:line="217"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Secondary endpoints:</w:t>
      </w:r>
    </w:p>
    <w:p>
      <w:pPr>
        <w:spacing w:after="0" w:line="10" w:lineRule="exact"/>
        <w:rPr>
          <w:rFonts w:ascii="Arial" w:cs="Arial" w:eastAsia="Arial" w:hAnsi="Arial"/>
          <w:sz w:val="22"/>
          <w:szCs w:val="22"/>
          <w:color w:val="auto"/>
        </w:rPr>
      </w:pPr>
    </w:p>
    <w:p>
      <w:pPr>
        <w:ind w:left="1940" w:hanging="312"/>
        <w:spacing w:after="0" w:line="221" w:lineRule="auto"/>
        <w:tabs>
          <w:tab w:leader="none" w:pos="1940" w:val="left"/>
        </w:tabs>
        <w:numPr>
          <w:ilvl w:val="2"/>
          <w:numId w:val="2"/>
        </w:numPr>
        <w:rPr>
          <w:rFonts w:ascii="Arial" w:cs="Arial" w:eastAsia="Arial" w:hAnsi="Arial"/>
          <w:sz w:val="22"/>
          <w:szCs w:val="22"/>
          <w:color w:val="auto"/>
        </w:rPr>
      </w:pPr>
      <w:r>
        <w:rPr>
          <w:rFonts w:ascii="Arial" w:cs="Arial" w:eastAsia="Arial" w:hAnsi="Arial"/>
          <w:sz w:val="18"/>
          <w:szCs w:val="18"/>
          <w:color w:val="auto"/>
        </w:rPr>
        <w:t>Mite eradication was achieved by 52% of patients on TP-03, compared to 14% on vehicle (p&lt;0.0001) on day 43</w:t>
      </w:r>
    </w:p>
    <w:p>
      <w:pPr>
        <w:spacing w:after="0" w:line="12" w:lineRule="exact"/>
        <w:rPr>
          <w:rFonts w:ascii="Arial" w:cs="Arial" w:eastAsia="Arial" w:hAnsi="Arial"/>
          <w:sz w:val="22"/>
          <w:szCs w:val="22"/>
          <w:color w:val="auto"/>
        </w:rPr>
      </w:pPr>
    </w:p>
    <w:p>
      <w:pPr>
        <w:ind w:left="1960" w:right="280" w:hanging="332"/>
        <w:spacing w:after="0" w:line="232" w:lineRule="auto"/>
        <w:tabs>
          <w:tab w:leader="none" w:pos="1956" w:val="left"/>
        </w:tabs>
        <w:numPr>
          <w:ilvl w:val="2"/>
          <w:numId w:val="2"/>
        </w:numPr>
        <w:rPr>
          <w:rFonts w:ascii="Arial" w:cs="Arial" w:eastAsia="Arial" w:hAnsi="Arial"/>
          <w:sz w:val="22"/>
          <w:szCs w:val="22"/>
          <w:color w:val="auto"/>
        </w:rPr>
      </w:pPr>
      <w:r>
        <w:rPr>
          <w:rFonts w:ascii="Arial" w:cs="Arial" w:eastAsia="Arial" w:hAnsi="Arial"/>
          <w:sz w:val="18"/>
          <w:szCs w:val="18"/>
          <w:color w:val="auto"/>
        </w:rPr>
        <w:t>Complete lid erythema (redness) cure in 31.1% of patients on TP-03, compared to 9.0% of patients on vehicle (p&lt;0.0001) on day 43</w:t>
      </w:r>
    </w:p>
    <w:p>
      <w:pPr>
        <w:spacing w:after="0" w:line="1" w:lineRule="exact"/>
        <w:rPr>
          <w:rFonts w:ascii="Arial" w:cs="Arial" w:eastAsia="Arial" w:hAnsi="Arial"/>
          <w:sz w:val="22"/>
          <w:szCs w:val="22"/>
          <w:color w:val="auto"/>
        </w:rPr>
      </w:pPr>
    </w:p>
    <w:p>
      <w:pPr>
        <w:ind w:left="1960" w:right="140" w:hanging="332"/>
        <w:spacing w:after="0" w:line="232" w:lineRule="auto"/>
        <w:tabs>
          <w:tab w:leader="none" w:pos="1956" w:val="left"/>
        </w:tabs>
        <w:numPr>
          <w:ilvl w:val="2"/>
          <w:numId w:val="2"/>
        </w:numPr>
        <w:rPr>
          <w:rFonts w:ascii="Arial" w:cs="Arial" w:eastAsia="Arial" w:hAnsi="Arial"/>
          <w:sz w:val="22"/>
          <w:szCs w:val="22"/>
          <w:color w:val="auto"/>
        </w:rPr>
      </w:pPr>
      <w:r>
        <w:rPr>
          <w:rFonts w:ascii="Arial" w:cs="Arial" w:eastAsia="Arial" w:hAnsi="Arial"/>
          <w:sz w:val="18"/>
          <w:szCs w:val="18"/>
          <w:color w:val="auto"/>
        </w:rPr>
        <w:t>Complete composite cure in 19.2% of patients on TP-03, based on achieving both collarette cure and erythema cure, compared to 4.0% on vehicle (p&lt;0.0001) on day 43</w:t>
      </w:r>
    </w:p>
    <w:p>
      <w:pPr>
        <w:ind w:left="1300" w:hanging="320"/>
        <w:spacing w:after="0" w:line="228" w:lineRule="auto"/>
        <w:tabs>
          <w:tab w:leader="none" w:pos="1300" w:val="left"/>
        </w:tabs>
        <w:numPr>
          <w:ilvl w:val="1"/>
          <w:numId w:val="2"/>
        </w:numPr>
        <w:rPr>
          <w:rFonts w:ascii="Arial" w:cs="Arial" w:eastAsia="Arial" w:hAnsi="Arial"/>
          <w:sz w:val="21"/>
          <w:szCs w:val="21"/>
          <w:color w:val="auto"/>
        </w:rPr>
      </w:pPr>
      <w:r>
        <w:rPr>
          <w:rFonts w:ascii="Arial" w:cs="Arial" w:eastAsia="Arial" w:hAnsi="Arial"/>
          <w:sz w:val="17"/>
          <w:szCs w:val="17"/>
          <w:color w:val="auto"/>
        </w:rPr>
        <w:t>Safety Profile: TP-03 was well-tolerated with no serious treatment-related adverse events and a safety profile similar to Saturn-1</w:t>
      </w:r>
    </w:p>
    <w:p>
      <w:pPr>
        <w:spacing w:after="0" w:line="255" w:lineRule="exact"/>
        <w:rPr>
          <w:rFonts w:ascii="Arial" w:cs="Arial" w:eastAsia="Arial" w:hAnsi="Arial"/>
          <w:sz w:val="21"/>
          <w:szCs w:val="21"/>
          <w:color w:val="auto"/>
        </w:rPr>
      </w:pPr>
    </w:p>
    <w:p>
      <w:pPr>
        <w:ind w:left="660" w:right="1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Presented data from Atlas Continuation and Pandora studies at multiple medical meetings demonstrating the negative impact and clinical burden of DB on patients</w:t>
      </w:r>
    </w:p>
    <w:p>
      <w:pPr>
        <w:sectPr>
          <w:pgSz w:w="11900" w:h="16838" w:orient="portrait"/>
          <w:cols w:equalWidth="0" w:num="1">
            <w:col w:w="11220"/>
          </w:cols>
          <w:pgMar w:left="320" w:top="1440" w:right="359" w:bottom="1440" w:gutter="0" w:footer="0" w:header="0"/>
        </w:sectPr>
      </w:pPr>
    </w:p>
    <w:bookmarkStart w:id="4" w:name="page5"/>
    <w:bookmarkEnd w:id="4"/>
    <w:p>
      <w:pPr>
        <w:spacing w:after="0" w:line="9" w:lineRule="exact"/>
        <w:rPr>
          <w:sz w:val="20"/>
          <w:szCs w:val="20"/>
          <w:color w:val="auto"/>
        </w:rPr>
      </w:pPr>
    </w:p>
    <w:p>
      <w:pPr>
        <w:ind w:left="1300" w:right="80" w:hanging="320"/>
        <w:spacing w:after="0" w:line="23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Atlas Continuation Study: consistent results with original Atlas study showing nearly 80% of DB patients reporting a negative impact on daily life</w:t>
      </w:r>
    </w:p>
    <w:p>
      <w:pPr>
        <w:spacing w:after="0" w:line="1" w:lineRule="exact"/>
        <w:rPr>
          <w:rFonts w:ascii="Arial" w:cs="Arial" w:eastAsia="Arial" w:hAnsi="Arial"/>
          <w:sz w:val="22"/>
          <w:szCs w:val="22"/>
          <w:color w:val="auto"/>
        </w:rPr>
      </w:pPr>
    </w:p>
    <w:p>
      <w:pPr>
        <w:ind w:left="1300" w:right="100" w:hanging="320"/>
        <w:spacing w:after="0" w:line="23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Pandora preliminary findings show that DB patients have more bacterial strains on their eyelids which can lead to sub-optimal outcomes for surgical patients and contact lens users</w:t>
      </w:r>
    </w:p>
    <w:p>
      <w:pPr>
        <w:spacing w:after="0" w:line="243"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Advanced TP-05, a novel, oral, non-vaccine potential therapeutic for the prevention of Lyme disease, in the Callisto Phase 1b trial, with data expected in the second half of 2022</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1"/>
          <w:numId w:val="3"/>
        </w:numPr>
        <w:rPr>
          <w:rFonts w:ascii="Arial" w:cs="Arial" w:eastAsia="Arial" w:hAnsi="Arial"/>
          <w:sz w:val="19"/>
          <w:szCs w:val="19"/>
          <w:color w:val="auto"/>
        </w:rPr>
      </w:pPr>
      <w:r>
        <w:rPr>
          <w:rFonts w:ascii="Arial" w:cs="Arial" w:eastAsia="Arial" w:hAnsi="Arial"/>
          <w:sz w:val="16"/>
          <w:szCs w:val="16"/>
          <w:color w:val="auto"/>
        </w:rPr>
        <w:t>Callisto is a single and multiple ascending dose trial to evaluate safety, tolerability and pharmacokinetics of TP-05 in healthy volunteers</w:t>
      </w:r>
    </w:p>
    <w:p>
      <w:pPr>
        <w:spacing w:after="0" w:line="23" w:lineRule="exact"/>
        <w:rPr>
          <w:rFonts w:ascii="Arial" w:cs="Arial" w:eastAsia="Arial" w:hAnsi="Arial"/>
          <w:sz w:val="19"/>
          <w:szCs w:val="19"/>
          <w:color w:val="auto"/>
        </w:rPr>
      </w:pPr>
    </w:p>
    <w:p>
      <w:pPr>
        <w:ind w:left="1300" w:right="60" w:hanging="320"/>
        <w:spacing w:after="0" w:line="23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There are approximately 80 million people in the U.S. at risk for Lyme disease exposure, more than 30 million of which are at moderate-to-high risk, which can result in severe neurological and other debilitating symptoms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Cash runway expected into at least 2026</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$175 million of cash as of March 31, 2022, and $71 million net follow-on equity raise completed in May 2022</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$30 million in expected milestones in 2022 and $15 million expected in 2024 from China out-license</w:t>
      </w:r>
    </w:p>
    <w:p>
      <w:pPr>
        <w:spacing w:after="0" w:line="12" w:lineRule="exact"/>
        <w:rPr>
          <w:rFonts w:ascii="Arial" w:cs="Arial" w:eastAsia="Arial" w:hAnsi="Arial"/>
          <w:sz w:val="22"/>
          <w:szCs w:val="22"/>
          <w:color w:val="auto"/>
        </w:rPr>
      </w:pPr>
    </w:p>
    <w:p>
      <w:pPr>
        <w:ind w:left="1300" w:hanging="320"/>
        <w:spacing w:after="0" w:line="232"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18"/>
          <w:szCs w:val="18"/>
          <w:color w:val="auto"/>
        </w:rPr>
        <w:t>$80 million of credit facility availability through the potential FDA approval of TP-03, $50 million upon achievement of certain quarterly revenue thresholds and $25 million available with lender approval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2022 Milestones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Program</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Anticipated Indication</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H1 2022</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H2 2022</w:t>
            </w:r>
          </w:p>
        </w:tc>
      </w:tr>
      <w:tr>
        <w:trPr>
          <w:trHeight w:val="26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Topline Pivotal Data (Saturn-2)</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 xml:space="preserve">Demodex </w:t>
            </w:r>
            <w:r>
              <w:rPr>
                <w:rFonts w:ascii="Arial" w:cs="Arial" w:eastAsia="Arial" w:hAnsi="Arial"/>
                <w:sz w:val="20"/>
                <w:szCs w:val="20"/>
                <w:color w:val="auto"/>
                <w:w w:val="89"/>
              </w:rPr>
              <w:t>blepharitis</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Initiate Phase 2 (Ersa)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Meibomian Gland Disease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80" w:type="dxa"/>
            <w:vAlign w:val="bottom"/>
            <w:tcBorders>
              <w:bottom w:val="single" w:sz="8" w:color="auto"/>
              <w:right w:val="single" w:sz="8" w:color="auto"/>
            </w:tcBorders>
          </w:tcPr>
          <w:p>
            <w:pPr>
              <w:spacing w:after="0"/>
              <w:rPr>
                <w:sz w:val="22"/>
                <w:szCs w:val="22"/>
                <w:color w:val="auto"/>
              </w:rPr>
            </w:pP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TP-05</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Initiate Ph2a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Lyme disease prevention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80" w:type="dxa"/>
            <w:vAlign w:val="bottom"/>
            <w:tcBorders>
              <w:bottom w:val="single" w:sz="8" w:color="auto"/>
              <w:right w:val="single" w:sz="8" w:color="auto"/>
            </w:tcBorders>
          </w:tcPr>
          <w:p>
            <w:pPr>
              <w:spacing w:after="0"/>
              <w:rPr>
                <w:sz w:val="22"/>
                <w:szCs w:val="22"/>
                <w:color w:val="auto"/>
              </w:rPr>
            </w:pP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NDA Submission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 xml:space="preserve">Demodex </w:t>
            </w:r>
            <w:r>
              <w:rPr>
                <w:rFonts w:ascii="Arial" w:cs="Arial" w:eastAsia="Arial" w:hAnsi="Arial"/>
                <w:sz w:val="20"/>
                <w:szCs w:val="20"/>
                <w:color w:val="auto"/>
                <w:w w:val="89"/>
              </w:rPr>
              <w:t>blepharitis</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TP-04</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Initiate Phase 2 (Galatea)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Rosacea</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TP-05</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Phase 1b Data (Callisto)</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Lyme disease prevention</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TP-03</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Initiate Phase 3 trial in China</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i w:val="1"/>
                <w:iCs w:val="1"/>
                <w:color w:val="auto"/>
                <w:w w:val="89"/>
              </w:rPr>
              <w:t xml:space="preserve">Demodex </w:t>
            </w:r>
            <w:r>
              <w:rPr>
                <w:rFonts w:ascii="Arial" w:cs="Arial" w:eastAsia="Arial" w:hAnsi="Arial"/>
                <w:sz w:val="20"/>
                <w:szCs w:val="20"/>
                <w:color w:val="auto"/>
                <w:w w:val="89"/>
              </w:rPr>
              <w:t>blepharitis</w:t>
            </w: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227"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net loss for 2022 was $20.2 million, compared to net income of $10.4 million for the same period in 2021</w:t>
      </w:r>
    </w:p>
    <w:p>
      <w:pPr>
        <w:ind w:left="660" w:right="300" w:hanging="328"/>
        <w:spacing w:after="0" w:line="21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2022 license fee and collaboration revenue, as part of the strategic partnership with LianBio, was $0.5 million, compared to $33.4 million for the same period in 2021</w:t>
      </w:r>
    </w:p>
    <w:p>
      <w:pPr>
        <w:ind w:left="660" w:right="20" w:hanging="328"/>
        <w:spacing w:after="0" w:line="219"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research and development expenses for 2022 were $12.1 million (inclusive of stock-based compensation of $0.7 million), compared to $16.3 million for the same period in 2021</w:t>
      </w:r>
    </w:p>
    <w:p>
      <w:pPr>
        <w:ind w:left="660" w:right="80" w:hanging="328"/>
        <w:spacing w:after="0" w:line="219"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general and administrative expenses for 2022 were $7.9 million (inclusive of stock-based compensation of $2.0 million), compared to $5.2 million for the same period in 2021</w:t>
      </w:r>
    </w:p>
    <w:p>
      <w:pPr>
        <w:ind w:left="560" w:hanging="228"/>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March 31, 2022, cash, cash equivalents and marketable securities were $175.3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Tarsus Pharmaceuticals, Inc. applies proven science and new technology to revolutionize treatment for patients, starting with eye care. Tarsus is advancing its pipeline to address several diseases with high unmet need across a</w:t>
      </w:r>
    </w:p>
    <w:p>
      <w:pPr>
        <w:sectPr>
          <w:pgSz w:w="11900" w:h="16838" w:orient="portrait"/>
          <w:cols w:equalWidth="0" w:num="1">
            <w:col w:w="11220"/>
          </w:cols>
          <w:pgMar w:left="320" w:top="1440" w:right="35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t xml:space="preserve">range of therapeutic categories, including eye care, dermatology, and infectious disease prevention. Tarsus is studying two investigational medicines in clinical trials. Its lead product candidate, TP-03, is a novel therapeutic which has demonstrated positive results in two pivotal trials for the treatment of </w:t>
      </w:r>
      <w:r>
        <w:rPr>
          <w:rFonts w:ascii="Arial" w:cs="Arial" w:eastAsia="Arial" w:hAnsi="Arial"/>
          <w:sz w:val="17"/>
          <w:szCs w:val="17"/>
          <w:i w:val="1"/>
          <w:iCs w:val="1"/>
          <w:color w:val="auto"/>
        </w:rPr>
        <w:t xml:space="preserve">Demodex </w:t>
      </w:r>
      <w:r>
        <w:rPr>
          <w:rFonts w:ascii="Arial" w:cs="Arial" w:eastAsia="Arial" w:hAnsi="Arial"/>
          <w:sz w:val="17"/>
          <w:szCs w:val="17"/>
          <w:color w:val="auto"/>
        </w:rPr>
        <w:t>blepharitis. TP-03 is also being developed for the treatment of Meibomian Gland Disease. In addition, Tarsus is developing TP-05, an oral, non-vaccine therapeutic for the prevention of Lyme disease, which is currently being studied in a Phase 1b clinical trial.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These statements include statements regarding the receipt by Tarsus of future payments and achievement and timing of milestones under the terms of the collaboration with LianBio, the ability of LianBio to commercialize TP-03 in the Greater China territory, the market size for TP-03 and TP-05, future events and Tarsus’ plans for and the anticipated benefits of its product candidates including TP-03, TP-04 and TP-05, the timing, objectives and results of the clinical trials,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healthcare professionals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as well as TP-05 for the treatment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2021 filed on March 14, 2022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ectPr>
          <w:pgSz w:w="11900" w:h="16838" w:orient="portrait"/>
          <w:cols w:equalWidth="0" w:num="1">
            <w:col w:w="11240"/>
          </w:cols>
          <w:pgMar w:left="320" w:top="1421"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Adrienne Kemp</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Sr. Director, Corporate Communications</w:t>
      </w:r>
    </w:p>
    <w:p>
      <w:pPr>
        <w:spacing w:after="0" w:line="86" w:lineRule="exact"/>
        <w:rPr>
          <w:sz w:val="20"/>
          <w:szCs w:val="20"/>
          <w:color w:val="auto"/>
        </w:rPr>
      </w:pPr>
    </w:p>
    <w:p>
      <w:pPr>
        <w:ind w:right="8459" w:firstLine="6"/>
        <w:spacing w:after="0" w:line="412"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922-0801 AKemp@tarsusrx.com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David Nakasone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50" w:lineRule="exact"/>
        <w:rPr>
          <w:sz w:val="20"/>
          <w:szCs w:val="20"/>
          <w:color w:val="auto"/>
        </w:rPr>
      </w:pPr>
    </w:p>
    <w:p>
      <w:pPr>
        <w:ind w:right="8179" w:firstLine="6"/>
        <w:spacing w:after="0" w:line="359"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620-3223 DNakasone@tarsusrx.com</w:t>
      </w:r>
    </w:p>
    <w:p>
      <w:pPr>
        <w:sectPr>
          <w:pgSz w:w="11900" w:h="16838" w:orient="portrait"/>
          <w:cols w:equalWidth="0" w:num="1">
            <w:col w:w="10119"/>
          </w:cols>
          <w:pgMar w:left="340" w:top="1440" w:right="1440" w:bottom="1440" w:gutter="0" w:footer="0" w:header="0"/>
        </w:sectPr>
      </w:pPr>
    </w:p>
    <w:bookmarkStart w:id="7" w:name="page8"/>
    <w:bookmarkEnd w:id="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STATEMENTS OF OPERATIONS AND COMPREHENSIVE (LOSS) INCOME (In thousands, except share and per share amounts) (unaudited)</w:t>
      </w:r>
    </w:p>
    <w:p>
      <w:pPr>
        <w:spacing w:after="0" w:line="22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License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33,311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33,432</w:t>
            </w:r>
          </w:p>
        </w:tc>
        <w:tc>
          <w:tcPr>
            <w:tcW w:w="0" w:type="dxa"/>
            <w:vAlign w:val="bottom"/>
          </w:tcPr>
          <w:p>
            <w:pPr>
              <w:spacing w:after="0"/>
              <w:rPr>
                <w:sz w:val="1"/>
                <w:szCs w:val="1"/>
                <w:color w:val="auto"/>
              </w:rPr>
            </w:pP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Cost of license fees and collaboration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22,718</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income from operations before other (expense) income and income taxes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w:t>
            </w:r>
          </w:p>
        </w:tc>
        <w:tc>
          <w:tcPr>
            <w:tcW w:w="0" w:type="dxa"/>
            <w:vAlign w:val="bottom"/>
          </w:tcPr>
          <w:p>
            <w:pPr>
              <w:spacing w:after="0"/>
              <w:rPr>
                <w:sz w:val="1"/>
                <w:szCs w:val="1"/>
                <w:color w:val="auto"/>
              </w:rPr>
            </w:pP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Interest (expense)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Unrealized loss on equity securities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equity warrants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Net (loss) income and comprehensive (loss)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(loss) income per share,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 basic</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20,710,224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20,336,022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outstanding,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20,710,224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21,824,574</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7"/>
        </w:trPr>
        <w:tc>
          <w:tcPr>
            <w:tcW w:w="8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171,332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178,755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175,952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181,483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Debt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32,286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12,177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w:t>
            </w:r>
            <w:r>
              <w:rPr>
                <w:rFonts w:ascii="Arial" w:cs="Arial" w:eastAsia="Arial" w:hAnsi="Arial"/>
                <w:sz w:val="16"/>
                <w:szCs w:val="16"/>
                <w:b w:val="1"/>
                <w:bCs w:val="1"/>
                <w:i w:val="1"/>
                <w:iCs w:val="1"/>
                <w:color w:val="auto"/>
              </w:rPr>
              <w:t>Note 8</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0"/>
              </w:rPr>
              <w:t>Preferred stock, $0.0001 par value; 10,000,000 authorized; no shares issued and outstanding at March 31, 2022 and December 31,</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$0.0001 par value; 200,000,000 shares authorized; 20,731,062 shares issued and 20,718,528 outstanding, which</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0"/>
              <w:spacing w:after="0" w:line="162" w:lineRule="exact"/>
              <w:rPr>
                <w:sz w:val="20"/>
                <w:szCs w:val="20"/>
                <w:color w:val="auto"/>
              </w:rPr>
            </w:pPr>
            <w:r>
              <w:rPr>
                <w:rFonts w:ascii="Arial" w:cs="Arial" w:eastAsia="Arial" w:hAnsi="Arial"/>
                <w:sz w:val="16"/>
                <w:szCs w:val="16"/>
                <w:color w:val="auto"/>
                <w:w w:val="98"/>
              </w:rPr>
              <w:t>excludes 12,534 shares subject to repurchase at March 31, 2022 (unaudited); 20,726,580 shares issued and 20,698,737</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outstanding, which excludes 27,840 shares subject to repurchase at December 31, 2021</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213,398</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(46,672)</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149,197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181,483</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178,907</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49"/>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2022-05-10T15:37:10Z</dcterms:created>
  <dcterms:modified xsi:type="dcterms:W3CDTF">2022-05-10T15:37:10Z</dcterms:modified>
</cp:coreProperties>
</file>