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0001788542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Mottiwala Aziz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3643</w:t>
            </w:r>
          </w:p>
        </w:tc>
        <w:tc>
          <w:tcPr>
            <w:tcW w:w="1377" w:type="dxa"/>
            <w:tcBorders/>
            <w:vAlign w:val="center"/>
          </w:tcPr>
          <w:p>
            <w:pPr>
              <w:pStyle w:val="TableContents"/>
              <w:bidi w:val="0"/>
              <w:spacing w:before="0" w:after="283"/>
              <w:jc w:val="left"/>
              <w:rPr/>
            </w:pPr>
            <w:r>
              <w:rPr/>
              <w:t>168614.43</w:t>
            </w:r>
          </w:p>
        </w:tc>
        <w:tc>
          <w:tcPr>
            <w:tcW w:w="1552" w:type="dxa"/>
            <w:tcBorders/>
            <w:vAlign w:val="center"/>
          </w:tcPr>
          <w:p>
            <w:pPr>
              <w:pStyle w:val="TableContents"/>
              <w:bidi w:val="0"/>
              <w:spacing w:before="0" w:after="283"/>
              <w:jc w:val="left"/>
              <w:rPr/>
            </w:pPr>
            <w:r>
              <w:rPr/>
              <w:t>38377178</w:t>
            </w:r>
          </w:p>
        </w:tc>
        <w:tc>
          <w:tcPr>
            <w:tcW w:w="1567" w:type="dxa"/>
            <w:tcBorders/>
            <w:vAlign w:val="center"/>
          </w:tcPr>
          <w:p>
            <w:pPr>
              <w:pStyle w:val="TableContents"/>
              <w:bidi w:val="0"/>
              <w:spacing w:before="0" w:after="283"/>
              <w:jc w:val="left"/>
              <w:rPr/>
            </w:pPr>
            <w:r>
              <w:rPr/>
              <w:t>03/18/2025</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03/17/2025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3643</w:t>
            </w:r>
          </w:p>
        </w:tc>
        <w:tc>
          <w:tcPr>
            <w:tcW w:w="1046" w:type="dxa"/>
            <w:tcBorders/>
            <w:vAlign w:val="center"/>
          </w:tcPr>
          <w:p>
            <w:pPr>
              <w:pStyle w:val="TableContents"/>
              <w:bidi w:val="0"/>
              <w:spacing w:before="0" w:after="283"/>
              <w:jc w:val="left"/>
              <w:rPr/>
            </w:pPr>
            <w:r>
              <w:rPr/>
              <w:t>03/17/2025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5"/>
        <w:gridCol w:w="8470"/>
      </w:tblGrid>
      <w:tr>
        <w:trPr/>
        <w:tc>
          <w:tcPr>
            <w:tcW w:w="1735" w:type="dxa"/>
            <w:tcBorders/>
            <w:vAlign w:val="center"/>
          </w:tcPr>
          <w:p>
            <w:pPr>
              <w:pStyle w:val="TableContents"/>
              <w:bidi w:val="0"/>
              <w:spacing w:before="0" w:after="283"/>
              <w:jc w:val="left"/>
              <w:rPr/>
            </w:pPr>
            <w:r>
              <w:rPr/>
              <w:t>Remarks</w:t>
            </w:r>
          </w:p>
        </w:tc>
        <w:tc>
          <w:tcPr>
            <w:tcW w:w="8470"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35" w:type="dxa"/>
            <w:tcBorders/>
            <w:vAlign w:val="center"/>
          </w:tcPr>
          <w:p>
            <w:pPr>
              <w:pStyle w:val="TableContents"/>
              <w:bidi w:val="0"/>
              <w:spacing w:before="0" w:after="283"/>
              <w:jc w:val="left"/>
              <w:rPr/>
            </w:pPr>
            <w:r>
              <w:rPr/>
              <w:t>Date of Notice</w:t>
            </w:r>
          </w:p>
        </w:tc>
        <w:tc>
          <w:tcPr>
            <w:tcW w:w="8470" w:type="dxa"/>
            <w:tcBorders/>
            <w:vAlign w:val="center"/>
          </w:tcPr>
          <w:p>
            <w:pPr>
              <w:pStyle w:val="TableContents"/>
              <w:bidi w:val="0"/>
              <w:spacing w:before="0" w:after="0"/>
              <w:jc w:val="left"/>
              <w:rPr/>
            </w:pPr>
            <w:r>
              <w:rPr/>
              <w:t>03/18/2025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5" w:type="dxa"/>
            <w:tcBorders/>
            <w:vAlign w:val="center"/>
          </w:tcPr>
          <w:p>
            <w:pPr>
              <w:pStyle w:val="TableContents"/>
              <w:bidi w:val="0"/>
              <w:spacing w:before="0" w:after="283"/>
              <w:jc w:val="left"/>
              <w:rPr/>
            </w:pPr>
            <w:r>
              <w:rPr/>
              <w:t>Signature</w:t>
            </w:r>
          </w:p>
        </w:tc>
        <w:tc>
          <w:tcPr>
            <w:tcW w:w="8470" w:type="dxa"/>
            <w:tcBorders/>
            <w:vAlign w:val="center"/>
          </w:tcPr>
          <w:p>
            <w:pPr>
              <w:pStyle w:val="TableContents"/>
              <w:bidi w:val="0"/>
              <w:spacing w:before="0" w:after="0"/>
              <w:jc w:val="left"/>
              <w:rPr/>
            </w:pPr>
            <w:r>
              <w:rPr/>
              <w:t>/s/ Tyler Johnson, as a duly authorized representative of Fidelity Brokerage Services LLC, as attorney-in-fact for Aziz A. Mottiwala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606</Words>
  <Characters>3102</Characters>
  <CharactersWithSpaces>3653</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