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SCHEDULE 13G</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(Amendment No. 2)</w:t>
      </w:r>
      <w:r>
        <w:rPr>
          <w:rFonts w:ascii="Arial" w:cs="Arial" w:eastAsia="Arial" w:hAnsi="Arial"/>
          <w:sz w:val="18"/>
          <w:szCs w:val="18"/>
          <w:color w:val="auto"/>
        </w:rPr>
        <w:t>*</w:t>
      </w:r>
    </w:p>
    <w:p>
      <w:pPr>
        <w:spacing w:after="0" w:line="25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Tarsus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(Name of Issuer)</w:t>
      </w:r>
    </w:p>
    <w:p>
      <w:pPr>
        <w:spacing w:after="0" w:line="24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(Title of Class of Securities)</w:t>
      </w:r>
    </w:p>
    <w:p>
      <w:pPr>
        <w:spacing w:after="0" w:line="25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87650L103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14605</wp:posOffset>
            </wp:positionV>
            <wp:extent cx="42773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(CUSIP Number)</w:t>
      </w:r>
    </w:p>
    <w:p>
      <w:pPr>
        <w:spacing w:after="0" w:line="24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87"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06" w:lineRule="exact"/>
        <w:rPr>
          <w:sz w:val="24"/>
          <w:szCs w:val="24"/>
          <w:color w:val="auto"/>
        </w:rPr>
      </w:pPr>
    </w:p>
    <w:p>
      <w:pPr>
        <w:spacing w:after="0"/>
        <w:tabs>
          <w:tab w:leader="none" w:pos="460" w:val="left"/>
        </w:tabs>
        <w:rPr>
          <w:sz w:val="20"/>
          <w:szCs w:val="20"/>
          <w:color w:val="auto"/>
        </w:rPr>
      </w:pPr>
      <w:r>
        <w:rPr>
          <w:rFonts w:ascii="Arial" w:cs="Arial" w:eastAsia="Arial" w:hAnsi="Arial"/>
          <w:sz w:val="22"/>
          <w:szCs w:val="22"/>
          <w:color w:val="auto"/>
        </w:rPr>
        <w:t>[ ]</w:t>
      </w:r>
      <w:r>
        <w:rPr>
          <w:sz w:val="20"/>
          <w:szCs w:val="20"/>
          <w:color w:val="auto"/>
        </w:rPr>
        <w:tab/>
      </w:r>
      <w:r>
        <w:rPr>
          <w:rFonts w:ascii="Arial" w:cs="Arial" w:eastAsia="Arial" w:hAnsi="Arial"/>
          <w:sz w:val="19"/>
          <w:szCs w:val="19"/>
          <w:color w:val="auto"/>
        </w:rPr>
        <w:t>Rule 13d-1(b)</w:t>
      </w:r>
    </w:p>
    <w:p>
      <w:pPr>
        <w:spacing w:after="0" w:line="206" w:lineRule="exact"/>
        <w:rPr>
          <w:sz w:val="24"/>
          <w:szCs w:val="24"/>
          <w:color w:val="auto"/>
        </w:rPr>
      </w:pPr>
    </w:p>
    <w:p>
      <w:pPr>
        <w:jc w:val="both"/>
        <w:ind w:right="9460" w:firstLine="8"/>
        <w:spacing w:after="0" w:line="565" w:lineRule="auto"/>
        <w:tabs>
          <w:tab w:leader="none" w:pos="529" w:val="left"/>
        </w:tabs>
        <w:numPr>
          <w:ilvl w:val="0"/>
          <w:numId w:val="1"/>
        </w:numPr>
        <w:rPr>
          <w:rFonts w:ascii="Arial" w:cs="Arial" w:eastAsia="Arial" w:hAnsi="Arial"/>
          <w:sz w:val="19"/>
          <w:szCs w:val="19"/>
          <w:color w:val="auto"/>
        </w:rPr>
      </w:pPr>
      <w:r>
        <w:rPr>
          <w:rFonts w:ascii="Arial" w:cs="Arial" w:eastAsia="Arial" w:hAnsi="Arial"/>
          <w:sz w:val="19"/>
          <w:szCs w:val="19"/>
          <w:color w:val="auto"/>
        </w:rPr>
        <w:t>Rule 13d-1(c) [ ] Rule 13d-1(d)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22"/>
          <w:szCs w:val="22"/>
          <w:color w:val="auto"/>
        </w:rPr>
        <w:t>___________________________________</w:t>
      </w:r>
    </w:p>
    <w:p>
      <w:pPr>
        <w:spacing w:after="0" w:line="8" w:lineRule="exact"/>
        <w:rPr>
          <w:sz w:val="24"/>
          <w:szCs w:val="24"/>
          <w:color w:val="auto"/>
        </w:rPr>
      </w:pPr>
    </w:p>
    <w:p>
      <w:pPr>
        <w:jc w:val="both"/>
        <w:ind w:firstLine="656"/>
        <w:spacing w:after="0" w:line="234" w:lineRule="auto"/>
        <w:tabs>
          <w:tab w:leader="none" w:pos="864"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79" w:lineRule="exact"/>
        <w:rPr>
          <w:sz w:val="24"/>
          <w:szCs w:val="24"/>
          <w:color w:val="auto"/>
        </w:rPr>
      </w:pPr>
    </w:p>
    <w:p>
      <w:pPr>
        <w:ind w:right="400" w:firstLine="810"/>
        <w:spacing w:after="0"/>
        <w:rPr>
          <w:sz w:val="20"/>
          <w:szCs w:val="20"/>
          <w:color w:val="auto"/>
        </w:rPr>
      </w:pPr>
      <w:r>
        <w:rPr>
          <w:rFonts w:ascii="Arial" w:cs="Arial" w:eastAsia="Arial" w:hAnsi="Arial"/>
          <w:sz w:val="22"/>
          <w:szCs w:val="22"/>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22"/>
          <w:szCs w:val="22"/>
          <w:i w:val="1"/>
          <w:iCs w:val="1"/>
          <w:color w:val="auto"/>
        </w:rPr>
        <w:t>see</w:t>
      </w:r>
      <w:r>
        <w:rPr>
          <w:rFonts w:ascii="Arial" w:cs="Arial" w:eastAsia="Arial" w:hAnsi="Arial"/>
          <w:sz w:val="22"/>
          <w:szCs w:val="22"/>
          <w:color w:val="auto"/>
        </w:rPr>
        <w:t xml:space="preserv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328930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1" w:name="page2"/>
    <w:bookmarkEnd w:id="1"/>
    <w:p>
      <w:pPr>
        <w:ind w:left="772" w:hanging="772"/>
        <w:spacing w:after="0"/>
        <w:tabs>
          <w:tab w:leader="none" w:pos="772"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772" w:right="5239"/>
        <w:spacing w:after="0" w:line="290" w:lineRule="auto"/>
        <w:rPr>
          <w:rFonts w:ascii="Arial" w:cs="Arial" w:eastAsia="Arial" w:hAnsi="Arial"/>
          <w:sz w:val="18"/>
          <w:szCs w:val="18"/>
          <w:color w:val="auto"/>
        </w:rPr>
      </w:pPr>
      <w:r>
        <w:rPr>
          <w:rFonts w:ascii="Arial" w:cs="Arial" w:eastAsia="Arial" w:hAnsi="Arial"/>
          <w:sz w:val="17"/>
          <w:szCs w:val="17"/>
          <w:color w:val="auto"/>
        </w:rPr>
        <w:t>I.R.S. Identification Nos. of above persons (entities only) Cormorant Global Healthcare Master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-445135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55" w:lineRule="exact"/>
        <w:rPr>
          <w:sz w:val="20"/>
          <w:szCs w:val="20"/>
          <w:color w:val="auto"/>
        </w:rPr>
      </w:pPr>
    </w:p>
    <w:p>
      <w:pPr>
        <w:ind w:left="772" w:hanging="772"/>
        <w:spacing w:after="0"/>
        <w:tabs>
          <w:tab w:leader="none" w:pos="772" w:val="left"/>
        </w:tabs>
        <w:numPr>
          <w:ilvl w:val="0"/>
          <w:numId w:val="4"/>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46" w:lineRule="exact"/>
        <w:rPr>
          <w:rFonts w:ascii="Arial" w:cs="Arial" w:eastAsia="Arial" w:hAnsi="Arial"/>
          <w:sz w:val="16"/>
          <w:szCs w:val="16"/>
          <w:color w:val="auto"/>
        </w:rPr>
      </w:pPr>
    </w:p>
    <w:p>
      <w:pPr>
        <w:ind w:left="1252" w:hanging="483"/>
        <w:spacing w:after="0"/>
        <w:tabs>
          <w:tab w:leader="none" w:pos="1252" w:val="left"/>
        </w:tabs>
        <w:numPr>
          <w:ilvl w:val="1"/>
          <w:numId w:val="4"/>
        </w:numPr>
        <w:rPr>
          <w:rFonts w:ascii="Arial" w:cs="Arial" w:eastAsia="Arial" w:hAnsi="Arial"/>
          <w:sz w:val="18"/>
          <w:szCs w:val="18"/>
          <w:color w:val="auto"/>
        </w:rPr>
      </w:pPr>
      <w:r>
        <w:rPr>
          <w:rFonts w:ascii="Arial" w:cs="Arial" w:eastAsia="Arial" w:hAnsi="Arial"/>
          <w:sz w:val="18"/>
          <w:szCs w:val="18"/>
          <w:color w:val="auto"/>
        </w:rPr>
        <w:t>[ ]</w:t>
      </w:r>
    </w:p>
    <w:p>
      <w:pPr>
        <w:spacing w:after="0" w:line="9" w:lineRule="exact"/>
        <w:rPr>
          <w:rFonts w:ascii="Arial" w:cs="Arial" w:eastAsia="Arial" w:hAnsi="Arial"/>
          <w:sz w:val="18"/>
          <w:szCs w:val="18"/>
          <w:color w:val="auto"/>
        </w:rPr>
      </w:pPr>
    </w:p>
    <w:p>
      <w:pPr>
        <w:ind w:left="1252" w:hanging="483"/>
        <w:spacing w:after="0"/>
        <w:tabs>
          <w:tab w:leader="none" w:pos="1252" w:val="left"/>
        </w:tabs>
        <w:numPr>
          <w:ilvl w:val="1"/>
          <w:numId w:val="4"/>
        </w:numPr>
        <w:rPr>
          <w:rFonts w:ascii="Arial" w:cs="Arial" w:eastAsia="Arial" w:hAnsi="Arial"/>
          <w:sz w:val="18"/>
          <w:szCs w:val="18"/>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-413385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772" w:hanging="772"/>
        <w:spacing w:after="0"/>
        <w:tabs>
          <w:tab w:leader="none" w:pos="772"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 w:lineRule="exact"/>
        <w:rPr>
          <w:sz w:val="20"/>
          <w:szCs w:val="20"/>
          <w:color w:val="auto"/>
        </w:rPr>
      </w:pPr>
    </w:p>
    <w:p>
      <w:pPr>
        <w:ind w:left="772" w:right="6699" w:hanging="772"/>
        <w:spacing w:after="0" w:line="527" w:lineRule="auto"/>
        <w:tabs>
          <w:tab w:leader="none" w:pos="772"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 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-88265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1"/>
          </w:cols>
          <w:pgMar w:left="328" w:top="13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left="552"/>
        <w:spacing w:after="0"/>
        <w:rPr>
          <w:sz w:val="20"/>
          <w:szCs w:val="20"/>
          <w:color w:val="auto"/>
        </w:rPr>
      </w:pPr>
      <w:r>
        <w:rPr>
          <w:rFonts w:ascii="Arial" w:cs="Arial" w:eastAsia="Arial" w:hAnsi="Arial"/>
          <w:sz w:val="18"/>
          <w:szCs w:val="18"/>
          <w:color w:val="auto"/>
        </w:rPr>
        <w:t>Number</w:t>
      </w:r>
    </w:p>
    <w:p>
      <w:pPr>
        <w:spacing w:after="0" w:line="23" w:lineRule="exact"/>
        <w:rPr>
          <w:sz w:val="20"/>
          <w:szCs w:val="20"/>
          <w:color w:val="auto"/>
        </w:rPr>
      </w:pPr>
    </w:p>
    <w:p>
      <w:pPr>
        <w:jc w:val="center"/>
        <w:ind w:left="552"/>
        <w:spacing w:after="0"/>
        <w:rPr>
          <w:sz w:val="20"/>
          <w:szCs w:val="20"/>
          <w:color w:val="auto"/>
        </w:rPr>
      </w:pPr>
      <w:r>
        <w:rPr>
          <w:rFonts w:ascii="Arial" w:cs="Arial" w:eastAsia="Arial" w:hAnsi="Arial"/>
          <w:sz w:val="18"/>
          <w:szCs w:val="18"/>
          <w:color w:val="auto"/>
        </w:rPr>
        <w:t>of Shares</w:t>
      </w:r>
    </w:p>
    <w:p>
      <w:pPr>
        <w:spacing w:after="0" w:line="9" w:lineRule="exact"/>
        <w:rPr>
          <w:sz w:val="20"/>
          <w:szCs w:val="20"/>
          <w:color w:val="auto"/>
        </w:rPr>
      </w:pPr>
    </w:p>
    <w:p>
      <w:pPr>
        <w:jc w:val="center"/>
        <w:ind w:left="552"/>
        <w:spacing w:after="0"/>
        <w:rPr>
          <w:sz w:val="20"/>
          <w:szCs w:val="20"/>
          <w:color w:val="auto"/>
        </w:rPr>
      </w:pPr>
      <w:r>
        <w:rPr>
          <w:rFonts w:ascii="Arial" w:cs="Arial" w:eastAsia="Arial" w:hAnsi="Arial"/>
          <w:sz w:val="17"/>
          <w:szCs w:val="17"/>
          <w:color w:val="auto"/>
        </w:rPr>
        <w:t>Beneficially</w:t>
      </w:r>
    </w:p>
    <w:p>
      <w:pPr>
        <w:spacing w:after="0" w:line="21" w:lineRule="exact"/>
        <w:rPr>
          <w:sz w:val="20"/>
          <w:szCs w:val="20"/>
          <w:color w:val="auto"/>
        </w:rPr>
      </w:pPr>
    </w:p>
    <w:p>
      <w:pPr>
        <w:jc w:val="center"/>
        <w:ind w:left="552"/>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left="552"/>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left="552"/>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left="552"/>
        <w:spacing w:after="0"/>
        <w:rPr>
          <w:sz w:val="20"/>
          <w:szCs w:val="20"/>
          <w:color w:val="auto"/>
        </w:rPr>
      </w:pPr>
      <w:r>
        <w:rPr>
          <w:rFonts w:ascii="Arial" w:cs="Arial" w:eastAsia="Arial" w:hAnsi="Arial"/>
          <w:sz w:val="16"/>
          <w:szCs w:val="16"/>
          <w:color w:val="auto"/>
        </w:rPr>
        <w:t>Person With</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5 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-1264285</wp:posOffset>
            </wp:positionH>
            <wp:positionV relativeFrom="paragraph">
              <wp:posOffset>-130175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0 shares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6 Shared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58718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764,560 shares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58718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7 Sole Dispositive Power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0 shares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8 Shared Dispositive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58718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764,560 shares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-1264285</wp:posOffset>
            </wp:positionH>
            <wp:positionV relativeFrom="paragraph">
              <wp:posOffset>14605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32" w:space="560"/>
            <w:col w:w="8139"/>
          </w:cols>
          <w:pgMar w:left="328" w:top="139" w:right="1440" w:bottom="1440" w:gutter="0" w:footer="0" w:header="0"/>
          <w:type w:val="continuous"/>
        </w:sectPr>
      </w:pPr>
    </w:p>
    <w:p>
      <w:pPr>
        <w:spacing w:after="0" w:line="79" w:lineRule="exact"/>
        <w:rPr>
          <w:sz w:val="20"/>
          <w:szCs w:val="20"/>
          <w:color w:val="auto"/>
        </w:rPr>
      </w:pPr>
    </w:p>
    <w:p>
      <w:pPr>
        <w:ind w:left="752" w:hanging="752"/>
        <w:spacing w:after="0"/>
        <w:tabs>
          <w:tab w:leader="none" w:pos="752" w:val="left"/>
        </w:tabs>
        <w:numPr>
          <w:ilvl w:val="0"/>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0980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205" w:lineRule="exact"/>
        <w:rPr>
          <w:sz w:val="20"/>
          <w:szCs w:val="20"/>
          <w:color w:val="auto"/>
        </w:rPr>
      </w:pPr>
    </w:p>
    <w:p>
      <w:pPr>
        <w:ind w:left="752"/>
        <w:spacing w:after="0"/>
        <w:rPr>
          <w:sz w:val="20"/>
          <w:szCs w:val="20"/>
          <w:color w:val="auto"/>
        </w:rPr>
      </w:pPr>
      <w:r>
        <w:rPr>
          <w:rFonts w:ascii="Arial" w:cs="Arial" w:eastAsia="Arial" w:hAnsi="Arial"/>
          <w:sz w:val="18"/>
          <w:szCs w:val="18"/>
          <w:color w:val="auto"/>
        </w:rPr>
        <w:t>764,560 shares</w:t>
      </w:r>
    </w:p>
    <w:p>
      <w:pPr>
        <w:spacing w:after="0" w:line="23" w:lineRule="exact"/>
        <w:rPr>
          <w:sz w:val="20"/>
          <w:szCs w:val="20"/>
          <w:color w:val="auto"/>
        </w:rPr>
      </w:pPr>
    </w:p>
    <w:p>
      <w:pPr>
        <w:ind w:left="752"/>
        <w:spacing w:after="0"/>
        <w:rPr>
          <w:sz w:val="20"/>
          <w:szCs w:val="20"/>
          <w:color w:val="auto"/>
        </w:rPr>
      </w:pPr>
      <w:r>
        <w:rPr>
          <w:rFonts w:ascii="Arial" w:cs="Arial" w:eastAsia="Arial" w:hAnsi="Arial"/>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09803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ind w:left="932" w:right="3139" w:hanging="932"/>
        <w:spacing w:after="0" w:line="258" w:lineRule="auto"/>
        <w:tabs>
          <w:tab w:leader="none" w:pos="752"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 ] N/A</w:t>
      </w:r>
    </w:p>
    <w:p>
      <w:pPr>
        <w:ind w:left="752" w:hanging="752"/>
        <w:spacing w:after="0"/>
        <w:tabs>
          <w:tab w:leader="none" w:pos="752"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4" w:lineRule="exact"/>
        <w:rPr>
          <w:rFonts w:ascii="Arial" w:cs="Arial" w:eastAsia="Arial" w:hAnsi="Arial"/>
          <w:sz w:val="18"/>
          <w:szCs w:val="18"/>
          <w:color w:val="auto"/>
        </w:rPr>
      </w:pPr>
    </w:p>
    <w:p>
      <w:pPr>
        <w:ind w:left="752"/>
        <w:spacing w:after="0"/>
        <w:rPr>
          <w:rFonts w:ascii="Arial" w:cs="Arial" w:eastAsia="Arial" w:hAnsi="Arial"/>
          <w:sz w:val="18"/>
          <w:szCs w:val="18"/>
          <w:color w:val="auto"/>
        </w:rPr>
      </w:pPr>
      <w:r>
        <w:rPr>
          <w:rFonts w:ascii="Arial" w:cs="Arial" w:eastAsia="Arial" w:hAnsi="Arial"/>
          <w:sz w:val="18"/>
          <w:szCs w:val="18"/>
          <w:color w:val="auto"/>
        </w:rPr>
        <w:t>3.70%</w:t>
      </w:r>
    </w:p>
    <w:p>
      <w:pPr>
        <w:spacing w:after="0" w:line="23" w:lineRule="exact"/>
        <w:rPr>
          <w:rFonts w:ascii="Arial" w:cs="Arial" w:eastAsia="Arial" w:hAnsi="Arial"/>
          <w:sz w:val="18"/>
          <w:szCs w:val="18"/>
          <w:color w:val="auto"/>
        </w:rPr>
      </w:pPr>
    </w:p>
    <w:p>
      <w:pPr>
        <w:ind w:left="752"/>
        <w:spacing w:after="0"/>
        <w:rPr>
          <w:rFonts w:ascii="Arial" w:cs="Arial" w:eastAsia="Arial" w:hAnsi="Arial"/>
          <w:sz w:val="18"/>
          <w:szCs w:val="18"/>
          <w:color w:val="auto"/>
        </w:rPr>
      </w:pPr>
      <w:r>
        <w:rPr>
          <w:rFonts w:ascii="Arial" w:cs="Arial" w:eastAsia="Arial" w:hAnsi="Arial"/>
          <w:sz w:val="18"/>
          <w:szCs w:val="18"/>
          <w:color w:val="auto"/>
        </w:rPr>
        <w:t>Refer to Item 4 below.</w:t>
      </w:r>
    </w:p>
    <w:p>
      <w:pPr>
        <w:spacing w:after="0" w:line="9" w:lineRule="exact"/>
        <w:rPr>
          <w:rFonts w:ascii="Arial" w:cs="Arial" w:eastAsia="Arial" w:hAnsi="Arial"/>
          <w:sz w:val="18"/>
          <w:szCs w:val="18"/>
          <w:color w:val="auto"/>
        </w:rPr>
      </w:pPr>
    </w:p>
    <w:p>
      <w:pPr>
        <w:ind w:left="752" w:right="6219" w:hanging="752"/>
        <w:spacing w:after="0" w:line="276" w:lineRule="auto"/>
        <w:tabs>
          <w:tab w:leader="none" w:pos="752" w:val="left"/>
        </w:tabs>
        <w:numPr>
          <w:ilvl w:val="0"/>
          <w:numId w:val="8"/>
        </w:numPr>
        <w:rPr>
          <w:rFonts w:ascii="Arial" w:cs="Arial" w:eastAsia="Arial" w:hAnsi="Arial"/>
          <w:sz w:val="18"/>
          <w:szCs w:val="18"/>
          <w:color w:val="auto"/>
        </w:rPr>
      </w:pPr>
      <w:r>
        <w:rPr>
          <w:rFonts w:ascii="Arial" w:cs="Arial" w:eastAsia="Arial" w:hAnsi="Arial"/>
          <w:sz w:val="18"/>
          <w:szCs w:val="18"/>
          <w:color w:val="auto"/>
        </w:rPr>
        <w:t>Type of Reporting Person (See Instructions) PN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0980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-301625</wp:posOffset>
            </wp:positionV>
            <wp:extent cx="709803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-859155</wp:posOffset>
            </wp:positionV>
            <wp:extent cx="709803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254635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1"/>
          </w:cols>
          <w:pgMar w:left="328" w:top="139" w:right="1440" w:bottom="1440" w:gutter="0" w:footer="0" w:header="0"/>
          <w:type w:val="continuous"/>
        </w:sectPr>
      </w:pPr>
    </w:p>
    <w:bookmarkStart w:id="2" w:name="page3"/>
    <w:bookmarkEnd w:id="2"/>
    <w:p>
      <w:pPr>
        <w:ind w:left="780" w:hanging="772"/>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780" w:right="6340"/>
        <w:spacing w:after="0" w:line="500"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Cormorant Global Healthcare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-692785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780" w:hanging="772"/>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260" w:hanging="483"/>
        <w:spacing w:after="0"/>
        <w:tabs>
          <w:tab w:leader="none" w:pos="12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 ]</w:t>
      </w:r>
    </w:p>
    <w:p>
      <w:pPr>
        <w:spacing w:after="0" w:line="9" w:lineRule="exact"/>
        <w:rPr>
          <w:rFonts w:ascii="Arial" w:cs="Arial" w:eastAsia="Arial" w:hAnsi="Arial"/>
          <w:sz w:val="18"/>
          <w:szCs w:val="18"/>
          <w:color w:val="auto"/>
        </w:rPr>
      </w:pPr>
    </w:p>
    <w:p>
      <w:pPr>
        <w:ind w:left="1260" w:hanging="483"/>
        <w:spacing w:after="0"/>
        <w:tabs>
          <w:tab w:leader="none" w:pos="12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780" w:hanging="772"/>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0"/>
          <w:szCs w:val="20"/>
          <w:color w:val="auto"/>
        </w:rPr>
      </w:pPr>
    </w:p>
    <w:p>
      <w:pPr>
        <w:ind w:left="780" w:right="7800" w:hanging="772"/>
        <w:spacing w:after="0" w:line="527"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0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79"/>
              </w:rPr>
              <w:t>5</w:t>
            </w:r>
          </w:p>
        </w:tc>
        <w:tc>
          <w:tcPr>
            <w:tcW w:w="91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18"/>
        </w:trPr>
        <w:tc>
          <w:tcPr>
            <w:tcW w:w="2000" w:type="dxa"/>
            <w:vAlign w:val="bottom"/>
          </w:tcPr>
          <w:p>
            <w:pPr>
              <w:spacing w:after="0"/>
              <w:rPr>
                <w:sz w:val="24"/>
                <w:szCs w:val="24"/>
                <w:color w:val="auto"/>
              </w:rPr>
            </w:pPr>
          </w:p>
        </w:tc>
        <w:tc>
          <w:tcPr>
            <w:tcW w:w="9240" w:type="dxa"/>
            <w:vAlign w:val="bottom"/>
            <w:gridSpan w:val="3"/>
          </w:tcPr>
          <w:p>
            <w:pPr>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108"/>
        </w:trPr>
        <w:tc>
          <w:tcPr>
            <w:tcW w:w="2000" w:type="dxa"/>
            <w:vAlign w:val="bottom"/>
          </w:tcPr>
          <w:p>
            <w:pPr>
              <w:spacing w:after="0"/>
              <w:rPr>
                <w:sz w:val="9"/>
                <w:szCs w:val="9"/>
                <w:color w:val="auto"/>
              </w:rPr>
            </w:pPr>
          </w:p>
        </w:tc>
        <w:tc>
          <w:tcPr>
            <w:tcW w:w="100" w:type="dxa"/>
            <w:vAlign w:val="bottom"/>
            <w:tcBorders>
              <w:bottom w:val="single" w:sz="8" w:color="auto"/>
            </w:tcBorders>
            <w:gridSpan w:val="2"/>
          </w:tcPr>
          <w:p>
            <w:pPr>
              <w:spacing w:after="0"/>
              <w:rPr>
                <w:sz w:val="9"/>
                <w:szCs w:val="9"/>
                <w:color w:val="auto"/>
              </w:rPr>
            </w:pPr>
          </w:p>
        </w:tc>
        <w:tc>
          <w:tcPr>
            <w:tcW w:w="91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2000" w:type="dxa"/>
            <w:vAlign w:val="bottom"/>
            <w:vMerge w:val="restart"/>
          </w:tcPr>
          <w:p>
            <w:pPr>
              <w:jc w:val="center"/>
              <w:spacing w:after="0"/>
              <w:rPr>
                <w:sz w:val="20"/>
                <w:szCs w:val="20"/>
                <w:color w:val="auto"/>
              </w:rPr>
            </w:pPr>
            <w:r>
              <w:rPr>
                <w:rFonts w:ascii="Arial" w:cs="Arial" w:eastAsia="Arial" w:hAnsi="Arial"/>
                <w:sz w:val="18"/>
                <w:szCs w:val="18"/>
                <w:color w:val="auto"/>
                <w:w w:val="93"/>
              </w:rPr>
              <w:t>Number</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6</w:t>
            </w:r>
          </w:p>
        </w:tc>
        <w:tc>
          <w:tcPr>
            <w:tcW w:w="9140" w:type="dxa"/>
            <w:vAlign w:val="bottom"/>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87"/>
        </w:trPr>
        <w:tc>
          <w:tcPr>
            <w:tcW w:w="20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00" w:type="dxa"/>
            <w:vAlign w:val="bottom"/>
          </w:tcPr>
          <w:p>
            <w:pPr>
              <w:jc w:val="center"/>
              <w:spacing w:after="0"/>
              <w:rPr>
                <w:sz w:val="20"/>
                <w:szCs w:val="20"/>
                <w:color w:val="auto"/>
              </w:rPr>
            </w:pPr>
            <w:r>
              <w:rPr>
                <w:rFonts w:ascii="Arial" w:cs="Arial" w:eastAsia="Arial" w:hAnsi="Arial"/>
                <w:sz w:val="18"/>
                <w:szCs w:val="18"/>
                <w:color w:val="auto"/>
                <w:w w:val="88"/>
              </w:rPr>
              <w:t>of Shares</w:t>
            </w:r>
          </w:p>
        </w:tc>
        <w:tc>
          <w:tcPr>
            <w:tcW w:w="9240" w:type="dxa"/>
            <w:vAlign w:val="bottom"/>
            <w:gridSpan w:val="3"/>
          </w:tcPr>
          <w:p>
            <w:pPr>
              <w:spacing w:after="0"/>
              <w:rPr>
                <w:sz w:val="20"/>
                <w:szCs w:val="20"/>
                <w:color w:val="auto"/>
              </w:rPr>
            </w:pPr>
            <w:r>
              <w:rPr>
                <w:rFonts w:ascii="Arial" w:cs="Arial" w:eastAsia="Arial" w:hAnsi="Arial"/>
                <w:sz w:val="18"/>
                <w:szCs w:val="18"/>
                <w:color w:val="auto"/>
              </w:rPr>
              <w:t>764,560 shares</w:t>
            </w:r>
          </w:p>
        </w:tc>
        <w:tc>
          <w:tcPr>
            <w:tcW w:w="0" w:type="dxa"/>
            <w:vAlign w:val="bottom"/>
          </w:tcPr>
          <w:p>
            <w:pPr>
              <w:spacing w:after="0"/>
              <w:rPr>
                <w:sz w:val="1"/>
                <w:szCs w:val="1"/>
                <w:color w:val="auto"/>
              </w:rPr>
            </w:pPr>
          </w:p>
        </w:tc>
      </w:tr>
      <w:tr>
        <w:trPr>
          <w:trHeight w:val="216"/>
        </w:trPr>
        <w:tc>
          <w:tcPr>
            <w:tcW w:w="2000" w:type="dxa"/>
            <w:vAlign w:val="bottom"/>
          </w:tcPr>
          <w:p>
            <w:pPr>
              <w:jc w:val="center"/>
              <w:spacing w:after="0"/>
              <w:rPr>
                <w:sz w:val="20"/>
                <w:szCs w:val="20"/>
                <w:color w:val="auto"/>
              </w:rPr>
            </w:pPr>
            <w:r>
              <w:rPr>
                <w:rFonts w:ascii="Arial" w:cs="Arial" w:eastAsia="Arial" w:hAnsi="Arial"/>
                <w:sz w:val="18"/>
                <w:szCs w:val="18"/>
                <w:color w:val="auto"/>
                <w:w w:val="96"/>
              </w:rPr>
              <w:t>Beneficially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0" w:type="dxa"/>
            <w:vAlign w:val="bottom"/>
          </w:tcPr>
          <w:p>
            <w:pPr>
              <w:jc w:val="center"/>
              <w:spacing w:after="0"/>
              <w:rPr>
                <w:sz w:val="20"/>
                <w:szCs w:val="20"/>
                <w:color w:val="auto"/>
              </w:rPr>
            </w:pPr>
            <w:r>
              <w:rPr>
                <w:rFonts w:ascii="Arial" w:cs="Arial" w:eastAsia="Arial" w:hAnsi="Arial"/>
                <w:sz w:val="18"/>
                <w:szCs w:val="18"/>
                <w:color w:val="auto"/>
                <w:w w:val="93"/>
              </w:rPr>
              <w:t>Owned by</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1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Refer to Item 4 below.</w:t>
            </w:r>
          </w:p>
        </w:tc>
        <w:tc>
          <w:tcPr>
            <w:tcW w:w="0" w:type="dxa"/>
            <w:vAlign w:val="bottom"/>
          </w:tcPr>
          <w:p>
            <w:pPr>
              <w:spacing w:after="0"/>
              <w:rPr>
                <w:sz w:val="1"/>
                <w:szCs w:val="1"/>
                <w:color w:val="auto"/>
              </w:rPr>
            </w:pPr>
          </w:p>
        </w:tc>
      </w:tr>
      <w:tr>
        <w:trPr>
          <w:trHeight w:val="182"/>
        </w:trPr>
        <w:tc>
          <w:tcPr>
            <w:tcW w:w="2000" w:type="dxa"/>
            <w:vAlign w:val="bottom"/>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20" w:type="dxa"/>
            <w:vAlign w:val="bottom"/>
          </w:tcPr>
          <w:p>
            <w:pPr>
              <w:spacing w:after="0"/>
              <w:rPr>
                <w:sz w:val="15"/>
                <w:szCs w:val="15"/>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7</w:t>
            </w:r>
          </w:p>
        </w:tc>
        <w:tc>
          <w:tcPr>
            <w:tcW w:w="9140" w:type="dxa"/>
            <w:vAlign w:val="bottom"/>
          </w:tcPr>
          <w:p>
            <w:pPr>
              <w:ind w:left="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2000" w:type="dxa"/>
            <w:vAlign w:val="bottom"/>
          </w:tcPr>
          <w:p>
            <w:pPr>
              <w:jc w:val="center"/>
              <w:spacing w:after="0"/>
              <w:rPr>
                <w:sz w:val="20"/>
                <w:szCs w:val="20"/>
                <w:color w:val="auto"/>
              </w:rPr>
            </w:pPr>
            <w:r>
              <w:rPr>
                <w:rFonts w:ascii="Arial" w:cs="Arial" w:eastAsia="Arial" w:hAnsi="Arial"/>
                <w:sz w:val="18"/>
                <w:szCs w:val="18"/>
                <w:color w:val="auto"/>
                <w:w w:val="92"/>
              </w:rPr>
              <w:t>Reporting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00" w:type="dxa"/>
            <w:vAlign w:val="bottom"/>
          </w:tcPr>
          <w:p>
            <w:pPr>
              <w:jc w:val="center"/>
              <w:spacing w:after="0"/>
              <w:rPr>
                <w:sz w:val="20"/>
                <w:szCs w:val="20"/>
                <w:color w:val="auto"/>
              </w:rPr>
            </w:pPr>
            <w:r>
              <w:rPr>
                <w:rFonts w:ascii="Arial" w:cs="Arial" w:eastAsia="Arial" w:hAnsi="Arial"/>
                <w:sz w:val="18"/>
                <w:szCs w:val="18"/>
                <w:color w:val="auto"/>
                <w:w w:val="89"/>
              </w:rPr>
              <w:t>Person With</w:t>
            </w:r>
          </w:p>
        </w:tc>
        <w:tc>
          <w:tcPr>
            <w:tcW w:w="9240" w:type="dxa"/>
            <w:vAlign w:val="bottom"/>
            <w:gridSpan w:val="3"/>
          </w:tcPr>
          <w:p>
            <w:pPr>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108"/>
        </w:trPr>
        <w:tc>
          <w:tcPr>
            <w:tcW w:w="200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1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2000" w:type="dxa"/>
            <w:vAlign w:val="bottom"/>
          </w:tcPr>
          <w:p>
            <w:pPr>
              <w:spacing w:after="0"/>
              <w:rPr>
                <w:sz w:val="19"/>
                <w:szCs w:val="19"/>
                <w:color w:val="auto"/>
              </w:rPr>
            </w:pP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8</w:t>
            </w:r>
          </w:p>
        </w:tc>
        <w:tc>
          <w:tcPr>
            <w:tcW w:w="914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03"/>
        </w:trPr>
        <w:tc>
          <w:tcPr>
            <w:tcW w:w="2000" w:type="dxa"/>
            <w:vAlign w:val="bottom"/>
          </w:tcPr>
          <w:p>
            <w:pPr>
              <w:spacing w:after="0"/>
              <w:rPr>
                <w:sz w:val="24"/>
                <w:szCs w:val="24"/>
                <w:color w:val="auto"/>
              </w:rPr>
            </w:pPr>
          </w:p>
        </w:tc>
        <w:tc>
          <w:tcPr>
            <w:tcW w:w="9240" w:type="dxa"/>
            <w:vAlign w:val="bottom"/>
            <w:gridSpan w:val="3"/>
          </w:tcPr>
          <w:p>
            <w:pPr>
              <w:spacing w:after="0"/>
              <w:rPr>
                <w:sz w:val="20"/>
                <w:szCs w:val="20"/>
                <w:color w:val="auto"/>
              </w:rPr>
            </w:pPr>
            <w:r>
              <w:rPr>
                <w:rFonts w:ascii="Arial" w:cs="Arial" w:eastAsia="Arial" w:hAnsi="Arial"/>
                <w:sz w:val="18"/>
                <w:szCs w:val="18"/>
                <w:color w:val="auto"/>
              </w:rPr>
              <w:t>764,560 shares</w:t>
            </w:r>
          </w:p>
        </w:tc>
        <w:tc>
          <w:tcPr>
            <w:tcW w:w="0" w:type="dxa"/>
            <w:vAlign w:val="bottom"/>
          </w:tcPr>
          <w:p>
            <w:pPr>
              <w:spacing w:after="0"/>
              <w:rPr>
                <w:sz w:val="1"/>
                <w:szCs w:val="1"/>
                <w:color w:val="auto"/>
              </w:rPr>
            </w:pPr>
          </w:p>
        </w:tc>
      </w:tr>
      <w:tr>
        <w:trPr>
          <w:trHeight w:val="230"/>
        </w:trPr>
        <w:tc>
          <w:tcPr>
            <w:tcW w:w="20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1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Refer to Item 4 below.</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760" w:right="5680" w:hanging="752"/>
        <w:spacing w:after="0" w:line="438" w:lineRule="auto"/>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764,560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-478790</wp:posOffset>
            </wp:positionV>
            <wp:extent cx="709803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ind w:left="760"/>
        <w:spacing w:after="0"/>
        <w:rPr>
          <w:sz w:val="20"/>
          <w:szCs w:val="20"/>
          <w:color w:val="auto"/>
        </w:rPr>
      </w:pPr>
      <w:r>
        <w:rPr>
          <w:rFonts w:ascii="Arial" w:cs="Arial" w:eastAsia="Arial" w:hAnsi="Arial"/>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9803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3" w:lineRule="exact"/>
        <w:rPr>
          <w:sz w:val="20"/>
          <w:szCs w:val="20"/>
          <w:color w:val="auto"/>
        </w:rPr>
      </w:pPr>
    </w:p>
    <w:p>
      <w:pPr>
        <w:ind w:left="940" w:right="4240" w:hanging="932"/>
        <w:spacing w:after="0" w:line="258" w:lineRule="auto"/>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 ] N/A</w:t>
      </w:r>
    </w:p>
    <w:p>
      <w:pPr>
        <w:ind w:left="760" w:hanging="752"/>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4"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color w:val="auto"/>
        </w:rPr>
        <w:t>3.70%</w:t>
      </w:r>
    </w:p>
    <w:p>
      <w:pPr>
        <w:spacing w:after="0" w:line="117"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color w:val="auto"/>
        </w:rPr>
        <w:t>Refer to Item 4 below.</w:t>
      </w:r>
    </w:p>
    <w:p>
      <w:pPr>
        <w:spacing w:after="0" w:line="23" w:lineRule="exact"/>
        <w:rPr>
          <w:rFonts w:ascii="Arial" w:cs="Arial" w:eastAsia="Arial" w:hAnsi="Arial"/>
          <w:sz w:val="18"/>
          <w:szCs w:val="18"/>
          <w:color w:val="auto"/>
        </w:rPr>
      </w:pPr>
    </w:p>
    <w:p>
      <w:pPr>
        <w:ind w:left="760" w:right="7320" w:hanging="752"/>
        <w:spacing w:after="0" w:line="693" w:lineRule="auto"/>
        <w:tabs>
          <w:tab w:leader="none" w:pos="7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Type of Reporting Person (See Instructions) OO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09803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-674370</wp:posOffset>
            </wp:positionV>
            <wp:extent cx="709803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-1299845</wp:posOffset>
            </wp:positionV>
            <wp:extent cx="709803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3" w:name="page4"/>
    <w:bookmarkEnd w:id="3"/>
    <w:p>
      <w:pPr>
        <w:ind w:left="772" w:hanging="772"/>
        <w:spacing w:after="0"/>
        <w:tabs>
          <w:tab w:leader="none" w:pos="772" w:val="left"/>
        </w:tabs>
        <w:numPr>
          <w:ilvl w:val="0"/>
          <w:numId w:val="15"/>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772" w:right="5239"/>
        <w:spacing w:after="0" w:line="260"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Cormorant Private Healthcare Fund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-429895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79" w:lineRule="exact"/>
        <w:rPr>
          <w:sz w:val="20"/>
          <w:szCs w:val="20"/>
          <w:color w:val="auto"/>
        </w:rPr>
      </w:pPr>
    </w:p>
    <w:p>
      <w:pPr>
        <w:ind w:left="772" w:hanging="772"/>
        <w:spacing w:after="0"/>
        <w:tabs>
          <w:tab w:leader="none" w:pos="772" w:val="left"/>
        </w:tabs>
        <w:numPr>
          <w:ilvl w:val="0"/>
          <w:numId w:val="16"/>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46" w:lineRule="exact"/>
        <w:rPr>
          <w:rFonts w:ascii="Arial" w:cs="Arial" w:eastAsia="Arial" w:hAnsi="Arial"/>
          <w:sz w:val="16"/>
          <w:szCs w:val="16"/>
          <w:color w:val="auto"/>
        </w:rPr>
      </w:pPr>
    </w:p>
    <w:p>
      <w:pPr>
        <w:ind w:left="1252" w:hanging="483"/>
        <w:spacing w:after="0"/>
        <w:tabs>
          <w:tab w:leader="none" w:pos="1252" w:val="left"/>
        </w:tabs>
        <w:numPr>
          <w:ilvl w:val="1"/>
          <w:numId w:val="16"/>
        </w:numPr>
        <w:rPr>
          <w:rFonts w:ascii="Arial" w:cs="Arial" w:eastAsia="Arial" w:hAnsi="Arial"/>
          <w:sz w:val="18"/>
          <w:szCs w:val="18"/>
          <w:color w:val="auto"/>
        </w:rPr>
      </w:pPr>
      <w:r>
        <w:rPr>
          <w:rFonts w:ascii="Arial" w:cs="Arial" w:eastAsia="Arial" w:hAnsi="Arial"/>
          <w:sz w:val="18"/>
          <w:szCs w:val="18"/>
          <w:color w:val="auto"/>
        </w:rPr>
        <w:t>[ ]</w:t>
      </w:r>
    </w:p>
    <w:p>
      <w:pPr>
        <w:spacing w:after="0" w:line="9" w:lineRule="exact"/>
        <w:rPr>
          <w:rFonts w:ascii="Arial" w:cs="Arial" w:eastAsia="Arial" w:hAnsi="Arial"/>
          <w:sz w:val="18"/>
          <w:szCs w:val="18"/>
          <w:color w:val="auto"/>
        </w:rPr>
      </w:pPr>
    </w:p>
    <w:p>
      <w:pPr>
        <w:ind w:left="1252" w:hanging="483"/>
        <w:spacing w:after="0"/>
        <w:tabs>
          <w:tab w:leader="none" w:pos="1252" w:val="left"/>
        </w:tabs>
        <w:numPr>
          <w:ilvl w:val="1"/>
          <w:numId w:val="16"/>
        </w:numPr>
        <w:rPr>
          <w:rFonts w:ascii="Arial" w:cs="Arial" w:eastAsia="Arial" w:hAnsi="Arial"/>
          <w:sz w:val="18"/>
          <w:szCs w:val="18"/>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-413385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772" w:hanging="772"/>
        <w:spacing w:after="0"/>
        <w:tabs>
          <w:tab w:leader="none" w:pos="772"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 w:lineRule="exact"/>
        <w:rPr>
          <w:sz w:val="20"/>
          <w:szCs w:val="20"/>
          <w:color w:val="auto"/>
        </w:rPr>
      </w:pPr>
    </w:p>
    <w:p>
      <w:pPr>
        <w:ind w:left="772" w:right="6699" w:hanging="772"/>
        <w:spacing w:after="0" w:line="527" w:lineRule="auto"/>
        <w:tabs>
          <w:tab w:leader="none" w:pos="772" w:val="left"/>
        </w:tabs>
        <w:numPr>
          <w:ilvl w:val="0"/>
          <w:numId w:val="18"/>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-88265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1"/>
          </w:cols>
          <w:pgMar w:left="328" w:top="13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left="552"/>
        <w:spacing w:after="0"/>
        <w:rPr>
          <w:sz w:val="20"/>
          <w:szCs w:val="20"/>
          <w:color w:val="auto"/>
        </w:rPr>
      </w:pPr>
      <w:r>
        <w:rPr>
          <w:rFonts w:ascii="Arial" w:cs="Arial" w:eastAsia="Arial" w:hAnsi="Arial"/>
          <w:sz w:val="18"/>
          <w:szCs w:val="18"/>
          <w:color w:val="auto"/>
        </w:rPr>
        <w:t>Number</w:t>
      </w:r>
    </w:p>
    <w:p>
      <w:pPr>
        <w:spacing w:after="0" w:line="23" w:lineRule="exact"/>
        <w:rPr>
          <w:sz w:val="20"/>
          <w:szCs w:val="20"/>
          <w:color w:val="auto"/>
        </w:rPr>
      </w:pPr>
    </w:p>
    <w:p>
      <w:pPr>
        <w:jc w:val="center"/>
        <w:ind w:left="552"/>
        <w:spacing w:after="0"/>
        <w:rPr>
          <w:sz w:val="20"/>
          <w:szCs w:val="20"/>
          <w:color w:val="auto"/>
        </w:rPr>
      </w:pPr>
      <w:r>
        <w:rPr>
          <w:rFonts w:ascii="Arial" w:cs="Arial" w:eastAsia="Arial" w:hAnsi="Arial"/>
          <w:sz w:val="18"/>
          <w:szCs w:val="18"/>
          <w:color w:val="auto"/>
        </w:rPr>
        <w:t>of Shares</w:t>
      </w:r>
    </w:p>
    <w:p>
      <w:pPr>
        <w:spacing w:after="0" w:line="9" w:lineRule="exact"/>
        <w:rPr>
          <w:sz w:val="20"/>
          <w:szCs w:val="20"/>
          <w:color w:val="auto"/>
        </w:rPr>
      </w:pPr>
    </w:p>
    <w:p>
      <w:pPr>
        <w:jc w:val="center"/>
        <w:ind w:left="552"/>
        <w:spacing w:after="0"/>
        <w:rPr>
          <w:sz w:val="20"/>
          <w:szCs w:val="20"/>
          <w:color w:val="auto"/>
        </w:rPr>
      </w:pPr>
      <w:r>
        <w:rPr>
          <w:rFonts w:ascii="Arial" w:cs="Arial" w:eastAsia="Arial" w:hAnsi="Arial"/>
          <w:sz w:val="17"/>
          <w:szCs w:val="17"/>
          <w:color w:val="auto"/>
        </w:rPr>
        <w:t>Beneficially</w:t>
      </w:r>
    </w:p>
    <w:p>
      <w:pPr>
        <w:spacing w:after="0" w:line="21" w:lineRule="exact"/>
        <w:rPr>
          <w:sz w:val="20"/>
          <w:szCs w:val="20"/>
          <w:color w:val="auto"/>
        </w:rPr>
      </w:pPr>
    </w:p>
    <w:p>
      <w:pPr>
        <w:jc w:val="center"/>
        <w:ind w:left="552"/>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left="552"/>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left="552"/>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left="552"/>
        <w:spacing w:after="0"/>
        <w:rPr>
          <w:sz w:val="20"/>
          <w:szCs w:val="20"/>
          <w:color w:val="auto"/>
        </w:rPr>
      </w:pPr>
      <w:r>
        <w:rPr>
          <w:rFonts w:ascii="Arial" w:cs="Arial" w:eastAsia="Arial" w:hAnsi="Arial"/>
          <w:sz w:val="16"/>
          <w:szCs w:val="16"/>
          <w:color w:val="auto"/>
        </w:rPr>
        <w:t>Person With</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5 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-1264285</wp:posOffset>
            </wp:positionH>
            <wp:positionV relativeFrom="paragraph">
              <wp:posOffset>-130175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0 shares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6 Shared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587184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281,422 shares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587184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7 Sole Dispositive Power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0 shares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8 Shared Dispositive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587184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281,422 shares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-1264285</wp:posOffset>
            </wp:positionH>
            <wp:positionV relativeFrom="paragraph">
              <wp:posOffset>14605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32" w:space="560"/>
            <w:col w:w="8139"/>
          </w:cols>
          <w:pgMar w:left="328" w:top="139" w:right="1440" w:bottom="1440" w:gutter="0" w:footer="0" w:header="0"/>
          <w:type w:val="continuous"/>
        </w:sectPr>
      </w:pPr>
    </w:p>
    <w:p>
      <w:pPr>
        <w:spacing w:after="0" w:line="79" w:lineRule="exact"/>
        <w:rPr>
          <w:sz w:val="20"/>
          <w:szCs w:val="20"/>
          <w:color w:val="auto"/>
        </w:rPr>
      </w:pPr>
    </w:p>
    <w:p>
      <w:pPr>
        <w:ind w:left="752" w:hanging="752"/>
        <w:spacing w:after="0"/>
        <w:tabs>
          <w:tab w:leader="none" w:pos="752" w:val="left"/>
        </w:tabs>
        <w:numPr>
          <w:ilvl w:val="0"/>
          <w:numId w:val="1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09803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205" w:lineRule="exact"/>
        <w:rPr>
          <w:sz w:val="20"/>
          <w:szCs w:val="20"/>
          <w:color w:val="auto"/>
        </w:rPr>
      </w:pPr>
    </w:p>
    <w:p>
      <w:pPr>
        <w:ind w:left="752"/>
        <w:spacing w:after="0"/>
        <w:rPr>
          <w:sz w:val="20"/>
          <w:szCs w:val="20"/>
          <w:color w:val="auto"/>
        </w:rPr>
      </w:pPr>
      <w:r>
        <w:rPr>
          <w:rFonts w:ascii="Arial" w:cs="Arial" w:eastAsia="Arial" w:hAnsi="Arial"/>
          <w:sz w:val="18"/>
          <w:szCs w:val="18"/>
          <w:color w:val="auto"/>
        </w:rPr>
        <w:t>281,422 shares</w:t>
      </w:r>
    </w:p>
    <w:p>
      <w:pPr>
        <w:spacing w:after="0" w:line="23" w:lineRule="exact"/>
        <w:rPr>
          <w:sz w:val="20"/>
          <w:szCs w:val="20"/>
          <w:color w:val="auto"/>
        </w:rPr>
      </w:pPr>
    </w:p>
    <w:p>
      <w:pPr>
        <w:ind w:left="752"/>
        <w:spacing w:after="0"/>
        <w:rPr>
          <w:sz w:val="20"/>
          <w:szCs w:val="20"/>
          <w:color w:val="auto"/>
        </w:rPr>
      </w:pPr>
      <w:r>
        <w:rPr>
          <w:rFonts w:ascii="Arial" w:cs="Arial" w:eastAsia="Arial" w:hAnsi="Arial"/>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09803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ind w:left="932" w:right="3139" w:hanging="932"/>
        <w:spacing w:after="0" w:line="258" w:lineRule="auto"/>
        <w:tabs>
          <w:tab w:leader="none" w:pos="752"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 ] N/A</w:t>
      </w:r>
    </w:p>
    <w:p>
      <w:pPr>
        <w:ind w:left="752" w:hanging="752"/>
        <w:spacing w:after="0"/>
        <w:tabs>
          <w:tab w:leader="none" w:pos="752"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4" w:lineRule="exact"/>
        <w:rPr>
          <w:rFonts w:ascii="Arial" w:cs="Arial" w:eastAsia="Arial" w:hAnsi="Arial"/>
          <w:sz w:val="18"/>
          <w:szCs w:val="18"/>
          <w:color w:val="auto"/>
        </w:rPr>
      </w:pPr>
    </w:p>
    <w:p>
      <w:pPr>
        <w:ind w:left="752"/>
        <w:spacing w:after="0"/>
        <w:rPr>
          <w:rFonts w:ascii="Arial" w:cs="Arial" w:eastAsia="Arial" w:hAnsi="Arial"/>
          <w:sz w:val="18"/>
          <w:szCs w:val="18"/>
          <w:color w:val="auto"/>
        </w:rPr>
      </w:pPr>
      <w:r>
        <w:rPr>
          <w:rFonts w:ascii="Arial" w:cs="Arial" w:eastAsia="Arial" w:hAnsi="Arial"/>
          <w:sz w:val="18"/>
          <w:szCs w:val="18"/>
          <w:color w:val="auto"/>
        </w:rPr>
        <w:t>1.36%</w:t>
      </w:r>
    </w:p>
    <w:p>
      <w:pPr>
        <w:spacing w:after="0" w:line="23" w:lineRule="exact"/>
        <w:rPr>
          <w:rFonts w:ascii="Arial" w:cs="Arial" w:eastAsia="Arial" w:hAnsi="Arial"/>
          <w:sz w:val="18"/>
          <w:szCs w:val="18"/>
          <w:color w:val="auto"/>
        </w:rPr>
      </w:pPr>
    </w:p>
    <w:p>
      <w:pPr>
        <w:ind w:left="752"/>
        <w:spacing w:after="0"/>
        <w:rPr>
          <w:rFonts w:ascii="Arial" w:cs="Arial" w:eastAsia="Arial" w:hAnsi="Arial"/>
          <w:sz w:val="18"/>
          <w:szCs w:val="18"/>
          <w:color w:val="auto"/>
        </w:rPr>
      </w:pPr>
      <w:r>
        <w:rPr>
          <w:rFonts w:ascii="Arial" w:cs="Arial" w:eastAsia="Arial" w:hAnsi="Arial"/>
          <w:sz w:val="18"/>
          <w:szCs w:val="18"/>
          <w:color w:val="auto"/>
        </w:rPr>
        <w:t>Refer to Item 4 below.</w:t>
      </w:r>
    </w:p>
    <w:p>
      <w:pPr>
        <w:spacing w:after="0" w:line="9" w:lineRule="exact"/>
        <w:rPr>
          <w:rFonts w:ascii="Arial" w:cs="Arial" w:eastAsia="Arial" w:hAnsi="Arial"/>
          <w:sz w:val="18"/>
          <w:szCs w:val="18"/>
          <w:color w:val="auto"/>
        </w:rPr>
      </w:pPr>
    </w:p>
    <w:p>
      <w:pPr>
        <w:ind w:left="752" w:right="6219" w:hanging="752"/>
        <w:spacing w:after="0" w:line="276" w:lineRule="auto"/>
        <w:tabs>
          <w:tab w:leader="none" w:pos="752" w:val="left"/>
        </w:tabs>
        <w:numPr>
          <w:ilvl w:val="0"/>
          <w:numId w:val="20"/>
        </w:numPr>
        <w:rPr>
          <w:rFonts w:ascii="Arial" w:cs="Arial" w:eastAsia="Arial" w:hAnsi="Arial"/>
          <w:sz w:val="18"/>
          <w:szCs w:val="18"/>
          <w:color w:val="auto"/>
        </w:rPr>
      </w:pPr>
      <w:r>
        <w:rPr>
          <w:rFonts w:ascii="Arial" w:cs="Arial" w:eastAsia="Arial" w:hAnsi="Arial"/>
          <w:sz w:val="18"/>
          <w:szCs w:val="18"/>
          <w:color w:val="auto"/>
        </w:rPr>
        <w:t>Type of Reporting Person (See Instructions) PN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09803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-301625</wp:posOffset>
            </wp:positionV>
            <wp:extent cx="709803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-859155</wp:posOffset>
            </wp:positionV>
            <wp:extent cx="709803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254635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1"/>
          </w:cols>
          <w:pgMar w:left="328" w:top="139" w:right="1440" w:bottom="1440" w:gutter="0" w:footer="0" w:header="0"/>
          <w:type w:val="continuous"/>
        </w:sectPr>
      </w:pPr>
    </w:p>
    <w:bookmarkStart w:id="4" w:name="page5"/>
    <w:bookmarkEnd w:id="4"/>
    <w:p>
      <w:pPr>
        <w:ind w:left="780" w:hanging="772"/>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780" w:right="6340"/>
        <w:spacing w:after="0" w:line="500"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Cormorant Private Healthcare GP 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-692785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780" w:hanging="772"/>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260" w:hanging="483"/>
        <w:spacing w:after="0"/>
        <w:tabs>
          <w:tab w:leader="none" w:pos="12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 ]</w:t>
      </w:r>
    </w:p>
    <w:p>
      <w:pPr>
        <w:spacing w:after="0" w:line="9" w:lineRule="exact"/>
        <w:rPr>
          <w:rFonts w:ascii="Arial" w:cs="Arial" w:eastAsia="Arial" w:hAnsi="Arial"/>
          <w:sz w:val="18"/>
          <w:szCs w:val="18"/>
          <w:color w:val="auto"/>
        </w:rPr>
      </w:pPr>
    </w:p>
    <w:p>
      <w:pPr>
        <w:ind w:left="1260" w:hanging="483"/>
        <w:spacing w:after="0"/>
        <w:tabs>
          <w:tab w:leader="none" w:pos="12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780" w:hanging="772"/>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0"/>
          <w:szCs w:val="20"/>
          <w:color w:val="auto"/>
        </w:rPr>
      </w:pPr>
    </w:p>
    <w:p>
      <w:pPr>
        <w:ind w:left="780" w:right="7800" w:hanging="772"/>
        <w:spacing w:after="0" w:line="527" w:lineRule="auto"/>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0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79"/>
              </w:rPr>
              <w:t>5</w:t>
            </w:r>
          </w:p>
        </w:tc>
        <w:tc>
          <w:tcPr>
            <w:tcW w:w="91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18"/>
        </w:trPr>
        <w:tc>
          <w:tcPr>
            <w:tcW w:w="2000" w:type="dxa"/>
            <w:vAlign w:val="bottom"/>
          </w:tcPr>
          <w:p>
            <w:pPr>
              <w:spacing w:after="0"/>
              <w:rPr>
                <w:sz w:val="24"/>
                <w:szCs w:val="24"/>
                <w:color w:val="auto"/>
              </w:rPr>
            </w:pPr>
          </w:p>
        </w:tc>
        <w:tc>
          <w:tcPr>
            <w:tcW w:w="9240" w:type="dxa"/>
            <w:vAlign w:val="bottom"/>
            <w:gridSpan w:val="3"/>
          </w:tcPr>
          <w:p>
            <w:pPr>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108"/>
        </w:trPr>
        <w:tc>
          <w:tcPr>
            <w:tcW w:w="2000" w:type="dxa"/>
            <w:vAlign w:val="bottom"/>
          </w:tcPr>
          <w:p>
            <w:pPr>
              <w:spacing w:after="0"/>
              <w:rPr>
                <w:sz w:val="9"/>
                <w:szCs w:val="9"/>
                <w:color w:val="auto"/>
              </w:rPr>
            </w:pPr>
          </w:p>
        </w:tc>
        <w:tc>
          <w:tcPr>
            <w:tcW w:w="100" w:type="dxa"/>
            <w:vAlign w:val="bottom"/>
            <w:tcBorders>
              <w:bottom w:val="single" w:sz="8" w:color="auto"/>
            </w:tcBorders>
            <w:gridSpan w:val="2"/>
          </w:tcPr>
          <w:p>
            <w:pPr>
              <w:spacing w:after="0"/>
              <w:rPr>
                <w:sz w:val="9"/>
                <w:szCs w:val="9"/>
                <w:color w:val="auto"/>
              </w:rPr>
            </w:pPr>
          </w:p>
        </w:tc>
        <w:tc>
          <w:tcPr>
            <w:tcW w:w="91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2000" w:type="dxa"/>
            <w:vAlign w:val="bottom"/>
            <w:vMerge w:val="restart"/>
          </w:tcPr>
          <w:p>
            <w:pPr>
              <w:jc w:val="center"/>
              <w:spacing w:after="0"/>
              <w:rPr>
                <w:sz w:val="20"/>
                <w:szCs w:val="20"/>
                <w:color w:val="auto"/>
              </w:rPr>
            </w:pPr>
            <w:r>
              <w:rPr>
                <w:rFonts w:ascii="Arial" w:cs="Arial" w:eastAsia="Arial" w:hAnsi="Arial"/>
                <w:sz w:val="18"/>
                <w:szCs w:val="18"/>
                <w:color w:val="auto"/>
                <w:w w:val="93"/>
              </w:rPr>
              <w:t>Number</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6</w:t>
            </w:r>
          </w:p>
        </w:tc>
        <w:tc>
          <w:tcPr>
            <w:tcW w:w="9140" w:type="dxa"/>
            <w:vAlign w:val="bottom"/>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87"/>
        </w:trPr>
        <w:tc>
          <w:tcPr>
            <w:tcW w:w="20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00" w:type="dxa"/>
            <w:vAlign w:val="bottom"/>
          </w:tcPr>
          <w:p>
            <w:pPr>
              <w:jc w:val="center"/>
              <w:spacing w:after="0"/>
              <w:rPr>
                <w:sz w:val="20"/>
                <w:szCs w:val="20"/>
                <w:color w:val="auto"/>
              </w:rPr>
            </w:pPr>
            <w:r>
              <w:rPr>
                <w:rFonts w:ascii="Arial" w:cs="Arial" w:eastAsia="Arial" w:hAnsi="Arial"/>
                <w:sz w:val="18"/>
                <w:szCs w:val="18"/>
                <w:color w:val="auto"/>
                <w:w w:val="88"/>
              </w:rPr>
              <w:t>of Shares</w:t>
            </w:r>
          </w:p>
        </w:tc>
        <w:tc>
          <w:tcPr>
            <w:tcW w:w="9240" w:type="dxa"/>
            <w:vAlign w:val="bottom"/>
            <w:gridSpan w:val="3"/>
          </w:tcPr>
          <w:p>
            <w:pPr>
              <w:spacing w:after="0"/>
              <w:rPr>
                <w:sz w:val="20"/>
                <w:szCs w:val="20"/>
                <w:color w:val="auto"/>
              </w:rPr>
            </w:pPr>
            <w:r>
              <w:rPr>
                <w:rFonts w:ascii="Arial" w:cs="Arial" w:eastAsia="Arial" w:hAnsi="Arial"/>
                <w:sz w:val="18"/>
                <w:szCs w:val="18"/>
                <w:color w:val="auto"/>
              </w:rPr>
              <w:t>281,422 shares</w:t>
            </w:r>
          </w:p>
        </w:tc>
        <w:tc>
          <w:tcPr>
            <w:tcW w:w="0" w:type="dxa"/>
            <w:vAlign w:val="bottom"/>
          </w:tcPr>
          <w:p>
            <w:pPr>
              <w:spacing w:after="0"/>
              <w:rPr>
                <w:sz w:val="1"/>
                <w:szCs w:val="1"/>
                <w:color w:val="auto"/>
              </w:rPr>
            </w:pPr>
          </w:p>
        </w:tc>
      </w:tr>
      <w:tr>
        <w:trPr>
          <w:trHeight w:val="216"/>
        </w:trPr>
        <w:tc>
          <w:tcPr>
            <w:tcW w:w="2000" w:type="dxa"/>
            <w:vAlign w:val="bottom"/>
          </w:tcPr>
          <w:p>
            <w:pPr>
              <w:jc w:val="center"/>
              <w:spacing w:after="0"/>
              <w:rPr>
                <w:sz w:val="20"/>
                <w:szCs w:val="20"/>
                <w:color w:val="auto"/>
              </w:rPr>
            </w:pPr>
            <w:r>
              <w:rPr>
                <w:rFonts w:ascii="Arial" w:cs="Arial" w:eastAsia="Arial" w:hAnsi="Arial"/>
                <w:sz w:val="18"/>
                <w:szCs w:val="18"/>
                <w:color w:val="auto"/>
                <w:w w:val="96"/>
              </w:rPr>
              <w:t>Beneficially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0" w:type="dxa"/>
            <w:vAlign w:val="bottom"/>
          </w:tcPr>
          <w:p>
            <w:pPr>
              <w:jc w:val="center"/>
              <w:spacing w:after="0"/>
              <w:rPr>
                <w:sz w:val="20"/>
                <w:szCs w:val="20"/>
                <w:color w:val="auto"/>
              </w:rPr>
            </w:pPr>
            <w:r>
              <w:rPr>
                <w:rFonts w:ascii="Arial" w:cs="Arial" w:eastAsia="Arial" w:hAnsi="Arial"/>
                <w:sz w:val="18"/>
                <w:szCs w:val="18"/>
                <w:color w:val="auto"/>
                <w:w w:val="93"/>
              </w:rPr>
              <w:t>Owned by</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1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Refer to Item 4 below.</w:t>
            </w:r>
          </w:p>
        </w:tc>
        <w:tc>
          <w:tcPr>
            <w:tcW w:w="0" w:type="dxa"/>
            <w:vAlign w:val="bottom"/>
          </w:tcPr>
          <w:p>
            <w:pPr>
              <w:spacing w:after="0"/>
              <w:rPr>
                <w:sz w:val="1"/>
                <w:szCs w:val="1"/>
                <w:color w:val="auto"/>
              </w:rPr>
            </w:pPr>
          </w:p>
        </w:tc>
      </w:tr>
      <w:tr>
        <w:trPr>
          <w:trHeight w:val="182"/>
        </w:trPr>
        <w:tc>
          <w:tcPr>
            <w:tcW w:w="2000" w:type="dxa"/>
            <w:vAlign w:val="bottom"/>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20" w:type="dxa"/>
            <w:vAlign w:val="bottom"/>
          </w:tcPr>
          <w:p>
            <w:pPr>
              <w:spacing w:after="0"/>
              <w:rPr>
                <w:sz w:val="15"/>
                <w:szCs w:val="15"/>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7</w:t>
            </w:r>
          </w:p>
        </w:tc>
        <w:tc>
          <w:tcPr>
            <w:tcW w:w="9140" w:type="dxa"/>
            <w:vAlign w:val="bottom"/>
          </w:tcPr>
          <w:p>
            <w:pPr>
              <w:ind w:left="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2000" w:type="dxa"/>
            <w:vAlign w:val="bottom"/>
          </w:tcPr>
          <w:p>
            <w:pPr>
              <w:jc w:val="center"/>
              <w:spacing w:after="0"/>
              <w:rPr>
                <w:sz w:val="20"/>
                <w:szCs w:val="20"/>
                <w:color w:val="auto"/>
              </w:rPr>
            </w:pPr>
            <w:r>
              <w:rPr>
                <w:rFonts w:ascii="Arial" w:cs="Arial" w:eastAsia="Arial" w:hAnsi="Arial"/>
                <w:sz w:val="18"/>
                <w:szCs w:val="18"/>
                <w:color w:val="auto"/>
                <w:w w:val="92"/>
              </w:rPr>
              <w:t>Reporting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00" w:type="dxa"/>
            <w:vAlign w:val="bottom"/>
          </w:tcPr>
          <w:p>
            <w:pPr>
              <w:jc w:val="center"/>
              <w:spacing w:after="0"/>
              <w:rPr>
                <w:sz w:val="20"/>
                <w:szCs w:val="20"/>
                <w:color w:val="auto"/>
              </w:rPr>
            </w:pPr>
            <w:r>
              <w:rPr>
                <w:rFonts w:ascii="Arial" w:cs="Arial" w:eastAsia="Arial" w:hAnsi="Arial"/>
                <w:sz w:val="18"/>
                <w:szCs w:val="18"/>
                <w:color w:val="auto"/>
                <w:w w:val="89"/>
              </w:rPr>
              <w:t>Person With</w:t>
            </w:r>
          </w:p>
        </w:tc>
        <w:tc>
          <w:tcPr>
            <w:tcW w:w="9240" w:type="dxa"/>
            <w:vAlign w:val="bottom"/>
            <w:gridSpan w:val="3"/>
          </w:tcPr>
          <w:p>
            <w:pPr>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108"/>
        </w:trPr>
        <w:tc>
          <w:tcPr>
            <w:tcW w:w="200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1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2000" w:type="dxa"/>
            <w:vAlign w:val="bottom"/>
          </w:tcPr>
          <w:p>
            <w:pPr>
              <w:spacing w:after="0"/>
              <w:rPr>
                <w:sz w:val="19"/>
                <w:szCs w:val="19"/>
                <w:color w:val="auto"/>
              </w:rPr>
            </w:pP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8</w:t>
            </w:r>
          </w:p>
        </w:tc>
        <w:tc>
          <w:tcPr>
            <w:tcW w:w="914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03"/>
        </w:trPr>
        <w:tc>
          <w:tcPr>
            <w:tcW w:w="2000" w:type="dxa"/>
            <w:vAlign w:val="bottom"/>
          </w:tcPr>
          <w:p>
            <w:pPr>
              <w:spacing w:after="0"/>
              <w:rPr>
                <w:sz w:val="24"/>
                <w:szCs w:val="24"/>
                <w:color w:val="auto"/>
              </w:rPr>
            </w:pPr>
          </w:p>
        </w:tc>
        <w:tc>
          <w:tcPr>
            <w:tcW w:w="9240" w:type="dxa"/>
            <w:vAlign w:val="bottom"/>
            <w:gridSpan w:val="3"/>
          </w:tcPr>
          <w:p>
            <w:pPr>
              <w:spacing w:after="0"/>
              <w:rPr>
                <w:sz w:val="20"/>
                <w:szCs w:val="20"/>
                <w:color w:val="auto"/>
              </w:rPr>
            </w:pPr>
            <w:r>
              <w:rPr>
                <w:rFonts w:ascii="Arial" w:cs="Arial" w:eastAsia="Arial" w:hAnsi="Arial"/>
                <w:sz w:val="18"/>
                <w:szCs w:val="18"/>
                <w:color w:val="auto"/>
              </w:rPr>
              <w:t>281,422 shares</w:t>
            </w:r>
          </w:p>
        </w:tc>
        <w:tc>
          <w:tcPr>
            <w:tcW w:w="0" w:type="dxa"/>
            <w:vAlign w:val="bottom"/>
          </w:tcPr>
          <w:p>
            <w:pPr>
              <w:spacing w:after="0"/>
              <w:rPr>
                <w:sz w:val="1"/>
                <w:szCs w:val="1"/>
                <w:color w:val="auto"/>
              </w:rPr>
            </w:pPr>
          </w:p>
        </w:tc>
      </w:tr>
      <w:tr>
        <w:trPr>
          <w:trHeight w:val="230"/>
        </w:trPr>
        <w:tc>
          <w:tcPr>
            <w:tcW w:w="20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1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Refer to Item 4 below.</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760" w:right="5680" w:hanging="752"/>
        <w:spacing w:after="0" w:line="438" w:lineRule="auto"/>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281,422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-478790</wp:posOffset>
            </wp:positionV>
            <wp:extent cx="709803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ind w:left="760"/>
        <w:spacing w:after="0"/>
        <w:rPr>
          <w:sz w:val="20"/>
          <w:szCs w:val="20"/>
          <w:color w:val="auto"/>
        </w:rPr>
      </w:pPr>
      <w:r>
        <w:rPr>
          <w:rFonts w:ascii="Arial" w:cs="Arial" w:eastAsia="Arial" w:hAnsi="Arial"/>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9803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3" w:lineRule="exact"/>
        <w:rPr>
          <w:sz w:val="20"/>
          <w:szCs w:val="20"/>
          <w:color w:val="auto"/>
        </w:rPr>
      </w:pPr>
    </w:p>
    <w:p>
      <w:pPr>
        <w:ind w:left="940" w:right="4240" w:hanging="932"/>
        <w:spacing w:after="0" w:line="258" w:lineRule="auto"/>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 ] N/A</w:t>
      </w:r>
    </w:p>
    <w:p>
      <w:pPr>
        <w:ind w:left="760" w:hanging="752"/>
        <w:spacing w:after="0"/>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4"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color w:val="auto"/>
        </w:rPr>
        <w:t>1.36%</w:t>
      </w:r>
    </w:p>
    <w:p>
      <w:pPr>
        <w:spacing w:after="0" w:line="117"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color w:val="auto"/>
        </w:rPr>
        <w:t>Refer to Item 4 below.</w:t>
      </w:r>
    </w:p>
    <w:p>
      <w:pPr>
        <w:spacing w:after="0" w:line="23" w:lineRule="exact"/>
        <w:rPr>
          <w:rFonts w:ascii="Arial" w:cs="Arial" w:eastAsia="Arial" w:hAnsi="Arial"/>
          <w:sz w:val="18"/>
          <w:szCs w:val="18"/>
          <w:color w:val="auto"/>
        </w:rPr>
      </w:pPr>
    </w:p>
    <w:p>
      <w:pPr>
        <w:ind w:left="760" w:right="7320" w:hanging="752"/>
        <w:spacing w:after="0" w:line="693" w:lineRule="auto"/>
        <w:tabs>
          <w:tab w:leader="none" w:pos="7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Type of Reporting Person (See Instructions) OO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09803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-674370</wp:posOffset>
            </wp:positionV>
            <wp:extent cx="709803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-1299845</wp:posOffset>
            </wp:positionV>
            <wp:extent cx="709803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5" w:name="page6"/>
    <w:bookmarkEnd w:id="5"/>
    <w:p>
      <w:pPr>
        <w:ind w:left="772" w:hanging="772"/>
        <w:spacing w:after="0"/>
        <w:tabs>
          <w:tab w:leader="none" w:pos="772" w:val="left"/>
        </w:tabs>
        <w:numPr>
          <w:ilvl w:val="0"/>
          <w:numId w:val="27"/>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772" w:right="5239"/>
        <w:spacing w:after="0" w:line="500"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Cormorant Private Healthcare Fund III,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-692785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772" w:hanging="772"/>
        <w:spacing w:after="0"/>
        <w:tabs>
          <w:tab w:leader="none" w:pos="772" w:val="left"/>
        </w:tabs>
        <w:numPr>
          <w:ilvl w:val="0"/>
          <w:numId w:val="28"/>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46" w:lineRule="exact"/>
        <w:rPr>
          <w:rFonts w:ascii="Arial" w:cs="Arial" w:eastAsia="Arial" w:hAnsi="Arial"/>
          <w:sz w:val="16"/>
          <w:szCs w:val="16"/>
          <w:color w:val="auto"/>
        </w:rPr>
      </w:pPr>
    </w:p>
    <w:p>
      <w:pPr>
        <w:ind w:left="1252" w:hanging="483"/>
        <w:spacing w:after="0"/>
        <w:tabs>
          <w:tab w:leader="none" w:pos="1252" w:val="left"/>
        </w:tabs>
        <w:numPr>
          <w:ilvl w:val="1"/>
          <w:numId w:val="28"/>
        </w:numPr>
        <w:rPr>
          <w:rFonts w:ascii="Arial" w:cs="Arial" w:eastAsia="Arial" w:hAnsi="Arial"/>
          <w:sz w:val="18"/>
          <w:szCs w:val="18"/>
          <w:color w:val="auto"/>
        </w:rPr>
      </w:pPr>
      <w:r>
        <w:rPr>
          <w:rFonts w:ascii="Arial" w:cs="Arial" w:eastAsia="Arial" w:hAnsi="Arial"/>
          <w:sz w:val="18"/>
          <w:szCs w:val="18"/>
          <w:color w:val="auto"/>
        </w:rPr>
        <w:t>[ ]</w:t>
      </w:r>
    </w:p>
    <w:p>
      <w:pPr>
        <w:spacing w:after="0" w:line="9" w:lineRule="exact"/>
        <w:rPr>
          <w:rFonts w:ascii="Arial" w:cs="Arial" w:eastAsia="Arial" w:hAnsi="Arial"/>
          <w:sz w:val="18"/>
          <w:szCs w:val="18"/>
          <w:color w:val="auto"/>
        </w:rPr>
      </w:pPr>
    </w:p>
    <w:p>
      <w:pPr>
        <w:ind w:left="1252" w:hanging="483"/>
        <w:spacing w:after="0"/>
        <w:tabs>
          <w:tab w:leader="none" w:pos="1252" w:val="left"/>
        </w:tabs>
        <w:numPr>
          <w:ilvl w:val="1"/>
          <w:numId w:val="28"/>
        </w:numPr>
        <w:rPr>
          <w:rFonts w:ascii="Arial" w:cs="Arial" w:eastAsia="Arial" w:hAnsi="Arial"/>
          <w:sz w:val="18"/>
          <w:szCs w:val="18"/>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-413385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772" w:hanging="772"/>
        <w:spacing w:after="0"/>
        <w:tabs>
          <w:tab w:leader="none" w:pos="772"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0"/>
          <w:szCs w:val="20"/>
          <w:color w:val="auto"/>
        </w:rPr>
      </w:pPr>
    </w:p>
    <w:p>
      <w:pPr>
        <w:ind w:left="772" w:right="6699" w:hanging="772"/>
        <w:spacing w:after="0" w:line="527" w:lineRule="auto"/>
        <w:tabs>
          <w:tab w:leader="none" w:pos="772" w:val="left"/>
        </w:tabs>
        <w:numPr>
          <w:ilvl w:val="0"/>
          <w:numId w:val="30"/>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-88265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1"/>
          </w:cols>
          <w:pgMar w:left="328" w:top="13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left="552"/>
        <w:spacing w:after="0"/>
        <w:rPr>
          <w:sz w:val="20"/>
          <w:szCs w:val="20"/>
          <w:color w:val="auto"/>
        </w:rPr>
      </w:pPr>
      <w:r>
        <w:rPr>
          <w:rFonts w:ascii="Arial" w:cs="Arial" w:eastAsia="Arial" w:hAnsi="Arial"/>
          <w:sz w:val="18"/>
          <w:szCs w:val="18"/>
          <w:color w:val="auto"/>
        </w:rPr>
        <w:t>Number</w:t>
      </w:r>
    </w:p>
    <w:p>
      <w:pPr>
        <w:spacing w:after="0" w:line="23" w:lineRule="exact"/>
        <w:rPr>
          <w:sz w:val="20"/>
          <w:szCs w:val="20"/>
          <w:color w:val="auto"/>
        </w:rPr>
      </w:pPr>
    </w:p>
    <w:p>
      <w:pPr>
        <w:jc w:val="center"/>
        <w:ind w:left="552"/>
        <w:spacing w:after="0"/>
        <w:rPr>
          <w:sz w:val="20"/>
          <w:szCs w:val="20"/>
          <w:color w:val="auto"/>
        </w:rPr>
      </w:pPr>
      <w:r>
        <w:rPr>
          <w:rFonts w:ascii="Arial" w:cs="Arial" w:eastAsia="Arial" w:hAnsi="Arial"/>
          <w:sz w:val="18"/>
          <w:szCs w:val="18"/>
          <w:color w:val="auto"/>
        </w:rPr>
        <w:t>of Shares</w:t>
      </w:r>
    </w:p>
    <w:p>
      <w:pPr>
        <w:spacing w:after="0" w:line="9" w:lineRule="exact"/>
        <w:rPr>
          <w:sz w:val="20"/>
          <w:szCs w:val="20"/>
          <w:color w:val="auto"/>
        </w:rPr>
      </w:pPr>
    </w:p>
    <w:p>
      <w:pPr>
        <w:jc w:val="center"/>
        <w:ind w:left="552"/>
        <w:spacing w:after="0"/>
        <w:rPr>
          <w:sz w:val="20"/>
          <w:szCs w:val="20"/>
          <w:color w:val="auto"/>
        </w:rPr>
      </w:pPr>
      <w:r>
        <w:rPr>
          <w:rFonts w:ascii="Arial" w:cs="Arial" w:eastAsia="Arial" w:hAnsi="Arial"/>
          <w:sz w:val="17"/>
          <w:szCs w:val="17"/>
          <w:color w:val="auto"/>
        </w:rPr>
        <w:t>Beneficially</w:t>
      </w:r>
    </w:p>
    <w:p>
      <w:pPr>
        <w:spacing w:after="0" w:line="21" w:lineRule="exact"/>
        <w:rPr>
          <w:sz w:val="20"/>
          <w:szCs w:val="20"/>
          <w:color w:val="auto"/>
        </w:rPr>
      </w:pPr>
    </w:p>
    <w:p>
      <w:pPr>
        <w:jc w:val="center"/>
        <w:ind w:left="552"/>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left="552"/>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left="552"/>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left="552"/>
        <w:spacing w:after="0"/>
        <w:rPr>
          <w:sz w:val="20"/>
          <w:szCs w:val="20"/>
          <w:color w:val="auto"/>
        </w:rPr>
      </w:pPr>
      <w:r>
        <w:rPr>
          <w:rFonts w:ascii="Arial" w:cs="Arial" w:eastAsia="Arial" w:hAnsi="Arial"/>
          <w:sz w:val="16"/>
          <w:szCs w:val="16"/>
          <w:color w:val="auto"/>
        </w:rPr>
        <w:t>Person With</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5 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-1264285</wp:posOffset>
            </wp:positionH>
            <wp:positionV relativeFrom="paragraph">
              <wp:posOffset>-130175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0 shares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6 Shared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587184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351,849 shares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587184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7 Sole Dispositive Power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0 shares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8 Shared Dispositive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587184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351,849 shares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-1264285</wp:posOffset>
            </wp:positionH>
            <wp:positionV relativeFrom="paragraph">
              <wp:posOffset>14605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32" w:space="560"/>
            <w:col w:w="8139"/>
          </w:cols>
          <w:pgMar w:left="328" w:top="139" w:right="1440" w:bottom="1440" w:gutter="0" w:footer="0" w:header="0"/>
          <w:type w:val="continuous"/>
        </w:sectPr>
      </w:pPr>
    </w:p>
    <w:p>
      <w:pPr>
        <w:spacing w:after="0" w:line="79" w:lineRule="exact"/>
        <w:rPr>
          <w:sz w:val="20"/>
          <w:szCs w:val="20"/>
          <w:color w:val="auto"/>
        </w:rPr>
      </w:pPr>
    </w:p>
    <w:p>
      <w:pPr>
        <w:ind w:left="752" w:right="4579" w:hanging="752"/>
        <w:spacing w:after="0" w:line="438" w:lineRule="auto"/>
        <w:tabs>
          <w:tab w:leader="none" w:pos="752" w:val="left"/>
        </w:tabs>
        <w:numPr>
          <w:ilvl w:val="0"/>
          <w:numId w:val="3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351,849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-478790</wp:posOffset>
            </wp:positionV>
            <wp:extent cx="709803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ind w:left="752"/>
        <w:spacing w:after="0"/>
        <w:rPr>
          <w:sz w:val="20"/>
          <w:szCs w:val="20"/>
          <w:color w:val="auto"/>
        </w:rPr>
      </w:pPr>
      <w:r>
        <w:rPr>
          <w:rFonts w:ascii="Arial" w:cs="Arial" w:eastAsia="Arial" w:hAnsi="Arial"/>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09803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3" w:lineRule="exact"/>
        <w:rPr>
          <w:sz w:val="20"/>
          <w:szCs w:val="20"/>
          <w:color w:val="auto"/>
        </w:rPr>
      </w:pPr>
    </w:p>
    <w:p>
      <w:pPr>
        <w:ind w:left="932" w:right="3139" w:hanging="932"/>
        <w:spacing w:after="0" w:line="258" w:lineRule="auto"/>
        <w:tabs>
          <w:tab w:leader="none" w:pos="752"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 ] N/A</w:t>
      </w:r>
    </w:p>
    <w:p>
      <w:pPr>
        <w:ind w:left="752" w:hanging="752"/>
        <w:spacing w:after="0"/>
        <w:tabs>
          <w:tab w:leader="none" w:pos="752"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4" w:lineRule="exact"/>
        <w:rPr>
          <w:rFonts w:ascii="Arial" w:cs="Arial" w:eastAsia="Arial" w:hAnsi="Arial"/>
          <w:sz w:val="18"/>
          <w:szCs w:val="18"/>
          <w:color w:val="auto"/>
        </w:rPr>
      </w:pPr>
    </w:p>
    <w:p>
      <w:pPr>
        <w:ind w:left="752"/>
        <w:spacing w:after="0"/>
        <w:rPr>
          <w:rFonts w:ascii="Arial" w:cs="Arial" w:eastAsia="Arial" w:hAnsi="Arial"/>
          <w:sz w:val="18"/>
          <w:szCs w:val="18"/>
          <w:color w:val="auto"/>
        </w:rPr>
      </w:pPr>
      <w:r>
        <w:rPr>
          <w:rFonts w:ascii="Arial" w:cs="Arial" w:eastAsia="Arial" w:hAnsi="Arial"/>
          <w:sz w:val="18"/>
          <w:szCs w:val="18"/>
          <w:color w:val="auto"/>
        </w:rPr>
        <w:t>1.70%</w:t>
      </w:r>
    </w:p>
    <w:p>
      <w:pPr>
        <w:spacing w:after="0" w:line="117" w:lineRule="exact"/>
        <w:rPr>
          <w:rFonts w:ascii="Arial" w:cs="Arial" w:eastAsia="Arial" w:hAnsi="Arial"/>
          <w:sz w:val="18"/>
          <w:szCs w:val="18"/>
          <w:color w:val="auto"/>
        </w:rPr>
      </w:pPr>
    </w:p>
    <w:p>
      <w:pPr>
        <w:ind w:left="752"/>
        <w:spacing w:after="0"/>
        <w:rPr>
          <w:rFonts w:ascii="Arial" w:cs="Arial" w:eastAsia="Arial" w:hAnsi="Arial"/>
          <w:sz w:val="18"/>
          <w:szCs w:val="18"/>
          <w:color w:val="auto"/>
        </w:rPr>
      </w:pPr>
      <w:r>
        <w:rPr>
          <w:rFonts w:ascii="Arial" w:cs="Arial" w:eastAsia="Arial" w:hAnsi="Arial"/>
          <w:sz w:val="18"/>
          <w:szCs w:val="18"/>
          <w:color w:val="auto"/>
        </w:rPr>
        <w:t>Refer to Item 4 below.</w:t>
      </w:r>
    </w:p>
    <w:p>
      <w:pPr>
        <w:spacing w:after="0" w:line="23" w:lineRule="exact"/>
        <w:rPr>
          <w:rFonts w:ascii="Arial" w:cs="Arial" w:eastAsia="Arial" w:hAnsi="Arial"/>
          <w:sz w:val="18"/>
          <w:szCs w:val="18"/>
          <w:color w:val="auto"/>
        </w:rPr>
      </w:pPr>
    </w:p>
    <w:p>
      <w:pPr>
        <w:ind w:left="752" w:right="6219" w:hanging="752"/>
        <w:spacing w:after="0" w:line="589" w:lineRule="auto"/>
        <w:tabs>
          <w:tab w:leader="none" w:pos="752" w:val="left"/>
        </w:tabs>
        <w:numPr>
          <w:ilvl w:val="0"/>
          <w:numId w:val="32"/>
        </w:numPr>
        <w:rPr>
          <w:rFonts w:ascii="Arial" w:cs="Arial" w:eastAsia="Arial" w:hAnsi="Arial"/>
          <w:sz w:val="18"/>
          <w:szCs w:val="18"/>
          <w:color w:val="auto"/>
        </w:rPr>
      </w:pPr>
      <w:r>
        <w:rPr>
          <w:rFonts w:ascii="Arial" w:cs="Arial" w:eastAsia="Arial" w:hAnsi="Arial"/>
          <w:sz w:val="18"/>
          <w:szCs w:val="18"/>
          <w:color w:val="auto"/>
        </w:rPr>
        <w:t>Type of Reporting Person (See Instructions) PN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-121285</wp:posOffset>
            </wp:positionV>
            <wp:extent cx="709803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-644525</wp:posOffset>
            </wp:positionV>
            <wp:extent cx="709803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-1270000</wp:posOffset>
            </wp:positionV>
            <wp:extent cx="709803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152400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1"/>
          </w:cols>
          <w:pgMar w:left="328" w:top="139" w:right="1440" w:bottom="1440" w:gutter="0" w:footer="0" w:header="0"/>
          <w:type w:val="continuous"/>
        </w:sectPr>
      </w:pPr>
    </w:p>
    <w:bookmarkStart w:id="6" w:name="page7"/>
    <w:bookmarkEnd w:id="6"/>
    <w:p>
      <w:pPr>
        <w:ind w:left="772" w:hanging="772"/>
        <w:spacing w:after="0"/>
        <w:tabs>
          <w:tab w:leader="none" w:pos="772" w:val="left"/>
        </w:tabs>
        <w:numPr>
          <w:ilvl w:val="0"/>
          <w:numId w:val="33"/>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772" w:right="5239"/>
        <w:spacing w:after="0" w:line="500"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Cormorant Private Healthcare GP III,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-692785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772" w:hanging="772"/>
        <w:spacing w:after="0"/>
        <w:tabs>
          <w:tab w:leader="none" w:pos="772" w:val="left"/>
        </w:tabs>
        <w:numPr>
          <w:ilvl w:val="0"/>
          <w:numId w:val="34"/>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46" w:lineRule="exact"/>
        <w:rPr>
          <w:rFonts w:ascii="Arial" w:cs="Arial" w:eastAsia="Arial" w:hAnsi="Arial"/>
          <w:sz w:val="16"/>
          <w:szCs w:val="16"/>
          <w:color w:val="auto"/>
        </w:rPr>
      </w:pPr>
    </w:p>
    <w:p>
      <w:pPr>
        <w:ind w:left="1252" w:hanging="483"/>
        <w:spacing w:after="0"/>
        <w:tabs>
          <w:tab w:leader="none" w:pos="1252" w:val="left"/>
        </w:tabs>
        <w:numPr>
          <w:ilvl w:val="1"/>
          <w:numId w:val="34"/>
        </w:numPr>
        <w:rPr>
          <w:rFonts w:ascii="Arial" w:cs="Arial" w:eastAsia="Arial" w:hAnsi="Arial"/>
          <w:sz w:val="18"/>
          <w:szCs w:val="18"/>
          <w:color w:val="auto"/>
        </w:rPr>
      </w:pPr>
      <w:r>
        <w:rPr>
          <w:rFonts w:ascii="Arial" w:cs="Arial" w:eastAsia="Arial" w:hAnsi="Arial"/>
          <w:sz w:val="18"/>
          <w:szCs w:val="18"/>
          <w:color w:val="auto"/>
        </w:rPr>
        <w:t>[ ]</w:t>
      </w:r>
    </w:p>
    <w:p>
      <w:pPr>
        <w:spacing w:after="0" w:line="9" w:lineRule="exact"/>
        <w:rPr>
          <w:rFonts w:ascii="Arial" w:cs="Arial" w:eastAsia="Arial" w:hAnsi="Arial"/>
          <w:sz w:val="18"/>
          <w:szCs w:val="18"/>
          <w:color w:val="auto"/>
        </w:rPr>
      </w:pPr>
    </w:p>
    <w:p>
      <w:pPr>
        <w:ind w:left="1252" w:hanging="483"/>
        <w:spacing w:after="0"/>
        <w:tabs>
          <w:tab w:leader="none" w:pos="1252" w:val="left"/>
        </w:tabs>
        <w:numPr>
          <w:ilvl w:val="1"/>
          <w:numId w:val="34"/>
        </w:numPr>
        <w:rPr>
          <w:rFonts w:ascii="Arial" w:cs="Arial" w:eastAsia="Arial" w:hAnsi="Arial"/>
          <w:sz w:val="18"/>
          <w:szCs w:val="18"/>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-413385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772" w:hanging="772"/>
        <w:spacing w:after="0"/>
        <w:tabs>
          <w:tab w:leader="none" w:pos="772"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0"/>
          <w:szCs w:val="20"/>
          <w:color w:val="auto"/>
        </w:rPr>
      </w:pPr>
    </w:p>
    <w:p>
      <w:pPr>
        <w:ind w:left="772" w:right="6699" w:hanging="772"/>
        <w:spacing w:after="0" w:line="527" w:lineRule="auto"/>
        <w:tabs>
          <w:tab w:leader="none" w:pos="772" w:val="left"/>
        </w:tabs>
        <w:numPr>
          <w:ilvl w:val="0"/>
          <w:numId w:val="36"/>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-88265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1"/>
          </w:cols>
          <w:pgMar w:left="328" w:top="13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left="552"/>
        <w:spacing w:after="0"/>
        <w:rPr>
          <w:sz w:val="20"/>
          <w:szCs w:val="20"/>
          <w:color w:val="auto"/>
        </w:rPr>
      </w:pPr>
      <w:r>
        <w:rPr>
          <w:rFonts w:ascii="Arial" w:cs="Arial" w:eastAsia="Arial" w:hAnsi="Arial"/>
          <w:sz w:val="18"/>
          <w:szCs w:val="18"/>
          <w:color w:val="auto"/>
        </w:rPr>
        <w:t>Number</w:t>
      </w:r>
    </w:p>
    <w:p>
      <w:pPr>
        <w:spacing w:after="0" w:line="23" w:lineRule="exact"/>
        <w:rPr>
          <w:sz w:val="20"/>
          <w:szCs w:val="20"/>
          <w:color w:val="auto"/>
        </w:rPr>
      </w:pPr>
    </w:p>
    <w:p>
      <w:pPr>
        <w:jc w:val="center"/>
        <w:ind w:left="552"/>
        <w:spacing w:after="0"/>
        <w:rPr>
          <w:sz w:val="20"/>
          <w:szCs w:val="20"/>
          <w:color w:val="auto"/>
        </w:rPr>
      </w:pPr>
      <w:r>
        <w:rPr>
          <w:rFonts w:ascii="Arial" w:cs="Arial" w:eastAsia="Arial" w:hAnsi="Arial"/>
          <w:sz w:val="18"/>
          <w:szCs w:val="18"/>
          <w:color w:val="auto"/>
        </w:rPr>
        <w:t>of Shares</w:t>
      </w:r>
    </w:p>
    <w:p>
      <w:pPr>
        <w:spacing w:after="0" w:line="9" w:lineRule="exact"/>
        <w:rPr>
          <w:sz w:val="20"/>
          <w:szCs w:val="20"/>
          <w:color w:val="auto"/>
        </w:rPr>
      </w:pPr>
    </w:p>
    <w:p>
      <w:pPr>
        <w:jc w:val="center"/>
        <w:ind w:left="552"/>
        <w:spacing w:after="0"/>
        <w:rPr>
          <w:sz w:val="20"/>
          <w:szCs w:val="20"/>
          <w:color w:val="auto"/>
        </w:rPr>
      </w:pPr>
      <w:r>
        <w:rPr>
          <w:rFonts w:ascii="Arial" w:cs="Arial" w:eastAsia="Arial" w:hAnsi="Arial"/>
          <w:sz w:val="17"/>
          <w:szCs w:val="17"/>
          <w:color w:val="auto"/>
        </w:rPr>
        <w:t>Beneficially</w:t>
      </w:r>
    </w:p>
    <w:p>
      <w:pPr>
        <w:spacing w:after="0" w:line="21" w:lineRule="exact"/>
        <w:rPr>
          <w:sz w:val="20"/>
          <w:szCs w:val="20"/>
          <w:color w:val="auto"/>
        </w:rPr>
      </w:pPr>
    </w:p>
    <w:p>
      <w:pPr>
        <w:jc w:val="center"/>
        <w:ind w:left="552"/>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left="552"/>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left="552"/>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left="552"/>
        <w:spacing w:after="0"/>
        <w:rPr>
          <w:sz w:val="20"/>
          <w:szCs w:val="20"/>
          <w:color w:val="auto"/>
        </w:rPr>
      </w:pPr>
      <w:r>
        <w:rPr>
          <w:rFonts w:ascii="Arial" w:cs="Arial" w:eastAsia="Arial" w:hAnsi="Arial"/>
          <w:sz w:val="16"/>
          <w:szCs w:val="16"/>
          <w:color w:val="auto"/>
        </w:rPr>
        <w:t>Person With</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5 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-1264285</wp:posOffset>
            </wp:positionH>
            <wp:positionV relativeFrom="paragraph">
              <wp:posOffset>-130175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0 shares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6 Shared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587184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351,849 shares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587184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7 Sole Dispositive Power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0 shares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8 Shared Dispositive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587184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351,849 shares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-1264285</wp:posOffset>
            </wp:positionH>
            <wp:positionV relativeFrom="paragraph">
              <wp:posOffset>14605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32" w:space="560"/>
            <w:col w:w="8139"/>
          </w:cols>
          <w:pgMar w:left="328" w:top="139" w:right="1440" w:bottom="1440" w:gutter="0" w:footer="0" w:header="0"/>
          <w:type w:val="continuous"/>
        </w:sectPr>
      </w:pPr>
    </w:p>
    <w:p>
      <w:pPr>
        <w:spacing w:after="0" w:line="79" w:lineRule="exact"/>
        <w:rPr>
          <w:sz w:val="20"/>
          <w:szCs w:val="20"/>
          <w:color w:val="auto"/>
        </w:rPr>
      </w:pPr>
    </w:p>
    <w:p>
      <w:pPr>
        <w:ind w:left="752" w:right="4579" w:hanging="752"/>
        <w:spacing w:after="0" w:line="438" w:lineRule="auto"/>
        <w:tabs>
          <w:tab w:leader="none" w:pos="752" w:val="left"/>
        </w:tabs>
        <w:numPr>
          <w:ilvl w:val="0"/>
          <w:numId w:val="3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351,849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-478790</wp:posOffset>
            </wp:positionV>
            <wp:extent cx="709803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ind w:left="752"/>
        <w:spacing w:after="0"/>
        <w:rPr>
          <w:sz w:val="20"/>
          <w:szCs w:val="20"/>
          <w:color w:val="auto"/>
        </w:rPr>
      </w:pPr>
      <w:r>
        <w:rPr>
          <w:rFonts w:ascii="Arial" w:cs="Arial" w:eastAsia="Arial" w:hAnsi="Arial"/>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09803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3" w:lineRule="exact"/>
        <w:rPr>
          <w:sz w:val="20"/>
          <w:szCs w:val="20"/>
          <w:color w:val="auto"/>
        </w:rPr>
      </w:pPr>
    </w:p>
    <w:p>
      <w:pPr>
        <w:ind w:left="932" w:right="3139" w:hanging="932"/>
        <w:spacing w:after="0" w:line="258" w:lineRule="auto"/>
        <w:tabs>
          <w:tab w:leader="none" w:pos="752"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 ] N/A</w:t>
      </w:r>
    </w:p>
    <w:p>
      <w:pPr>
        <w:ind w:left="752" w:hanging="752"/>
        <w:spacing w:after="0"/>
        <w:tabs>
          <w:tab w:leader="none" w:pos="752" w:val="left"/>
        </w:tabs>
        <w:numPr>
          <w:ilvl w:val="0"/>
          <w:numId w:val="38"/>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4" w:lineRule="exact"/>
        <w:rPr>
          <w:rFonts w:ascii="Arial" w:cs="Arial" w:eastAsia="Arial" w:hAnsi="Arial"/>
          <w:sz w:val="18"/>
          <w:szCs w:val="18"/>
          <w:color w:val="auto"/>
        </w:rPr>
      </w:pPr>
    </w:p>
    <w:p>
      <w:pPr>
        <w:ind w:left="752"/>
        <w:spacing w:after="0"/>
        <w:rPr>
          <w:rFonts w:ascii="Arial" w:cs="Arial" w:eastAsia="Arial" w:hAnsi="Arial"/>
          <w:sz w:val="18"/>
          <w:szCs w:val="18"/>
          <w:color w:val="auto"/>
        </w:rPr>
      </w:pPr>
      <w:r>
        <w:rPr>
          <w:rFonts w:ascii="Arial" w:cs="Arial" w:eastAsia="Arial" w:hAnsi="Arial"/>
          <w:sz w:val="18"/>
          <w:szCs w:val="18"/>
          <w:color w:val="auto"/>
        </w:rPr>
        <w:t>1.70%</w:t>
      </w:r>
    </w:p>
    <w:p>
      <w:pPr>
        <w:spacing w:after="0" w:line="117" w:lineRule="exact"/>
        <w:rPr>
          <w:rFonts w:ascii="Arial" w:cs="Arial" w:eastAsia="Arial" w:hAnsi="Arial"/>
          <w:sz w:val="18"/>
          <w:szCs w:val="18"/>
          <w:color w:val="auto"/>
        </w:rPr>
      </w:pPr>
    </w:p>
    <w:p>
      <w:pPr>
        <w:ind w:left="752"/>
        <w:spacing w:after="0"/>
        <w:rPr>
          <w:rFonts w:ascii="Arial" w:cs="Arial" w:eastAsia="Arial" w:hAnsi="Arial"/>
          <w:sz w:val="18"/>
          <w:szCs w:val="18"/>
          <w:color w:val="auto"/>
        </w:rPr>
      </w:pPr>
      <w:r>
        <w:rPr>
          <w:rFonts w:ascii="Arial" w:cs="Arial" w:eastAsia="Arial" w:hAnsi="Arial"/>
          <w:sz w:val="18"/>
          <w:szCs w:val="18"/>
          <w:color w:val="auto"/>
        </w:rPr>
        <w:t>Refer to Item 4 below.</w:t>
      </w:r>
    </w:p>
    <w:p>
      <w:pPr>
        <w:spacing w:after="0" w:line="23" w:lineRule="exact"/>
        <w:rPr>
          <w:rFonts w:ascii="Arial" w:cs="Arial" w:eastAsia="Arial" w:hAnsi="Arial"/>
          <w:sz w:val="18"/>
          <w:szCs w:val="18"/>
          <w:color w:val="auto"/>
        </w:rPr>
      </w:pPr>
    </w:p>
    <w:p>
      <w:pPr>
        <w:ind w:left="752" w:right="6219" w:hanging="752"/>
        <w:spacing w:after="0" w:line="693" w:lineRule="auto"/>
        <w:tabs>
          <w:tab w:leader="none" w:pos="752" w:val="left"/>
        </w:tabs>
        <w:numPr>
          <w:ilvl w:val="0"/>
          <w:numId w:val="38"/>
        </w:numPr>
        <w:rPr>
          <w:rFonts w:ascii="Arial" w:cs="Arial" w:eastAsia="Arial" w:hAnsi="Arial"/>
          <w:sz w:val="16"/>
          <w:szCs w:val="16"/>
          <w:color w:val="auto"/>
        </w:rPr>
      </w:pPr>
      <w:r>
        <w:rPr>
          <w:rFonts w:ascii="Arial" w:cs="Arial" w:eastAsia="Arial" w:hAnsi="Arial"/>
          <w:sz w:val="16"/>
          <w:szCs w:val="16"/>
          <w:color w:val="auto"/>
        </w:rPr>
        <w:t>Type of Reporting Person (See Instructions) OO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-151130</wp:posOffset>
            </wp:positionV>
            <wp:extent cx="709803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-674370</wp:posOffset>
            </wp:positionV>
            <wp:extent cx="709803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-1299845</wp:posOffset>
            </wp:positionV>
            <wp:extent cx="709803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122555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1"/>
          </w:cols>
          <w:pgMar w:left="328" w:top="139" w:right="1440" w:bottom="1440" w:gutter="0" w:footer="0" w:header="0"/>
          <w:type w:val="continuous"/>
        </w:sectPr>
      </w:pPr>
    </w:p>
    <w:bookmarkStart w:id="7" w:name="page8"/>
    <w:bookmarkEnd w:id="7"/>
    <w:p>
      <w:pPr>
        <w:ind w:left="772" w:hanging="772"/>
        <w:spacing w:after="0"/>
        <w:tabs>
          <w:tab w:leader="none" w:pos="772" w:val="left"/>
        </w:tabs>
        <w:numPr>
          <w:ilvl w:val="0"/>
          <w:numId w:val="39"/>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772" w:right="5239"/>
        <w:spacing w:after="0" w:line="500"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Cormorant Asset Management,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-692785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772" w:hanging="772"/>
        <w:spacing w:after="0"/>
        <w:tabs>
          <w:tab w:leader="none" w:pos="772" w:val="left"/>
        </w:tabs>
        <w:numPr>
          <w:ilvl w:val="0"/>
          <w:numId w:val="40"/>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46" w:lineRule="exact"/>
        <w:rPr>
          <w:rFonts w:ascii="Arial" w:cs="Arial" w:eastAsia="Arial" w:hAnsi="Arial"/>
          <w:sz w:val="16"/>
          <w:szCs w:val="16"/>
          <w:color w:val="auto"/>
        </w:rPr>
      </w:pPr>
    </w:p>
    <w:p>
      <w:pPr>
        <w:ind w:left="1252" w:hanging="483"/>
        <w:spacing w:after="0"/>
        <w:tabs>
          <w:tab w:leader="none" w:pos="1252" w:val="left"/>
        </w:tabs>
        <w:numPr>
          <w:ilvl w:val="1"/>
          <w:numId w:val="40"/>
        </w:numPr>
        <w:rPr>
          <w:rFonts w:ascii="Arial" w:cs="Arial" w:eastAsia="Arial" w:hAnsi="Arial"/>
          <w:sz w:val="18"/>
          <w:szCs w:val="18"/>
          <w:color w:val="auto"/>
        </w:rPr>
      </w:pPr>
      <w:r>
        <w:rPr>
          <w:rFonts w:ascii="Arial" w:cs="Arial" w:eastAsia="Arial" w:hAnsi="Arial"/>
          <w:sz w:val="18"/>
          <w:szCs w:val="18"/>
          <w:color w:val="auto"/>
        </w:rPr>
        <w:t>[ ]</w:t>
      </w:r>
    </w:p>
    <w:p>
      <w:pPr>
        <w:spacing w:after="0" w:line="9" w:lineRule="exact"/>
        <w:rPr>
          <w:rFonts w:ascii="Arial" w:cs="Arial" w:eastAsia="Arial" w:hAnsi="Arial"/>
          <w:sz w:val="18"/>
          <w:szCs w:val="18"/>
          <w:color w:val="auto"/>
        </w:rPr>
      </w:pPr>
    </w:p>
    <w:p>
      <w:pPr>
        <w:ind w:left="1252" w:hanging="483"/>
        <w:spacing w:after="0"/>
        <w:tabs>
          <w:tab w:leader="none" w:pos="1252" w:val="left"/>
        </w:tabs>
        <w:numPr>
          <w:ilvl w:val="1"/>
          <w:numId w:val="40"/>
        </w:numPr>
        <w:rPr>
          <w:rFonts w:ascii="Arial" w:cs="Arial" w:eastAsia="Arial" w:hAnsi="Arial"/>
          <w:sz w:val="18"/>
          <w:szCs w:val="18"/>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-413385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772" w:hanging="772"/>
        <w:spacing w:after="0"/>
        <w:tabs>
          <w:tab w:leader="none" w:pos="772"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0"/>
          <w:szCs w:val="20"/>
          <w:color w:val="auto"/>
        </w:rPr>
      </w:pPr>
    </w:p>
    <w:p>
      <w:pPr>
        <w:ind w:left="772" w:right="6699" w:hanging="772"/>
        <w:spacing w:after="0" w:line="527" w:lineRule="auto"/>
        <w:tabs>
          <w:tab w:leader="none" w:pos="772" w:val="left"/>
        </w:tabs>
        <w:numPr>
          <w:ilvl w:val="0"/>
          <w:numId w:val="42"/>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-88265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1"/>
          </w:cols>
          <w:pgMar w:left="328" w:top="13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left="552"/>
        <w:spacing w:after="0"/>
        <w:rPr>
          <w:sz w:val="20"/>
          <w:szCs w:val="20"/>
          <w:color w:val="auto"/>
        </w:rPr>
      </w:pPr>
      <w:r>
        <w:rPr>
          <w:rFonts w:ascii="Arial" w:cs="Arial" w:eastAsia="Arial" w:hAnsi="Arial"/>
          <w:sz w:val="18"/>
          <w:szCs w:val="18"/>
          <w:color w:val="auto"/>
        </w:rPr>
        <w:t>Number</w:t>
      </w:r>
    </w:p>
    <w:p>
      <w:pPr>
        <w:spacing w:after="0" w:line="23" w:lineRule="exact"/>
        <w:rPr>
          <w:sz w:val="20"/>
          <w:szCs w:val="20"/>
          <w:color w:val="auto"/>
        </w:rPr>
      </w:pPr>
    </w:p>
    <w:p>
      <w:pPr>
        <w:jc w:val="center"/>
        <w:ind w:left="552"/>
        <w:spacing w:after="0"/>
        <w:rPr>
          <w:sz w:val="20"/>
          <w:szCs w:val="20"/>
          <w:color w:val="auto"/>
        </w:rPr>
      </w:pPr>
      <w:r>
        <w:rPr>
          <w:rFonts w:ascii="Arial" w:cs="Arial" w:eastAsia="Arial" w:hAnsi="Arial"/>
          <w:sz w:val="18"/>
          <w:szCs w:val="18"/>
          <w:color w:val="auto"/>
        </w:rPr>
        <w:t>of Shares</w:t>
      </w:r>
    </w:p>
    <w:p>
      <w:pPr>
        <w:spacing w:after="0" w:line="9" w:lineRule="exact"/>
        <w:rPr>
          <w:sz w:val="20"/>
          <w:szCs w:val="20"/>
          <w:color w:val="auto"/>
        </w:rPr>
      </w:pPr>
    </w:p>
    <w:p>
      <w:pPr>
        <w:jc w:val="center"/>
        <w:ind w:left="552"/>
        <w:spacing w:after="0"/>
        <w:rPr>
          <w:sz w:val="20"/>
          <w:szCs w:val="20"/>
          <w:color w:val="auto"/>
        </w:rPr>
      </w:pPr>
      <w:r>
        <w:rPr>
          <w:rFonts w:ascii="Arial" w:cs="Arial" w:eastAsia="Arial" w:hAnsi="Arial"/>
          <w:sz w:val="17"/>
          <w:szCs w:val="17"/>
          <w:color w:val="auto"/>
        </w:rPr>
        <w:t>Beneficially</w:t>
      </w:r>
    </w:p>
    <w:p>
      <w:pPr>
        <w:spacing w:after="0" w:line="21" w:lineRule="exact"/>
        <w:rPr>
          <w:sz w:val="20"/>
          <w:szCs w:val="20"/>
          <w:color w:val="auto"/>
        </w:rPr>
      </w:pPr>
    </w:p>
    <w:p>
      <w:pPr>
        <w:jc w:val="center"/>
        <w:ind w:left="552"/>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left="552"/>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left="552"/>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left="552"/>
        <w:spacing w:after="0"/>
        <w:rPr>
          <w:sz w:val="20"/>
          <w:szCs w:val="20"/>
          <w:color w:val="auto"/>
        </w:rPr>
      </w:pPr>
      <w:r>
        <w:rPr>
          <w:rFonts w:ascii="Arial" w:cs="Arial" w:eastAsia="Arial" w:hAnsi="Arial"/>
          <w:sz w:val="16"/>
          <w:szCs w:val="16"/>
          <w:color w:val="auto"/>
        </w:rPr>
        <w:t>Person With</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5 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-1264285</wp:posOffset>
            </wp:positionH>
            <wp:positionV relativeFrom="paragraph">
              <wp:posOffset>-130175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0 shares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6 Shared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587184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1,403,331 shares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587184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7 Sole Dispositive Power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0 shares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8 Shared Dispositive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587184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871845"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1,403,331 shares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-1264285</wp:posOffset>
            </wp:positionH>
            <wp:positionV relativeFrom="paragraph">
              <wp:posOffset>5715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32" w:space="560"/>
            <w:col w:w="8139"/>
          </w:cols>
          <w:pgMar w:left="328" w:top="139" w:right="1440" w:bottom="1440" w:gutter="0" w:footer="0" w:header="0"/>
          <w:type w:val="continuous"/>
        </w:sectPr>
      </w:pPr>
    </w:p>
    <w:p>
      <w:pPr>
        <w:spacing w:after="0" w:line="65" w:lineRule="exact"/>
        <w:rPr>
          <w:sz w:val="20"/>
          <w:szCs w:val="20"/>
          <w:color w:val="auto"/>
        </w:rPr>
      </w:pPr>
    </w:p>
    <w:p>
      <w:pPr>
        <w:ind w:left="752" w:right="4579" w:hanging="752"/>
        <w:spacing w:after="0" w:line="438" w:lineRule="auto"/>
        <w:tabs>
          <w:tab w:leader="none" w:pos="752" w:val="left"/>
        </w:tabs>
        <w:numPr>
          <w:ilvl w:val="0"/>
          <w:numId w:val="4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1,403,331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-478790</wp:posOffset>
            </wp:positionV>
            <wp:extent cx="709803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ind w:left="752"/>
        <w:spacing w:after="0"/>
        <w:rPr>
          <w:sz w:val="20"/>
          <w:szCs w:val="20"/>
          <w:color w:val="auto"/>
        </w:rPr>
      </w:pPr>
      <w:r>
        <w:rPr>
          <w:rFonts w:ascii="Arial" w:cs="Arial" w:eastAsia="Arial" w:hAnsi="Arial"/>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09803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3" w:lineRule="exact"/>
        <w:rPr>
          <w:sz w:val="20"/>
          <w:szCs w:val="20"/>
          <w:color w:val="auto"/>
        </w:rPr>
      </w:pPr>
    </w:p>
    <w:p>
      <w:pPr>
        <w:ind w:left="932" w:right="3139" w:hanging="932"/>
        <w:spacing w:after="0" w:line="258" w:lineRule="auto"/>
        <w:tabs>
          <w:tab w:leader="none" w:pos="752"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 ] N/A</w:t>
      </w:r>
    </w:p>
    <w:p>
      <w:pPr>
        <w:ind w:left="752" w:hanging="752"/>
        <w:spacing w:after="0"/>
        <w:tabs>
          <w:tab w:leader="none" w:pos="752" w:val="left"/>
        </w:tabs>
        <w:numPr>
          <w:ilvl w:val="0"/>
          <w:numId w:val="44"/>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4" w:lineRule="exact"/>
        <w:rPr>
          <w:rFonts w:ascii="Arial" w:cs="Arial" w:eastAsia="Arial" w:hAnsi="Arial"/>
          <w:sz w:val="18"/>
          <w:szCs w:val="18"/>
          <w:color w:val="auto"/>
        </w:rPr>
      </w:pPr>
    </w:p>
    <w:p>
      <w:pPr>
        <w:ind w:left="752"/>
        <w:spacing w:after="0"/>
        <w:rPr>
          <w:rFonts w:ascii="Arial" w:cs="Arial" w:eastAsia="Arial" w:hAnsi="Arial"/>
          <w:sz w:val="18"/>
          <w:szCs w:val="18"/>
          <w:color w:val="auto"/>
        </w:rPr>
      </w:pPr>
      <w:r>
        <w:rPr>
          <w:rFonts w:ascii="Arial" w:cs="Arial" w:eastAsia="Arial" w:hAnsi="Arial"/>
          <w:sz w:val="18"/>
          <w:szCs w:val="18"/>
          <w:color w:val="auto"/>
        </w:rPr>
        <w:t>6.79%</w:t>
      </w:r>
    </w:p>
    <w:p>
      <w:pPr>
        <w:spacing w:after="0" w:line="23" w:lineRule="exact"/>
        <w:rPr>
          <w:rFonts w:ascii="Arial" w:cs="Arial" w:eastAsia="Arial" w:hAnsi="Arial"/>
          <w:sz w:val="18"/>
          <w:szCs w:val="18"/>
          <w:color w:val="auto"/>
        </w:rPr>
      </w:pPr>
    </w:p>
    <w:p>
      <w:pPr>
        <w:ind w:left="752"/>
        <w:spacing w:after="0"/>
        <w:rPr>
          <w:rFonts w:ascii="Arial" w:cs="Arial" w:eastAsia="Arial" w:hAnsi="Arial"/>
          <w:sz w:val="18"/>
          <w:szCs w:val="18"/>
          <w:color w:val="auto"/>
        </w:rPr>
      </w:pPr>
      <w:r>
        <w:rPr>
          <w:rFonts w:ascii="Arial" w:cs="Arial" w:eastAsia="Arial" w:hAnsi="Arial"/>
          <w:sz w:val="18"/>
          <w:szCs w:val="18"/>
          <w:color w:val="auto"/>
        </w:rPr>
        <w:t>Refer to Item 4 below.</w:t>
      </w:r>
    </w:p>
    <w:p>
      <w:pPr>
        <w:spacing w:after="0" w:line="9" w:lineRule="exact"/>
        <w:rPr>
          <w:rFonts w:ascii="Arial" w:cs="Arial" w:eastAsia="Arial" w:hAnsi="Arial"/>
          <w:sz w:val="18"/>
          <w:szCs w:val="18"/>
          <w:color w:val="auto"/>
        </w:rPr>
      </w:pPr>
    </w:p>
    <w:p>
      <w:pPr>
        <w:ind w:left="752" w:right="6219" w:hanging="752"/>
        <w:spacing w:after="0" w:line="589" w:lineRule="auto"/>
        <w:tabs>
          <w:tab w:leader="none" w:pos="752" w:val="left"/>
        </w:tabs>
        <w:numPr>
          <w:ilvl w:val="0"/>
          <w:numId w:val="44"/>
        </w:numPr>
        <w:rPr>
          <w:rFonts w:ascii="Arial" w:cs="Arial" w:eastAsia="Arial" w:hAnsi="Arial"/>
          <w:sz w:val="18"/>
          <w:szCs w:val="18"/>
          <w:color w:val="auto"/>
        </w:rPr>
      </w:pPr>
      <w:r>
        <w:rPr>
          <w:rFonts w:ascii="Arial" w:cs="Arial" w:eastAsia="Arial" w:hAnsi="Arial"/>
          <w:sz w:val="18"/>
          <w:szCs w:val="18"/>
          <w:color w:val="auto"/>
        </w:rPr>
        <w:t>Type of Reporting Person (See Instructions) PN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-121285</wp:posOffset>
            </wp:positionV>
            <wp:extent cx="709803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-644525</wp:posOffset>
            </wp:positionV>
            <wp:extent cx="709803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-1201420</wp:posOffset>
            </wp:positionV>
            <wp:extent cx="709803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152400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1"/>
          </w:cols>
          <w:pgMar w:left="328" w:top="139" w:right="1440" w:bottom="1440" w:gutter="0" w:footer="0" w:header="0"/>
          <w:type w:val="continuous"/>
        </w:sectPr>
      </w:pPr>
    </w:p>
    <w:bookmarkStart w:id="8" w:name="page9"/>
    <w:bookmarkEnd w:id="8"/>
    <w:p>
      <w:pPr>
        <w:ind w:left="772" w:hanging="772"/>
        <w:spacing w:after="0"/>
        <w:tabs>
          <w:tab w:leader="none" w:pos="772" w:val="left"/>
        </w:tabs>
        <w:numPr>
          <w:ilvl w:val="0"/>
          <w:numId w:val="45"/>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772" w:right="5239"/>
        <w:spacing w:after="0" w:line="500"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Bihua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-692785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772" w:hanging="772"/>
        <w:spacing w:after="0"/>
        <w:tabs>
          <w:tab w:leader="none" w:pos="772" w:val="left"/>
        </w:tabs>
        <w:numPr>
          <w:ilvl w:val="0"/>
          <w:numId w:val="46"/>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46" w:lineRule="exact"/>
        <w:rPr>
          <w:rFonts w:ascii="Arial" w:cs="Arial" w:eastAsia="Arial" w:hAnsi="Arial"/>
          <w:sz w:val="16"/>
          <w:szCs w:val="16"/>
          <w:color w:val="auto"/>
        </w:rPr>
      </w:pPr>
    </w:p>
    <w:p>
      <w:pPr>
        <w:ind w:left="1252" w:hanging="483"/>
        <w:spacing w:after="0"/>
        <w:tabs>
          <w:tab w:leader="none" w:pos="1252" w:val="left"/>
        </w:tabs>
        <w:numPr>
          <w:ilvl w:val="1"/>
          <w:numId w:val="46"/>
        </w:numPr>
        <w:rPr>
          <w:rFonts w:ascii="Arial" w:cs="Arial" w:eastAsia="Arial" w:hAnsi="Arial"/>
          <w:sz w:val="18"/>
          <w:szCs w:val="18"/>
          <w:color w:val="auto"/>
        </w:rPr>
      </w:pPr>
      <w:r>
        <w:rPr>
          <w:rFonts w:ascii="Arial" w:cs="Arial" w:eastAsia="Arial" w:hAnsi="Arial"/>
          <w:sz w:val="18"/>
          <w:szCs w:val="18"/>
          <w:color w:val="auto"/>
        </w:rPr>
        <w:t>[ ]</w:t>
      </w:r>
    </w:p>
    <w:p>
      <w:pPr>
        <w:spacing w:after="0" w:line="9" w:lineRule="exact"/>
        <w:rPr>
          <w:rFonts w:ascii="Arial" w:cs="Arial" w:eastAsia="Arial" w:hAnsi="Arial"/>
          <w:sz w:val="18"/>
          <w:szCs w:val="18"/>
          <w:color w:val="auto"/>
        </w:rPr>
      </w:pPr>
    </w:p>
    <w:p>
      <w:pPr>
        <w:ind w:left="1252" w:hanging="483"/>
        <w:spacing w:after="0"/>
        <w:tabs>
          <w:tab w:leader="none" w:pos="1252" w:val="left"/>
        </w:tabs>
        <w:numPr>
          <w:ilvl w:val="1"/>
          <w:numId w:val="46"/>
        </w:numPr>
        <w:rPr>
          <w:rFonts w:ascii="Arial" w:cs="Arial" w:eastAsia="Arial" w:hAnsi="Arial"/>
          <w:sz w:val="18"/>
          <w:szCs w:val="18"/>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323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-413385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772" w:hanging="772"/>
        <w:spacing w:after="0"/>
        <w:tabs>
          <w:tab w:leader="none" w:pos="772" w:val="left"/>
        </w:tabs>
        <w:numPr>
          <w:ilvl w:val="0"/>
          <w:numId w:val="4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0"/>
          <w:szCs w:val="20"/>
          <w:color w:val="auto"/>
        </w:rPr>
      </w:pPr>
    </w:p>
    <w:p>
      <w:pPr>
        <w:ind w:left="772" w:right="6699" w:hanging="772"/>
        <w:spacing w:after="0" w:line="527" w:lineRule="auto"/>
        <w:tabs>
          <w:tab w:leader="none" w:pos="772" w:val="left"/>
        </w:tabs>
        <w:numPr>
          <w:ilvl w:val="0"/>
          <w:numId w:val="48"/>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-88265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1"/>
          </w:cols>
          <w:pgMar w:left="328" w:top="13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left="552"/>
        <w:spacing w:after="0"/>
        <w:rPr>
          <w:sz w:val="20"/>
          <w:szCs w:val="20"/>
          <w:color w:val="auto"/>
        </w:rPr>
      </w:pPr>
      <w:r>
        <w:rPr>
          <w:rFonts w:ascii="Arial" w:cs="Arial" w:eastAsia="Arial" w:hAnsi="Arial"/>
          <w:sz w:val="18"/>
          <w:szCs w:val="18"/>
          <w:color w:val="auto"/>
        </w:rPr>
        <w:t>Number</w:t>
      </w:r>
    </w:p>
    <w:p>
      <w:pPr>
        <w:spacing w:after="0" w:line="23" w:lineRule="exact"/>
        <w:rPr>
          <w:sz w:val="20"/>
          <w:szCs w:val="20"/>
          <w:color w:val="auto"/>
        </w:rPr>
      </w:pPr>
    </w:p>
    <w:p>
      <w:pPr>
        <w:jc w:val="center"/>
        <w:ind w:left="552"/>
        <w:spacing w:after="0"/>
        <w:rPr>
          <w:sz w:val="20"/>
          <w:szCs w:val="20"/>
          <w:color w:val="auto"/>
        </w:rPr>
      </w:pPr>
      <w:r>
        <w:rPr>
          <w:rFonts w:ascii="Arial" w:cs="Arial" w:eastAsia="Arial" w:hAnsi="Arial"/>
          <w:sz w:val="18"/>
          <w:szCs w:val="18"/>
          <w:color w:val="auto"/>
        </w:rPr>
        <w:t>of Shares</w:t>
      </w:r>
    </w:p>
    <w:p>
      <w:pPr>
        <w:spacing w:after="0" w:line="9" w:lineRule="exact"/>
        <w:rPr>
          <w:sz w:val="20"/>
          <w:szCs w:val="20"/>
          <w:color w:val="auto"/>
        </w:rPr>
      </w:pPr>
    </w:p>
    <w:p>
      <w:pPr>
        <w:jc w:val="center"/>
        <w:ind w:left="552"/>
        <w:spacing w:after="0"/>
        <w:rPr>
          <w:sz w:val="20"/>
          <w:szCs w:val="20"/>
          <w:color w:val="auto"/>
        </w:rPr>
      </w:pPr>
      <w:r>
        <w:rPr>
          <w:rFonts w:ascii="Arial" w:cs="Arial" w:eastAsia="Arial" w:hAnsi="Arial"/>
          <w:sz w:val="17"/>
          <w:szCs w:val="17"/>
          <w:color w:val="auto"/>
        </w:rPr>
        <w:t>Beneficially</w:t>
      </w:r>
    </w:p>
    <w:p>
      <w:pPr>
        <w:spacing w:after="0" w:line="21" w:lineRule="exact"/>
        <w:rPr>
          <w:sz w:val="20"/>
          <w:szCs w:val="20"/>
          <w:color w:val="auto"/>
        </w:rPr>
      </w:pPr>
    </w:p>
    <w:p>
      <w:pPr>
        <w:jc w:val="center"/>
        <w:ind w:left="552"/>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left="552"/>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left="552"/>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left="552"/>
        <w:spacing w:after="0"/>
        <w:rPr>
          <w:sz w:val="20"/>
          <w:szCs w:val="20"/>
          <w:color w:val="auto"/>
        </w:rPr>
      </w:pPr>
      <w:r>
        <w:rPr>
          <w:rFonts w:ascii="Arial" w:cs="Arial" w:eastAsia="Arial" w:hAnsi="Arial"/>
          <w:sz w:val="16"/>
          <w:szCs w:val="16"/>
          <w:color w:val="auto"/>
        </w:rPr>
        <w:t>Person With</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5 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-1264285</wp:posOffset>
            </wp:positionH>
            <wp:positionV relativeFrom="paragraph">
              <wp:posOffset>-130175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0 shares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6 Shared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587184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1,403,331 shares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587184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7 Sole Dispositive Power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587184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8 Shared Dispositive Power</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1,403,331 shares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-1264285</wp:posOffset>
            </wp:positionH>
            <wp:positionV relativeFrom="paragraph">
              <wp:posOffset>5715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32" w:space="560"/>
            <w:col w:w="8139"/>
          </w:cols>
          <w:pgMar w:left="328" w:top="139" w:right="1440" w:bottom="1440" w:gutter="0" w:footer="0" w:header="0"/>
          <w:type w:val="continuous"/>
        </w:sectPr>
      </w:pPr>
    </w:p>
    <w:p>
      <w:pPr>
        <w:spacing w:after="0" w:line="65" w:lineRule="exact"/>
        <w:rPr>
          <w:sz w:val="20"/>
          <w:szCs w:val="20"/>
          <w:color w:val="auto"/>
        </w:rPr>
      </w:pPr>
    </w:p>
    <w:p>
      <w:pPr>
        <w:ind w:left="752" w:hanging="752"/>
        <w:spacing w:after="0"/>
        <w:tabs>
          <w:tab w:leader="none" w:pos="752" w:val="left"/>
        </w:tabs>
        <w:numPr>
          <w:ilvl w:val="0"/>
          <w:numId w:val="4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09803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5" w:lineRule="exact"/>
        <w:rPr>
          <w:sz w:val="20"/>
          <w:szCs w:val="20"/>
          <w:color w:val="auto"/>
        </w:rPr>
      </w:pPr>
    </w:p>
    <w:p>
      <w:pPr>
        <w:ind w:left="752"/>
        <w:spacing w:after="0"/>
        <w:rPr>
          <w:sz w:val="20"/>
          <w:szCs w:val="20"/>
          <w:color w:val="auto"/>
        </w:rPr>
      </w:pPr>
      <w:r>
        <w:rPr>
          <w:rFonts w:ascii="Arial" w:cs="Arial" w:eastAsia="Arial" w:hAnsi="Arial"/>
          <w:sz w:val="18"/>
          <w:szCs w:val="18"/>
          <w:color w:val="auto"/>
        </w:rPr>
        <w:t>1,403,331 shares</w:t>
      </w:r>
    </w:p>
    <w:p>
      <w:pPr>
        <w:spacing w:after="0" w:line="23" w:lineRule="exact"/>
        <w:rPr>
          <w:sz w:val="20"/>
          <w:szCs w:val="20"/>
          <w:color w:val="auto"/>
        </w:rPr>
      </w:pPr>
    </w:p>
    <w:p>
      <w:pPr>
        <w:ind w:left="752"/>
        <w:spacing w:after="0"/>
        <w:rPr>
          <w:sz w:val="20"/>
          <w:szCs w:val="20"/>
          <w:color w:val="auto"/>
        </w:rPr>
      </w:pPr>
      <w:r>
        <w:rPr>
          <w:rFonts w:ascii="Arial" w:cs="Arial" w:eastAsia="Arial" w:hAnsi="Arial"/>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09803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ind w:left="932" w:right="3139" w:hanging="932"/>
        <w:spacing w:after="0" w:line="258" w:lineRule="auto"/>
        <w:tabs>
          <w:tab w:leader="none" w:pos="752"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 ] N/A</w:t>
      </w:r>
    </w:p>
    <w:p>
      <w:pPr>
        <w:ind w:left="752" w:hanging="752"/>
        <w:spacing w:after="0"/>
        <w:tabs>
          <w:tab w:leader="none" w:pos="752" w:val="left"/>
        </w:tabs>
        <w:numPr>
          <w:ilvl w:val="0"/>
          <w:numId w:val="50"/>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4" w:lineRule="exact"/>
        <w:rPr>
          <w:rFonts w:ascii="Arial" w:cs="Arial" w:eastAsia="Arial" w:hAnsi="Arial"/>
          <w:sz w:val="18"/>
          <w:szCs w:val="18"/>
          <w:color w:val="auto"/>
        </w:rPr>
      </w:pPr>
    </w:p>
    <w:p>
      <w:pPr>
        <w:ind w:left="752"/>
        <w:spacing w:after="0"/>
        <w:rPr>
          <w:rFonts w:ascii="Arial" w:cs="Arial" w:eastAsia="Arial" w:hAnsi="Arial"/>
          <w:sz w:val="18"/>
          <w:szCs w:val="18"/>
          <w:color w:val="auto"/>
        </w:rPr>
      </w:pPr>
      <w:r>
        <w:rPr>
          <w:rFonts w:ascii="Arial" w:cs="Arial" w:eastAsia="Arial" w:hAnsi="Arial"/>
          <w:sz w:val="18"/>
          <w:szCs w:val="18"/>
          <w:color w:val="auto"/>
        </w:rPr>
        <w:t>6.79%</w:t>
      </w:r>
    </w:p>
    <w:p>
      <w:pPr>
        <w:spacing w:after="0" w:line="117" w:lineRule="exact"/>
        <w:rPr>
          <w:rFonts w:ascii="Arial" w:cs="Arial" w:eastAsia="Arial" w:hAnsi="Arial"/>
          <w:sz w:val="18"/>
          <w:szCs w:val="18"/>
          <w:color w:val="auto"/>
        </w:rPr>
      </w:pPr>
    </w:p>
    <w:p>
      <w:pPr>
        <w:ind w:left="752"/>
        <w:spacing w:after="0"/>
        <w:rPr>
          <w:rFonts w:ascii="Arial" w:cs="Arial" w:eastAsia="Arial" w:hAnsi="Arial"/>
          <w:sz w:val="18"/>
          <w:szCs w:val="18"/>
          <w:color w:val="auto"/>
        </w:rPr>
      </w:pPr>
      <w:r>
        <w:rPr>
          <w:rFonts w:ascii="Arial" w:cs="Arial" w:eastAsia="Arial" w:hAnsi="Arial"/>
          <w:sz w:val="18"/>
          <w:szCs w:val="18"/>
          <w:color w:val="auto"/>
        </w:rPr>
        <w:t>Refer to Item 4 below.</w:t>
      </w:r>
    </w:p>
    <w:p>
      <w:pPr>
        <w:spacing w:after="0" w:line="23" w:lineRule="exact"/>
        <w:rPr>
          <w:rFonts w:ascii="Arial" w:cs="Arial" w:eastAsia="Arial" w:hAnsi="Arial"/>
          <w:sz w:val="18"/>
          <w:szCs w:val="18"/>
          <w:color w:val="auto"/>
        </w:rPr>
      </w:pPr>
    </w:p>
    <w:p>
      <w:pPr>
        <w:ind w:left="752" w:right="6219" w:hanging="752"/>
        <w:spacing w:after="0" w:line="589" w:lineRule="auto"/>
        <w:tabs>
          <w:tab w:leader="none" w:pos="752" w:val="left"/>
        </w:tabs>
        <w:numPr>
          <w:ilvl w:val="0"/>
          <w:numId w:val="50"/>
        </w:numPr>
        <w:rPr>
          <w:rFonts w:ascii="Arial" w:cs="Arial" w:eastAsia="Arial" w:hAnsi="Arial"/>
          <w:sz w:val="18"/>
          <w:szCs w:val="18"/>
          <w:color w:val="auto"/>
        </w:rPr>
      </w:pPr>
      <w:r>
        <w:rPr>
          <w:rFonts w:ascii="Arial" w:cs="Arial" w:eastAsia="Arial" w:hAnsi="Arial"/>
          <w:sz w:val="18"/>
          <w:szCs w:val="18"/>
          <w:color w:val="auto"/>
        </w:rPr>
        <w:t>Type of Reporting Person (See Instructions) IN (Individual)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-121285</wp:posOffset>
            </wp:positionV>
            <wp:extent cx="709803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-644525</wp:posOffset>
            </wp:positionV>
            <wp:extent cx="709803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-1270000</wp:posOffset>
            </wp:positionV>
            <wp:extent cx="709803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-1270</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1"/>
          </w:cols>
          <w:pgMar w:left="328" w:top="139" w:right="1440" w:bottom="1440" w:gutter="0" w:footer="0" w:header="0"/>
          <w:type w:val="continuous"/>
        </w:sectPr>
      </w:pPr>
    </w:p>
    <w:bookmarkStart w:id="9" w:name="page10"/>
    <w:bookmarkEnd w:id="9"/>
    <w:p>
      <w:pPr>
        <w:spacing w:after="0" w:line="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w:t>
      </w:r>
    </w:p>
    <w:p>
      <w:pPr>
        <w:spacing w:after="0" w:line="220" w:lineRule="exact"/>
        <w:rPr>
          <w:sz w:val="20"/>
          <w:szCs w:val="20"/>
          <w:color w:val="auto"/>
        </w:rPr>
      </w:pPr>
    </w:p>
    <w:p>
      <w:pPr>
        <w:ind w:left="800" w:hanging="792"/>
        <w:spacing w:after="0"/>
        <w:tabs>
          <w:tab w:leader="none" w:pos="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3"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Tarsus Pharmaceuticals, Inc.</w:t>
      </w:r>
    </w:p>
    <w:p>
      <w:pPr>
        <w:spacing w:after="0" w:line="210" w:lineRule="exact"/>
        <w:rPr>
          <w:rFonts w:ascii="Arial" w:cs="Arial" w:eastAsia="Arial" w:hAnsi="Arial"/>
          <w:sz w:val="18"/>
          <w:szCs w:val="18"/>
          <w:color w:val="auto"/>
        </w:rPr>
      </w:pPr>
    </w:p>
    <w:p>
      <w:pPr>
        <w:ind w:left="800" w:hanging="792"/>
        <w:spacing w:after="0"/>
        <w:tabs>
          <w:tab w:leader="none" w:pos="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25"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15440 Laguna Canyon Road, Suite 160, Irvine, CA 92618</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219" w:lineRule="exact"/>
        <w:rPr>
          <w:sz w:val="20"/>
          <w:szCs w:val="20"/>
          <w:color w:val="auto"/>
        </w:rPr>
      </w:pPr>
    </w:p>
    <w:p>
      <w:pPr>
        <w:ind w:left="800" w:hanging="792"/>
        <w:spacing w:after="0"/>
        <w:tabs>
          <w:tab w:leader="none" w:pos="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800" w:right="7040"/>
        <w:spacing w:after="0" w:line="265" w:lineRule="auto"/>
        <w:rPr>
          <w:rFonts w:ascii="Arial" w:cs="Arial" w:eastAsia="Arial" w:hAnsi="Arial"/>
          <w:sz w:val="18"/>
          <w:szCs w:val="18"/>
          <w:color w:val="auto"/>
        </w:rPr>
      </w:pPr>
      <w:r>
        <w:rPr>
          <w:rFonts w:ascii="Arial" w:cs="Arial" w:eastAsia="Arial" w:hAnsi="Arial"/>
          <w:sz w:val="17"/>
          <w:szCs w:val="17"/>
          <w:color w:val="auto"/>
        </w:rPr>
        <w:t>Cormorant Global Healthcare Master Fund, LP Cormorant Global Healthcare GP, LLC Cormorant Private Healthcare Fund II, LP Cormorant Private Healthcare GP II, LLC Cormorant Private Healthcare Fund III, LP Cormorant Private Healthcare GP III, LLC Cormorant Asset Management, LP</w:t>
      </w:r>
    </w:p>
    <w:p>
      <w:pPr>
        <w:spacing w:after="0" w:line="1"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Bihua Chen</w:t>
      </w:r>
    </w:p>
    <w:p>
      <w:pPr>
        <w:spacing w:after="0" w:line="210" w:lineRule="exact"/>
        <w:rPr>
          <w:rFonts w:ascii="Arial" w:cs="Arial" w:eastAsia="Arial" w:hAnsi="Arial"/>
          <w:sz w:val="18"/>
          <w:szCs w:val="18"/>
          <w:color w:val="auto"/>
        </w:rPr>
      </w:pPr>
    </w:p>
    <w:p>
      <w:pPr>
        <w:ind w:left="800" w:right="6160" w:hanging="792"/>
        <w:spacing w:after="0" w:line="258" w:lineRule="auto"/>
        <w:tabs>
          <w:tab w:leader="none" w:pos="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200 Clarendon Street, 52nd Floor</w:t>
      </w:r>
    </w:p>
    <w:p>
      <w:pPr>
        <w:spacing w:after="0" w:line="1"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Boston, MA 02116</w:t>
      </w:r>
    </w:p>
    <w:p>
      <w:pPr>
        <w:spacing w:after="0" w:line="210" w:lineRule="exact"/>
        <w:rPr>
          <w:rFonts w:ascii="Arial" w:cs="Arial" w:eastAsia="Arial" w:hAnsi="Arial"/>
          <w:sz w:val="18"/>
          <w:szCs w:val="18"/>
          <w:color w:val="auto"/>
        </w:rPr>
      </w:pPr>
    </w:p>
    <w:p>
      <w:pPr>
        <w:ind w:left="800" w:hanging="792"/>
        <w:spacing w:after="0"/>
        <w:tabs>
          <w:tab w:leader="none" w:pos="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25" w:lineRule="exact"/>
        <w:rPr>
          <w:rFonts w:ascii="Arial" w:cs="Arial" w:eastAsia="Arial" w:hAnsi="Arial"/>
          <w:sz w:val="18"/>
          <w:szCs w:val="18"/>
          <w:color w:val="auto"/>
        </w:rPr>
      </w:pPr>
    </w:p>
    <w:p>
      <w:pPr>
        <w:ind w:left="800" w:right="5740"/>
        <w:spacing w:after="0" w:line="252" w:lineRule="auto"/>
        <w:rPr>
          <w:rFonts w:ascii="Arial" w:cs="Arial" w:eastAsia="Arial" w:hAnsi="Arial"/>
          <w:sz w:val="18"/>
          <w:szCs w:val="18"/>
          <w:color w:val="auto"/>
        </w:rPr>
      </w:pPr>
      <w:r>
        <w:rPr>
          <w:rFonts w:ascii="Arial" w:cs="Arial" w:eastAsia="Arial" w:hAnsi="Arial"/>
          <w:sz w:val="18"/>
          <w:szCs w:val="18"/>
          <w:color w:val="auto"/>
        </w:rPr>
        <w:t>Cormorant Global Healthcare Master Fund, LP - Cayman Islands Cormorant Global Healthcare GP, LLC - Delaware Cormorant Private Healthcare Fund II, LP - Delaware Cormorant Private Healthcare GP II, LLC - Delaware Cormorant Private Healthcare Fund III, LP - Delaware Cormorant Private Healthcare GP III, LLC - Delaware Cormorant Asset Management, LP - Delaware</w:t>
      </w:r>
    </w:p>
    <w:p>
      <w:pPr>
        <w:spacing w:after="0" w:line="5"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Bihua Chen - United States</w:t>
      </w:r>
    </w:p>
    <w:p>
      <w:pPr>
        <w:spacing w:after="0" w:line="210" w:lineRule="exact"/>
        <w:rPr>
          <w:rFonts w:ascii="Arial" w:cs="Arial" w:eastAsia="Arial" w:hAnsi="Arial"/>
          <w:sz w:val="18"/>
          <w:szCs w:val="18"/>
          <w:color w:val="auto"/>
        </w:rPr>
      </w:pPr>
    </w:p>
    <w:p>
      <w:pPr>
        <w:ind w:left="800" w:right="8520" w:hanging="792"/>
        <w:spacing w:after="0" w:line="342" w:lineRule="auto"/>
        <w:tabs>
          <w:tab w:leader="none" w:pos="8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spacing w:after="0" w:line="123" w:lineRule="exact"/>
        <w:rPr>
          <w:rFonts w:ascii="Arial" w:cs="Arial" w:eastAsia="Arial" w:hAnsi="Arial"/>
          <w:sz w:val="16"/>
          <w:szCs w:val="16"/>
          <w:color w:val="auto"/>
        </w:rPr>
      </w:pPr>
    </w:p>
    <w:p>
      <w:pPr>
        <w:ind w:left="800" w:right="9300" w:hanging="792"/>
        <w:spacing w:after="0" w:line="342" w:lineRule="auto"/>
        <w:tabs>
          <w:tab w:leader="none" w:pos="8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CUSIP Number 87650L103</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300" w:type="dxa"/>
            <w:vAlign w:val="bottom"/>
          </w:tcPr>
          <w:p>
            <w:pPr>
              <w:spacing w:after="0"/>
              <w:rPr>
                <w:sz w:val="20"/>
                <w:szCs w:val="20"/>
                <w:color w:val="auto"/>
              </w:rPr>
            </w:pPr>
          </w:p>
        </w:tc>
        <w:tc>
          <w:tcPr>
            <w:tcW w:w="8500" w:type="dxa"/>
            <w:vAlign w:val="bottom"/>
          </w:tcPr>
          <w:p>
            <w:pPr>
              <w:ind w:left="20"/>
              <w:spacing w:after="0"/>
              <w:rPr>
                <w:sz w:val="20"/>
                <w:szCs w:val="20"/>
                <w:color w:val="auto"/>
              </w:rPr>
            </w:pPr>
            <w:r>
              <w:rPr>
                <w:rFonts w:ascii="Arial" w:cs="Arial" w:eastAsia="Arial" w:hAnsi="Arial"/>
                <w:sz w:val="18"/>
                <w:szCs w:val="18"/>
                <w:b w:val="1"/>
                <w:bCs w:val="1"/>
                <w:color w:val="auto"/>
                <w:w w:val="90"/>
              </w:rPr>
              <w:t>If this statement is filed pursuant to §§240.13d-1(b) or 240.13d-2(b) or (c), check whether the person filing is a:</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(a)</w:t>
            </w:r>
          </w:p>
        </w:tc>
        <w:tc>
          <w:tcPr>
            <w:tcW w:w="300" w:type="dxa"/>
            <w:vAlign w:val="bottom"/>
          </w:tcPr>
          <w:p>
            <w:pPr>
              <w:spacing w:after="0"/>
              <w:rPr>
                <w:sz w:val="24"/>
                <w:szCs w:val="24"/>
                <w:color w:val="auto"/>
              </w:rPr>
            </w:pPr>
          </w:p>
        </w:tc>
        <w:tc>
          <w:tcPr>
            <w:tcW w:w="8500" w:type="dxa"/>
            <w:vAlign w:val="bottom"/>
          </w:tcPr>
          <w:p>
            <w:pPr>
              <w:spacing w:after="0"/>
              <w:rPr>
                <w:sz w:val="24"/>
                <w:szCs w:val="24"/>
                <w:color w:val="auto"/>
              </w:rPr>
            </w:pPr>
          </w:p>
        </w:tc>
      </w:tr>
      <w:tr>
        <w:trPr>
          <w:trHeight w:val="648"/>
        </w:trPr>
        <w:tc>
          <w:tcPr>
            <w:tcW w:w="66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 ]</w:t>
            </w:r>
          </w:p>
        </w:tc>
        <w:tc>
          <w:tcPr>
            <w:tcW w:w="8500" w:type="dxa"/>
            <w:vAlign w:val="bottom"/>
          </w:tcPr>
          <w:p>
            <w:pPr>
              <w:ind w:left="580"/>
              <w:spacing w:after="0"/>
              <w:rPr>
                <w:sz w:val="20"/>
                <w:szCs w:val="20"/>
                <w:color w:val="auto"/>
              </w:rPr>
            </w:pPr>
            <w:r>
              <w:rPr>
                <w:rFonts w:ascii="Arial" w:cs="Arial" w:eastAsia="Arial" w:hAnsi="Arial"/>
                <w:sz w:val="18"/>
                <w:szCs w:val="18"/>
                <w:color w:val="auto"/>
              </w:rPr>
              <w:t>Broker or dealer registered under section 15 of the Act (15 U.S.C. 78o).</w:t>
            </w: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(b)</w:t>
            </w:r>
          </w:p>
        </w:tc>
        <w:tc>
          <w:tcPr>
            <w:tcW w:w="300" w:type="dxa"/>
            <w:vAlign w:val="bottom"/>
          </w:tcPr>
          <w:p>
            <w:pPr>
              <w:jc w:val="right"/>
              <w:spacing w:after="0"/>
              <w:rPr>
                <w:sz w:val="20"/>
                <w:szCs w:val="20"/>
                <w:color w:val="auto"/>
              </w:rPr>
            </w:pPr>
            <w:r>
              <w:rPr>
                <w:rFonts w:ascii="Arial" w:cs="Arial" w:eastAsia="Arial" w:hAnsi="Arial"/>
                <w:sz w:val="18"/>
                <w:szCs w:val="18"/>
                <w:color w:val="auto"/>
              </w:rPr>
              <w:t>[ ]</w:t>
            </w:r>
          </w:p>
        </w:tc>
        <w:tc>
          <w:tcPr>
            <w:tcW w:w="8500" w:type="dxa"/>
            <w:vAlign w:val="bottom"/>
          </w:tcPr>
          <w:p>
            <w:pPr>
              <w:ind w:left="580"/>
              <w:spacing w:after="0"/>
              <w:rPr>
                <w:sz w:val="20"/>
                <w:szCs w:val="20"/>
                <w:color w:val="auto"/>
              </w:rPr>
            </w:pPr>
            <w:r>
              <w:rPr>
                <w:rFonts w:ascii="Arial" w:cs="Arial" w:eastAsia="Arial" w:hAnsi="Arial"/>
                <w:sz w:val="18"/>
                <w:szCs w:val="18"/>
                <w:color w:val="auto"/>
              </w:rPr>
              <w:t>Bank as defined in section 3(a)(6) of the Act (15 U.S.C. 78c).</w:t>
            </w: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(c)</w:t>
            </w:r>
          </w:p>
        </w:tc>
        <w:tc>
          <w:tcPr>
            <w:tcW w:w="300" w:type="dxa"/>
            <w:vAlign w:val="bottom"/>
          </w:tcPr>
          <w:p>
            <w:pPr>
              <w:jc w:val="right"/>
              <w:spacing w:after="0"/>
              <w:rPr>
                <w:sz w:val="20"/>
                <w:szCs w:val="20"/>
                <w:color w:val="auto"/>
              </w:rPr>
            </w:pPr>
            <w:r>
              <w:rPr>
                <w:rFonts w:ascii="Arial" w:cs="Arial" w:eastAsia="Arial" w:hAnsi="Arial"/>
                <w:sz w:val="18"/>
                <w:szCs w:val="18"/>
                <w:color w:val="auto"/>
              </w:rPr>
              <w:t>[ ]</w:t>
            </w:r>
          </w:p>
        </w:tc>
        <w:tc>
          <w:tcPr>
            <w:tcW w:w="8500" w:type="dxa"/>
            <w:vAlign w:val="bottom"/>
          </w:tcPr>
          <w:p>
            <w:pPr>
              <w:ind w:left="580"/>
              <w:spacing w:after="0"/>
              <w:rPr>
                <w:sz w:val="20"/>
                <w:szCs w:val="20"/>
                <w:color w:val="auto"/>
              </w:rPr>
            </w:pPr>
            <w:r>
              <w:rPr>
                <w:rFonts w:ascii="Arial" w:cs="Arial" w:eastAsia="Arial" w:hAnsi="Arial"/>
                <w:sz w:val="18"/>
                <w:szCs w:val="18"/>
                <w:color w:val="auto"/>
              </w:rPr>
              <w:t>Insurance Company as defined in Section 3(a)(19) of the Act</w:t>
            </w:r>
          </w:p>
        </w:tc>
      </w:tr>
    </w:tbl>
    <w:p>
      <w:pPr>
        <w:spacing w:after="0" w:line="94" w:lineRule="exact"/>
        <w:rPr>
          <w:sz w:val="20"/>
          <w:szCs w:val="20"/>
          <w:color w:val="auto"/>
        </w:rPr>
      </w:pPr>
    </w:p>
    <w:p>
      <w:pPr>
        <w:ind w:left="780" w:hanging="772"/>
        <w:spacing w:after="0"/>
        <w:tabs>
          <w:tab w:leader="none" w:pos="7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Investment company registered under section 8 of the Investment Company Act of 1940 (15 U.S.C. 80a-8).</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(e)</w:t>
            </w:r>
          </w:p>
        </w:tc>
        <w:tc>
          <w:tcPr>
            <w:tcW w:w="740" w:type="dxa"/>
            <w:vAlign w:val="bottom"/>
          </w:tcPr>
          <w:p>
            <w:pPr>
              <w:jc w:val="right"/>
              <w:ind w:right="210"/>
              <w:spacing w:after="0"/>
              <w:rPr>
                <w:sz w:val="20"/>
                <w:szCs w:val="20"/>
                <w:color w:val="auto"/>
              </w:rPr>
            </w:pPr>
            <w:r>
              <w:rPr>
                <w:rFonts w:ascii="Arial" w:cs="Arial" w:eastAsia="Arial" w:hAnsi="Arial"/>
                <w:sz w:val="18"/>
                <w:szCs w:val="18"/>
                <w:color w:val="auto"/>
              </w:rPr>
              <w:t>[ ]</w:t>
            </w:r>
          </w:p>
        </w:tc>
        <w:tc>
          <w:tcPr>
            <w:tcW w:w="10000" w:type="dxa"/>
            <w:vAlign w:val="bottom"/>
          </w:tcPr>
          <w:p>
            <w:pPr>
              <w:ind w:left="300"/>
              <w:spacing w:after="0"/>
              <w:rPr>
                <w:sz w:val="20"/>
                <w:szCs w:val="20"/>
                <w:color w:val="auto"/>
              </w:rPr>
            </w:pPr>
            <w:r>
              <w:rPr>
                <w:rFonts w:ascii="Arial" w:cs="Arial" w:eastAsia="Arial" w:hAnsi="Arial"/>
                <w:sz w:val="18"/>
                <w:szCs w:val="18"/>
                <w:color w:val="auto"/>
              </w:rPr>
              <w:t>An investment adviser in accordance with §240.13d-1(b)(1)(ii)(E);</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(f)</w:t>
            </w:r>
          </w:p>
        </w:tc>
        <w:tc>
          <w:tcPr>
            <w:tcW w:w="740" w:type="dxa"/>
            <w:vAlign w:val="bottom"/>
          </w:tcPr>
          <w:p>
            <w:pPr>
              <w:jc w:val="right"/>
              <w:ind w:right="210"/>
              <w:spacing w:after="0"/>
              <w:rPr>
                <w:sz w:val="20"/>
                <w:szCs w:val="20"/>
                <w:color w:val="auto"/>
              </w:rPr>
            </w:pPr>
            <w:r>
              <w:rPr>
                <w:rFonts w:ascii="Arial" w:cs="Arial" w:eastAsia="Arial" w:hAnsi="Arial"/>
                <w:sz w:val="18"/>
                <w:szCs w:val="18"/>
                <w:color w:val="auto"/>
              </w:rPr>
              <w:t>[ ]</w:t>
            </w:r>
          </w:p>
        </w:tc>
        <w:tc>
          <w:tcPr>
            <w:tcW w:w="10000" w:type="dxa"/>
            <w:vAlign w:val="bottom"/>
          </w:tcPr>
          <w:p>
            <w:pPr>
              <w:ind w:left="300"/>
              <w:spacing w:after="0"/>
              <w:rPr>
                <w:sz w:val="20"/>
                <w:szCs w:val="20"/>
                <w:color w:val="auto"/>
              </w:rPr>
            </w:pPr>
            <w:r>
              <w:rPr>
                <w:rFonts w:ascii="Arial" w:cs="Arial" w:eastAsia="Arial" w:hAnsi="Arial"/>
                <w:sz w:val="18"/>
                <w:szCs w:val="18"/>
                <w:color w:val="auto"/>
              </w:rPr>
              <w:t>An employee benefit plan or endowment fund in accordance with §240.13d-1(b)(1)(ii)(F);</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(g)</w:t>
            </w:r>
          </w:p>
        </w:tc>
        <w:tc>
          <w:tcPr>
            <w:tcW w:w="740" w:type="dxa"/>
            <w:vAlign w:val="bottom"/>
          </w:tcPr>
          <w:p>
            <w:pPr>
              <w:jc w:val="right"/>
              <w:ind w:right="210"/>
              <w:spacing w:after="0"/>
              <w:rPr>
                <w:sz w:val="20"/>
                <w:szCs w:val="20"/>
                <w:color w:val="auto"/>
              </w:rPr>
            </w:pPr>
            <w:r>
              <w:rPr>
                <w:rFonts w:ascii="Arial" w:cs="Arial" w:eastAsia="Arial" w:hAnsi="Arial"/>
                <w:sz w:val="18"/>
                <w:szCs w:val="18"/>
                <w:color w:val="auto"/>
              </w:rPr>
              <w:t>[ ]</w:t>
            </w:r>
          </w:p>
        </w:tc>
        <w:tc>
          <w:tcPr>
            <w:tcW w:w="10000" w:type="dxa"/>
            <w:vAlign w:val="bottom"/>
          </w:tcPr>
          <w:p>
            <w:pPr>
              <w:ind w:left="300"/>
              <w:spacing w:after="0"/>
              <w:rPr>
                <w:sz w:val="20"/>
                <w:szCs w:val="20"/>
                <w:color w:val="auto"/>
              </w:rPr>
            </w:pPr>
            <w:r>
              <w:rPr>
                <w:rFonts w:ascii="Arial" w:cs="Arial" w:eastAsia="Arial" w:hAnsi="Arial"/>
                <w:sz w:val="18"/>
                <w:szCs w:val="18"/>
                <w:color w:val="auto"/>
              </w:rPr>
              <w:t>A parent holding company or control person in accordance with § 240.13d-1(b)(1)(ii)(G);</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(h)</w:t>
            </w:r>
          </w:p>
        </w:tc>
        <w:tc>
          <w:tcPr>
            <w:tcW w:w="740" w:type="dxa"/>
            <w:vAlign w:val="bottom"/>
          </w:tcPr>
          <w:p>
            <w:pPr>
              <w:jc w:val="right"/>
              <w:ind w:right="210"/>
              <w:spacing w:after="0"/>
              <w:rPr>
                <w:sz w:val="20"/>
                <w:szCs w:val="20"/>
                <w:color w:val="auto"/>
              </w:rPr>
            </w:pPr>
            <w:r>
              <w:rPr>
                <w:rFonts w:ascii="Arial" w:cs="Arial" w:eastAsia="Arial" w:hAnsi="Arial"/>
                <w:sz w:val="18"/>
                <w:szCs w:val="18"/>
                <w:color w:val="auto"/>
              </w:rPr>
              <w:t>[ ]</w:t>
            </w:r>
          </w:p>
        </w:tc>
        <w:tc>
          <w:tcPr>
            <w:tcW w:w="10000" w:type="dxa"/>
            <w:vAlign w:val="bottom"/>
          </w:tcPr>
          <w:p>
            <w:pPr>
              <w:ind w:left="300"/>
              <w:spacing w:after="0"/>
              <w:rPr>
                <w:sz w:val="20"/>
                <w:szCs w:val="20"/>
                <w:color w:val="auto"/>
              </w:rPr>
            </w:pPr>
            <w:r>
              <w:rPr>
                <w:rFonts w:ascii="Arial" w:cs="Arial" w:eastAsia="Arial" w:hAnsi="Arial"/>
                <w:sz w:val="18"/>
                <w:szCs w:val="18"/>
                <w:color w:val="auto"/>
              </w:rPr>
              <w:t>A savings associations as defined in Section 3(b) of the Federal Deposit Insurance Act (12 U.S.C. 1813);</w:t>
            </w:r>
          </w:p>
        </w:tc>
      </w:tr>
      <w:tr>
        <w:trPr>
          <w:trHeight w:val="310"/>
        </w:trPr>
        <w:tc>
          <w:tcPr>
            <w:tcW w:w="500" w:type="dxa"/>
            <w:vAlign w:val="bottom"/>
          </w:tcPr>
          <w:p>
            <w:pPr>
              <w:spacing w:after="0"/>
              <w:rPr>
                <w:sz w:val="20"/>
                <w:szCs w:val="20"/>
                <w:color w:val="auto"/>
              </w:rPr>
            </w:pPr>
            <w:r>
              <w:rPr>
                <w:rFonts w:ascii="Arial" w:cs="Arial" w:eastAsia="Arial" w:hAnsi="Arial"/>
                <w:sz w:val="18"/>
                <w:szCs w:val="18"/>
                <w:color w:val="auto"/>
              </w:rPr>
              <w:t>(i)</w:t>
            </w:r>
          </w:p>
        </w:tc>
        <w:tc>
          <w:tcPr>
            <w:tcW w:w="740" w:type="dxa"/>
            <w:vAlign w:val="bottom"/>
          </w:tcPr>
          <w:p>
            <w:pPr>
              <w:jc w:val="right"/>
              <w:ind w:right="210"/>
              <w:spacing w:after="0"/>
              <w:rPr>
                <w:sz w:val="20"/>
                <w:szCs w:val="20"/>
                <w:color w:val="auto"/>
              </w:rPr>
            </w:pPr>
            <w:r>
              <w:rPr>
                <w:rFonts w:ascii="Arial" w:cs="Arial" w:eastAsia="Arial" w:hAnsi="Arial"/>
                <w:sz w:val="18"/>
                <w:szCs w:val="18"/>
                <w:color w:val="auto"/>
              </w:rPr>
              <w:t>[ ]</w:t>
            </w:r>
          </w:p>
        </w:tc>
        <w:tc>
          <w:tcPr>
            <w:tcW w:w="10000" w:type="dxa"/>
            <w:vAlign w:val="bottom"/>
          </w:tcPr>
          <w:p>
            <w:pPr>
              <w:ind w:left="300"/>
              <w:spacing w:after="0"/>
              <w:rPr>
                <w:sz w:val="20"/>
                <w:szCs w:val="20"/>
                <w:color w:val="auto"/>
              </w:rPr>
            </w:pPr>
            <w:r>
              <w:rPr>
                <w:rFonts w:ascii="Arial" w:cs="Arial" w:eastAsia="Arial" w:hAnsi="Arial"/>
                <w:sz w:val="18"/>
                <w:szCs w:val="18"/>
                <w:color w:val="auto"/>
                <w:w w:val="93"/>
              </w:rPr>
              <w:t>A church plan that is excluded from the definition of an investment company under section 3(c)(14) of the Investment Company Act</w:t>
            </w:r>
          </w:p>
        </w:tc>
      </w:tr>
      <w:tr>
        <w:trPr>
          <w:trHeight w:val="230"/>
        </w:trPr>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00" w:type="dxa"/>
            <w:vAlign w:val="bottom"/>
          </w:tcPr>
          <w:p>
            <w:pPr>
              <w:ind w:left="300"/>
              <w:spacing w:after="0"/>
              <w:rPr>
                <w:sz w:val="20"/>
                <w:szCs w:val="20"/>
                <w:color w:val="auto"/>
              </w:rPr>
            </w:pPr>
            <w:r>
              <w:rPr>
                <w:rFonts w:ascii="Arial" w:cs="Arial" w:eastAsia="Arial" w:hAnsi="Arial"/>
                <w:sz w:val="18"/>
                <w:szCs w:val="18"/>
                <w:color w:val="auto"/>
              </w:rPr>
              <w:t>of 1940 (15 U.S.C. 80a-3);</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(j)</w:t>
            </w:r>
          </w:p>
        </w:tc>
        <w:tc>
          <w:tcPr>
            <w:tcW w:w="740" w:type="dxa"/>
            <w:vAlign w:val="bottom"/>
          </w:tcPr>
          <w:p>
            <w:pPr>
              <w:jc w:val="right"/>
              <w:ind w:right="210"/>
              <w:spacing w:after="0"/>
              <w:rPr>
                <w:sz w:val="20"/>
                <w:szCs w:val="20"/>
                <w:color w:val="auto"/>
              </w:rPr>
            </w:pPr>
            <w:r>
              <w:rPr>
                <w:rFonts w:ascii="Arial" w:cs="Arial" w:eastAsia="Arial" w:hAnsi="Arial"/>
                <w:sz w:val="18"/>
                <w:szCs w:val="18"/>
                <w:color w:val="auto"/>
              </w:rPr>
              <w:t>[ ]</w:t>
            </w:r>
          </w:p>
        </w:tc>
        <w:tc>
          <w:tcPr>
            <w:tcW w:w="10000" w:type="dxa"/>
            <w:vAlign w:val="bottom"/>
          </w:tcPr>
          <w:p>
            <w:pPr>
              <w:ind w:left="300"/>
              <w:spacing w:after="0"/>
              <w:rPr>
                <w:sz w:val="20"/>
                <w:szCs w:val="20"/>
                <w:color w:val="auto"/>
              </w:rPr>
            </w:pPr>
            <w:r>
              <w:rPr>
                <w:rFonts w:ascii="Arial" w:cs="Arial" w:eastAsia="Arial" w:hAnsi="Arial"/>
                <w:sz w:val="18"/>
                <w:szCs w:val="18"/>
                <w:color w:val="auto"/>
              </w:rPr>
              <w:t>A non-U.S. institution in accordance with §240.13d–1(b)(1)(ii)(J);</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(k)</w:t>
            </w:r>
          </w:p>
        </w:tc>
        <w:tc>
          <w:tcPr>
            <w:tcW w:w="740" w:type="dxa"/>
            <w:vAlign w:val="bottom"/>
          </w:tcPr>
          <w:p>
            <w:pPr>
              <w:jc w:val="right"/>
              <w:ind w:right="210"/>
              <w:spacing w:after="0"/>
              <w:rPr>
                <w:sz w:val="20"/>
                <w:szCs w:val="20"/>
                <w:color w:val="auto"/>
              </w:rPr>
            </w:pPr>
            <w:r>
              <w:rPr>
                <w:rFonts w:ascii="Arial" w:cs="Arial" w:eastAsia="Arial" w:hAnsi="Arial"/>
                <w:sz w:val="18"/>
                <w:szCs w:val="18"/>
                <w:color w:val="auto"/>
              </w:rPr>
              <w:t>[ ]</w:t>
            </w:r>
          </w:p>
        </w:tc>
        <w:tc>
          <w:tcPr>
            <w:tcW w:w="10000" w:type="dxa"/>
            <w:vAlign w:val="bottom"/>
          </w:tcPr>
          <w:p>
            <w:pPr>
              <w:ind w:left="300"/>
              <w:spacing w:after="0"/>
              <w:rPr>
                <w:sz w:val="20"/>
                <w:szCs w:val="20"/>
                <w:color w:val="auto"/>
              </w:rPr>
            </w:pPr>
            <w:r>
              <w:rPr>
                <w:rFonts w:ascii="Arial" w:cs="Arial" w:eastAsia="Arial" w:hAnsi="Arial"/>
                <w:sz w:val="18"/>
                <w:szCs w:val="18"/>
                <w:color w:val="auto"/>
              </w:rPr>
              <w:t>Group, in accordance with §240.13d-1(b)(1)(ii)(K).</w:t>
            </w:r>
          </w:p>
        </w:tc>
      </w:tr>
    </w:tbl>
    <w:p>
      <w:pPr>
        <w:spacing w:after="0" w:line="33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Ownership***</w:t>
      </w:r>
    </w:p>
    <w:p>
      <w:pPr>
        <w:spacing w:after="0" w:line="222" w:lineRule="exact"/>
        <w:rPr>
          <w:sz w:val="20"/>
          <w:szCs w:val="20"/>
          <w:color w:val="auto"/>
        </w:rPr>
      </w:pPr>
    </w:p>
    <w:p>
      <w:pPr>
        <w:ind w:right="220" w:firstLine="648"/>
        <w:spacing w:after="0" w:line="250"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182" w:lineRule="exact"/>
        <w:rPr>
          <w:sz w:val="20"/>
          <w:szCs w:val="20"/>
          <w:color w:val="auto"/>
        </w:rPr>
      </w:pPr>
    </w:p>
    <w:p>
      <w:pPr>
        <w:ind w:left="800" w:hanging="792"/>
        <w:spacing w:after="0"/>
        <w:tabs>
          <w:tab w:leader="none" w:pos="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25" w:lineRule="exact"/>
        <w:rPr>
          <w:rFonts w:ascii="Arial" w:cs="Arial" w:eastAsia="Arial" w:hAnsi="Arial"/>
          <w:sz w:val="18"/>
          <w:szCs w:val="18"/>
          <w:color w:val="auto"/>
        </w:rPr>
      </w:pPr>
    </w:p>
    <w:p>
      <w:pPr>
        <w:ind w:left="800" w:right="5800"/>
        <w:spacing w:after="0" w:line="311" w:lineRule="auto"/>
        <w:rPr>
          <w:rFonts w:ascii="Arial" w:cs="Arial" w:eastAsia="Arial" w:hAnsi="Arial"/>
          <w:sz w:val="18"/>
          <w:szCs w:val="18"/>
          <w:color w:val="auto"/>
        </w:rPr>
      </w:pPr>
      <w:r>
        <w:rPr>
          <w:rFonts w:ascii="Arial" w:cs="Arial" w:eastAsia="Arial" w:hAnsi="Arial"/>
          <w:sz w:val="16"/>
          <w:szCs w:val="16"/>
          <w:color w:val="auto"/>
        </w:rPr>
        <w:t>Cormorant Global Healthcare Master Fund, LP – 764,560 shares Cormorant Global Healthcare GP, LLC – 764,560 shares Cormorant Private Healthcare Fund II, LP – 281,422 shares</w:t>
      </w:r>
    </w:p>
    <w:p>
      <w:pPr>
        <w:sectPr>
          <w:pgSz w:w="11900" w:h="16890" w:orient="portrait"/>
          <w:cols w:equalWidth="0" w:num="1">
            <w:col w:w="11240"/>
          </w:cols>
          <w:pgMar w:left="320" w:top="111" w:right="339" w:bottom="0" w:gutter="0" w:footer="0" w:header="0"/>
        </w:sectPr>
      </w:pPr>
    </w:p>
    <w:bookmarkStart w:id="10" w:name="page11"/>
    <w:bookmarkEnd w:id="10"/>
    <w:p>
      <w:pPr>
        <w:ind w:left="792"/>
        <w:spacing w:after="0"/>
        <w:rPr>
          <w:sz w:val="20"/>
          <w:szCs w:val="20"/>
          <w:color w:val="auto"/>
        </w:rPr>
      </w:pPr>
      <w:r>
        <w:rPr>
          <w:rFonts w:ascii="Arial" w:cs="Arial" w:eastAsia="Arial" w:hAnsi="Arial"/>
          <w:sz w:val="18"/>
          <w:szCs w:val="18"/>
          <w:color w:val="auto"/>
        </w:rPr>
        <w:t>Cormorant Private Healthcare GP II, LLC – 281,422 shares</w:t>
      </w:r>
    </w:p>
    <w:p>
      <w:pPr>
        <w:spacing w:after="0" w:line="23" w:lineRule="exact"/>
        <w:rPr>
          <w:sz w:val="20"/>
          <w:szCs w:val="20"/>
          <w:color w:val="auto"/>
        </w:rPr>
      </w:pPr>
    </w:p>
    <w:p>
      <w:pPr>
        <w:ind w:left="792"/>
        <w:spacing w:after="0"/>
        <w:rPr>
          <w:sz w:val="20"/>
          <w:szCs w:val="20"/>
          <w:color w:val="auto"/>
        </w:rPr>
      </w:pPr>
      <w:r>
        <w:rPr>
          <w:rFonts w:ascii="Arial" w:cs="Arial" w:eastAsia="Arial" w:hAnsi="Arial"/>
          <w:sz w:val="18"/>
          <w:szCs w:val="18"/>
          <w:color w:val="auto"/>
        </w:rPr>
        <w:t>Cormorant Private Healthcare Fund III, LP – 351,849 shares</w:t>
      </w:r>
    </w:p>
    <w:p>
      <w:pPr>
        <w:spacing w:after="0" w:line="9" w:lineRule="exact"/>
        <w:rPr>
          <w:sz w:val="20"/>
          <w:szCs w:val="20"/>
          <w:color w:val="auto"/>
        </w:rPr>
      </w:pPr>
    </w:p>
    <w:p>
      <w:pPr>
        <w:ind w:left="792"/>
        <w:spacing w:after="0"/>
        <w:rPr>
          <w:sz w:val="20"/>
          <w:szCs w:val="20"/>
          <w:color w:val="auto"/>
        </w:rPr>
      </w:pPr>
      <w:r>
        <w:rPr>
          <w:rFonts w:ascii="Arial" w:cs="Arial" w:eastAsia="Arial" w:hAnsi="Arial"/>
          <w:sz w:val="18"/>
          <w:szCs w:val="18"/>
          <w:color w:val="auto"/>
        </w:rPr>
        <w:t>Cormorant Private Healthcare GP III, LLC – 351,849 shares</w:t>
      </w:r>
    </w:p>
    <w:p>
      <w:pPr>
        <w:spacing w:after="0" w:line="9" w:lineRule="exact"/>
        <w:rPr>
          <w:sz w:val="20"/>
          <w:szCs w:val="20"/>
          <w:color w:val="auto"/>
        </w:rPr>
      </w:pPr>
    </w:p>
    <w:p>
      <w:pPr>
        <w:ind w:left="792"/>
        <w:spacing w:after="0"/>
        <w:rPr>
          <w:sz w:val="20"/>
          <w:szCs w:val="20"/>
          <w:color w:val="auto"/>
        </w:rPr>
      </w:pPr>
      <w:r>
        <w:rPr>
          <w:rFonts w:ascii="Arial" w:cs="Arial" w:eastAsia="Arial" w:hAnsi="Arial"/>
          <w:sz w:val="18"/>
          <w:szCs w:val="18"/>
          <w:color w:val="auto"/>
        </w:rPr>
        <w:t>Cormorant Asset Management, LP – 1,403,331 shares</w:t>
      </w:r>
    </w:p>
    <w:p>
      <w:pPr>
        <w:spacing w:after="0" w:line="9" w:lineRule="exact"/>
        <w:rPr>
          <w:sz w:val="20"/>
          <w:szCs w:val="20"/>
          <w:color w:val="auto"/>
        </w:rPr>
      </w:pPr>
    </w:p>
    <w:p>
      <w:pPr>
        <w:ind w:left="792"/>
        <w:spacing w:after="0"/>
        <w:rPr>
          <w:sz w:val="20"/>
          <w:szCs w:val="20"/>
          <w:color w:val="auto"/>
        </w:rPr>
      </w:pPr>
      <w:r>
        <w:rPr>
          <w:rFonts w:ascii="Arial" w:cs="Arial" w:eastAsia="Arial" w:hAnsi="Arial"/>
          <w:sz w:val="18"/>
          <w:szCs w:val="18"/>
          <w:color w:val="auto"/>
        </w:rPr>
        <w:t>Bihua Chen – 1,403,331 shares</w:t>
      </w:r>
    </w:p>
    <w:p>
      <w:pPr>
        <w:spacing w:after="0" w:line="103" w:lineRule="exact"/>
        <w:rPr>
          <w:sz w:val="20"/>
          <w:szCs w:val="20"/>
          <w:color w:val="auto"/>
        </w:rPr>
      </w:pPr>
    </w:p>
    <w:p>
      <w:pPr>
        <w:ind w:left="792" w:hanging="792"/>
        <w:spacing w:after="0"/>
        <w:tabs>
          <w:tab w:leader="none" w:pos="792" w:val="left"/>
        </w:tabs>
        <w:numPr>
          <w:ilvl w:val="0"/>
          <w:numId w:val="55"/>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rFonts w:ascii="Arial" w:cs="Arial" w:eastAsia="Arial" w:hAnsi="Arial"/>
          <w:sz w:val="18"/>
          <w:szCs w:val="18"/>
          <w:color w:val="auto"/>
        </w:rPr>
      </w:pPr>
    </w:p>
    <w:p>
      <w:pPr>
        <w:ind w:left="792" w:right="6400"/>
        <w:spacing w:after="0" w:line="267" w:lineRule="auto"/>
        <w:rPr>
          <w:rFonts w:ascii="Arial" w:cs="Arial" w:eastAsia="Arial" w:hAnsi="Arial"/>
          <w:sz w:val="18"/>
          <w:szCs w:val="18"/>
          <w:color w:val="auto"/>
        </w:rPr>
      </w:pPr>
      <w:r>
        <w:rPr>
          <w:rFonts w:ascii="Arial" w:cs="Arial" w:eastAsia="Arial" w:hAnsi="Arial"/>
          <w:sz w:val="17"/>
          <w:szCs w:val="17"/>
          <w:color w:val="auto"/>
        </w:rPr>
        <w:t>Cormorant Global Healthcare Master Fund, LP – 3.70% Cormorant Global Healthcare GP, LLC – 3.70% Cormorant Private Healthcare Fund II, LP – 1.36% Cormorant Private Healthcare GP II, LLC – 1.36% Cormorant Private Healthcare Fund III, LP – 1.70% Cormorant Private Healthcare GP III, LLC – 1.70% Cormorant Asset Management, LP – 6.79%</w:t>
      </w:r>
    </w:p>
    <w:p>
      <w:pPr>
        <w:spacing w:after="0" w:line="4" w:lineRule="exact"/>
        <w:rPr>
          <w:rFonts w:ascii="Arial" w:cs="Arial" w:eastAsia="Arial" w:hAnsi="Arial"/>
          <w:sz w:val="18"/>
          <w:szCs w:val="18"/>
          <w:color w:val="auto"/>
        </w:rPr>
      </w:pPr>
    </w:p>
    <w:p>
      <w:pPr>
        <w:ind w:left="792"/>
        <w:spacing w:after="0"/>
        <w:rPr>
          <w:rFonts w:ascii="Arial" w:cs="Arial" w:eastAsia="Arial" w:hAnsi="Arial"/>
          <w:sz w:val="18"/>
          <w:szCs w:val="18"/>
          <w:color w:val="auto"/>
        </w:rPr>
      </w:pPr>
      <w:r>
        <w:rPr>
          <w:rFonts w:ascii="Arial" w:cs="Arial" w:eastAsia="Arial" w:hAnsi="Arial"/>
          <w:sz w:val="18"/>
          <w:szCs w:val="18"/>
          <w:color w:val="auto"/>
        </w:rPr>
        <w:t>Bihua Chen – 6.79%</w:t>
      </w:r>
    </w:p>
    <w:p>
      <w:pPr>
        <w:spacing w:after="0" w:line="237" w:lineRule="exact"/>
        <w:rPr>
          <w:rFonts w:ascii="Arial" w:cs="Arial" w:eastAsia="Arial" w:hAnsi="Arial"/>
          <w:sz w:val="18"/>
          <w:szCs w:val="18"/>
          <w:color w:val="auto"/>
        </w:rPr>
      </w:pPr>
    </w:p>
    <w:p>
      <w:pPr>
        <w:ind w:left="792" w:hanging="792"/>
        <w:spacing w:after="0"/>
        <w:tabs>
          <w:tab w:leader="none" w:pos="792" w:val="left"/>
        </w:tabs>
        <w:numPr>
          <w:ilvl w:val="0"/>
          <w:numId w:val="55"/>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1552" w:hanging="769"/>
        <w:spacing w:after="0"/>
        <w:tabs>
          <w:tab w:leader="none" w:pos="1552" w:val="left"/>
        </w:tabs>
        <w:numPr>
          <w:ilvl w:val="2"/>
          <w:numId w:val="55"/>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25" w:lineRule="exact"/>
        <w:rPr>
          <w:rFonts w:ascii="Arial" w:cs="Arial" w:eastAsia="Arial" w:hAnsi="Arial"/>
          <w:sz w:val="18"/>
          <w:szCs w:val="18"/>
          <w:color w:val="auto"/>
        </w:rPr>
      </w:pPr>
    </w:p>
    <w:p>
      <w:pPr>
        <w:ind w:left="1552" w:right="5540"/>
        <w:spacing w:after="0" w:line="267" w:lineRule="auto"/>
        <w:rPr>
          <w:rFonts w:ascii="Arial" w:cs="Arial" w:eastAsia="Arial" w:hAnsi="Arial"/>
          <w:sz w:val="18"/>
          <w:szCs w:val="18"/>
          <w:color w:val="auto"/>
        </w:rPr>
      </w:pPr>
      <w:r>
        <w:rPr>
          <w:rFonts w:ascii="Arial" w:cs="Arial" w:eastAsia="Arial" w:hAnsi="Arial"/>
          <w:sz w:val="17"/>
          <w:szCs w:val="17"/>
          <w:color w:val="auto"/>
        </w:rPr>
        <w:t>Cormorant Global Healthcare Master Fund, LP - 0 shares Cormorant Global Healthcare GP, LLC - 0 shares Cormorant Private Healthcare Fund II, LP - 0 shares Cormorant Private Healthcare GP II, LLC - 0 shares Cormorant Private Healthcare Fund III, LP - 0 shares Cormorant Private Healthcare GP III, LLC - 0 shares Cormorant Asset Management, LP - 0 shares</w:t>
      </w:r>
    </w:p>
    <w:p>
      <w:pPr>
        <w:spacing w:after="0" w:line="4" w:lineRule="exact"/>
        <w:rPr>
          <w:rFonts w:ascii="Arial" w:cs="Arial" w:eastAsia="Arial" w:hAnsi="Arial"/>
          <w:sz w:val="18"/>
          <w:szCs w:val="18"/>
          <w:color w:val="auto"/>
        </w:rPr>
      </w:pPr>
    </w:p>
    <w:p>
      <w:pPr>
        <w:ind w:left="1552"/>
        <w:spacing w:after="0"/>
        <w:rPr>
          <w:rFonts w:ascii="Arial" w:cs="Arial" w:eastAsia="Arial" w:hAnsi="Arial"/>
          <w:sz w:val="18"/>
          <w:szCs w:val="18"/>
          <w:color w:val="auto"/>
        </w:rPr>
      </w:pPr>
      <w:r>
        <w:rPr>
          <w:rFonts w:ascii="Arial" w:cs="Arial" w:eastAsia="Arial" w:hAnsi="Arial"/>
          <w:sz w:val="18"/>
          <w:szCs w:val="18"/>
          <w:color w:val="auto"/>
        </w:rPr>
        <w:t>Bihua Chen - 0 shares</w:t>
      </w:r>
    </w:p>
    <w:p>
      <w:pPr>
        <w:spacing w:after="0" w:line="210" w:lineRule="exact"/>
        <w:rPr>
          <w:rFonts w:ascii="Arial" w:cs="Arial" w:eastAsia="Arial" w:hAnsi="Arial"/>
          <w:sz w:val="18"/>
          <w:szCs w:val="18"/>
          <w:color w:val="auto"/>
        </w:rPr>
      </w:pPr>
    </w:p>
    <w:p>
      <w:pPr>
        <w:ind w:left="1552" w:hanging="769"/>
        <w:spacing w:after="0"/>
        <w:tabs>
          <w:tab w:leader="none" w:pos="1552" w:val="left"/>
        </w:tabs>
        <w:numPr>
          <w:ilvl w:val="2"/>
          <w:numId w:val="55"/>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25" w:lineRule="exact"/>
        <w:rPr>
          <w:rFonts w:ascii="Arial" w:cs="Arial" w:eastAsia="Arial" w:hAnsi="Arial"/>
          <w:sz w:val="18"/>
          <w:szCs w:val="18"/>
          <w:color w:val="auto"/>
        </w:rPr>
      </w:pPr>
    </w:p>
    <w:p>
      <w:pPr>
        <w:ind w:left="1552" w:right="5020"/>
        <w:spacing w:after="0" w:line="284" w:lineRule="auto"/>
        <w:rPr>
          <w:rFonts w:ascii="Arial" w:cs="Arial" w:eastAsia="Arial" w:hAnsi="Arial"/>
          <w:sz w:val="18"/>
          <w:szCs w:val="18"/>
          <w:color w:val="auto"/>
        </w:rPr>
      </w:pPr>
      <w:r>
        <w:rPr>
          <w:rFonts w:ascii="Arial" w:cs="Arial" w:eastAsia="Arial" w:hAnsi="Arial"/>
          <w:sz w:val="16"/>
          <w:szCs w:val="16"/>
          <w:color w:val="auto"/>
        </w:rPr>
        <w:t>Cormorant Global Healthcare Master Fund, LP – 764,560 shares Cormorant Global Healthcare GP, LLC – 764,560 shares Cormorant Private Healthcare Fund II, LP – 281,422 shares Cormorant Private Healthcare GP II, LLC – 281,422 shares Cormorant Private Healthcare Fund III, LP – 351,849 shares Cormorant Private Healthcare GP III, LLC – 351,849 shares Cormorant Asset Management, LP – 1,403,331 shares</w:t>
      </w:r>
    </w:p>
    <w:p>
      <w:pPr>
        <w:spacing w:after="0" w:line="2" w:lineRule="exact"/>
        <w:rPr>
          <w:rFonts w:ascii="Arial" w:cs="Arial" w:eastAsia="Arial" w:hAnsi="Arial"/>
          <w:sz w:val="18"/>
          <w:szCs w:val="18"/>
          <w:color w:val="auto"/>
        </w:rPr>
      </w:pPr>
    </w:p>
    <w:p>
      <w:pPr>
        <w:ind w:left="1552"/>
        <w:spacing w:after="0"/>
        <w:rPr>
          <w:rFonts w:ascii="Arial" w:cs="Arial" w:eastAsia="Arial" w:hAnsi="Arial"/>
          <w:sz w:val="18"/>
          <w:szCs w:val="18"/>
          <w:color w:val="auto"/>
        </w:rPr>
      </w:pPr>
      <w:r>
        <w:rPr>
          <w:rFonts w:ascii="Arial" w:cs="Arial" w:eastAsia="Arial" w:hAnsi="Arial"/>
          <w:sz w:val="18"/>
          <w:szCs w:val="18"/>
          <w:color w:val="auto"/>
        </w:rPr>
        <w:t>Bihua Chen – 1,403,331 shares</w:t>
      </w:r>
    </w:p>
    <w:p>
      <w:pPr>
        <w:spacing w:after="0" w:line="102" w:lineRule="exact"/>
        <w:rPr>
          <w:rFonts w:ascii="Arial" w:cs="Arial" w:eastAsia="Arial" w:hAnsi="Arial"/>
          <w:sz w:val="18"/>
          <w:szCs w:val="18"/>
          <w:color w:val="auto"/>
        </w:rPr>
      </w:pPr>
    </w:p>
    <w:p>
      <w:pPr>
        <w:ind w:left="1552" w:hanging="769"/>
        <w:spacing w:after="0"/>
        <w:tabs>
          <w:tab w:leader="none" w:pos="1552" w:val="left"/>
        </w:tabs>
        <w:numPr>
          <w:ilvl w:val="2"/>
          <w:numId w:val="55"/>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225" w:lineRule="exact"/>
        <w:rPr>
          <w:rFonts w:ascii="Arial" w:cs="Arial" w:eastAsia="Arial" w:hAnsi="Arial"/>
          <w:sz w:val="18"/>
          <w:szCs w:val="18"/>
          <w:color w:val="auto"/>
        </w:rPr>
      </w:pPr>
    </w:p>
    <w:p>
      <w:pPr>
        <w:ind w:left="1552" w:right="5540"/>
        <w:spacing w:after="0" w:line="267" w:lineRule="auto"/>
        <w:rPr>
          <w:rFonts w:ascii="Arial" w:cs="Arial" w:eastAsia="Arial" w:hAnsi="Arial"/>
          <w:sz w:val="18"/>
          <w:szCs w:val="18"/>
          <w:color w:val="auto"/>
        </w:rPr>
      </w:pPr>
      <w:r>
        <w:rPr>
          <w:rFonts w:ascii="Arial" w:cs="Arial" w:eastAsia="Arial" w:hAnsi="Arial"/>
          <w:sz w:val="17"/>
          <w:szCs w:val="17"/>
          <w:color w:val="auto"/>
        </w:rPr>
        <w:t>Cormorant Global Healthcare Master Fund, LP - 0 shares Cormorant Global Healthcare GP, LLC - 0 shares Cormorant Private Healthcare Fund II, LP - 0 shares Cormorant Private Healthcare GP II, LLC - 0 shares Cormorant Private Healthcare Fund III, LP - 0 shares Cormorant Private Healthcare GP III, LLC - 0 shares Cormorant Asset Management, LP - 0 shares</w:t>
      </w:r>
    </w:p>
    <w:p>
      <w:pPr>
        <w:spacing w:after="0" w:line="4" w:lineRule="exact"/>
        <w:rPr>
          <w:rFonts w:ascii="Arial" w:cs="Arial" w:eastAsia="Arial" w:hAnsi="Arial"/>
          <w:sz w:val="18"/>
          <w:szCs w:val="18"/>
          <w:color w:val="auto"/>
        </w:rPr>
      </w:pPr>
    </w:p>
    <w:p>
      <w:pPr>
        <w:ind w:left="1552"/>
        <w:spacing w:after="0"/>
        <w:rPr>
          <w:rFonts w:ascii="Arial" w:cs="Arial" w:eastAsia="Arial" w:hAnsi="Arial"/>
          <w:sz w:val="18"/>
          <w:szCs w:val="18"/>
          <w:color w:val="auto"/>
        </w:rPr>
      </w:pPr>
      <w:r>
        <w:rPr>
          <w:rFonts w:ascii="Arial" w:cs="Arial" w:eastAsia="Arial" w:hAnsi="Arial"/>
          <w:sz w:val="18"/>
          <w:szCs w:val="18"/>
          <w:color w:val="auto"/>
        </w:rPr>
        <w:t>Bihua Chen - 0 shares</w:t>
      </w:r>
    </w:p>
    <w:p>
      <w:pPr>
        <w:spacing w:after="0" w:line="210" w:lineRule="exact"/>
        <w:rPr>
          <w:rFonts w:ascii="Arial" w:cs="Arial" w:eastAsia="Arial" w:hAnsi="Arial"/>
          <w:sz w:val="18"/>
          <w:szCs w:val="18"/>
          <w:color w:val="auto"/>
        </w:rPr>
      </w:pPr>
    </w:p>
    <w:p>
      <w:pPr>
        <w:ind w:left="1552" w:hanging="769"/>
        <w:spacing w:after="0"/>
        <w:tabs>
          <w:tab w:leader="none" w:pos="1552" w:val="left"/>
        </w:tabs>
        <w:numPr>
          <w:ilvl w:val="2"/>
          <w:numId w:val="55"/>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25" w:lineRule="exact"/>
        <w:rPr>
          <w:rFonts w:ascii="Arial" w:cs="Arial" w:eastAsia="Arial" w:hAnsi="Arial"/>
          <w:sz w:val="18"/>
          <w:szCs w:val="18"/>
          <w:color w:val="auto"/>
        </w:rPr>
      </w:pPr>
    </w:p>
    <w:p>
      <w:pPr>
        <w:ind w:left="1552" w:right="5020"/>
        <w:spacing w:after="0" w:line="284" w:lineRule="auto"/>
        <w:rPr>
          <w:rFonts w:ascii="Arial" w:cs="Arial" w:eastAsia="Arial" w:hAnsi="Arial"/>
          <w:sz w:val="18"/>
          <w:szCs w:val="18"/>
          <w:color w:val="auto"/>
        </w:rPr>
      </w:pPr>
      <w:r>
        <w:rPr>
          <w:rFonts w:ascii="Arial" w:cs="Arial" w:eastAsia="Arial" w:hAnsi="Arial"/>
          <w:sz w:val="16"/>
          <w:szCs w:val="16"/>
          <w:color w:val="auto"/>
        </w:rPr>
        <w:t>Cormorant Global Healthcare Master Fund, LP – 764,560 shares Cormorant Global Healthcare GP, LLC – 764,560 shares Cormorant Private Healthcare Fund II, LP – 281,422 shares Cormorant Private Healthcare GP II, LLC – 281,422 shares Cormorant Private Healthcare Fund III, LP – 351,849 shares Cormorant Private Healthcare GP III, LLC – 351,849 shares Cormorant Asset Management, LP – 1,403,331 shares</w:t>
      </w:r>
    </w:p>
    <w:p>
      <w:pPr>
        <w:spacing w:after="0" w:line="2" w:lineRule="exact"/>
        <w:rPr>
          <w:rFonts w:ascii="Arial" w:cs="Arial" w:eastAsia="Arial" w:hAnsi="Arial"/>
          <w:sz w:val="18"/>
          <w:szCs w:val="18"/>
          <w:color w:val="auto"/>
        </w:rPr>
      </w:pPr>
    </w:p>
    <w:p>
      <w:pPr>
        <w:ind w:left="1552"/>
        <w:spacing w:after="0"/>
        <w:rPr>
          <w:rFonts w:ascii="Arial" w:cs="Arial" w:eastAsia="Arial" w:hAnsi="Arial"/>
          <w:sz w:val="18"/>
          <w:szCs w:val="18"/>
          <w:color w:val="auto"/>
        </w:rPr>
      </w:pPr>
      <w:r>
        <w:rPr>
          <w:rFonts w:ascii="Arial" w:cs="Arial" w:eastAsia="Arial" w:hAnsi="Arial"/>
          <w:sz w:val="18"/>
          <w:szCs w:val="18"/>
          <w:color w:val="auto"/>
        </w:rPr>
        <w:t>Bihua Chen – 1,403,331 shares</w:t>
      </w:r>
    </w:p>
    <w:p>
      <w:pPr>
        <w:spacing w:after="0" w:line="200" w:lineRule="exact"/>
        <w:rPr>
          <w:rFonts w:ascii="Arial" w:cs="Arial" w:eastAsia="Arial" w:hAnsi="Arial"/>
          <w:sz w:val="18"/>
          <w:szCs w:val="18"/>
          <w:color w:val="auto"/>
        </w:rPr>
      </w:pPr>
    </w:p>
    <w:p>
      <w:pPr>
        <w:spacing w:after="0" w:line="314" w:lineRule="exact"/>
        <w:rPr>
          <w:rFonts w:ascii="Arial" w:cs="Arial" w:eastAsia="Arial" w:hAnsi="Arial"/>
          <w:sz w:val="18"/>
          <w:szCs w:val="18"/>
          <w:color w:val="auto"/>
        </w:rPr>
      </w:pPr>
    </w:p>
    <w:p>
      <w:pPr>
        <w:jc w:val="both"/>
        <w:ind w:left="652" w:hanging="4"/>
        <w:spacing w:after="0" w:line="233" w:lineRule="auto"/>
        <w:tabs>
          <w:tab w:leader="none" w:pos="1044" w:val="left"/>
        </w:tabs>
        <w:numPr>
          <w:ilvl w:val="1"/>
          <w:numId w:val="55"/>
        </w:numPr>
        <w:rPr>
          <w:rFonts w:ascii="Arial" w:cs="Arial" w:eastAsia="Arial" w:hAnsi="Arial"/>
          <w:sz w:val="22"/>
          <w:szCs w:val="22"/>
          <w:color w:val="auto"/>
        </w:rPr>
      </w:pPr>
      <w:r>
        <w:rPr>
          <w:rFonts w:ascii="Arial" w:cs="Arial" w:eastAsia="Arial" w:hAnsi="Arial"/>
          <w:sz w:val="22"/>
          <w:szCs w:val="22"/>
          <w:color w:val="auto"/>
        </w:rPr>
        <w:t>Shares reported herein for Cormorant Asset Management, LP represent shares which are beneficially by Cormorant Global Healthcare Master Fund, LP (the “Master Fund”), Cormorant Private Healthcare Fund II, LP (“Fund II”) and Cormorant Private Healthcare Fund III, LP (“Fund III”), as reported herein, and a managed account (the “Account”). Cormorant Global Healthcare GP, LLC, Cormorant Private Healthcare GP II, LLC and Cormorant Private Healthcare GP III, LLC serve as the general partners of the Master Fund, Fund II and Fund III, respectively. Cormorant Asset Management, LP serves as the investment manager to the Master Fund, Fund II, Fund III and the Account. Bihua Chen serves as the managing member of Cormorant Global Healthcare GP, LLC, Cormorant Private Healthcare GP II, LLC, Cormorant Private Healthcare GP III, LLC and the general partner of Cormorant Asset Management, LP. Each of the Reporting Persons disclaims beneficial ownership of the shares reported herein except to the extent of its or his pecuniary interest therein.</w:t>
      </w:r>
    </w:p>
    <w:p>
      <w:pPr>
        <w:sectPr>
          <w:pgSz w:w="11900" w:h="16838" w:orient="portrait"/>
          <w:cols w:equalWidth="0" w:num="1">
            <w:col w:w="11232"/>
          </w:cols>
          <w:pgMar w:left="328" w:top="125" w:right="339" w:bottom="0" w:gutter="0" w:footer="0" w:header="0"/>
        </w:sectPr>
      </w:pPr>
    </w:p>
    <w:bookmarkStart w:id="11" w:name="page12"/>
    <w:bookmarkEnd w:id="11"/>
    <w:p>
      <w:pPr>
        <w:jc w:val="both"/>
        <w:ind w:left="660"/>
        <w:spacing w:after="0" w:line="238" w:lineRule="auto"/>
        <w:rPr>
          <w:sz w:val="20"/>
          <w:szCs w:val="20"/>
          <w:color w:val="auto"/>
        </w:rPr>
      </w:pPr>
      <w:r>
        <w:rPr>
          <w:rFonts w:ascii="Arial" w:cs="Arial" w:eastAsia="Arial" w:hAnsi="Arial"/>
          <w:sz w:val="22"/>
          <w:szCs w:val="22"/>
          <w:color w:val="auto"/>
        </w:rPr>
        <w:t>The percentages reported herein with respect to the Reporting Persons’ holdings are calculated based upon a statement in the Issuer’s Quarterly Report on Form 10-Q for the quarterly period ended September 30, 2021, as filed with the Securities and Exchange Commission on November 10, 2021, that there were 20,676,992 shares of Common Stock outstanding as of November 4, 2021.</w:t>
      </w:r>
    </w:p>
    <w:p>
      <w:pPr>
        <w:spacing w:after="0" w:line="39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If this statement is being filed to report the fact that as of the date hereof the reporting person has ceased to be the beneficial owner of more than five percent of the class of securities, check the following [ ].</w:t>
      </w:r>
    </w:p>
    <w:p>
      <w:pPr>
        <w:spacing w:after="0" w:line="17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2" w:lineRule="exact"/>
        <w:rPr>
          <w:sz w:val="20"/>
          <w:szCs w:val="20"/>
          <w:color w:val="auto"/>
        </w:rPr>
      </w:pPr>
    </w:p>
    <w:p>
      <w:pPr>
        <w:ind w:left="980"/>
        <w:spacing w:after="0"/>
        <w:rPr>
          <w:sz w:val="20"/>
          <w:szCs w:val="20"/>
          <w:color w:val="auto"/>
        </w:rPr>
      </w:pPr>
      <w:r>
        <w:rPr>
          <w:rFonts w:ascii="Arial" w:cs="Arial" w:eastAsia="Arial" w:hAnsi="Arial"/>
          <w:sz w:val="22"/>
          <w:szCs w:val="22"/>
          <w:color w:val="auto"/>
        </w:rPr>
        <w:t>Not applicable.</w:t>
      </w:r>
    </w:p>
    <w:p>
      <w:pPr>
        <w:spacing w:after="0" w:line="20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222" w:lineRule="exact"/>
        <w:rPr>
          <w:sz w:val="20"/>
          <w:szCs w:val="20"/>
          <w:color w:val="auto"/>
        </w:rPr>
      </w:pPr>
    </w:p>
    <w:p>
      <w:pPr>
        <w:ind w:left="980"/>
        <w:spacing w:after="0"/>
        <w:rPr>
          <w:sz w:val="20"/>
          <w:szCs w:val="20"/>
          <w:color w:val="auto"/>
        </w:rPr>
      </w:pPr>
      <w:r>
        <w:rPr>
          <w:rFonts w:ascii="Arial" w:cs="Arial" w:eastAsia="Arial" w:hAnsi="Arial"/>
          <w:sz w:val="22"/>
          <w:szCs w:val="22"/>
          <w:color w:val="auto"/>
        </w:rPr>
        <w:t>Not applicable.</w:t>
      </w:r>
    </w:p>
    <w:p>
      <w:pPr>
        <w:spacing w:after="0" w:line="20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2" w:lineRule="exact"/>
        <w:rPr>
          <w:sz w:val="20"/>
          <w:szCs w:val="20"/>
          <w:color w:val="auto"/>
        </w:rPr>
      </w:pPr>
    </w:p>
    <w:p>
      <w:pPr>
        <w:jc w:val="center"/>
        <w:ind w:right="7960"/>
        <w:spacing w:after="0"/>
        <w:rPr>
          <w:sz w:val="20"/>
          <w:szCs w:val="20"/>
          <w:color w:val="auto"/>
        </w:rPr>
      </w:pPr>
      <w:r>
        <w:rPr>
          <w:rFonts w:ascii="Arial" w:cs="Arial" w:eastAsia="Arial" w:hAnsi="Arial"/>
          <w:sz w:val="22"/>
          <w:szCs w:val="22"/>
          <w:color w:val="auto"/>
        </w:rPr>
        <w:t>Not applicable.</w:t>
      </w:r>
    </w:p>
    <w:p>
      <w:pPr>
        <w:spacing w:after="0" w:line="20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2" w:lineRule="exact"/>
        <w:rPr>
          <w:sz w:val="20"/>
          <w:szCs w:val="20"/>
          <w:color w:val="auto"/>
        </w:rPr>
      </w:pPr>
    </w:p>
    <w:p>
      <w:pPr>
        <w:ind w:left="980"/>
        <w:spacing w:after="0"/>
        <w:rPr>
          <w:sz w:val="20"/>
          <w:szCs w:val="20"/>
          <w:color w:val="auto"/>
        </w:rPr>
      </w:pPr>
      <w:r>
        <w:rPr>
          <w:rFonts w:ascii="Arial" w:cs="Arial" w:eastAsia="Arial" w:hAnsi="Arial"/>
          <w:sz w:val="22"/>
          <w:szCs w:val="22"/>
          <w:color w:val="auto"/>
        </w:rPr>
        <w:t>Not applicable.</w:t>
      </w:r>
    </w:p>
    <w:p>
      <w:pPr>
        <w:spacing w:after="0" w:line="20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2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55"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b w:val="1"/>
          <w:bCs w:val="1"/>
          <w:color w:val="auto"/>
        </w:rPr>
        <w:t>Exhibits</w:t>
        <w:tab/>
        <w:t>Exhibit</w:t>
      </w:r>
    </w:p>
    <w:p>
      <w:pPr>
        <w:spacing w:after="0" w:line="200" w:lineRule="exact"/>
        <w:rPr>
          <w:sz w:val="20"/>
          <w:szCs w:val="20"/>
          <w:color w:val="auto"/>
        </w:rPr>
      </w:pPr>
    </w:p>
    <w:p>
      <w:pPr>
        <w:spacing w:after="0" w:line="276" w:lineRule="exact"/>
        <w:rPr>
          <w:sz w:val="20"/>
          <w:szCs w:val="20"/>
          <w:color w:val="auto"/>
        </w:rPr>
      </w:pPr>
    </w:p>
    <w:p>
      <w:pPr>
        <w:ind w:right="800"/>
        <w:spacing w:after="0" w:line="334" w:lineRule="auto"/>
        <w:rPr>
          <w:sz w:val="20"/>
          <w:szCs w:val="20"/>
          <w:color w:val="auto"/>
        </w:rPr>
      </w:pPr>
      <w:r>
        <w:rPr>
          <w:rFonts w:ascii="Arial" w:cs="Arial" w:eastAsia="Arial" w:hAnsi="Arial"/>
          <w:sz w:val="19"/>
          <w:szCs w:val="19"/>
          <w:b w:val="1"/>
          <w:bCs w:val="1"/>
          <w:color w:val="auto"/>
        </w:rPr>
        <w:t xml:space="preserve">99.1 </w:t>
      </w:r>
      <w:r>
        <w:rPr>
          <w:rFonts w:ascii="Arial" w:cs="Arial" w:eastAsia="Arial" w:hAnsi="Arial"/>
          <w:sz w:val="19"/>
          <w:szCs w:val="19"/>
          <w:color w:val="auto"/>
        </w:rPr>
        <w:t>Joint Filing Agreement by and among the Reporting Persons, incorporated by reference to Exhibit 99.1 to the</w:t>
      </w:r>
      <w:r>
        <w:rPr>
          <w:rFonts w:ascii="Arial" w:cs="Arial" w:eastAsia="Arial" w:hAnsi="Arial"/>
          <w:sz w:val="19"/>
          <w:szCs w:val="19"/>
          <w:b w:val="1"/>
          <w:bCs w:val="1"/>
          <w:color w:val="auto"/>
        </w:rPr>
        <w:t xml:space="preserve"> </w:t>
      </w:r>
      <w:r>
        <w:rPr>
          <w:rFonts w:ascii="Arial" w:cs="Arial" w:eastAsia="Arial" w:hAnsi="Arial"/>
          <w:sz w:val="19"/>
          <w:szCs w:val="19"/>
          <w:color w:val="auto"/>
        </w:rPr>
        <w:t>Schedule 13G filed by the Reporting Persons with the Securities and Exchange Commission on October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Arial" w:cs="Arial" w:eastAsia="Arial" w:hAnsi="Arial"/>
          <w:sz w:val="22"/>
          <w:szCs w:val="22"/>
          <w:b w:val="1"/>
          <w:bCs w:val="1"/>
          <w:color w:val="auto"/>
        </w:rPr>
        <w:t>SIGNATURE</w:t>
      </w:r>
    </w:p>
    <w:p>
      <w:pPr>
        <w:spacing w:after="0" w:line="213"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February 14, 2022</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220" w:right="1300"/>
        <w:spacing w:after="0" w:line="239" w:lineRule="auto"/>
        <w:rPr>
          <w:sz w:val="20"/>
          <w:szCs w:val="20"/>
          <w:color w:val="auto"/>
        </w:rPr>
      </w:pPr>
      <w:r>
        <w:rPr>
          <w:rFonts w:ascii="Arial" w:cs="Arial" w:eastAsia="Arial" w:hAnsi="Arial"/>
          <w:sz w:val="22"/>
          <w:szCs w:val="22"/>
          <w:color w:val="auto"/>
        </w:rPr>
        <w:t>CORMORANT GLOBAL HEALTHCARE MASTER FUND, LP By: Cormorant Global Healthcare GP, LLC</w:t>
      </w:r>
    </w:p>
    <w:p>
      <w:pPr>
        <w:ind w:left="4540"/>
        <w:spacing w:after="0"/>
        <w:rPr>
          <w:sz w:val="20"/>
          <w:szCs w:val="20"/>
          <w:color w:val="auto"/>
        </w:rPr>
      </w:pPr>
      <w:r>
        <w:rPr>
          <w:rFonts w:ascii="Arial" w:cs="Arial" w:eastAsia="Arial" w:hAnsi="Arial"/>
          <w:sz w:val="22"/>
          <w:szCs w:val="22"/>
          <w:color w:val="auto"/>
        </w:rPr>
        <w:t>its General Partner</w:t>
      </w:r>
    </w:p>
    <w:p>
      <w:pPr>
        <w:spacing w:after="0" w:line="215"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Bihua Chen</w:t>
      </w:r>
    </w:p>
    <w:p>
      <w:pPr>
        <w:spacing w:after="0" w:line="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Bihua Chen, Managing Member</w:t>
      </w:r>
    </w:p>
    <w:p>
      <w:pPr>
        <w:spacing w:after="0" w:line="215"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CORMORANT GLOBAL HEALTHCARE GP, LLC</w:t>
      </w:r>
    </w:p>
    <w:p>
      <w:pPr>
        <w:spacing w:after="0" w:line="233"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Bihua Chen</w:t>
      </w:r>
    </w:p>
    <w:p>
      <w:pPr>
        <w:spacing w:after="0" w:line="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Bihua Chen, Managing Member</w:t>
      </w:r>
    </w:p>
    <w:p>
      <w:pPr>
        <w:spacing w:after="0" w:line="215"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CORMORANT PRIVATE HEALTHCARE FUND II, LP</w:t>
      </w:r>
    </w:p>
    <w:p>
      <w:pPr>
        <w:ind w:left="4220"/>
        <w:spacing w:after="0" w:line="238" w:lineRule="auto"/>
        <w:rPr>
          <w:sz w:val="20"/>
          <w:szCs w:val="20"/>
          <w:color w:val="auto"/>
        </w:rPr>
      </w:pPr>
      <w:r>
        <w:rPr>
          <w:rFonts w:ascii="Arial" w:cs="Arial" w:eastAsia="Arial" w:hAnsi="Arial"/>
          <w:sz w:val="22"/>
          <w:szCs w:val="22"/>
          <w:color w:val="auto"/>
        </w:rPr>
        <w:t>By: Cormorant Private Healthcare GP II, LLC</w:t>
      </w:r>
    </w:p>
    <w:p>
      <w:pPr>
        <w:ind w:left="4540"/>
        <w:spacing w:after="0"/>
        <w:rPr>
          <w:sz w:val="20"/>
          <w:szCs w:val="20"/>
          <w:color w:val="auto"/>
        </w:rPr>
      </w:pPr>
      <w:r>
        <w:rPr>
          <w:rFonts w:ascii="Arial" w:cs="Arial" w:eastAsia="Arial" w:hAnsi="Arial"/>
          <w:sz w:val="22"/>
          <w:szCs w:val="22"/>
          <w:color w:val="auto"/>
        </w:rPr>
        <w:t>its General Partner</w:t>
      </w:r>
    </w:p>
    <w:p>
      <w:pPr>
        <w:spacing w:after="0" w:line="215"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Bihua Chen</w:t>
      </w:r>
    </w:p>
    <w:p>
      <w:pPr>
        <w:spacing w:after="0" w:line="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Bihua Chen, Managing Member</w:t>
      </w:r>
    </w:p>
    <w:p>
      <w:pPr>
        <w:spacing w:after="0" w:line="215"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CORMORANT PRIVATE HEALTHCARE GP II, LLC</w:t>
      </w:r>
    </w:p>
    <w:p>
      <w:pPr>
        <w:spacing w:after="0" w:line="233"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Bihua Chen</w:t>
      </w:r>
    </w:p>
    <w:p>
      <w:pPr>
        <w:spacing w:after="0" w:line="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Bihua Chen, Managing Member</w:t>
      </w:r>
    </w:p>
    <w:p>
      <w:pPr>
        <w:spacing w:after="0" w:line="215"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CORMORANT PRIVATE HEALTHCARE FUND III, LP</w:t>
      </w:r>
    </w:p>
    <w:p>
      <w:pPr>
        <w:ind w:left="4220"/>
        <w:spacing w:after="0" w:line="238" w:lineRule="auto"/>
        <w:rPr>
          <w:sz w:val="20"/>
          <w:szCs w:val="20"/>
          <w:color w:val="auto"/>
        </w:rPr>
      </w:pPr>
      <w:r>
        <w:rPr>
          <w:rFonts w:ascii="Arial" w:cs="Arial" w:eastAsia="Arial" w:hAnsi="Arial"/>
          <w:sz w:val="22"/>
          <w:szCs w:val="22"/>
          <w:color w:val="auto"/>
        </w:rPr>
        <w:t>By: Cormorant Private Healthcare GP III, LLC</w:t>
      </w:r>
    </w:p>
    <w:p>
      <w:pPr>
        <w:ind w:left="4540"/>
        <w:spacing w:after="0"/>
        <w:rPr>
          <w:sz w:val="20"/>
          <w:szCs w:val="20"/>
          <w:color w:val="auto"/>
        </w:rPr>
      </w:pPr>
      <w:r>
        <w:rPr>
          <w:rFonts w:ascii="Arial" w:cs="Arial" w:eastAsia="Arial" w:hAnsi="Arial"/>
          <w:sz w:val="22"/>
          <w:szCs w:val="22"/>
          <w:color w:val="auto"/>
        </w:rPr>
        <w:t>its General Partner</w:t>
      </w:r>
    </w:p>
    <w:p>
      <w:pPr>
        <w:spacing w:after="0" w:line="215"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Bihua Chen</w:t>
      </w:r>
    </w:p>
    <w:p>
      <w:pPr>
        <w:spacing w:after="0" w:line="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Bihua Chen, Managing Member</w:t>
      </w:r>
    </w:p>
    <w:p>
      <w:pPr>
        <w:spacing w:after="0" w:line="215"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CORMORANT PRIVATE HEALTHCARE GP III, LLC</w:t>
      </w:r>
    </w:p>
    <w:p>
      <w:pPr>
        <w:spacing w:after="0" w:line="233"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Bihua Chen</w:t>
      </w:r>
    </w:p>
    <w:p>
      <w:pPr>
        <w:spacing w:after="0" w:line="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Bihua Chen, Managing Member</w:t>
      </w:r>
    </w:p>
    <w:p>
      <w:pPr>
        <w:spacing w:after="0" w:line="215"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CORMORANT ASSET MANAGEMENT, LP</w:t>
      </w:r>
    </w:p>
    <w:p>
      <w:pPr>
        <w:ind w:left="4220"/>
        <w:spacing w:after="0" w:line="238" w:lineRule="auto"/>
        <w:rPr>
          <w:sz w:val="20"/>
          <w:szCs w:val="20"/>
          <w:color w:val="auto"/>
        </w:rPr>
      </w:pPr>
      <w:r>
        <w:rPr>
          <w:rFonts w:ascii="Arial" w:cs="Arial" w:eastAsia="Arial" w:hAnsi="Arial"/>
          <w:sz w:val="22"/>
          <w:szCs w:val="22"/>
          <w:color w:val="auto"/>
        </w:rPr>
        <w:t>By: Cormorant Asset Management GP, LLC</w:t>
      </w:r>
    </w:p>
    <w:p>
      <w:pPr>
        <w:ind w:left="4540"/>
        <w:spacing w:after="0"/>
        <w:rPr>
          <w:sz w:val="20"/>
          <w:szCs w:val="20"/>
          <w:color w:val="auto"/>
        </w:rPr>
      </w:pPr>
      <w:r>
        <w:rPr>
          <w:rFonts w:ascii="Arial" w:cs="Arial" w:eastAsia="Arial" w:hAnsi="Arial"/>
          <w:sz w:val="22"/>
          <w:szCs w:val="22"/>
          <w:color w:val="auto"/>
        </w:rPr>
        <w:t>its General Partner</w:t>
      </w:r>
    </w:p>
    <w:p>
      <w:pPr>
        <w:spacing w:after="0" w:line="215"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Bihua Chen</w:t>
      </w:r>
    </w:p>
    <w:p>
      <w:pPr>
        <w:spacing w:after="0" w:line="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Bihua Chen, Managing Member</w:t>
      </w:r>
    </w:p>
    <w:p>
      <w:pPr>
        <w:spacing w:after="0" w:line="215" w:lineRule="exact"/>
        <w:rPr>
          <w:sz w:val="20"/>
          <w:szCs w:val="20"/>
          <w:color w:val="auto"/>
        </w:rPr>
      </w:pPr>
    </w:p>
    <w:p>
      <w:pPr>
        <w:ind w:left="4220"/>
        <w:spacing w:after="0"/>
        <w:rPr>
          <w:sz w:val="20"/>
          <w:szCs w:val="20"/>
          <w:color w:val="auto"/>
        </w:rPr>
      </w:pPr>
      <w:r>
        <w:rPr>
          <w:rFonts w:ascii="Arial" w:cs="Arial" w:eastAsia="Arial" w:hAnsi="Arial"/>
          <w:sz w:val="22"/>
          <w:szCs w:val="22"/>
          <w:u w:val="single" w:color="auto"/>
          <w:color w:val="auto"/>
        </w:rPr>
        <w:t>/s/ Bihua Chen</w:t>
      </w:r>
    </w:p>
    <w:p>
      <w:pPr>
        <w:spacing w:after="0" w:line="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Bihua Chen</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CA88611"/>
    <w:multiLevelType w:val="hybridMultilevel"/>
    <w:lvl w:ilvl="0">
      <w:lvlJc w:val="left"/>
      <w:lvlText w:val="[%1]"/>
      <w:numFmt w:val="lowerRoman"/>
      <w:start w:val="10"/>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1"/>
      <w:numFmt w:val="bullet"/>
      <w:start w:val="1"/>
    </w:lvl>
  </w:abstractNum>
  <w:abstractNum w:abstractNumId="3">
    <w:nsid w:val="3A95F874"/>
    <w:multiLevelType w:val="hybridMultilevel"/>
    <w:lvl w:ilvl="0">
      <w:lvlJc w:val="left"/>
      <w:lvlText w:val="2"/>
      <w:numFmt w:val="bullet"/>
      <w:start w:val="1"/>
    </w:lvl>
    <w:lvl w:ilvl="1">
      <w:lvlJc w:val="left"/>
      <w:lvlText w:val="(%2)"/>
      <w:numFmt w:val="lowerLetter"/>
      <w:start w:val="1"/>
    </w:lvl>
  </w:abstractNum>
  <w:abstractNum w:abstractNumId="4">
    <w:nsid w:val="8138641"/>
    <w:multiLevelType w:val="hybridMultilevel"/>
    <w:lvl w:ilvl="0">
      <w:lvlJc w:val="left"/>
      <w:lvlText w:val="3"/>
      <w:numFmt w:val="bullet"/>
      <w:start w:val="1"/>
    </w:lvl>
  </w:abstractNum>
  <w:abstractNum w:abstractNumId="5">
    <w:nsid w:val="1E7FF521"/>
    <w:multiLevelType w:val="hybridMultilevel"/>
    <w:lvl w:ilvl="0">
      <w:lvlJc w:val="left"/>
      <w:lvlText w:val="4"/>
      <w:numFmt w:val="bullet"/>
      <w:start w:val="1"/>
    </w:lvl>
  </w:abstractNum>
  <w:abstractNum w:abstractNumId="6">
    <w:nsid w:val="7C3DBD3D"/>
    <w:multiLevelType w:val="hybridMultilevel"/>
    <w:lvl w:ilvl="0">
      <w:lvlJc w:val="left"/>
      <w:lvlText w:val="9"/>
      <w:numFmt w:val="bullet"/>
      <w:start w:val="1"/>
    </w:lvl>
  </w:abstractNum>
  <w:abstractNum w:abstractNumId="7">
    <w:nsid w:val="737B8DDC"/>
    <w:multiLevelType w:val="hybridMultilevel"/>
    <w:lvl w:ilvl="0">
      <w:lvlJc w:val="left"/>
      <w:lvlText w:val="%1"/>
      <w:numFmt w:val="decimal"/>
      <w:start w:val="10"/>
    </w:lvl>
  </w:abstractNum>
  <w:abstractNum w:abstractNumId="8">
    <w:nsid w:val="6CEAF087"/>
    <w:multiLevelType w:val="hybridMultilevel"/>
    <w:lvl w:ilvl="0">
      <w:lvlJc w:val="left"/>
      <w:lvlText w:val="1"/>
      <w:numFmt w:val="bullet"/>
      <w:start w:val="1"/>
    </w:lvl>
  </w:abstractNum>
  <w:abstractNum w:abstractNumId="9">
    <w:nsid w:val="22221A70"/>
    <w:multiLevelType w:val="hybridMultilevel"/>
    <w:lvl w:ilvl="0">
      <w:lvlJc w:val="left"/>
      <w:lvlText w:val="2"/>
      <w:numFmt w:val="bullet"/>
      <w:start w:val="1"/>
    </w:lvl>
    <w:lvl w:ilvl="1">
      <w:lvlJc w:val="left"/>
      <w:lvlText w:val="(%2)"/>
      <w:numFmt w:val="lowerLetter"/>
      <w:start w:val="1"/>
    </w:lvl>
  </w:abstractNum>
  <w:abstractNum w:abstractNumId="10">
    <w:nsid w:val="4516DDE9"/>
    <w:multiLevelType w:val="hybridMultilevel"/>
    <w:lvl w:ilvl="0">
      <w:lvlJc w:val="left"/>
      <w:lvlText w:val="3"/>
      <w:numFmt w:val="bullet"/>
      <w:start w:val="1"/>
    </w:lvl>
  </w:abstractNum>
  <w:abstractNum w:abstractNumId="11">
    <w:nsid w:val="3006C83E"/>
    <w:multiLevelType w:val="hybridMultilevel"/>
    <w:lvl w:ilvl="0">
      <w:lvlJc w:val="left"/>
      <w:lvlText w:val="4"/>
      <w:numFmt w:val="bullet"/>
      <w:start w:val="1"/>
    </w:lvl>
  </w:abstractNum>
  <w:abstractNum w:abstractNumId="12">
    <w:nsid w:val="614FD4A1"/>
    <w:multiLevelType w:val="hybridMultilevel"/>
    <w:lvl w:ilvl="0">
      <w:lvlJc w:val="left"/>
      <w:lvlText w:val="9"/>
      <w:numFmt w:val="bullet"/>
      <w:start w:val="1"/>
    </w:lvl>
  </w:abstractNum>
  <w:abstractNum w:abstractNumId="13">
    <w:nsid w:val="419AC241"/>
    <w:multiLevelType w:val="hybridMultilevel"/>
    <w:lvl w:ilvl="0">
      <w:lvlJc w:val="left"/>
      <w:lvlText w:val="%1"/>
      <w:numFmt w:val="decimal"/>
      <w:start w:val="10"/>
    </w:lvl>
  </w:abstractNum>
  <w:abstractNum w:abstractNumId="14">
    <w:nsid w:val="5577F8E1"/>
    <w:multiLevelType w:val="hybridMultilevel"/>
    <w:lvl w:ilvl="0">
      <w:lvlJc w:val="left"/>
      <w:lvlText w:val="1"/>
      <w:numFmt w:val="bullet"/>
      <w:start w:val="1"/>
    </w:lvl>
  </w:abstractNum>
  <w:abstractNum w:abstractNumId="15">
    <w:nsid w:val="440BADFC"/>
    <w:multiLevelType w:val="hybridMultilevel"/>
    <w:lvl w:ilvl="0">
      <w:lvlJc w:val="left"/>
      <w:lvlText w:val="2"/>
      <w:numFmt w:val="bullet"/>
      <w:start w:val="1"/>
    </w:lvl>
    <w:lvl w:ilvl="1">
      <w:lvlJc w:val="left"/>
      <w:lvlText w:val="(%2)"/>
      <w:numFmt w:val="lowerLetter"/>
      <w:start w:val="1"/>
    </w:lvl>
  </w:abstractNum>
  <w:abstractNum w:abstractNumId="16">
    <w:nsid w:val="5072367"/>
    <w:multiLevelType w:val="hybridMultilevel"/>
    <w:lvl w:ilvl="0">
      <w:lvlJc w:val="left"/>
      <w:lvlText w:val="3"/>
      <w:numFmt w:val="bullet"/>
      <w:start w:val="1"/>
    </w:lvl>
  </w:abstractNum>
  <w:abstractNum w:abstractNumId="17">
    <w:nsid w:val="3804823E"/>
    <w:multiLevelType w:val="hybridMultilevel"/>
    <w:lvl w:ilvl="0">
      <w:lvlJc w:val="left"/>
      <w:lvlText w:val="4"/>
      <w:numFmt w:val="bullet"/>
      <w:start w:val="1"/>
    </w:lvl>
  </w:abstractNum>
  <w:abstractNum w:abstractNumId="18">
    <w:nsid w:val="77465F01"/>
    <w:multiLevelType w:val="hybridMultilevel"/>
    <w:lvl w:ilvl="0">
      <w:lvlJc w:val="left"/>
      <w:lvlText w:val="9"/>
      <w:numFmt w:val="bullet"/>
      <w:start w:val="1"/>
    </w:lvl>
  </w:abstractNum>
  <w:abstractNum w:abstractNumId="19">
    <w:nsid w:val="7724C67E"/>
    <w:multiLevelType w:val="hybridMultilevel"/>
    <w:lvl w:ilvl="0">
      <w:lvlJc w:val="left"/>
      <w:lvlText w:val="%1"/>
      <w:numFmt w:val="decimal"/>
      <w:start w:val="10"/>
    </w:lvl>
  </w:abstractNum>
  <w:abstractNum w:abstractNumId="20">
    <w:nsid w:val="5C482A97"/>
    <w:multiLevelType w:val="hybridMultilevel"/>
    <w:lvl w:ilvl="0">
      <w:lvlJc w:val="left"/>
      <w:lvlText w:val="1"/>
      <w:numFmt w:val="bullet"/>
      <w:start w:val="1"/>
    </w:lvl>
  </w:abstractNum>
  <w:abstractNum w:abstractNumId="21">
    <w:nsid w:val="2463B9EA"/>
    <w:multiLevelType w:val="hybridMultilevel"/>
    <w:lvl w:ilvl="0">
      <w:lvlJc w:val="left"/>
      <w:lvlText w:val="2"/>
      <w:numFmt w:val="bullet"/>
      <w:start w:val="1"/>
    </w:lvl>
    <w:lvl w:ilvl="1">
      <w:lvlJc w:val="left"/>
      <w:lvlText w:val="(%2)"/>
      <w:numFmt w:val="lowerLetter"/>
      <w:start w:val="1"/>
    </w:lvl>
  </w:abstractNum>
  <w:abstractNum w:abstractNumId="22">
    <w:nsid w:val="5E884ADC"/>
    <w:multiLevelType w:val="hybridMultilevel"/>
    <w:lvl w:ilvl="0">
      <w:lvlJc w:val="left"/>
      <w:lvlText w:val="3"/>
      <w:numFmt w:val="bullet"/>
      <w:start w:val="1"/>
    </w:lvl>
  </w:abstractNum>
  <w:abstractNum w:abstractNumId="23">
    <w:nsid w:val="51EAD36B"/>
    <w:multiLevelType w:val="hybridMultilevel"/>
    <w:lvl w:ilvl="0">
      <w:lvlJc w:val="left"/>
      <w:lvlText w:val="4"/>
      <w:numFmt w:val="bullet"/>
      <w:start w:val="1"/>
    </w:lvl>
  </w:abstractNum>
  <w:abstractNum w:abstractNumId="24">
    <w:nsid w:val="2D517796"/>
    <w:multiLevelType w:val="hybridMultilevel"/>
    <w:lvl w:ilvl="0">
      <w:lvlJc w:val="left"/>
      <w:lvlText w:val="9"/>
      <w:numFmt w:val="bullet"/>
      <w:start w:val="1"/>
    </w:lvl>
  </w:abstractNum>
  <w:abstractNum w:abstractNumId="25">
    <w:nsid w:val="580BD78F"/>
    <w:multiLevelType w:val="hybridMultilevel"/>
    <w:lvl w:ilvl="0">
      <w:lvlJc w:val="left"/>
      <w:lvlText w:val="%1"/>
      <w:numFmt w:val="decimal"/>
      <w:start w:val="10"/>
    </w:lvl>
  </w:abstractNum>
  <w:abstractNum w:abstractNumId="26">
    <w:nsid w:val="153EA438"/>
    <w:multiLevelType w:val="hybridMultilevel"/>
    <w:lvl w:ilvl="0">
      <w:lvlJc w:val="left"/>
      <w:lvlText w:val="1"/>
      <w:numFmt w:val="bullet"/>
      <w:start w:val="1"/>
    </w:lvl>
  </w:abstractNum>
  <w:abstractNum w:abstractNumId="27">
    <w:nsid w:val="3855585C"/>
    <w:multiLevelType w:val="hybridMultilevel"/>
    <w:lvl w:ilvl="0">
      <w:lvlJc w:val="left"/>
      <w:lvlText w:val="2"/>
      <w:numFmt w:val="bullet"/>
      <w:start w:val="1"/>
    </w:lvl>
    <w:lvl w:ilvl="1">
      <w:lvlJc w:val="left"/>
      <w:lvlText w:val="(%2)"/>
      <w:numFmt w:val="lowerLetter"/>
      <w:start w:val="1"/>
    </w:lvl>
  </w:abstractNum>
  <w:abstractNum w:abstractNumId="28">
    <w:nsid w:val="70A64E2A"/>
    <w:multiLevelType w:val="hybridMultilevel"/>
    <w:lvl w:ilvl="0">
      <w:lvlJc w:val="left"/>
      <w:lvlText w:val="3"/>
      <w:numFmt w:val="bullet"/>
      <w:start w:val="1"/>
    </w:lvl>
  </w:abstractNum>
  <w:abstractNum w:abstractNumId="29">
    <w:nsid w:val="6A2342EC"/>
    <w:multiLevelType w:val="hybridMultilevel"/>
    <w:lvl w:ilvl="0">
      <w:lvlJc w:val="left"/>
      <w:lvlText w:val="4"/>
      <w:numFmt w:val="bullet"/>
      <w:start w:val="1"/>
    </w:lvl>
  </w:abstractNum>
  <w:abstractNum w:abstractNumId="30">
    <w:nsid w:val="2A487CB0"/>
    <w:multiLevelType w:val="hybridMultilevel"/>
    <w:lvl w:ilvl="0">
      <w:lvlJc w:val="left"/>
      <w:lvlText w:val="9"/>
      <w:numFmt w:val="bullet"/>
      <w:start w:val="1"/>
    </w:lvl>
  </w:abstractNum>
  <w:abstractNum w:abstractNumId="31">
    <w:nsid w:val="1D4ED43B"/>
    <w:multiLevelType w:val="hybridMultilevel"/>
    <w:lvl w:ilvl="0">
      <w:lvlJc w:val="left"/>
      <w:lvlText w:val="%1"/>
      <w:numFmt w:val="decimal"/>
      <w:start w:val="10"/>
    </w:lvl>
  </w:abstractNum>
  <w:abstractNum w:abstractNumId="32">
    <w:nsid w:val="725A06FB"/>
    <w:multiLevelType w:val="hybridMultilevel"/>
    <w:lvl w:ilvl="0">
      <w:lvlJc w:val="left"/>
      <w:lvlText w:val="1"/>
      <w:numFmt w:val="bullet"/>
      <w:start w:val="1"/>
    </w:lvl>
  </w:abstractNum>
  <w:abstractNum w:abstractNumId="33">
    <w:nsid w:val="2CD89A32"/>
    <w:multiLevelType w:val="hybridMultilevel"/>
    <w:lvl w:ilvl="0">
      <w:lvlJc w:val="left"/>
      <w:lvlText w:val="2"/>
      <w:numFmt w:val="bullet"/>
      <w:start w:val="1"/>
    </w:lvl>
    <w:lvl w:ilvl="1">
      <w:lvlJc w:val="left"/>
      <w:lvlText w:val="(%2)"/>
      <w:numFmt w:val="lowerLetter"/>
      <w:start w:val="1"/>
    </w:lvl>
  </w:abstractNum>
  <w:abstractNum w:abstractNumId="34">
    <w:nsid w:val="57E4CCAF"/>
    <w:multiLevelType w:val="hybridMultilevel"/>
    <w:lvl w:ilvl="0">
      <w:lvlJc w:val="left"/>
      <w:lvlText w:val="3"/>
      <w:numFmt w:val="bullet"/>
      <w:start w:val="1"/>
    </w:lvl>
  </w:abstractNum>
  <w:abstractNum w:abstractNumId="35">
    <w:nsid w:val="7A6D8D3C"/>
    <w:multiLevelType w:val="hybridMultilevel"/>
    <w:lvl w:ilvl="0">
      <w:lvlJc w:val="left"/>
      <w:lvlText w:val="4"/>
      <w:numFmt w:val="bullet"/>
      <w:start w:val="1"/>
    </w:lvl>
  </w:abstractNum>
  <w:abstractNum w:abstractNumId="36">
    <w:nsid w:val="4B588F54"/>
    <w:multiLevelType w:val="hybridMultilevel"/>
    <w:lvl w:ilvl="0">
      <w:lvlJc w:val="left"/>
      <w:lvlText w:val="9"/>
      <w:numFmt w:val="bullet"/>
      <w:start w:val="1"/>
    </w:lvl>
  </w:abstractNum>
  <w:abstractNum w:abstractNumId="37">
    <w:nsid w:val="542289EC"/>
    <w:multiLevelType w:val="hybridMultilevel"/>
    <w:lvl w:ilvl="0">
      <w:lvlJc w:val="left"/>
      <w:lvlText w:val="%1"/>
      <w:numFmt w:val="decimal"/>
      <w:start w:val="10"/>
    </w:lvl>
  </w:abstractNum>
  <w:abstractNum w:abstractNumId="38">
    <w:nsid w:val="6DE91B18"/>
    <w:multiLevelType w:val="hybridMultilevel"/>
    <w:lvl w:ilvl="0">
      <w:lvlJc w:val="left"/>
      <w:lvlText w:val="1"/>
      <w:numFmt w:val="bullet"/>
      <w:start w:val="1"/>
    </w:lvl>
  </w:abstractNum>
  <w:abstractNum w:abstractNumId="39">
    <w:nsid w:val="38437FDB"/>
    <w:multiLevelType w:val="hybridMultilevel"/>
    <w:lvl w:ilvl="0">
      <w:lvlJc w:val="left"/>
      <w:lvlText w:val="2"/>
      <w:numFmt w:val="bullet"/>
      <w:start w:val="1"/>
    </w:lvl>
    <w:lvl w:ilvl="1">
      <w:lvlJc w:val="left"/>
      <w:lvlText w:val="(%2)"/>
      <w:numFmt w:val="lowerLetter"/>
      <w:start w:val="1"/>
    </w:lvl>
  </w:abstractNum>
  <w:abstractNum w:abstractNumId="40">
    <w:nsid w:val="7644A45C"/>
    <w:multiLevelType w:val="hybridMultilevel"/>
    <w:lvl w:ilvl="0">
      <w:lvlJc w:val="left"/>
      <w:lvlText w:val="3"/>
      <w:numFmt w:val="bullet"/>
      <w:start w:val="1"/>
    </w:lvl>
  </w:abstractNum>
  <w:abstractNum w:abstractNumId="41">
    <w:nsid w:val="32FFF902"/>
    <w:multiLevelType w:val="hybridMultilevel"/>
    <w:lvl w:ilvl="0">
      <w:lvlJc w:val="left"/>
      <w:lvlText w:val="4"/>
      <w:numFmt w:val="bullet"/>
      <w:start w:val="1"/>
    </w:lvl>
  </w:abstractNum>
  <w:abstractNum w:abstractNumId="42">
    <w:nsid w:val="684A481A"/>
    <w:multiLevelType w:val="hybridMultilevel"/>
    <w:lvl w:ilvl="0">
      <w:lvlJc w:val="left"/>
      <w:lvlText w:val="9"/>
      <w:numFmt w:val="bullet"/>
      <w:start w:val="1"/>
    </w:lvl>
  </w:abstractNum>
  <w:abstractNum w:abstractNumId="43">
    <w:nsid w:val="579478FE"/>
    <w:multiLevelType w:val="hybridMultilevel"/>
    <w:lvl w:ilvl="0">
      <w:lvlJc w:val="left"/>
      <w:lvlText w:val="%1"/>
      <w:numFmt w:val="decimal"/>
      <w:start w:val="10"/>
    </w:lvl>
  </w:abstractNum>
  <w:abstractNum w:abstractNumId="44">
    <w:nsid w:val="749ABB43"/>
    <w:multiLevelType w:val="hybridMultilevel"/>
    <w:lvl w:ilvl="0">
      <w:lvlJc w:val="left"/>
      <w:lvlText w:val="1"/>
      <w:numFmt w:val="bullet"/>
      <w:start w:val="1"/>
    </w:lvl>
  </w:abstractNum>
  <w:abstractNum w:abstractNumId="45">
    <w:nsid w:val="3DC240FB"/>
    <w:multiLevelType w:val="hybridMultilevel"/>
    <w:lvl w:ilvl="0">
      <w:lvlJc w:val="left"/>
      <w:lvlText w:val="2"/>
      <w:numFmt w:val="bullet"/>
      <w:start w:val="1"/>
    </w:lvl>
    <w:lvl w:ilvl="1">
      <w:lvlJc w:val="left"/>
      <w:lvlText w:val="(%2)"/>
      <w:numFmt w:val="lowerLetter"/>
      <w:start w:val="1"/>
    </w:lvl>
  </w:abstractNum>
  <w:abstractNum w:abstractNumId="46">
    <w:nsid w:val="1BA026FA"/>
    <w:multiLevelType w:val="hybridMultilevel"/>
    <w:lvl w:ilvl="0">
      <w:lvlJc w:val="left"/>
      <w:lvlText w:val="3"/>
      <w:numFmt w:val="bullet"/>
      <w:start w:val="1"/>
    </w:lvl>
  </w:abstractNum>
  <w:abstractNum w:abstractNumId="47">
    <w:nsid w:val="79A1DEAA"/>
    <w:multiLevelType w:val="hybridMultilevel"/>
    <w:lvl w:ilvl="0">
      <w:lvlJc w:val="left"/>
      <w:lvlText w:val="4"/>
      <w:numFmt w:val="bullet"/>
      <w:start w:val="1"/>
    </w:lvl>
  </w:abstractNum>
  <w:abstractNum w:abstractNumId="48">
    <w:nsid w:val="75C6C33A"/>
    <w:multiLevelType w:val="hybridMultilevel"/>
    <w:lvl w:ilvl="0">
      <w:lvlJc w:val="left"/>
      <w:lvlText w:val="9"/>
      <w:numFmt w:val="bullet"/>
      <w:start w:val="1"/>
    </w:lvl>
  </w:abstractNum>
  <w:abstractNum w:abstractNumId="49">
    <w:nsid w:val="12E685FB"/>
    <w:multiLevelType w:val="hybridMultilevel"/>
    <w:lvl w:ilvl="0">
      <w:lvlJc w:val="left"/>
      <w:lvlText w:val="%1"/>
      <w:numFmt w:val="decimal"/>
      <w:start w:val="10"/>
    </w:lvl>
  </w:abstractNum>
  <w:abstractNum w:abstractNumId="50">
    <w:nsid w:val="70C6A529"/>
    <w:multiLevelType w:val="hybridMultilevel"/>
    <w:lvl w:ilvl="0">
      <w:lvlJc w:val="left"/>
      <w:lvlText w:val="(%1)"/>
      <w:numFmt w:val="lowerLetter"/>
      <w:start w:val="1"/>
    </w:lvl>
  </w:abstractNum>
  <w:abstractNum w:abstractNumId="51">
    <w:nsid w:val="520EEDD1"/>
    <w:multiLevelType w:val="hybridMultilevel"/>
    <w:lvl w:ilvl="0">
      <w:lvlJc w:val="left"/>
      <w:lvlText w:val="(%1)"/>
      <w:numFmt w:val="lowerLetter"/>
      <w:start w:val="1"/>
    </w:lvl>
  </w:abstractNum>
  <w:abstractNum w:abstractNumId="52">
    <w:nsid w:val="374A3FE6"/>
    <w:multiLevelType w:val="hybridMultilevel"/>
    <w:lvl w:ilvl="0">
      <w:lvlJc w:val="left"/>
      <w:lvlText w:val="(%1)"/>
      <w:numFmt w:val="lowerLetter"/>
      <w:start w:val="4"/>
    </w:lvl>
  </w:abstractNum>
  <w:abstractNum w:abstractNumId="53">
    <w:nsid w:val="4F4EF005"/>
    <w:multiLevelType w:val="hybridMultilevel"/>
    <w:lvl w:ilvl="0">
      <w:lvlJc w:val="left"/>
      <w:lvlText w:val="(%1)"/>
      <w:numFmt w:val="lowerLetter"/>
      <w:start w:val="1"/>
    </w:lvl>
  </w:abstractNum>
  <w:abstractNum w:abstractNumId="54">
    <w:nsid w:val="23F9C13C"/>
    <w:multiLevelType w:val="hybridMultilevel"/>
    <w:lvl w:ilvl="0">
      <w:lvlJc w:val="left"/>
      <w:lvlText w:val="(%1)"/>
      <w:numFmt w:val="lowerLetter"/>
      <w:start w:val="2"/>
    </w:lvl>
    <w:lvl w:ilvl="1">
      <w:lvlJc w:val="left"/>
      <w:lvlText w:val="***"/>
      <w:numFmt w:val="bullet"/>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2022-02-14T14:04:02Z</dcterms:created>
  <dcterms:modified xsi:type="dcterms:W3CDTF">2022-02-14T14:04:02Z</dcterms:modified>
</cp:coreProperties>
</file>