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81-4717861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76"/>
        <w:spacing w:after="0"/>
        <w:rPr>
          <w:sz w:val="20"/>
          <w:szCs w:val="20"/>
          <w:color w:val="auto"/>
        </w:rPr>
      </w:pPr>
      <w:r>
        <w:rPr>
          <w:rFonts w:ascii="Times New Roman" w:cs="Times New Roman" w:eastAsia="Times New Roman" w:hAnsi="Times New Roman"/>
          <w:sz w:val="17"/>
          <w:szCs w:val="17"/>
          <w:b w:val="1"/>
          <w:bCs w:val="1"/>
          <w:color w:val="auto"/>
        </w:rPr>
        <w:t>15440 Laguna Canyon Road, Suite 160</w:t>
      </w:r>
    </w:p>
    <w:p>
      <w:pPr>
        <w:spacing w:after="0" w:line="43" w:lineRule="exact"/>
        <w:rPr>
          <w:sz w:val="24"/>
          <w:szCs w:val="24"/>
          <w:color w:val="auto"/>
        </w:rPr>
      </w:pPr>
    </w:p>
    <w:p>
      <w:pPr>
        <w:jc w:val="center"/>
        <w:ind w:right="1876"/>
        <w:spacing w:after="0"/>
        <w:rPr>
          <w:sz w:val="20"/>
          <w:szCs w:val="20"/>
          <w:color w:val="auto"/>
        </w:rPr>
      </w:pPr>
      <w:r>
        <w:rPr>
          <w:rFonts w:ascii="Times New Roman" w:cs="Times New Roman" w:eastAsia="Times New Roman" w:hAnsi="Times New Roman"/>
          <w:sz w:val="18"/>
          <w:szCs w:val="18"/>
          <w:b w:val="1"/>
          <w:bCs w:val="1"/>
          <w:color w:val="auto"/>
        </w:rPr>
        <w:t>Irvine, CA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92618</w:t>
      </w:r>
    </w:p>
    <w:p>
      <w:pPr>
        <w:spacing w:after="0" w:line="42"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TARS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Global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8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12, 2025, Tarsus Pharmaceuticals, Inc., a Delaware corporation (the “Company”), entered into an Underwriting Agreement (the “Underwriting Agreement”) with Goldman Sachs &amp; Co. LLC, BofA Securities, Inc., and Barclays Capital Inc., acting as representatives of the underwriters named in the Underwriting Agreement (the “Underwriters”), relating to the sale of 2,808,988 shares of the Company’s common stock, par value $0.0001 per share (the “Offering”). The price to the public in the Offering is $44.50 per share. The Underwriters have agreed to purchase the shares from the Company pursuant to the Underwriting Agreement at a price of $41.83 per share. Under the terms of the Underwriting Agreement, the Company has granted the Underwriters an option, exercisable for 30 days, to purchase up to an additional 421,348 shares. The net proceeds to the Company from the Offering are expected to be approximately $117.1 million, after deducting underwriting discounts and commissions and estimated Offering expenses payable by the Company, assuming no exercise by the Underwriters of their option to purchase additional shares of common stock. The transactions contemplated by the Underwriting Agreement are expected to close on March 14, 2025, subject to the satisfaction of customary closing conditions.</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Offering was made pursuant to the Company’s shelf registration statement on Form S-3, filed with the Securities and Exchange Commission (“SEC”) on February 29, 2024, which became automatically effective upon filing (File No. 333-277523) and the prospectus included therein (the “Registration Statement”), a preliminary prospectus supplement, dated March 12, 2025, filed with the SEC pursuant to Rule 424(b) under the Securities Act of 1933, as amended (the “Securities Act”), and a final prospectus supplement, dated March 12, 2025, filed with the SEC pursuant to Rule 424(b) under the Securities Act.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A copy of the Underwriting Agreement is filed as Exhibit 1.1 to this Current Report and is incorporated herein by reference. The foregoing description of the terms of the Underwriting Agreement is qualified in its entirety by such exhibit hereto.</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Underwriting Agreement is attached hereto as an exhibit to provide interested persons with information regarding its terms, but is not intended to provide any other factual information about the Company. The representations, warranties and covenants contained in the Underwriting Agreement were made only for purposes of the Underwriting Agreement as of specific dates indicated therein, were solely for the benefit of the parties to the Underwriting Agreement, and may be subject to limitations agreed upon by the parties, including being qualified by confidential disclosures exchanged between the parties in connection with the execution of the Underwriting Agreement.</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legal opinion, including the related consent, of Gunderson Dettmer Stough Villeneuve Franklin &amp; Hachigian, LLP relating to the legality of the issuance and sale of the securities in the Offering is filed as Exhibit 5.1 to this Current Report.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contains forward-looking statements that involve risk and uncertainties, such as statements related to the anticipated closing of the Offering and the amount of net proceeds expected from the Offering. The risks and uncertainties involved include the Company’s ability to satisfy certain conditions to closing on a timely basis or at all, as well as other risks detailed from time to time in the Company’s SEC filings.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March 12, 2025, the Company issued a press release to announce a proposed offering of $100.0 million of shares pursuant to the Registration Statement (the “Offering Press Release”). A copy of the Offering Press Release is attached hereto as Exhibit 99.1 and is incorporated herein by reference.</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March 12, 2025, the Company also issued a press release to announce that it had priced an upsized $125.0 million offering (the “Pricing Press Release”). A copy of the Pricing Press Release is attached hereto as Exhibit 99.2 and is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700" w:type="dxa"/>
            <w:vAlign w:val="bottom"/>
            <w:tcBorders>
              <w:bottom w:val="single" w:sz="8" w:color="auto"/>
            </w:tcBorders>
            <w:gridSpan w:val="5"/>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w:t>
            </w:r>
          </w:p>
        </w:tc>
        <w:tc>
          <w:tcPr>
            <w:tcW w:w="9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Underwriting Agreement, dated March 12, 2025, by and among the Company, Goldman Sachs &amp; Co. LLC, BofA Securities, Inc.,</w:t>
            </w:r>
          </w:p>
        </w:tc>
        <w:tc>
          <w:tcPr>
            <w:tcW w:w="180" w:type="dxa"/>
            <w:vAlign w:val="bottom"/>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and Barclays Capital Inc.</w:t>
            </w:r>
          </w:p>
        </w:tc>
        <w:tc>
          <w:tcPr>
            <w:tcW w:w="7700" w:type="dxa"/>
            <w:vAlign w:val="bottom"/>
            <w:gridSpan w:val="5"/>
          </w:tcPr>
          <w:p>
            <w:pPr>
              <w:spacing w:after="0"/>
              <w:rPr>
                <w:sz w:val="17"/>
                <w:szCs w:val="17"/>
                <w:color w:val="auto"/>
              </w:rPr>
            </w:pPr>
          </w:p>
        </w:tc>
      </w:tr>
      <w:tr>
        <w:trPr>
          <w:trHeight w:val="304"/>
        </w:trPr>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5.1</w:t>
            </w:r>
          </w:p>
        </w:tc>
        <w:tc>
          <w:tcPr>
            <w:tcW w:w="9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Opinion and Consent of Gunderson Dettmer Stough Villeneuve Franklin &amp; Hachigian, LLP.</w:t>
            </w:r>
          </w:p>
        </w:tc>
      </w:tr>
      <w:tr>
        <w:trPr>
          <w:trHeight w:val="20"/>
        </w:trPr>
        <w:tc>
          <w:tcPr>
            <w:tcW w:w="150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23.1</w:t>
            </w:r>
          </w:p>
        </w:tc>
        <w:tc>
          <w:tcPr>
            <w:tcW w:w="7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Gunderson Dettmer Stough Villeneuve Franklin &amp; Hachigian, LLP (included in Exhibit 5.1).</w:t>
            </w:r>
          </w:p>
        </w:tc>
        <w:tc>
          <w:tcPr>
            <w:tcW w:w="2000" w:type="dxa"/>
            <w:vAlign w:val="bottom"/>
            <w:gridSpan w:val="3"/>
          </w:tcPr>
          <w:p>
            <w:pPr>
              <w:spacing w:after="0"/>
              <w:rPr>
                <w:sz w:val="24"/>
                <w:szCs w:val="24"/>
                <w:color w:val="auto"/>
              </w:rPr>
            </w:pPr>
          </w:p>
        </w:tc>
      </w:tr>
      <w:tr>
        <w:trPr>
          <w:trHeight w:val="304"/>
        </w:trPr>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99.1</w:t>
            </w:r>
          </w:p>
        </w:tc>
        <w:tc>
          <w:tcPr>
            <w:tcW w:w="9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Press release issued by the Company, dated March 12, 2025, titled “Tarsus Announces Proposed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 Million Public Offering.”</w:t>
            </w:r>
          </w:p>
        </w:tc>
      </w:tr>
      <w:tr>
        <w:trPr>
          <w:trHeight w:val="304"/>
        </w:trPr>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99.2</w:t>
            </w:r>
          </w:p>
        </w:tc>
        <w:tc>
          <w:tcPr>
            <w:tcW w:w="92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 xml:space="preserve">Press release issued by the Company, dated March 12, 2025, titled “Tarsus Announces Pricing of Upsized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125.0 Million Public</w:t>
            </w: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Offering.”</w:t>
            </w:r>
          </w:p>
        </w:tc>
        <w:tc>
          <w:tcPr>
            <w:tcW w:w="8780" w:type="dxa"/>
            <w:vAlign w:val="bottom"/>
            <w:gridSpan w:val="6"/>
          </w:tcPr>
          <w:p>
            <w:pPr>
              <w:spacing w:after="0"/>
              <w:rPr>
                <w:sz w:val="17"/>
                <w:szCs w:val="17"/>
                <w:color w:val="auto"/>
              </w:rPr>
            </w:pPr>
          </w:p>
        </w:tc>
      </w:tr>
      <w:tr>
        <w:trPr>
          <w:trHeight w:val="344"/>
        </w:trPr>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104</w:t>
            </w:r>
          </w:p>
        </w:tc>
        <w:tc>
          <w:tcPr>
            <w:tcW w:w="9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bl>
    <w:p>
      <w:pPr>
        <w:sectPr>
          <w:pgSz w:w="11900" w:h="16838" w:orient="portrait"/>
          <w:cols w:equalWidth="0" w:num="1">
            <w:col w:w="11020"/>
          </w:cols>
          <w:pgMar w:left="440" w:top="293" w:right="439" w:bottom="1440" w:gutter="0" w:footer="0" w:header="0"/>
        </w:sectPr>
      </w:pPr>
    </w:p>
    <w:bookmarkStart w:id="3" w:name="page4"/>
    <w:bookmarkEnd w:id="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13, 2025</w:t>
      </w:r>
      <w:r>
        <w:rPr>
          <w:sz w:val="20"/>
          <w:szCs w:val="20"/>
          <w:color w:val="auto"/>
        </w:rPr>
        <w:tab/>
      </w:r>
      <w:r>
        <w:rPr>
          <w:rFonts w:ascii="Times New Roman" w:cs="Times New Roman" w:eastAsia="Times New Roman" w:hAnsi="Times New Roman"/>
          <w:sz w:val="17"/>
          <w:szCs w:val="17"/>
          <w:color w:val="auto"/>
        </w:rPr>
        <w:t>Tarsus Pharmaceuticals,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Jeffrey S. Farrow</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ectPr>
          <w:pgSz w:w="11900" w:h="16838" w:orient="portrait"/>
          <w:cols w:equalWidth="0" w:num="1">
            <w:col w:w="10620"/>
          </w:cols>
          <w:pgMar w:left="440" w:top="293" w:right="8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TARSUS PHARMACEUTICALS,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2,808,988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2,808,988 Shares of Common Stock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3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c/o</w:t>
        <w:tab/>
        <w:t>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Tarsus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confirms its agreement with Goldman Sachs &amp; Co. LLC (“</w:t>
      </w:r>
      <w:r>
        <w:rPr>
          <w:rFonts w:ascii="Times New Roman" w:cs="Times New Roman" w:eastAsia="Times New Roman" w:hAnsi="Times New Roman"/>
          <w:sz w:val="18"/>
          <w:szCs w:val="18"/>
          <w:b w:val="1"/>
          <w:bCs w:val="1"/>
          <w:color w:val="auto"/>
        </w:rPr>
        <w:t>Goldman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 (“</w:t>
      </w:r>
      <w:r>
        <w:rPr>
          <w:rFonts w:ascii="Times New Roman" w:cs="Times New Roman" w:eastAsia="Times New Roman" w:hAnsi="Times New Roman"/>
          <w:sz w:val="18"/>
          <w:szCs w:val="18"/>
          <w:b w:val="1"/>
          <w:bCs w:val="1"/>
          <w:color w:val="auto"/>
        </w:rPr>
        <w:t>BofA</w:t>
      </w:r>
      <w:r>
        <w:rPr>
          <w:rFonts w:ascii="Times New Roman" w:cs="Times New Roman" w:eastAsia="Times New Roman" w:hAnsi="Times New Roman"/>
          <w:sz w:val="18"/>
          <w:szCs w:val="18"/>
          <w:color w:val="auto"/>
        </w:rPr>
        <w:t>”), Barclays Capital Inc. (“</w:t>
      </w:r>
      <w:r>
        <w:rPr>
          <w:rFonts w:ascii="Times New Roman" w:cs="Times New Roman" w:eastAsia="Times New Roman" w:hAnsi="Times New Roman"/>
          <w:sz w:val="18"/>
          <w:szCs w:val="18"/>
          <w:b w:val="1"/>
          <w:bCs w:val="1"/>
          <w:color w:val="auto"/>
        </w:rPr>
        <w:t>Barclays</w:t>
      </w:r>
      <w:r>
        <w:rPr>
          <w:rFonts w:ascii="Times New Roman" w:cs="Times New Roman" w:eastAsia="Times New Roman" w:hAnsi="Times New Roman"/>
          <w:sz w:val="18"/>
          <w:szCs w:val="18"/>
          <w:color w:val="auto"/>
        </w:rPr>
        <w:t>”) and each of the other underwriters named in Schedule A hereto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10 hereof), for whom Goldman, BofA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are acting as representatives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with respect to (i) the sale by the Company and the purchase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acting severally and not jointly, of the respective numbers of shares of common stock, par value $0.0001 per share,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set forth in Schedule A hereto and (ii) the grant by the Company to the Underwriters, acting severally and not jointly, of the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Section 2(b) hereof to purchase all or any part of 421,348 additional shares of Common Stock. The aforesaid 2,808,988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color w:val="auto"/>
        </w:rPr>
        <w:t>Initial Securities</w:t>
      </w:r>
      <w:r>
        <w:rPr>
          <w:rFonts w:ascii="Times New Roman" w:cs="Times New Roman" w:eastAsia="Times New Roman" w:hAnsi="Times New Roman"/>
          <w:sz w:val="18"/>
          <w:szCs w:val="18"/>
          <w:color w:val="auto"/>
        </w:rPr>
        <w:t>”) to be purchased by the Underwriters and all or any part of the 421,348 shares of Common Stock subject to the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Section 2(b) hereof (the “</w:t>
      </w:r>
      <w:r>
        <w:rPr>
          <w:rFonts w:ascii="Times New Roman" w:cs="Times New Roman" w:eastAsia="Times New Roman" w:hAnsi="Times New Roman"/>
          <w:sz w:val="18"/>
          <w:szCs w:val="18"/>
          <w:b w:val="1"/>
          <w:bCs w:val="1"/>
          <w:color w:val="auto"/>
        </w:rPr>
        <w:t>Option Securities</w:t>
      </w:r>
      <w:r>
        <w:rPr>
          <w:rFonts w:ascii="Times New Roman" w:cs="Times New Roman" w:eastAsia="Times New Roman" w:hAnsi="Times New Roman"/>
          <w:sz w:val="18"/>
          <w:szCs w:val="18"/>
          <w:color w:val="auto"/>
        </w:rPr>
        <w:t>”) are herein called,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Representatives deem advisable after this underwriting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been executed and delivered.</w:t>
      </w:r>
    </w:p>
    <w:p>
      <w:pPr>
        <w:sectPr>
          <w:pgSz w:w="11900" w:h="16838" w:orient="portrait"/>
          <w:cols w:equalWidth="0" w:num="1">
            <w:col w:w="11020"/>
          </w:cols>
          <w:pgMar w:left="440" w:top="270" w:right="439" w:bottom="1440" w:gutter="0" w:footer="0" w:header="0"/>
        </w:sectPr>
      </w:pPr>
    </w:p>
    <w:bookmarkStart w:id="6" w:name="page7"/>
    <w:bookmarkEnd w:id="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 automatic shelf registration statement on Form S-3 (File No. 333-277523), covering the public offering and sale of certain securities, including the Securities, under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1933 Act Regulations</w:t>
      </w:r>
      <w:r>
        <w:rPr>
          <w:rFonts w:ascii="Times New Roman" w:cs="Times New Roman" w:eastAsia="Times New Roman" w:hAnsi="Times New Roman"/>
          <w:sz w:val="18"/>
          <w:szCs w:val="18"/>
          <w:color w:val="auto"/>
        </w:rPr>
        <w:t>”), which automatic shelf registration statement became effective under Rule 462(e) under the 1933 Act Regulations (“</w:t>
      </w:r>
      <w:r>
        <w:rPr>
          <w:rFonts w:ascii="Times New Roman" w:cs="Times New Roman" w:eastAsia="Times New Roman" w:hAnsi="Times New Roman"/>
          <w:sz w:val="18"/>
          <w:szCs w:val="18"/>
          <w:b w:val="1"/>
          <w:bCs w:val="1"/>
          <w:color w:val="auto"/>
        </w:rPr>
        <w:t>Rule 462(e)</w:t>
      </w:r>
      <w:r>
        <w:rPr>
          <w:rFonts w:ascii="Times New Roman" w:cs="Times New Roman" w:eastAsia="Times New Roman" w:hAnsi="Times New Roman"/>
          <w:sz w:val="18"/>
          <w:szCs w:val="18"/>
          <w:color w:val="auto"/>
        </w:rPr>
        <w:t>”).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and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provided, however, that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Each preliminary prospectus used in connection with the offering of the Securities, including the documents incorporated or deemed to be incorporated by reference therein pursuant to Item 12 of Form S-3 under the 1933 Act, are collectively referred to herein as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Promptly after execution and delivery of this Agreement, the Company will prepare and file a final prospectus relating to the Securities in accordance with the provisions of Rule 424(b) under the 1933 Act Regulations (“</w:t>
      </w:r>
      <w:r>
        <w:rPr>
          <w:rFonts w:ascii="Times New Roman" w:cs="Times New Roman" w:eastAsia="Times New Roman" w:hAnsi="Times New Roman"/>
          <w:sz w:val="18"/>
          <w:szCs w:val="18"/>
          <w:b w:val="1"/>
          <w:bCs w:val="1"/>
          <w:color w:val="auto"/>
        </w:rPr>
        <w:t>Rule 424(b)</w:t>
      </w:r>
      <w:r>
        <w:rPr>
          <w:rFonts w:ascii="Times New Roman" w:cs="Times New Roman" w:eastAsia="Times New Roman" w:hAnsi="Times New Roman"/>
          <w:sz w:val="18"/>
          <w:szCs w:val="18"/>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3" w:lineRule="exact"/>
        <w:rPr>
          <w:sz w:val="20"/>
          <w:szCs w:val="20"/>
          <w:color w:val="auto"/>
        </w:rPr>
      </w:pPr>
    </w:p>
    <w:p>
      <w:pPr>
        <w:ind w:left="440" w:right="5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7:00 P.M., New York City time, on March 12, 2025 or such other time as agreed by the Company and the Representatives.</w:t>
      </w:r>
    </w:p>
    <w:p>
      <w:pPr>
        <w:spacing w:after="0" w:line="47" w:lineRule="exact"/>
        <w:rPr>
          <w:sz w:val="20"/>
          <w:szCs w:val="20"/>
          <w:color w:val="auto"/>
        </w:rPr>
      </w:pPr>
    </w:p>
    <w:p>
      <w:pPr>
        <w:ind w:left="440" w:right="2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w:t>
      </w:r>
    </w:p>
    <w:p>
      <w:pPr>
        <w:spacing w:after="0" w:line="63" w:lineRule="exact"/>
        <w:rPr>
          <w:sz w:val="20"/>
          <w:szCs w:val="20"/>
          <w:color w:val="auto"/>
        </w:rPr>
      </w:pPr>
    </w:p>
    <w:p>
      <w:pPr>
        <w:ind w:left="440" w:right="10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1933 Act Regulations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433</w:t>
      </w:r>
      <w:r>
        <w:rPr>
          <w:rFonts w:ascii="Times New Roman" w:cs="Times New Roman" w:eastAsia="Times New Roman" w:hAnsi="Times New Roman"/>
          <w:sz w:val="18"/>
          <w:szCs w:val="18"/>
          <w:color w:val="auto"/>
        </w:rPr>
        <w:t>”), including without limitation any “free writing prospectus” (as defined in Rule 405 of the 1933 Act Regulations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75" w:lineRule="exact"/>
        <w:rPr>
          <w:sz w:val="20"/>
          <w:szCs w:val="20"/>
          <w:color w:val="auto"/>
        </w:rPr>
      </w:pPr>
    </w:p>
    <w:p>
      <w:pPr>
        <w:ind w:left="440" w:right="50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as evidenced by its being specified in Schedule B-2 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ind w:left="440" w:right="200" w:firstLine="423"/>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47" w:lineRule="exact"/>
        <w:rPr>
          <w:sz w:val="20"/>
          <w:szCs w:val="20"/>
          <w:color w:val="auto"/>
        </w:rPr>
      </w:pPr>
    </w:p>
    <w:p>
      <w:pPr>
        <w:ind w:left="440" w:right="5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or Rule 163B under, the 1933 Act.</w:t>
      </w:r>
    </w:p>
    <w:p>
      <w:pPr>
        <w:spacing w:after="0" w:line="47" w:lineRule="exact"/>
        <w:rPr>
          <w:sz w:val="20"/>
          <w:szCs w:val="20"/>
          <w:color w:val="auto"/>
        </w:rPr>
      </w:pPr>
    </w:p>
    <w:p>
      <w:pPr>
        <w:ind w:left="440" w:right="6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1933 Act.</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include all such financial statements and schedules and other information which is incorporated by reference in or otherwise deemed by 1933 Act Regulations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include the filing of any document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1934 Regulations</w:t>
      </w:r>
      <w:r>
        <w:rPr>
          <w:rFonts w:ascii="Times New Roman" w:cs="Times New Roman" w:eastAsia="Times New Roman" w:hAnsi="Times New Roman"/>
          <w:sz w:val="18"/>
          <w:szCs w:val="18"/>
          <w:color w:val="auto"/>
        </w:rPr>
        <w:t>”), which is incorporated by reference in or otherwise deemed by 1933 Act Regulations to be a part of or included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40" w:firstLine="436"/>
        <w:spacing w:after="0" w:line="315" w:lineRule="auto"/>
        <w:tabs>
          <w:tab w:leader="none" w:pos="68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 by the Company</w:t>
      </w:r>
      <w:r>
        <w:rPr>
          <w:rFonts w:ascii="Times New Roman" w:cs="Times New Roman" w:eastAsia="Times New Roman" w:hAnsi="Times New Roman"/>
          <w:sz w:val="17"/>
          <w:szCs w:val="17"/>
          <w:color w:val="auto"/>
        </w:rPr>
        <w:t>. The Company represents and warrants to each Underwriter as of the date hereof,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Time, the Closing Time (as defined below) and any Date of Delivery (as defined below), and agrees with each Underwriter, as follows:</w:t>
      </w:r>
    </w:p>
    <w:p>
      <w:pPr>
        <w:spacing w:after="0" w:line="28" w:lineRule="exact"/>
        <w:rPr>
          <w:rFonts w:ascii="Times New Roman" w:cs="Times New Roman" w:eastAsia="Times New Roman" w:hAnsi="Times New Roman"/>
          <w:sz w:val="17"/>
          <w:szCs w:val="17"/>
          <w:color w:val="auto"/>
        </w:rPr>
      </w:pPr>
    </w:p>
    <w:p>
      <w:pPr>
        <w:ind w:left="440" w:firstLine="419"/>
        <w:spacing w:after="0" w:line="255" w:lineRule="auto"/>
        <w:tabs>
          <w:tab w:leader="none" w:pos="107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w:t>
      </w:r>
    </w:p>
    <w:p>
      <w:pPr>
        <w:spacing w:after="0" w:line="81"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and at each deemed effective date with respect to the Underwriters pursuant to Rule 430B(f)(2) under the 1933 Act Regulations, the Applicable Time, the Closing Time and any Date of Delivery complied and will comply in all material respects with the applicable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 w:name="page9"/>
    <w:bookmarkEnd w:id="8"/>
    <w:p>
      <w:pPr>
        <w:ind w:right="2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 and the 1934 Act Regulations.</w:t>
      </w:r>
    </w:p>
    <w:p>
      <w:pPr>
        <w:spacing w:after="0" w:line="68" w:lineRule="exact"/>
        <w:rPr>
          <w:sz w:val="20"/>
          <w:szCs w:val="20"/>
          <w:color w:val="auto"/>
        </w:rPr>
      </w:pPr>
    </w:p>
    <w:p>
      <w:pPr>
        <w:ind w:firstLine="419"/>
        <w:spacing w:after="0" w:line="252" w:lineRule="auto"/>
        <w:tabs>
          <w:tab w:leader="none" w:pos="6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the Closing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88" w:lineRule="exact"/>
        <w:rPr>
          <w:sz w:val="20"/>
          <w:szCs w:val="20"/>
          <w:color w:val="auto"/>
        </w:rPr>
      </w:pPr>
    </w:p>
    <w:p>
      <w:pPr>
        <w:ind w:right="180" w:firstLine="423"/>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discount figure appearing in the fifth paragraph under the caption “Underwriting” and the information contained in the eleventh, twelfth and thirteenth paragraphs under the caption “Underwriting.”</w:t>
      </w:r>
    </w:p>
    <w:p>
      <w:pPr>
        <w:spacing w:after="0" w:line="75" w:lineRule="exact"/>
        <w:rPr>
          <w:sz w:val="20"/>
          <w:szCs w:val="20"/>
          <w:color w:val="auto"/>
        </w:rPr>
      </w:pPr>
    </w:p>
    <w:p>
      <w:pPr>
        <w:ind w:right="220" w:firstLine="419"/>
        <w:spacing w:after="0" w:line="281" w:lineRule="auto"/>
        <w:tabs>
          <w:tab w:leader="none" w:pos="73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Issuer Free Writing Prospectuses</w:t>
      </w:r>
      <w:r>
        <w:rPr>
          <w:rFonts w:ascii="Times New Roman" w:cs="Times New Roman" w:eastAsia="Times New Roman" w:hAnsi="Times New Roman"/>
          <w:sz w:val="17"/>
          <w:szCs w:val="17"/>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The representations and warranties in this subsection shall not apply to statements in or omissions from any Issuer Free Writing Prospectus made in reliance upon and in conformity with the Underwriter Information.</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9" w:name="page10"/>
    <w:bookmarkEnd w:id="9"/>
    <w:p>
      <w:pPr>
        <w:ind w:right="120" w:firstLine="419"/>
        <w:spacing w:after="0" w:line="256" w:lineRule="auto"/>
        <w:tabs>
          <w:tab w:leader="none" w:pos="7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Well-Known Seasoned Issuer.</w:t>
      </w:r>
      <w:r>
        <w:rPr>
          <w:rFonts w:ascii="Times New Roman" w:cs="Times New Roman" w:eastAsia="Times New Roman" w:hAnsi="Times New Roman"/>
          <w:sz w:val="18"/>
          <w:szCs w:val="18"/>
          <w:color w:val="auto"/>
        </w:rPr>
        <w:t xml:space="preserve">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w:t>
      </w:r>
    </w:p>
    <w:p>
      <w:pPr>
        <w:spacing w:after="0" w:line="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Testing-the-Waters Materials</w:t>
      </w:r>
      <w:r>
        <w:rPr>
          <w:rFonts w:ascii="Times New Roman" w:cs="Times New Roman" w:eastAsia="Times New Roman" w:hAnsi="Times New Roman"/>
          <w:sz w:val="18"/>
          <w:szCs w:val="18"/>
          <w:color w:val="auto"/>
        </w:rPr>
        <w:t>. The Company (A) has not engaged in any Testing-the-Waters Communication other than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or, in the case of Testing-the-Waters Communications made in reliance on Rule 163B, with entities that the Company reasonably believes are qualified institutional buyers or institutions that are accredited investors within the meaning of Rule 163B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w:t>
      </w:r>
    </w:p>
    <w:p>
      <w:pPr>
        <w:spacing w:after="0" w:line="80" w:lineRule="exact"/>
        <w:rPr>
          <w:sz w:val="20"/>
          <w:szCs w:val="20"/>
          <w:color w:val="auto"/>
        </w:rPr>
      </w:pPr>
    </w:p>
    <w:p>
      <w:pPr>
        <w:ind w:right="20" w:firstLine="419"/>
        <w:spacing w:after="0" w:line="281" w:lineRule="auto"/>
        <w:tabs>
          <w:tab w:leader="none" w:pos="7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Not Ineligible Issuer</w:t>
      </w:r>
      <w:r>
        <w:rPr>
          <w:rFonts w:ascii="Times New Roman" w:cs="Times New Roman" w:eastAsia="Times New Roman" w:hAnsi="Times New Roman"/>
          <w:sz w:val="17"/>
          <w:szCs w:val="17"/>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56" w:lineRule="exact"/>
        <w:rPr>
          <w:rFonts w:ascii="Times New Roman" w:cs="Times New Roman" w:eastAsia="Times New Roman" w:hAnsi="Times New Roman"/>
          <w:sz w:val="17"/>
          <w:szCs w:val="17"/>
          <w:color w:val="auto"/>
        </w:rPr>
      </w:pPr>
    </w:p>
    <w:p>
      <w:pPr>
        <w:ind w:left="780" w:hanging="36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40" w:firstLine="419"/>
        <w:spacing w:after="0" w:line="26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if any, included in the Registration Statement, the General Disclosure Package and the Prospectus are an independent registered public accounting firm as required by the 1933 Act, the 1933 Act Regulations, the 1934 Act, the 1934 Act Regulations and the Public Company Accounting Oversight Board.</w:t>
      </w:r>
    </w:p>
    <w:p>
      <w:pPr>
        <w:spacing w:after="0" w:line="67" w:lineRule="exact"/>
        <w:rPr>
          <w:rFonts w:ascii="Times New Roman" w:cs="Times New Roman" w:eastAsia="Times New Roman" w:hAnsi="Times New Roman"/>
          <w:sz w:val="18"/>
          <w:szCs w:val="18"/>
          <w:color w:val="auto"/>
        </w:rPr>
      </w:pPr>
    </w:p>
    <w:p>
      <w:pPr>
        <w:ind w:right="40" w:firstLine="419"/>
        <w:spacing w:after="0" w:line="253" w:lineRule="auto"/>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The supporting schedules, if any, present fairly, in all material respects, in accordance with GAAP the information required to be stated therein. Except as incorporated by reference therein, no historical or pro forma financial statements or supporting schedules are required to be incorporated by reference in the Registration Statement, the General Disclosure Package or the Prospectus under the 1933 Act or the 1933 Act Regulations, the 1934 Act or the 1934 Act Regulations.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10" w:name="page11"/>
    <w:bookmarkEnd w:id="10"/>
    <w:p>
      <w:pPr>
        <w:ind w:right="80" w:firstLine="419"/>
        <w:spacing w:after="0" w:line="255"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reasonably be expected to result in a Material Adverse Effect.</w:t>
      </w:r>
    </w:p>
    <w:p>
      <w:pPr>
        <w:spacing w:after="0" w:line="79"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The Company has no subsidiaries.</w:t>
      </w:r>
    </w:p>
    <w:p>
      <w:pPr>
        <w:spacing w:after="0" w:line="117" w:lineRule="exact"/>
        <w:rPr>
          <w:rFonts w:ascii="Times New Roman" w:cs="Times New Roman" w:eastAsia="Times New Roman" w:hAnsi="Times New Roman"/>
          <w:sz w:val="18"/>
          <w:szCs w:val="18"/>
          <w:color w:val="auto"/>
        </w:rPr>
      </w:pPr>
    </w:p>
    <w:p>
      <w:pPr>
        <w:ind w:right="140" w:firstLine="419"/>
        <w:spacing w:after="0" w:line="255"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shares of capital stock of the Company are as set forth in the Registration Statement, the General Disclosure Package and the Prospectus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that have not been complied with or validly waived.</w:t>
      </w:r>
    </w:p>
    <w:p>
      <w:pPr>
        <w:spacing w:after="0" w:line="80"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100" w:firstLine="419"/>
        <w:spacing w:after="0" w:line="255" w:lineRule="auto"/>
        <w:tabs>
          <w:tab w:leader="none" w:pos="7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solely by reason of being such a holder.</w:t>
      </w:r>
    </w:p>
    <w:p>
      <w:pPr>
        <w:spacing w:after="0" w:line="80" w:lineRule="exact"/>
        <w:rPr>
          <w:rFonts w:ascii="Times New Roman" w:cs="Times New Roman" w:eastAsia="Times New Roman" w:hAnsi="Times New Roman"/>
          <w:sz w:val="18"/>
          <w:szCs w:val="18"/>
          <w:color w:val="auto"/>
        </w:rPr>
      </w:pPr>
    </w:p>
    <w:p>
      <w:pPr>
        <w:ind w:right="320" w:firstLine="419"/>
        <w:spacing w:after="0" w:line="266" w:lineRule="auto"/>
        <w:tabs>
          <w:tab w:leader="none" w:pos="8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waived.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1" w:name="page12"/>
    <w:bookmarkEnd w:id="11"/>
    <w:p>
      <w:pPr>
        <w:ind w:firstLine="423"/>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(xvii) </w:t>
      </w: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cs="Times New Roman" w:eastAsia="Times New Roman" w:hAnsi="Times New Roman"/>
          <w:sz w:val="18"/>
          <w:szCs w:val="18"/>
          <w:b w:val="1"/>
          <w:bCs w:val="1"/>
          <w:color w:val="auto"/>
        </w:rPr>
        <w:t>Agreements and Instruments</w:t>
      </w:r>
      <w:r>
        <w:rPr>
          <w:rFonts w:ascii="Times New Roman" w:cs="Times New Roman" w:eastAsia="Times New Roman" w:hAnsi="Times New Roman"/>
          <w:sz w:val="18"/>
          <w:szCs w:val="18"/>
          <w:color w:val="auto"/>
        </w:rPr>
        <w:t>”),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except for such violations that would not, singly or in the aggregate, reasonably be expected to result in a Material Adverse Effect.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as would not, singly or in the aggregate, reasonably be expected to have a Material Adverse Effect. As used herein, a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98" w:lineRule="exact"/>
        <w:rPr>
          <w:sz w:val="20"/>
          <w:szCs w:val="20"/>
          <w:color w:val="auto"/>
        </w:rPr>
      </w:pPr>
    </w:p>
    <w:p>
      <w:pPr>
        <w:ind w:right="60" w:firstLine="419"/>
        <w:spacing w:after="0" w:line="261" w:lineRule="auto"/>
        <w:tabs>
          <w:tab w:leader="none" w:pos="9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singly or in the aggregate, would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8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the General Disclosure Package and the Prospectus, there is no action, suit, proceeding, inquiry or investigation before or brought by any Governmental Entity (including, without limitation,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now pending or, to the knowledge of the Company, threatened, against or affecting the Company or any of its subsidiaries, which, singly or in the aggregate,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actions, suits, inquiries, investigations or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singly or in the aggregate, reasonably be expected to result in a Material Adverse Effect.</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80" w:top="270" w:right="439" w:bottom="1440" w:gutter="0" w:footer="0" w:header="0"/>
        </w:sectPr>
      </w:pPr>
    </w:p>
    <w:bookmarkStart w:id="12" w:name="page13"/>
    <w:bookmarkEnd w:id="12"/>
    <w:p>
      <w:pPr>
        <w:ind w:left="4" w:firstLine="419"/>
        <w:spacing w:after="0" w:line="266" w:lineRule="auto"/>
        <w:tabs>
          <w:tab w:leader="none" w:pos="7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67"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8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Global Select Market, state securities laws or the rules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firstLine="419"/>
        <w:spacing w:after="0" w:line="252" w:lineRule="auto"/>
        <w:tabs>
          <w:tab w:leader="none" w:pos="8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such permits, licenses, approvals, clearances, certificates, consents and other authorizations issued by the appropriate Governmental Entities necessary to conduct the business as described in the Registration Statement, the General Disclosure Package and the Prospectus (collectively, “</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except where the failure so to possess would not, singly or in the 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such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such Governmental Licenses which, singly or in the aggregate, if the subject of an unfavorable decision, ruling or finding, would reasonably be expected to result in a Material Adverse Effect. The Company and its subsidiaries (i) are, and at all times have been, in compliance with all statutes, rules and regulations applicable to the ownership, testing, development, manufacture, packaging, processing, use, distribution, storage, import, export or disposal of any product manufactured or distributed by them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where such noncompliance would not, singly or in the aggregate, reasonably be expected to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Governmental Licenses required by any such Applicable Laws, except where being in contravention of any of the foregoing representations or warranties, singly or in the aggregate, would not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left="4" w:right="100" w:firstLine="419"/>
        <w:spacing w:after="0" w:line="257" w:lineRule="auto"/>
        <w:tabs>
          <w:tab w:leader="none" w:pos="9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2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singly or in the aggregate, materially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3" w:name="page14"/>
    <w:bookmarkEnd w:id="13"/>
    <w:p>
      <w:pPr>
        <w:ind w:firstLine="419"/>
        <w:spacing w:after="0" w:line="251" w:lineRule="auto"/>
        <w:tabs>
          <w:tab w:leader="none" w:pos="9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Possession of Intellectual Property</w:t>
      </w:r>
      <w:r>
        <w:rPr>
          <w:rFonts w:ascii="Times New Roman" w:cs="Times New Roman" w:eastAsia="Times New Roman" w:hAnsi="Times New Roman"/>
          <w:sz w:val="18"/>
          <w:szCs w:val="18"/>
          <w:color w:val="auto"/>
        </w:rPr>
        <w:t>. Except as would not reasonably be expected to have a Material Adverse Effect, the Company and its subsidiaries own or possess, have a valid license to, or can acquire on reasonable terms, all patents, patent applications, statutory invention rights, community designs, invention disclosures, rights in utility models and industrial designs, inventions, registered and unregistered copyrights (including copyrights in software), trademarks, service marks, business names, trade names, logos, slogans, trade dress, design rights, Internet domain names, social media accounts, any other designations of source or origin, intellectual property rights in technology, software, data and know how (including trade secrets and other unpatented and/or unpatentable proprietary or confidential information, systems or procedures), and any applications (including provisional applications), registrations, or renewals for any of the foregoing, together with the goodwill associated with any of the foregoing, rights to publicity and privacy and/or other intellectual property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to carry on the business now operated by them and as proposed to be operated as described in the Registration Statement, the General Disclosure Package and the Prospectus. Except as would not reasonably be expected to have a Material Adverse Effect, (i) neither the Company nor any of its subsidiaries has received any notice of nor has engaged in any infringement, misappropriation or other violation of or conflict regarding any Intellectual Property of any third party, (ii) there is no pending or threatened action, suit, proceeding or claim regarding the subject matter of the foregoing clause (i), and (iii) the Company and its subsidiaries are unaware of any facts or circumstances which would form a reasonable basis for any such claim. (a) Except as would not reasonably be expected to have a Material Adverse Effect, all Intellectual Property owned by or exclusively licensed to the Company or any of its subsidiaries (such Intellectual Property, the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is subsisting, and to the Company’s knowledge, valid and enforceable, (b) there is no pending or threatened action, suit, proceeding or claim by any third party challenging the Company’s or any of its subsidiaries’ rights in, or the validity, ownership, registrability, enforceability or scope of, any such Company Intellectual Property (with the exception of ordinary course office actions in connection with applications for the registration or issuance of such Intellectual Property) and (c) the Company and its subsidiaries are unaware of any facts or circumstances which would form a reasonable basis for any such claim. No third party is infringing, misappropriating or otherwise violating any of the Company Intellectual Property and there is no pending or threatened action, suit, proceeding or claim by the Company or any of its subsidiaries against a third party regarding the foregoing. (1) The Company and its subsidiaries have complied in all material respects with the terms of each agreement pursuant to which Intellectual Property has been licensed to the Company or its subsidiaries, (2) neither the Company nor any of its subsidiaries has received any written notice alleging any such noncompliance and are unaware of any facts or circumstances which would form a reasonable basis for any such claim, and (3) all such agreements are in full force and effect. Except as would not reasonably be expected to have a Material Adverse Effect, no Intellectual Property has been obtained or is being used by the Company or its subsidiaries in violation of any material contractual obligations binding on the Company or such subsidiaries or in violation of any contractual rights of any person. All filing actions and registration, maintenance, annuity and renewal fees needed to be taken, met or paid in order to prosecute or maintain the Company Intellectual Property have been timely taken, met or paid, and there are no material defects with respect to any such filings, payments or actions. Each person who is or was an employee or contractor of the Company or any of its subsidiaries and who is, was or is expected to be involved in the creation or development of any Intellectual Property for or on behalf of the Company or such subsidiaries has executed a valid written agreement effectively assigning to the Company or any of its subsidiaries all of such person’s rights in and to such Intellectual Property and no employee of the Company or any of its subsidiaries is in or has ever been in violation of any term of any agreement with or covenant to a former employer where the basis of such violation relates to such employee’s employment with the Company or any of its subsidiaries or actions undertaken by the employee while employed with the Company or any of its subsidiaries. The Company and its subsidiaries have taken all reasonable steps necessary to maintain and protect the confidentiality of the material trade secrets and other material confidential Company Intellectual Property and non-exclusively-licensed Intellectual Property used in connection with the business of the Company and its subsidiaries and, to the Company’s knowledge, the confidentiality of such material trade secrets and material confidential Intellectual Property has not been compromised or disclosed to or accessed by any third party except pursuant to appropriate nondisclosure and confidentiality agreements. No university, military, educational institution, research center, Governmental Authority or other organization has funded, contributed to or sponsored research and development conducted in connection with the business of the Company or any of its subsidiaries that (i) has any claim of right to, ownership of or other lien on any Company Intellectual Property or (ii) would affect the proprietary nature of any Company Intellectual Property or restrict the ability of the Company or any of its subsidiaries to enforce, license or exclude others from using any Company Intellectual Property.</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4" w:name="page15"/>
    <w:bookmarkEnd w:id="14"/>
    <w:p>
      <w:pPr>
        <w:ind w:left="864" w:hanging="441"/>
        <w:spacing w:after="0"/>
        <w:tabs>
          <w:tab w:leader="none" w:pos="8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Times New Roman" w:cs="Times New Roman" w:eastAsia="Times New Roman" w:hAnsi="Times New Roman"/>
          <w:sz w:val="18"/>
          <w:szCs w:val="18"/>
          <w:color w:val="auto"/>
        </w:rPr>
        <w:t>. Except as would not, singly or in the aggregate, reasonably be expected to result in a Material Adverse Effect,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and safety (including occupational health and safety), sustainability, the environment (including, without limitation, ambient air, surface water, groundwater, land surface or subsurface strata), natural resources or wildlife, including, without limitation, laws and regulations relating to the release or threatened release of, or exposure to, chemicals, pollutants, contaminants, wastes, toxic substances, hazardous substances, radioactive substances, petroleum, petroleum products, asbestos-containing materials, polychlorinated biphenyls, per- and polyfluoroalkyl substances, greenhouse gases or mold (collectively, “</w:t>
      </w:r>
      <w:r>
        <w:rPr>
          <w:rFonts w:ascii="Times New Roman" w:cs="Times New Roman" w:eastAsia="Times New Roman" w:hAnsi="Times New Roman"/>
          <w:sz w:val="18"/>
          <w:szCs w:val="18"/>
          <w:b w:val="1"/>
          <w:bCs w:val="1"/>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or to the manufacture, processing, distribution, use, treatment, storage, disposal, transport, discharge, emission or handling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(B) the Company and its subsidiaries have all permits, authorizations, registrations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or Hazardous Materials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12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4"/>
          </w:cols>
          <w:pgMar w:left="876" w:top="270" w:right="479" w:bottom="1440" w:gutter="0" w:footer="0" w:header="0"/>
        </w:sectPr>
      </w:pPr>
    </w:p>
    <w:bookmarkStart w:id="15" w:name="page16"/>
    <w:bookmarkEnd w:id="15"/>
    <w:p>
      <w:pPr>
        <w:jc w:val="both"/>
        <w:ind w:left="4" w:right="140" w:firstLine="419"/>
        <w:spacing w:after="0" w:line="272" w:lineRule="auto"/>
        <w:tabs>
          <w:tab w:leader="none" w:pos="91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Controls and Disclosure Controls</w:t>
      </w:r>
      <w:r>
        <w:rPr>
          <w:rFonts w:ascii="Times New Roman" w:cs="Times New Roman" w:eastAsia="Times New Roman" w:hAnsi="Times New Roman"/>
          <w:sz w:val="17"/>
          <w:szCs w:val="17"/>
          <w:color w:val="auto"/>
        </w:rPr>
        <w:t>. The Company and each of its subsidiaries maintain effective internal control over financial reporting (as defined under Rules 13-a15 and 15d-15 under the 1934 Act Regulations) and a system of internal accounting controls sufficient to provide reasonable assurances that (A) transactions are executed in accordance with management’s general or specific authorization;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disclosed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maintains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83"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9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71" w:lineRule="exact"/>
        <w:rPr>
          <w:rFonts w:ascii="Times New Roman" w:cs="Times New Roman" w:eastAsia="Times New Roman" w:hAnsi="Times New Roman"/>
          <w:sz w:val="18"/>
          <w:szCs w:val="18"/>
          <w:color w:val="auto"/>
        </w:rPr>
      </w:pPr>
    </w:p>
    <w:p>
      <w:pPr>
        <w:ind w:left="4" w:right="40" w:firstLine="419"/>
        <w:spacing w:after="0" w:line="252" w:lineRule="auto"/>
        <w:tabs>
          <w:tab w:leader="none" w:pos="10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United States federal, state, local and non-U.S. tax returns of the Company and its subsidiaries required by law to be filed have been filed as of the date hereof (after giving effect to any extensions provided by law that have been requested) and all taxes due or otherwise assessed (whether or not reported on such returns), have been paid, except assessments which are being contested in good faith by the Company and as to which adequate reserves have been provided in accordance with GAAP by the Company except insofar as the failure to pay such taxes would not reasonably be expected, singly or in the aggregate, to result in a Material Adverse Effect. The United States federal, state, local and non-U.S. income tax returns of the Company and its subsidiaries through the fiscal year ended December 31, 2022 have been settled and no assessment in connection therewith has been made against the Company or its subsidiaries, as applicable. The Company and its subsidiaries have filed all other tax returns that are required to have been filed by them pursuant to applicable foreign, federal,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and except insofar as the failure to pay such taxes would not, singly or in the aggregate,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reasonably be expected to result in a Material Adverse Effect.</w:t>
      </w:r>
    </w:p>
    <w:p>
      <w:pPr>
        <w:spacing w:after="0" w:line="12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876" w:top="270" w:right="439" w:bottom="1440" w:gutter="0" w:footer="0" w:header="0"/>
        </w:sectPr>
      </w:pPr>
    </w:p>
    <w:bookmarkStart w:id="16" w:name="page17"/>
    <w:bookmarkEnd w:id="16"/>
    <w:p>
      <w:pPr>
        <w:ind w:right="80" w:firstLine="419"/>
        <w:spacing w:after="0" w:line="255" w:lineRule="auto"/>
        <w:tabs>
          <w:tab w:leader="none" w:pos="9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at the same or similar stage of development,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singly or in the aggregate, result in a Material Adverse Effect. Neither the Company nor any of its subsidiaries has been denied any insurance coverage which it has sought or for which it has applied.</w:t>
      </w:r>
    </w:p>
    <w:p>
      <w:pPr>
        <w:spacing w:after="0" w:line="80"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8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9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to the knowledge of the Company,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9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None of the Company, any of its subsidiaries or, to the knowledge of the Company, any director or officer of the Company or its subsidiaries, as applicable,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other applicable anti-bribery or anti-corruption laws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Anti-Corruption Laws and the Company and, to the knowledge of the Company, its affiliates have conducted their businesses in compliance with Anti-Corruption Laws and have instituted and maintain policies and procedures designed to ensure, and which are reasonably expected to continue to ensure, continued compliance therewith.</w:t>
      </w:r>
    </w:p>
    <w:p>
      <w:pPr>
        <w:spacing w:after="0" w:line="86" w:lineRule="exact"/>
        <w:rPr>
          <w:rFonts w:ascii="Times New Roman" w:cs="Times New Roman" w:eastAsia="Times New Roman" w:hAnsi="Times New Roman"/>
          <w:sz w:val="18"/>
          <w:szCs w:val="18"/>
          <w:color w:val="auto"/>
        </w:rPr>
      </w:pPr>
    </w:p>
    <w:p>
      <w:pPr>
        <w:ind w:right="80" w:firstLine="419"/>
        <w:spacing w:after="0" w:line="256" w:lineRule="auto"/>
        <w:tabs>
          <w:tab w:leader="none" w:pos="10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the Money Laundering Laws is pending or, to the best knowledge of the Company, threatened.</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7" w:name="page18"/>
    <w:bookmarkEnd w:id="17"/>
    <w:p>
      <w:pPr>
        <w:ind w:firstLine="419"/>
        <w:spacing w:after="0" w:line="271" w:lineRule="auto"/>
        <w:tabs>
          <w:tab w:leader="none" w:pos="99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OFAC</w:t>
      </w:r>
      <w:r>
        <w:rPr>
          <w:rFonts w:ascii="Times New Roman" w:cs="Times New Roman" w:eastAsia="Times New Roman" w:hAnsi="Times New Roman"/>
          <w:sz w:val="17"/>
          <w:szCs w:val="17"/>
          <w:color w:val="auto"/>
        </w:rPr>
        <w:t>. None of the Company, any of its subsidiaries, or any director or officer of the Company or any of its subsidiaries or, to the knowledge of the Company, any agent, employee, affiliate or representative of the Company or any of its subsidiaries is a Person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the United Nations Security Council, the European Union, His Majesty’s Treasury, or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65" w:lineRule="exact"/>
        <w:rPr>
          <w:rFonts w:ascii="Times New Roman" w:cs="Times New Roman" w:eastAsia="Times New Roman" w:hAnsi="Times New Roman"/>
          <w:sz w:val="17"/>
          <w:szCs w:val="17"/>
          <w:color w:val="auto"/>
        </w:rPr>
      </w:pPr>
    </w:p>
    <w:p>
      <w:pPr>
        <w:ind w:right="60" w:firstLine="419"/>
        <w:spacing w:after="0" w:line="256" w:lineRule="auto"/>
        <w:tabs>
          <w:tab w:leader="none" w:pos="9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Outbound Investment Security Program</w:t>
      </w:r>
      <w:r>
        <w:rPr>
          <w:rFonts w:ascii="Times New Roman" w:cs="Times New Roman" w:eastAsia="Times New Roman" w:hAnsi="Times New Roman"/>
          <w:sz w:val="18"/>
          <w:szCs w:val="18"/>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8"/>
          <w:szCs w:val="18"/>
          <w:b w:val="1"/>
          <w:bCs w:val="1"/>
          <w:color w:val="auto"/>
        </w:rPr>
        <w:t>Covered Activity</w:t>
      </w:r>
      <w:r>
        <w:rPr>
          <w:rFonts w:ascii="Times New Roman" w:cs="Times New Roman" w:eastAsia="Times New Roman" w:hAnsi="Times New Roman"/>
          <w:sz w:val="18"/>
          <w:szCs w:val="18"/>
          <w:color w:val="auto"/>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77" w:lineRule="exact"/>
        <w:rPr>
          <w:rFonts w:ascii="Times New Roman" w:cs="Times New Roman" w:eastAsia="Times New Roman" w:hAnsi="Times New Roman"/>
          <w:sz w:val="18"/>
          <w:szCs w:val="18"/>
          <w:color w:val="auto"/>
        </w:rPr>
      </w:pPr>
    </w:p>
    <w:p>
      <w:pPr>
        <w:ind w:right="20" w:firstLine="419"/>
        <w:spacing w:after="0" w:line="267" w:lineRule="auto"/>
        <w:tabs>
          <w:tab w:leader="none" w:pos="9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67" w:lineRule="exact"/>
        <w:rPr>
          <w:rFonts w:ascii="Times New Roman" w:cs="Times New Roman" w:eastAsia="Times New Roman" w:hAnsi="Times New Roman"/>
          <w:sz w:val="18"/>
          <w:szCs w:val="18"/>
          <w:color w:val="auto"/>
        </w:rPr>
      </w:pPr>
    </w:p>
    <w:p>
      <w:pPr>
        <w:ind w:right="100" w:firstLine="419"/>
        <w:spacing w:after="0" w:line="261" w:lineRule="auto"/>
        <w:tabs>
          <w:tab w:leader="none" w:pos="10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18" w:name="page19"/>
    <w:bookmarkEnd w:id="18"/>
    <w:p>
      <w:pPr>
        <w:ind w:firstLine="419"/>
        <w:spacing w:after="0" w:line="251" w:lineRule="auto"/>
        <w:tabs>
          <w:tab w:leader="none" w:pos="10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Technology, Cybersecurity and Data Protection</w:t>
      </w:r>
      <w:r>
        <w:rPr>
          <w:rFonts w:ascii="Times New Roman" w:cs="Times New Roman" w:eastAsia="Times New Roman" w:hAnsi="Times New Roman"/>
          <w:sz w:val="18"/>
          <w:szCs w:val="18"/>
          <w:color w:val="auto"/>
        </w:rPr>
        <w:t>. (A) There has been no security breach or incident, unauthorized access or disclosure, or other compromise of or relating to the Company’s or its subsidiaries’ information technology and computer systems, networks, hardware, software, data and databases (including personally identifiable information or protected health information as required by any Health Care Laws and the data and information of their respective patients,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(B) neither the Company nor its subsidiaries have been notified of, nor have any knowledge of any event or condition that would reasonably be expected to result in, any security breach or incident, unauthorized access or disclosure of or other compromise to their IT Systems and Data and, to the Company’s knowledge, no Person has claimed or threatened to claim compensation from the Company or any of its subsidiaries for breaches of IT Systems and Data; and (C) the Company and its subsidiaries have implemented appropriate controls, policies, procedures, and technological safeguards designed to maintain and protect the integrity, continuous operation, redundancy, disaster recovery and security of their IT Systems and Data reasonably consistent with industry standards and practices, or as required by applicable Data Protection Laws, Health Care Laws and regulatory standards, except with respect to clauses (A) and (B), for any such security breach or incident, unauthorized access or disclosure or other compromise, as would not, singly or in the aggregate, reasonably be expected to have a Material Adverse Effect. The IT Systems and Data are adequate and operational for, in accordance with their documentation and functional specifications, the business of the Company and its subsidiaries as now operated and as currently proposed to be operated as described in the Registration Statement, the General Disclosure Package and the Prospectus.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 disclosure, handling, storage and analysis of personally identifiable information, protected health information, consumer information and other confidential information of the Company, its subsidiaries and any third parties in their possession (“</w:t>
      </w:r>
      <w:r>
        <w:rPr>
          <w:rFonts w:ascii="Times New Roman" w:cs="Times New Roman" w:eastAsia="Times New Roman" w:hAnsi="Times New Roman"/>
          <w:sz w:val="18"/>
          <w:szCs w:val="18"/>
          <w:b w:val="1"/>
          <w:bCs w:val="1"/>
          <w:color w:val="auto"/>
        </w:rPr>
        <w:t>Sensitive Company Data</w:t>
      </w:r>
      <w:r>
        <w:rPr>
          <w:rFonts w:ascii="Times New Roman" w:cs="Times New Roman" w:eastAsia="Times New Roman" w:hAnsi="Times New Roman"/>
          <w:sz w:val="18"/>
          <w:szCs w:val="18"/>
          <w:color w:val="auto"/>
        </w:rPr>
        <w:t>”), and to the protection of such IT Systems and Data and Sensitive Company Data from unauthorized use, access, misappropriation or modification. The Company and its subsidiaries have not received any written notice, claim, complaint, demand or letter from any Person or Governmental Authority in respect of their businesses under applicable Data Protection Laws (as defined below) and regulations and industry standards regarding misuse, loss, unauthorized destruction or unauthorized disclosure of any Sensitive Company Data. To the Company’s knowledge, there has been no unauthorized or illegal use of or access to any Sensitive Company Data by any third party. The Company and its subsidiaries have not been required to notify any individual or data protection authority of any information security breach, compromise or incident involving Sensitive Company Data and, to the Company’s knowledge, are not the subject of any inquiry or investigation by any Governmental Authority or data protection authority regarding any of the foregoing.</w:t>
      </w:r>
    </w:p>
    <w:p>
      <w:pPr>
        <w:spacing w:after="0" w:line="91"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means (a) all applicable laws related to data privacy, data protection or data security (including the Health Insurance Portability and Accountability Act of 1996, Regulation (EU) 2016/79 of the European Parliament and of the Council (General Data Protection Regulation) and any implementation acts related thereto and the California Consumer Privacy Act of 2018 as amended by the California Privacy Rights Act), and the requirements and guidance set forth in regulations, guidelines and agreements containing consent orders published by regulatory authorities such as the Federal Trade Commission, Federal Communications Commission, the FDA, the U.S. Department of Health and Human Services and applicable European Union data protection authorities, in each case of the foregoing, as amended, replaced or updated from time to time; (b) all privacy policies of the Company and its subsidiaries; and (c) all third party privacy policies that the Company or any of its subsidiaries has been or is contractually obligated to comply with.</w:t>
      </w:r>
    </w:p>
    <w:p>
      <w:pPr>
        <w:spacing w:after="0" w:line="81" w:lineRule="exact"/>
        <w:rPr>
          <w:sz w:val="20"/>
          <w:szCs w:val="20"/>
          <w:color w:val="auto"/>
        </w:rPr>
      </w:pPr>
    </w:p>
    <w:p>
      <w:pPr>
        <w:ind w:right="480" w:firstLine="419"/>
        <w:spacing w:after="0" w:line="282" w:lineRule="auto"/>
        <w:tabs>
          <w:tab w:leader="none" w:pos="9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Rated Securities.</w:t>
      </w:r>
      <w:r>
        <w:rPr>
          <w:rFonts w:ascii="Times New Roman" w:cs="Times New Roman" w:eastAsia="Times New Roman" w:hAnsi="Times New Roman"/>
          <w:sz w:val="18"/>
          <w:szCs w:val="18"/>
          <w:color w:val="auto"/>
        </w:rPr>
        <w:t xml:space="preserve"> Neither the Company nor its subsidiaries have any debt securities or preferred stock that are rated by any “nationally recognized statistical rating organization” (as defined in Section 3(a)(62) of the 1934 Act).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9" w:name="page20"/>
    <w:bookmarkEnd w:id="19"/>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would not, singly or in the aggregate, reasonably be expected to result in a Material Adverse Effect,</w:t>
      </w:r>
    </w:p>
    <w:p>
      <w:pPr>
        <w:spacing w:after="0" w:line="27" w:lineRule="exact"/>
        <w:rPr>
          <w:sz w:val="20"/>
          <w:szCs w:val="20"/>
          <w:color w:val="auto"/>
        </w:rPr>
      </w:pPr>
    </w:p>
    <w:p>
      <w:pPr>
        <w:ind w:left="4" w:right="20" w:hanging="4"/>
        <w:spacing w:after="0" w:line="266" w:lineRule="auto"/>
        <w:tabs>
          <w:tab w:leader="none" w:pos="29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any “Employee Benefit Plan” (as defined under the Employee Retirement Income Security Act of 1974, as amended, and the regulations and published interpretations promulgated thereunder (collectively, “</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for which the Company, its subsidiaries or its or their “ERISA Affiliates” (as defined below) would have any liability (each, a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are in compliance in all respects with ERISA and each Plan has been established and maintained in compliance with its terms and the requirements of any applicable statutes, orders, rules and regulations, including but not limited to, ERISA and the Internal Revenue Code of 1986, as amended, and the regulations and published interpretations thereunder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(B) no “reportable event” (as defined under ERISA) has occurred or is reasonably expected to occur with respect to any Plan, (C) no Plan, if such Plan were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on those assumptions used to fund such Plan), (D) neither the Company, its subsidiaries nor any of its or their ERISA Affiliates has incurred or reasonably expects to incur any obligation or liability under (i) Title IV of ERISA with respect to termination of, or withdrawal from, any Plan, (ii) Sections 412 and 430, 4971, 4975 or 4980B of the Code or (iii) Sections 302 and 303, 406, 4063 and 4064 of ERISA, (E) each Plan that is intended to be qualified under Section 401(a) of the Code is so qualified and nothing has occurred, whether by action or failure to act, which would cause the loss of such qualification, (F) there is no pending audit or investigation by the Internal Revenue Service, the U.S. Department of Labor, the Pension Benefit Guaranty Corporation or any other governmental or foreign regulatory entity or agency with respect to any Plan that would reasonably be expected to result in liability to the Company or any of its subsidiaries, and (G) neither the Company nor any of its subsidiaries have any “accumulated post-retirement benefit obligations” (within the meaning of Statement of Financial Accounting Standards 106). “</w:t>
      </w:r>
      <w:r>
        <w:rPr>
          <w:rFonts w:ascii="Times New Roman" w:cs="Times New Roman" w:eastAsia="Times New Roman" w:hAnsi="Times New Roman"/>
          <w:sz w:val="17"/>
          <w:szCs w:val="17"/>
          <w:b w:val="1"/>
          <w:bCs w:val="1"/>
          <w:color w:val="auto"/>
        </w:rPr>
        <w:t>ERISA Affiliate</w:t>
      </w:r>
      <w:r>
        <w:rPr>
          <w:rFonts w:ascii="Times New Roman" w:cs="Times New Roman" w:eastAsia="Times New Roman" w:hAnsi="Times New Roman"/>
          <w:sz w:val="17"/>
          <w:szCs w:val="17"/>
          <w:color w:val="auto"/>
        </w:rPr>
        <w:t>” means, with respect to the Company, any member of any group of organizations described in Sections 414(b), (c), (m) or (o) of the Code of which the Company or such subsidiary is a member.</w:t>
      </w:r>
    </w:p>
    <w:p>
      <w:pPr>
        <w:spacing w:after="0" w:line="294" w:lineRule="exact"/>
        <w:rPr>
          <w:sz w:val="20"/>
          <w:szCs w:val="20"/>
          <w:color w:val="auto"/>
        </w:rPr>
      </w:pPr>
    </w:p>
    <w:p>
      <w:pPr>
        <w:ind w:left="4" w:right="180" w:firstLine="423"/>
        <w:spacing w:after="0" w:line="254"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(i) Except as disclosed in the Registration Statement, the General Disclosure Package and the Prospectus, neither the Company nor its subsidiaries has received any written notice of adverse finding, warning letter, untitled letter or other correspondence or notice from the FDA, the EMA or other relevant regulatory authorities, or any other court or arbitrator or federal, state, local or foreign governmental or regulatory authority, alleging or asserting material noncompliance with the Federal Food, Drug and Cosmetic Act (21 U.S.C. § 301 et seq.), as amended, and the regulations promulgated thereunder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the Anti-Kickback Statute (42 U.S.C.</w:t>
      </w:r>
    </w:p>
    <w:p>
      <w:pPr>
        <w:spacing w:after="0" w:line="3"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Section 1320a-7b(b)), the Civil Monetary Penalties Law (42 U.S.C. § 1320a-7a), the Physician Payments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 w:cs="Times New Roman" w:eastAsia="Times New Roman" w:hAnsi="Times New Roman"/>
          <w:sz w:val="17"/>
          <w:szCs w:val="17"/>
          <w:b w:val="1"/>
          <w:bCs w:val="1"/>
          <w:color w:val="auto"/>
        </w:rPr>
        <w:t>HIPAA</w:t>
      </w:r>
      <w:r>
        <w:rPr>
          <w:rFonts w:ascii="Times New Roman" w:cs="Times New Roman" w:eastAsia="Times New Roman" w:hAnsi="Times New Roman"/>
          <w:sz w:val="17"/>
          <w:szCs w:val="17"/>
          <w:color w:val="auto"/>
        </w:rPr>
        <w:t>”) (42 U.S.C. Section 1320d et seq.), the exclusion laws (42 U.S.C.</w:t>
      </w:r>
    </w:p>
    <w:p>
      <w:pPr>
        <w:spacing w:after="0" w:line="1" w:lineRule="exact"/>
        <w:rPr>
          <w:sz w:val="20"/>
          <w:szCs w:val="20"/>
          <w:color w:val="auto"/>
        </w:rPr>
      </w:pPr>
    </w:p>
    <w:p>
      <w:pPr>
        <w:ind w:left="4" w:right="20" w:hanging="4"/>
        <w:spacing w:after="0" w:line="251" w:lineRule="auto"/>
        <w:tabs>
          <w:tab w:leader="none" w:pos="1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 HIPAA, as amended by the Health Information Technology for Economic and Clinical Health Act (42 U.S.C. Section 17921 et seq.), Medicare (Title XVIII of the Social Security Act), Medicaid (Title XIX of the Social Security Act), and any and all other similar state, federal or foreign law or regulations promulgated pursuant to such laws, including all laws and regulations applicable to ownership, testing, development, manufacture, packaging, processing, use, distribution, sale, storage, import, export or disposal of the Company’s product and product candidates, each as amended from time to time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(ii) the Company and its subsidiaries are and have been in material compliance with applicable Health Care Laws; (iii) neither the Company nor its subsidiaries received written notice of any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or third party alleging that any product operation or activity is in violation of any Health Care Laws and, to the Company’s knowledge, no such claim, action, suit, proceeding, hearing, enforcement, investigation, arbitration or other action is threatened; (iv) the Company and its subsidiaries have filed, obtained, maintained or submitted all reports, documents, forms, notices, applications, records, claims, submissions and supplements or amendments as required by applicable Health Care Laws, and all such reports, documents, forms, notices, applications, records, claims, submissions and supplements or amendments were complete, correct and not misleading on the date filed (or were corrected or supplemented by a subsequent submission); (v) neither the Company nor its subsidiaries or any of their respective directors, officers, employees or agents is or has been debarred, suspended or excluded, or has been convicted of any crime or engaged in any conduct that would result in a debarment, suspension or exclusion from any federal or state government health care program or, to the knowledge of the Company, is subject to a governmental inquiry, investigation, proceeding, or other similar action that would reasonably be expected to result in debarment, suspension, or exclusion; and (vi) the Company is not a party to and the Company does not have any ongoing reporting obligations pursuant to, any corporate integrity agreements, deferred prosecution agreements, monitoring agreements, consent decrees, settlement orders, plans of correction or similar agreements with or imposed by an Governmental Authority.</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20" w:name="page21"/>
    <w:bookmarkEnd w:id="20"/>
    <w:p>
      <w:pPr>
        <w:ind w:firstLine="42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 </w:t>
      </w:r>
      <w:r>
        <w:rPr>
          <w:rFonts w:ascii="Times New Roman" w:cs="Times New Roman" w:eastAsia="Times New Roman" w:hAnsi="Times New Roman"/>
          <w:sz w:val="18"/>
          <w:szCs w:val="18"/>
          <w:u w:val="single" w:color="auto"/>
          <w:color w:val="auto"/>
        </w:rPr>
        <w:t>Preclinical Studies and Clinical Trials</w:t>
      </w:r>
      <w:r>
        <w:rPr>
          <w:rFonts w:ascii="Times New Roman" w:cs="Times New Roman" w:eastAsia="Times New Roman" w:hAnsi="Times New Roman"/>
          <w:sz w:val="18"/>
          <w:szCs w:val="18"/>
          <w:color w:val="auto"/>
        </w:rPr>
        <w:t>. The preclinical studies and clinical trials conducted by, on behalf of or sponsored by the Company or its subsidiaries, or in which the Company or its subsidiaries has participated, that are described in, or the results of which are referred to in, the Registration Statement, the General Disclosure Package and the Prospectus, as applicable, were, and if still pending are, being conducted in accordance with the experimental protocols established for each study or trial, as well as any conditions of approval and policies imposed by any institutional review board, ethics review board or committee responsible for the oversight of such preclinical studies and clinical trials, and all applicable local, state and federal laws, rules and regulations of the FDA, the EMA and comparable drug regulatory agencies outside of the United States to which they are subject (such institutional review boards, ethics review boards, committees, the FDA, the EMA or any comparable regulatory agencies,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and all other applicable Health Care Laws, except as would not, singly or in the aggregate, reasonably be expected to have a Material Adverse Effect; the descriptions in the Registration Statement, the General Disclosure Package or the Prospectus of the results of such studies and trials are accurate and not misleading in all material respects with respect to the portions of such studies and trials being described and fairly present the data derived from such studies or trials in all material respects; the Company has no knowledge of any other preclinical studies or clinical trials not described in the Registration Statement, the General Disclosure Package and the Prospectus, the results of which would reasonably call into question in any material respect the results of the preclinical studies and clinical trials described in the Registration Statement, the General Disclosure Package and the Prospectus when viewed in the context in which such results are described and the current state of development; neither the Company nor its subsidiaries have received any written notice, correspondence or other communications from the Regulatory Authorities requiring or threatening (i) the termination or suspension or clinical hold of any preclinical studies or clinical trials that are described in, or the results of which are referred to in, the Registration Statement, the General Disclosure Package and the Prospectus, or (ii) the material modification of any preclinical studies or clinical trials that would cause them to materially differ from their descriptions in the Registration Statement, the General Disclosure Package and the Prospectus, other than ordinary course communications with respect to modifications in connection with the design and implementation of such preclinical studies or clinical trials, and, to the Company’s knowledge, there are no reasonable grounds for the same.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1" w:name="page22"/>
    <w:bookmarkEnd w:id="21"/>
    <w:p>
      <w:pPr>
        <w:ind w:left="420" w:right="4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(xliii) </w:t>
      </w:r>
      <w:r>
        <w:rPr>
          <w:rFonts w:ascii="Times New Roman" w:cs="Times New Roman" w:eastAsia="Times New Roman" w:hAnsi="Times New Roman"/>
          <w:sz w:val="18"/>
          <w:szCs w:val="18"/>
          <w:u w:val="single" w:color="auto"/>
          <w:color w:val="auto"/>
        </w:rPr>
        <w:t>Health Care Products Manufacturing</w:t>
      </w:r>
      <w:r>
        <w:rPr>
          <w:rFonts w:ascii="Times New Roman" w:cs="Times New Roman" w:eastAsia="Times New Roman" w:hAnsi="Times New Roman"/>
          <w:sz w:val="18"/>
          <w:szCs w:val="18"/>
          <w:color w:val="auto"/>
        </w:rPr>
        <w:t>. The manufacture of the Company’s and its subsidiaries’ product and product candidates by or on behalf of the Company and its subsidiaries is being conducted in compliance in all material respects with all applicable Health Care Laws, including, without limitation, the FDA’s current good manufacturing practice regulations, and, to the extent applicable, the respective counterparts thereof promulgated by governmental authorities in countries outside the United States. Neither the Company nor any of its subsidiaries has had any manufacturing site (whether Company-owned, subsidiary-owned or that of a third party manufacturer for the Company’s or its subsidiaries’ product or product candidates) subject to a Governmental Authority (including FDA or EMA) shutdown or import or export prohibition, nor received any FDA, EMA or other Governmental Authority “warning letters,” or “untitled letters” alleging or asserting material noncompliance with any applicable Health Care Laws, requests to make material changes to the Company’s or its subsidiaries’ product or product 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w:t>
      </w:r>
    </w:p>
    <w:p>
      <w:pPr>
        <w:spacing w:after="0" w:line="82" w:lineRule="exact"/>
        <w:rPr>
          <w:sz w:val="20"/>
          <w:szCs w:val="20"/>
          <w:color w:val="auto"/>
        </w:rPr>
      </w:pPr>
    </w:p>
    <w:p>
      <w:pPr>
        <w:ind w:left="420" w:firstLine="423"/>
        <w:spacing w:after="0" w:line="270" w:lineRule="auto"/>
        <w:rPr>
          <w:sz w:val="20"/>
          <w:szCs w:val="20"/>
          <w:color w:val="auto"/>
        </w:rPr>
      </w:pPr>
      <w:r>
        <w:rPr>
          <w:rFonts w:ascii="Times New Roman" w:cs="Times New Roman" w:eastAsia="Times New Roman" w:hAnsi="Times New Roman"/>
          <w:sz w:val="17"/>
          <w:szCs w:val="17"/>
          <w:color w:val="auto"/>
        </w:rPr>
        <w:t xml:space="preserve">(xliv) </w:t>
      </w:r>
      <w:r>
        <w:rPr>
          <w:rFonts w:ascii="Times New Roman" w:cs="Times New Roman" w:eastAsia="Times New Roman" w:hAnsi="Times New Roman"/>
          <w:sz w:val="17"/>
          <w:szCs w:val="17"/>
          <w:u w:val="single" w:color="auto"/>
          <w:color w:val="auto"/>
        </w:rPr>
        <w:t>No Safety Notices</w:t>
      </w:r>
      <w:r>
        <w:rPr>
          <w:rFonts w:ascii="Times New Roman" w:cs="Times New Roman" w:eastAsia="Times New Roman" w:hAnsi="Times New Roman"/>
          <w:sz w:val="17"/>
          <w:szCs w:val="17"/>
          <w:color w:val="auto"/>
        </w:rPr>
        <w:t>. (i) There have been no material recalls, field notifications, field corrections, market withdrawals or replacements, warnings, “dear doctor” letters, investigator notices, safety alerts or other notice of action relating to an alleged lack of safety, efficacy, or regulatory compliance of the Company’s or its subsidiaries’ product or product candidates (“</w:t>
      </w:r>
      <w:r>
        <w:rPr>
          <w:rFonts w:ascii="Times New Roman" w:cs="Times New Roman" w:eastAsia="Times New Roman" w:hAnsi="Times New Roman"/>
          <w:sz w:val="17"/>
          <w:szCs w:val="17"/>
          <w:b w:val="1"/>
          <w:bCs w:val="1"/>
          <w:color w:val="auto"/>
        </w:rPr>
        <w:t>Safety Notices</w:t>
      </w:r>
      <w:r>
        <w:rPr>
          <w:rFonts w:ascii="Times New Roman" w:cs="Times New Roman" w:eastAsia="Times New Roman" w:hAnsi="Times New Roman"/>
          <w:sz w:val="17"/>
          <w:szCs w:val="17"/>
          <w:color w:val="auto"/>
        </w:rPr>
        <w:t>”) and (ii) there are no facts that would be reasonably likely to result in (x) a material Safety Notice with respect to the Company’s or its subsidiaries’ product or product candidates, or</w:t>
      </w:r>
    </w:p>
    <w:p>
      <w:pPr>
        <w:spacing w:after="0" w:line="3" w:lineRule="exact"/>
        <w:rPr>
          <w:sz w:val="20"/>
          <w:szCs w:val="20"/>
          <w:color w:val="auto"/>
        </w:rPr>
      </w:pPr>
    </w:p>
    <w:p>
      <w:pPr>
        <w:ind w:left="420" w:right="200" w:hanging="4"/>
        <w:spacing w:after="0" w:line="260" w:lineRule="auto"/>
        <w:tabs>
          <w:tab w:leader="none" w:pos="6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labeling of any of the Company’s or its subsidiaries’ product or product candidates or (z) a termination or suspension of marketing or testing of any of the Company’s or its subsidiaries’ product or product candidates.</w:t>
      </w:r>
    </w:p>
    <w:p>
      <w:pPr>
        <w:spacing w:after="0" w:line="179" w:lineRule="exact"/>
        <w:rPr>
          <w:sz w:val="20"/>
          <w:szCs w:val="20"/>
          <w:color w:val="auto"/>
        </w:rPr>
      </w:pPr>
    </w:p>
    <w:p>
      <w:pPr>
        <w:jc w:val="both"/>
        <w:ind w:left="-20" w:right="340" w:firstLine="436"/>
        <w:spacing w:after="0" w:line="315" w:lineRule="auto"/>
        <w:tabs>
          <w:tab w:leader="none" w:pos="67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Officer’s Certificates</w:t>
      </w:r>
      <w:r>
        <w:rPr>
          <w:rFonts w:ascii="Times New Roman" w:cs="Times New Roman" w:eastAsia="Times New Roman" w:hAnsi="Times New Roman"/>
          <w:sz w:val="17"/>
          <w:szCs w:val="17"/>
          <w:color w:val="auto"/>
        </w:rPr>
        <w:t>. Any certificate signed by any officer of the Company or any of its subsidiaries delivered to the Representatives 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for the Underwriters shall be deemed a representation and warranty by the Company to each Underwriter as to the matters covered thereby.</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right="60" w:firstLine="436"/>
        <w:spacing w:after="0" w:line="257"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agrees to sell to each Underwriter, severally and not jointly, and each Underwriter, severally and not jointly, agrees to purchase from the Company,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number of Initial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22" w:name="page23"/>
    <w:bookmarkEnd w:id="22"/>
    <w:p>
      <w:pPr>
        <w:ind w:right="40" w:firstLine="436"/>
        <w:spacing w:after="0" w:line="253"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Securities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the Company hereby grants an option to the Underwriters, severally and not jointly, to purchase up to an additional 421,348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and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18"/>
          <w:szCs w:val="18"/>
          <w:b w:val="1"/>
          <w:bCs w:val="1"/>
          <w:color w:val="auto"/>
        </w:rPr>
        <w:t>Date of Delivery</w:t>
      </w:r>
      <w:r>
        <w:rPr>
          <w:rFonts w:ascii="Times New Roman" w:cs="Times New Roman" w:eastAsia="Times New Roman" w:hAnsi="Times New Roman"/>
          <w:sz w:val="18"/>
          <w:szCs w:val="18"/>
          <w:color w:val="auto"/>
        </w:rPr>
        <w:t>”)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89" w:lineRule="exact"/>
        <w:rPr>
          <w:rFonts w:ascii="Times New Roman" w:cs="Times New Roman" w:eastAsia="Times New Roman" w:hAnsi="Times New Roman"/>
          <w:sz w:val="18"/>
          <w:szCs w:val="18"/>
          <w:color w:val="auto"/>
        </w:rPr>
      </w:pPr>
    </w:p>
    <w:p>
      <w:pPr>
        <w:ind w:firstLine="436"/>
        <w:spacing w:after="0" w:line="257"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or security entitlements for, the Initial Securities shall be made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offices of Cooley LLP, 3 Embarcadero Center, 20th Floor, San Francisco, California 94111,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the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76"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a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sz w:val="20"/>
          <w:szCs w:val="20"/>
          <w:color w:val="auto"/>
        </w:rPr>
      </w:pPr>
    </w:p>
    <w:p>
      <w:pPr>
        <w:ind w:left="-20" w:right="100" w:firstLine="436"/>
        <w:spacing w:after="0" w:line="252"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Rule 430B, and will promptly notify the Representatives, and confirm the notice in writing (which may be by email),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practicable.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or as exhibit to a prospectus filed pursuant to Rule 424(b)).</w:t>
      </w:r>
    </w:p>
    <w:p>
      <w:pPr>
        <w:spacing w:after="0" w:line="191"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24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70" w:right="479" w:bottom="1440" w:gutter="0" w:footer="0" w:header="0"/>
        </w:sectPr>
      </w:pPr>
    </w:p>
    <w:bookmarkStart w:id="24" w:name="page25"/>
    <w:bookmarkEnd w:id="24"/>
    <w:p>
      <w:pPr>
        <w:ind w:left="-20" w:right="20" w:firstLine="436"/>
        <w:spacing w:after="0" w:line="256"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if requested,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left="-20" w:firstLine="436"/>
        <w:spacing w:after="0" w:line="257"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left="-20" w:firstLine="436"/>
        <w:spacing w:after="0" w:line="258"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reasonable best efforts, in cooperation with the Underwriters, to qualify the Securities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ind w:left="-20" w:firstLine="436"/>
        <w:spacing w:after="0" w:line="267" w:lineRule="auto"/>
        <w:tabs>
          <w:tab w:leader="none" w:pos="6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left="-20" w:right="800" w:firstLine="436"/>
        <w:spacing w:after="0" w:line="284"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the manner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and the Prospectus under “Use of Proceeds.”</w:t>
      </w:r>
    </w:p>
    <w:p>
      <w:pPr>
        <w:spacing w:after="0" w:line="158" w:lineRule="exact"/>
        <w:rPr>
          <w:rFonts w:ascii="Times New Roman" w:cs="Times New Roman" w:eastAsia="Times New Roman" w:hAnsi="Times New Roman"/>
          <w:sz w:val="18"/>
          <w:szCs w:val="18"/>
          <w:color w:val="auto"/>
        </w:rPr>
      </w:pPr>
    </w:p>
    <w:p>
      <w:pPr>
        <w:ind w:left="-20" w:right="120" w:firstLine="436"/>
        <w:spacing w:after="0" w:line="284"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reasonable best efforts to effect and maintain the listing of the Common Stock (including the Securities)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Nasdaq Global Select Market or Nasdaq Global Market.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68" w:right="459" w:bottom="1440" w:gutter="0" w:footer="0" w:header="0"/>
        </w:sectPr>
      </w:pPr>
    </w:p>
    <w:bookmarkStart w:id="25" w:name="page26"/>
    <w:bookmarkEnd w:id="25"/>
    <w:p>
      <w:pPr>
        <w:ind w:right="20" w:firstLine="436"/>
        <w:spacing w:after="0" w:line="24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 on Sale of Securities</w:t>
      </w:r>
      <w:r>
        <w:rPr>
          <w:rFonts w:ascii="Times New Roman" w:cs="Times New Roman" w:eastAsia="Times New Roman" w:hAnsi="Times New Roman"/>
          <w:sz w:val="18"/>
          <w:szCs w:val="18"/>
          <w:color w:val="auto"/>
        </w:rPr>
        <w:t>. During a period of 90 days from the date of the Prospectus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hedging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or (iii) publicly disclose the intention to do any of the foregoing described in clauses (i) and (ii). The foregoing sentence shall not apply to (A) the Securities to be sold hereunder, (B) any shares of Common Stock issued by the Company upon the exercise (including any net exercise or exercise by delivery of already-owned shares of Common Stock) of an option or warrant or the conversion of a security, in each case, outstanding on the date hereof and referred to in the Registration Statement, the General Disclosure Package and the Prospectus, (C) 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(D) the grant of compensatory equity-based awards, and/or the issuance of shares of Common Stock with respect thereto, made pursuant to compensatory equity-based plans referred to in the Registration Statement, the General Disclosure Package and the Prospectus, (E) any shares of Common Stock issued pursuant to any non-employee director compensation plan or program or dividend reinvestment plan referred to in the Registration Statement, the General Disclosure Package and the Prospectus, (F) the filing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(G)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of Common Stock, restricted stock awards and shares of Common Stock issuable upon the conversion, exercise or exchange of securities (on an as converted or as exercised basis, as the case may be) issued pursuant to this clause (G) shall not exceed 5% of the total number of shares of Common Stock issued and outstanding immediately following the issuance and sale of the Securities at the Closing Time pursuant hereto,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each recipient of shares of Common Stock, restricted stock awards or securities convertible into or exercisable or exchangeable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shares of Common Stock pursuant to this clause agrees to be bound by the terms of the lock-up or shall execute a lock-up agreement substantially in the form of Exhibit A hereto, or (H) beginning on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from the date of the Prospectus, shares of Common Stock sold pursuant to that certain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by and between the Registrant and Jefferies LLC (provided that no public filings regarding such sales or announcement regarding such sales shall be required or be voluntarily made during the Lock-Up Period).</w:t>
      </w:r>
    </w:p>
    <w:p>
      <w:pPr>
        <w:spacing w:after="0" w:line="194"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right="80" w:firstLine="436"/>
        <w:spacing w:after="0" w:line="267"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firstLine="436"/>
        <w:spacing w:after="0" w:line="25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Representatives, it will not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which has not been superseded or modified,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provided, however, that the Company shall not be required to notify the Representatives of any statements or omissions in the Issuer Free Writing Prospectus prepared or authorized by the Company made in reliance upon and in conformity with the Underwriter Information.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26" w:name="page27"/>
    <w:bookmarkEnd w:id="26"/>
    <w:p>
      <w:pPr>
        <w:ind w:left="744" w:hanging="304"/>
        <w:spacing w:after="0"/>
        <w:tabs>
          <w:tab w:leader="none" w:pos="7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223"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If at any time following the distribution of any Written Testing-the-Waters Communication there occurred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if so determined by the Company and the Representatives in their reasonable judgment, will promptly amend or supplement, at its own expense, such Written Testing-the-Waters Communication to eliminate or correct such untrue statement or omission; provided, however, that this covenant shall not apply to any statements or omissions in a Written Testing-the-Waters Communication prepared or authorized by the Company made in reliance upon and in conformity with the Underwriter Information.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80" w:firstLine="436"/>
        <w:spacing w:after="0" w:line="254"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reasonable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3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disbursements of the Company’s counsel, accountants and other advisors, (v) subject to the limitation set forth in clause (viii) below,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 the road show, if any (it being understood that the Underwriters will pay or cause to be paid the travel and lodging expenses of their representatives), (viii) the filing fees incident to, and the reasonable fees and disbursements of counsel to the Underwriters in connection with, the review by FINRA of the terms of the sale of the Securities; provided that the amount payable by the Company pursuant to this clause (viii) and clause (v) above shall not exceed $30,000 in the aggregate, (ix) the fees and expenses incurred in connection with the listing of the Securities on the Nasdaq Global Select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27" w:name="page28"/>
    <w:bookmarkEnd w:id="27"/>
    <w:p>
      <w:pPr>
        <w:ind w:left="704" w:hanging="264"/>
        <w:spacing w:after="0"/>
        <w:tabs>
          <w:tab w:leader="none" w:pos="7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5, Section 9(a)</w:t>
      </w:r>
    </w:p>
    <w:p>
      <w:pPr>
        <w:spacing w:after="0" w:line="29" w:lineRule="exact"/>
        <w:rPr>
          <w:rFonts w:ascii="Times New Roman" w:cs="Times New Roman" w:eastAsia="Times New Roman" w:hAnsi="Times New Roman"/>
          <w:sz w:val="18"/>
          <w:szCs w:val="18"/>
          <w:color w:val="auto"/>
        </w:rPr>
      </w:pPr>
    </w:p>
    <w:p>
      <w:pPr>
        <w:ind w:left="4" w:right="180" w:hanging="4"/>
        <w:spacing w:after="0" w:line="255"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or Section 10 hereof, the Company shall reimburse the Underwriters for their reasonable and documented out-of-pocket expenses, including the reasonable and documented fees and disbursements of counsel for the Underwriters; provided that, if this Agreement is terminated by the Representatives pursuant to Section 10 hereof, the Company will have no obligation to reimburse any defaulting Underwriter.</w:t>
      </w:r>
    </w:p>
    <w:p>
      <w:pPr>
        <w:spacing w:after="0" w:line="186"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70" w:lineRule="exact"/>
        <w:rPr>
          <w:sz w:val="20"/>
          <w:szCs w:val="20"/>
          <w:color w:val="auto"/>
        </w:rPr>
      </w:pPr>
    </w:p>
    <w:p>
      <w:pPr>
        <w:ind w:left="4" w:firstLine="436"/>
        <w:spacing w:after="0" w:line="254"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has become effective and, at the Closing Time, no stop order suspending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and the Company has complied with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or as exhibit to a prospectus filed pursuant to Rule 424(b).</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Company</w:t>
      </w:r>
      <w:r>
        <w:rPr>
          <w:rFonts w:ascii="Times New Roman" w:cs="Times New Roman" w:eastAsia="Times New Roman" w:hAnsi="Times New Roman"/>
          <w:sz w:val="18"/>
          <w:szCs w:val="18"/>
          <w:color w:val="auto"/>
        </w:rPr>
        <w:t>. At the Closing Time, the Representatives shall have received:</w:t>
      </w:r>
    </w:p>
    <w:p>
      <w:pPr>
        <w:spacing w:after="0" w:line="119" w:lineRule="exact"/>
        <w:rPr>
          <w:rFonts w:ascii="Times New Roman" w:cs="Times New Roman" w:eastAsia="Times New Roman" w:hAnsi="Times New Roman"/>
          <w:sz w:val="18"/>
          <w:szCs w:val="18"/>
          <w:color w:val="auto"/>
        </w:rPr>
      </w:pPr>
    </w:p>
    <w:p>
      <w:pPr>
        <w:jc w:val="both"/>
        <w:ind w:left="444" w:right="80" w:firstLine="419"/>
        <w:spacing w:after="0" w:line="266" w:lineRule="auto"/>
        <w:tabs>
          <w:tab w:leader="none" w:pos="108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and negative assurance letter, each dated the Closing Time, of Gunderson Dettmer Stough Villeneuve Franklin &amp; Hachigian, LLP, counsel for the Company, in form and substance reasonably satisfactory to counsel for the Underwriters, together with signed or reproduced copies of such letter for each of the other Underwriters;</w:t>
      </w:r>
    </w:p>
    <w:p>
      <w:pPr>
        <w:spacing w:after="0" w:line="67" w:lineRule="exact"/>
        <w:rPr>
          <w:rFonts w:ascii="Times New Roman" w:cs="Times New Roman" w:eastAsia="Times New Roman" w:hAnsi="Times New Roman"/>
          <w:sz w:val="18"/>
          <w:szCs w:val="18"/>
          <w:color w:val="auto"/>
        </w:rPr>
      </w:pPr>
    </w:p>
    <w:p>
      <w:pPr>
        <w:ind w:left="444" w:right="240" w:firstLine="419"/>
        <w:spacing w:after="0" w:line="312" w:lineRule="auto"/>
        <w:tabs>
          <w:tab w:leader="none" w:pos="1132"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opinion, dated the Closing Time, of King &amp; Spalding LLP, regulatory counsel for the Company, in form and substance reasonably satisfactory to counsel for the Underwriters, together with signed or reproduced copies of such letter for each of the other Underwriters; and</w:t>
      </w:r>
    </w:p>
    <w:p>
      <w:pPr>
        <w:spacing w:after="0" w:line="31" w:lineRule="exact"/>
        <w:rPr>
          <w:rFonts w:ascii="Times New Roman" w:cs="Times New Roman" w:eastAsia="Times New Roman" w:hAnsi="Times New Roman"/>
          <w:sz w:val="17"/>
          <w:szCs w:val="17"/>
          <w:color w:val="auto"/>
        </w:rPr>
      </w:pPr>
    </w:p>
    <w:p>
      <w:pPr>
        <w:ind w:left="444" w:right="20" w:firstLine="419"/>
        <w:spacing w:after="0" w:line="266" w:lineRule="auto"/>
        <w:tabs>
          <w:tab w:leader="none" w:pos="118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dated the Closing Time, of Knobbe Martens Olson &amp; Bear LLP, intellectual property counsel for the Company, in form and substance reasonably satisfactory to counsel for the Underwriters, together with signed or reproduced copies of such letter for each of the other Underwriters.</w:t>
      </w:r>
    </w:p>
    <w:p>
      <w:pPr>
        <w:spacing w:after="0" w:line="173" w:lineRule="exact"/>
        <w:rPr>
          <w:rFonts w:ascii="Times New Roman" w:cs="Times New Roman" w:eastAsia="Times New Roman" w:hAnsi="Times New Roman"/>
          <w:sz w:val="18"/>
          <w:szCs w:val="18"/>
          <w:color w:val="auto"/>
        </w:rPr>
      </w:pPr>
    </w:p>
    <w:p>
      <w:pPr>
        <w:ind w:left="4" w:right="120" w:firstLine="436"/>
        <w:spacing w:after="0" w:line="267"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Representatives shall have received the opinion and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the Closing Time, of Cooley LLP, counsel for the Underwriters, together with signed or reproduced copies of such letter for each of the other Underwriters, in form and substance reasonably satisfactory to the Underwriters.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68" w:right="479" w:bottom="1440" w:gutter="0" w:footer="0" w:header="0"/>
        </w:sectPr>
      </w:pPr>
    </w:p>
    <w:bookmarkStart w:id="28" w:name="page29"/>
    <w:bookmarkEnd w:id="28"/>
    <w:p>
      <w:pPr>
        <w:ind w:right="20" w:firstLine="436"/>
        <w:spacing w:after="0" w:line="254"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85"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Representatives shall have received from Ernst &amp;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3" w:lineRule="exact"/>
        <w:rPr>
          <w:rFonts w:ascii="Times New Roman" w:cs="Times New Roman" w:eastAsia="Times New Roman" w:hAnsi="Times New Roman"/>
          <w:sz w:val="18"/>
          <w:szCs w:val="18"/>
          <w:color w:val="auto"/>
        </w:rPr>
      </w:pPr>
    </w:p>
    <w:p>
      <w:pPr>
        <w:ind w:right="320" w:firstLine="436"/>
        <w:spacing w:after="0" w:line="267"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Ernst &amp; Young, LLP a letter,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73" w:lineRule="exact"/>
        <w:rPr>
          <w:rFonts w:ascii="Times New Roman" w:cs="Times New Roman" w:eastAsia="Times New Roman" w:hAnsi="Times New Roman"/>
          <w:sz w:val="18"/>
          <w:szCs w:val="18"/>
          <w:color w:val="auto"/>
        </w:rPr>
      </w:pPr>
    </w:p>
    <w:p>
      <w:pPr>
        <w:ind w:right="80" w:firstLine="436"/>
        <w:spacing w:after="0" w:line="284"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shall have been approved for listing on the Nasdaq Global Select Market, subject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official notice of issuance.</w:t>
      </w:r>
    </w:p>
    <w:p>
      <w:pPr>
        <w:spacing w:after="0" w:line="16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hereto signed by the persons listed on Schedule C hereto.</w:t>
      </w:r>
    </w:p>
    <w:p>
      <w:pPr>
        <w:spacing w:after="0" w:line="205" w:lineRule="exact"/>
        <w:rPr>
          <w:sz w:val="20"/>
          <w:szCs w:val="20"/>
          <w:color w:val="auto"/>
        </w:rPr>
      </w:pPr>
    </w:p>
    <w:p>
      <w:pPr>
        <w:ind w:right="240" w:firstLine="436"/>
        <w:spacing w:after="0" w:line="284"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Rating</w:t>
      </w:r>
      <w:r>
        <w:rPr>
          <w:rFonts w:ascii="Times New Roman" w:cs="Times New Roman" w:eastAsia="Times New Roman" w:hAnsi="Times New Roman"/>
          <w:sz w:val="18"/>
          <w:szCs w:val="18"/>
          <w:color w:val="auto"/>
        </w:rPr>
        <w:t>. Neither the Company nor its subsidiaries have any debt securities or preferred stock that are rated by any “nationally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statistical rating agency” (as defined in Section 3(a)(62) of the 1934 Act).</w:t>
      </w:r>
    </w:p>
    <w:p>
      <w:pPr>
        <w:spacing w:after="0" w:line="158" w:lineRule="exact"/>
        <w:rPr>
          <w:rFonts w:ascii="Times New Roman" w:cs="Times New Roman" w:eastAsia="Times New Roman" w:hAnsi="Times New Roman"/>
          <w:sz w:val="18"/>
          <w:szCs w:val="18"/>
          <w:color w:val="auto"/>
        </w:rPr>
      </w:pPr>
    </w:p>
    <w:p>
      <w:pPr>
        <w:ind w:right="140" w:firstLine="436"/>
        <w:spacing w:after="0" w:line="267"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Chief Financial Officer’s Certificate</w:t>
      </w:r>
      <w:r>
        <w:rPr>
          <w:rFonts w:ascii="Times New Roman" w:cs="Times New Roman" w:eastAsia="Times New Roman" w:hAnsi="Times New Roman"/>
          <w:sz w:val="18"/>
          <w:szCs w:val="18"/>
          <w:color w:val="auto"/>
        </w:rPr>
        <w:t>. At the time of the execution of this Agreement and at the Closing Time, the Representatives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from the chief financial officer of the Company a certificate with respect to certain financial data contained in the General Disclosure Package and the Prospectus in a form reasonably satisfactory to the Underwriters.</w:t>
      </w:r>
    </w:p>
    <w:p>
      <w:pPr>
        <w:spacing w:after="0" w:line="173"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 of Option Securities</w:t>
      </w:r>
      <w:r>
        <w:rPr>
          <w:rFonts w:ascii="Times New Roman" w:cs="Times New Roman" w:eastAsia="Times New Roman" w:hAnsi="Times New Roman"/>
          <w:sz w:val="18"/>
          <w:szCs w:val="18"/>
          <w:color w:val="auto"/>
        </w:rPr>
        <w:t>. In the event that the Underwriters exercise their option provided in Section 2(b) hereof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7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 certificate, dated such Date of Delivery, of the Chief Executive Officer or a Vice President of the Company and of the chief financial or chief accounting officer of the Company confirming that the certificate delivered at the Closing Time pursuant to</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5(d) hereof remains true and correct as of such Date of Delivery.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8" w:right="439" w:bottom="1440" w:gutter="0" w:footer="0" w:header="0"/>
        </w:sectPr>
      </w:pPr>
    </w:p>
    <w:bookmarkStart w:id="29" w:name="page30"/>
    <w:bookmarkEnd w:id="29"/>
    <w:p>
      <w:pPr>
        <w:ind w:left="440" w:firstLine="419"/>
        <w:spacing w:after="0" w:line="258" w:lineRule="auto"/>
        <w:tabs>
          <w:tab w:leader="none" w:pos="11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Opinions of Counsel for Company</w:t>
      </w:r>
      <w:r>
        <w:rPr>
          <w:rFonts w:ascii="Times New Roman" w:cs="Times New Roman" w:eastAsia="Times New Roman" w:hAnsi="Times New Roman"/>
          <w:sz w:val="18"/>
          <w:szCs w:val="18"/>
          <w:color w:val="auto"/>
        </w:rPr>
        <w:t>. If requested by the Representatives, (A) the opinion and negative assurance letter of Gunderson Dettmer Stough Villeneuve Franklin &amp; Hachigian, LLP, counsel for the Company, (B) the opinion of King &amp; Spalding LLP, regulatory counsel for the Company and (C) the opinion of Knobbe Martens Olson &amp; Bear LLP, intellectual property counsel for the Company, each in form and substance reasonably satisfactory to counsel for the Underwriters, dated such Date of Delivery, relating to the Option Securities to be purchased on such Date of Delivery and otherwise to the same effect as the opinion of such firm required by Section 5(b) hereof.</w:t>
      </w:r>
    </w:p>
    <w:p>
      <w:pPr>
        <w:spacing w:after="0" w:line="75"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7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If requested by the Representatives, the opinion of Cooley LLP, counsel for the Underwriters, dated such Date of Delivery, relating to the Option Securities to be purchased on such Date of Delivery and otherwise to the same effect as the opinion required by Section 5(c) hereof.</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A certificate from the chief financial officer of the Company, in form and substance satisfactory to the Underwriters and dated such Date of Delivery, substantially in the same form and substance as the letter furnished to the Representatives pursuant to Section 5(k) hereof.</w:t>
      </w:r>
    </w:p>
    <w:p>
      <w:pPr>
        <w:spacing w:after="0" w:line="173" w:lineRule="exact"/>
        <w:rPr>
          <w:rFonts w:ascii="Times New Roman" w:cs="Times New Roman" w:eastAsia="Times New Roman" w:hAnsi="Times New Roman"/>
          <w:sz w:val="18"/>
          <w:szCs w:val="18"/>
          <w:color w:val="auto"/>
        </w:rPr>
      </w:pPr>
    </w:p>
    <w:p>
      <w:pPr>
        <w:ind w:right="60" w:firstLine="436"/>
        <w:spacing w:after="0" w:line="258" w:lineRule="auto"/>
        <w:tabs>
          <w:tab w:leader="none" w:pos="7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documents and certificates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83" w:lineRule="exact"/>
        <w:rPr>
          <w:rFonts w:ascii="Times New Roman" w:cs="Times New Roman" w:eastAsia="Times New Roman" w:hAnsi="Times New Roman"/>
          <w:sz w:val="18"/>
          <w:szCs w:val="18"/>
          <w:color w:val="auto"/>
        </w:rPr>
      </w:pPr>
    </w:p>
    <w:p>
      <w:pPr>
        <w:ind w:right="20" w:firstLine="436"/>
        <w:spacing w:after="0" w:line="257"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436"/>
        <w:spacing w:after="0" w:line="267"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its affiliates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501(b) under the 1933 Act (each,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its selling agents and each person, if any, who controls any Underwriter within the meaning of Section 15 of the 1933 Act or Section 20 of the 1934 Act as follows:</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Issuer Free Writing Prospectus, any Written Testing-the-Waters Communication, Prospectus or any Marketing Materials of a material fact necessary in order to make the statements therein, in the light of the circumstances under which they were made, not misleading;</w:t>
      </w:r>
    </w:p>
    <w:p>
      <w:pPr>
        <w:spacing w:after="0" w:line="86"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12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81" w:lineRule="exact"/>
        <w:rPr>
          <w:sz w:val="20"/>
          <w:szCs w:val="20"/>
          <w:color w:val="auto"/>
        </w:rPr>
      </w:pPr>
    </w:p>
    <w:p>
      <w:pPr>
        <w:ind w:right="160" w:firstLine="436"/>
        <w:spacing w:after="0" w:line="25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Each Underwriter, severally and not jointly,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1" w:name="page32"/>
    <w:bookmarkEnd w:id="31"/>
    <w:p>
      <w:pPr>
        <w:ind w:firstLine="436"/>
        <w:spacing w:after="0" w:line="252"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4" w:lineRule="exact"/>
        <w:rPr>
          <w:rFonts w:ascii="Times New Roman" w:cs="Times New Roman" w:eastAsia="Times New Roman" w:hAnsi="Times New Roman"/>
          <w:sz w:val="18"/>
          <w:szCs w:val="18"/>
          <w:color w:val="auto"/>
        </w:rPr>
      </w:pPr>
    </w:p>
    <w:p>
      <w:pPr>
        <w:ind w:right="20" w:firstLine="436"/>
        <w:spacing w:after="0" w:line="257"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8" w:right="439" w:bottom="1440" w:gutter="0" w:footer="0" w:header="0"/>
        </w:sectPr>
      </w:pPr>
    </w:p>
    <w:bookmarkStart w:id="32" w:name="page33"/>
    <w:bookmarkEnd w:id="32"/>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3"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3"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by notice to the Company, at any time at or prior to the Closing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MKT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5" w:lineRule="exact"/>
        <w:rPr>
          <w:rFonts w:ascii="Times New Roman" w:cs="Times New Roman" w:eastAsia="Times New Roman" w:hAnsi="Times New Roman"/>
          <w:sz w:val="18"/>
          <w:szCs w:val="18"/>
          <w:color w:val="auto"/>
        </w:rPr>
      </w:pPr>
    </w:p>
    <w:p>
      <w:pPr>
        <w:jc w:val="both"/>
        <w:ind w:right="160" w:firstLine="436"/>
        <w:spacing w:after="0" w:line="267"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6, 7, 8, 14, 15, 16 and 17 shall survive such termination and remain in full force and effect.</w:t>
      </w:r>
    </w:p>
    <w:p>
      <w:pPr>
        <w:spacing w:after="0" w:line="17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18"/>
          <w:szCs w:val="18"/>
          <w:b w:val="1"/>
          <w:bCs w:val="1"/>
          <w:color w:val="auto"/>
        </w:rPr>
        <w:t>Defaulted Securities</w:t>
      </w:r>
      <w:r>
        <w:rPr>
          <w:rFonts w:ascii="Times New Roman" w:cs="Times New Roman" w:eastAsia="Times New Roman" w:hAnsi="Times New Roman"/>
          <w:sz w:val="18"/>
          <w:szCs w:val="18"/>
          <w:color w:val="auto"/>
        </w:rPr>
        <w:t>”),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75" w:lineRule="exact"/>
        <w:rPr>
          <w:sz w:val="20"/>
          <w:szCs w:val="20"/>
          <w:color w:val="auto"/>
        </w:rPr>
      </w:pPr>
    </w:p>
    <w:p>
      <w:pPr>
        <w:ind w:left="440" w:right="680" w:firstLine="419"/>
        <w:spacing w:after="0" w:line="266" w:lineRule="auto"/>
        <w:tabs>
          <w:tab w:leader="none" w:pos="10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to Goldman Sachs &amp; Co. LLC, 200 West Street, New York, New York 10282-2198, Attention: Registration Department; BofA Securities, Inc., One Bryant Park, New York, New York 10036, Attention: Syndicate Department (email: dg.ecm_execution_services@bofa.com), with a copy to ECM Legal (email: dg.ecm_legal@bofa.com); and Barclays Capital Inc., 745 Seventh Avenue, New York, New York 10019, Attention: Syndicate Registration (fax: (646) 834-8133); and with a copy to Cooley LLP at 3 Embarcadero Center, 20th Floor, San Francisco, California 94111, Attention: Denny Won. Notices to the Company shall be directed to it at 15440 Laguna Canyon Road, Irvine, California 92618, Attention: Bobak Azamian; with a copy to Gunderson Dettmer Stough Villeneuve Franklin &amp; Hachigian, LLP at 3570 Carmel Mountain Road, Suite 200, San Diego, California 92130, Attention: Ryan Gunderson.</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61"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13,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6" w:name="page37"/>
    <w:bookmarkEnd w:id="36"/>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18.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7" w:name="page38"/>
    <w:bookmarkEnd w:id="37"/>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Bobak Azamian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Bobak Azamian, M.D.,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of the date first above written:</w:t>
      </w:r>
    </w:p>
    <w:p>
      <w:pPr>
        <w:spacing w:after="0" w:line="22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Greg Butz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Dan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themselves and as Representatives of the other Underwriters named in Schedule A hereto.</w:t>
      </w:r>
    </w:p>
    <w:p>
      <w:pPr>
        <w:spacing w:after="0" w:line="156"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ectPr>
          <w:pgSz w:w="11900" w:h="16838" w:orient="portrait"/>
          <w:cols w:equalWidth="0" w:num="1">
            <w:col w:w="10023"/>
          </w:cols>
          <w:pgMar w:left="436" w:top="270" w:right="1440" w:bottom="1440" w:gutter="0" w:footer="0" w:header="0"/>
        </w:sectPr>
      </w:pPr>
    </w:p>
    <w:bookmarkStart w:id="39" w:name="page40"/>
    <w:bookmarkEnd w:id="39"/>
    <w:p>
      <w:pPr>
        <w:ind w:left="4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price per share for the Securities shall be $44.50.</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purchase price per share for the Securities to be paid by the several Underwriters shall be $41.83, being an amount equal to the public offering price set forth above less $2.67 per share, subject to adjustment in accordance with Section 2(b) for dividends or distributions declared by the Company and payable on the Initial Securities but not payable on the Option Securities.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8760" w:type="dxa"/>
            <w:vAlign w:val="bottom"/>
            <w:vMerge w:val="restart"/>
          </w:tcPr>
          <w:p>
            <w:pPr>
              <w:spacing w:after="0"/>
              <w:rPr>
                <w:sz w:val="13"/>
                <w:szCs w:val="13"/>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vMerge w:val="continue"/>
          </w:tcPr>
          <w:p>
            <w:pPr>
              <w:spacing w:after="0"/>
              <w:rPr>
                <w:sz w:val="15"/>
                <w:szCs w:val="15"/>
                <w:color w:val="auto"/>
              </w:rPr>
            </w:pPr>
          </w:p>
        </w:tc>
        <w:tc>
          <w:tcPr>
            <w:tcW w:w="8760" w:type="dxa"/>
            <w:vAlign w:val="bottom"/>
            <w:vMerge w:val="continue"/>
          </w:tcPr>
          <w:p>
            <w:pPr>
              <w:spacing w:after="0"/>
              <w:rPr>
                <w:sz w:val="15"/>
                <w:szCs w:val="15"/>
                <w:color w:val="auto"/>
              </w:rPr>
            </w:pPr>
          </w:p>
        </w:tc>
        <w:tc>
          <w:tcPr>
            <w:tcW w:w="102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Initial Securities</w:t>
            </w:r>
          </w:p>
        </w:tc>
        <w:tc>
          <w:tcPr>
            <w:tcW w:w="0" w:type="dxa"/>
            <w:vAlign w:val="bottom"/>
          </w:tcPr>
          <w:p>
            <w:pPr>
              <w:spacing w:after="0"/>
              <w:rPr>
                <w:sz w:val="1"/>
                <w:szCs w:val="1"/>
                <w:color w:val="auto"/>
              </w:rPr>
            </w:pPr>
          </w:p>
        </w:tc>
      </w:tr>
      <w:tr>
        <w:trPr>
          <w:trHeight w:val="203"/>
        </w:trPr>
        <w:tc>
          <w:tcPr>
            <w:tcW w:w="10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1,109,550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912,921</w:t>
            </w: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533,708</w:t>
            </w:r>
          </w:p>
        </w:tc>
        <w:tc>
          <w:tcPr>
            <w:tcW w:w="0" w:type="dxa"/>
            <w:vAlign w:val="bottom"/>
          </w:tcPr>
          <w:p>
            <w:pPr>
              <w:spacing w:after="0"/>
              <w:rPr>
                <w:sz w:val="1"/>
                <w:szCs w:val="1"/>
                <w:color w:val="auto"/>
              </w:rPr>
            </w:pPr>
          </w:p>
        </w:tc>
      </w:tr>
      <w:tr>
        <w:trPr>
          <w:trHeight w:val="223"/>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2,808,988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A-1</w:t>
      </w:r>
    </w:p>
    <w:p>
      <w:pPr>
        <w:sectPr>
          <w:pgSz w:w="11900" w:h="16838" w:orient="portrait"/>
          <w:cols w:equalWidth="0" w:num="1">
            <w:col w:w="11020"/>
          </w:cols>
          <w:pgMar w:left="440" w:top="270" w:right="439" w:bottom="1440" w:gutter="0" w:footer="0" w:header="0"/>
        </w:sectPr>
      </w:pPr>
    </w:p>
    <w:bookmarkStart w:id="40" w:name="page41"/>
    <w:bookmarkEnd w:id="40"/>
    <w:p>
      <w:pPr>
        <w:jc w:val="center"/>
        <w:ind w:right="-3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B-1</w:t>
      </w:r>
    </w:p>
    <w:p>
      <w:pPr>
        <w:spacing w:after="0" w:line="117"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52"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2,808,988 shares of Common Stock.</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an option to the Underwriters, severally and not jointly, to purchase up to an additional 421,348 shares of Common Stock.</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for the Securities shall be $44.50.</w:t>
      </w:r>
    </w:p>
    <w:p>
      <w:pPr>
        <w:spacing w:after="0" w:line="158"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color w:val="auto"/>
        </w:rPr>
        <w:t>Sch B-1-1</w:t>
      </w:r>
    </w:p>
    <w:p>
      <w:pPr>
        <w:sectPr>
          <w:pgSz w:w="11900" w:h="16838" w:orient="portrait"/>
          <w:cols w:equalWidth="0" w:num="1">
            <w:col w:w="10644"/>
          </w:cols>
          <w:pgMar w:left="436" w:top="270" w:right="819" w:bottom="1440" w:gutter="0" w:footer="0" w:header="0"/>
        </w:sectPr>
      </w:pPr>
    </w:p>
    <w:bookmarkStart w:id="41" w:name="page42"/>
    <w:bookmarkEnd w:id="41"/>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B-2</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u w:val="single" w:color="auto"/>
          <w:color w:val="auto"/>
        </w:rPr>
        <w:t>Free Writing Prospectuses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Sch B-2-1</w:t>
      </w:r>
    </w:p>
    <w:p>
      <w:pPr>
        <w:sectPr>
          <w:pgSz w:w="11900" w:h="16838" w:orient="portrait"/>
          <w:cols w:equalWidth="0" w:num="1">
            <w:col w:w="10019"/>
          </w:cols>
          <w:pgMar w:left="440" w:top="270" w:right="1440" w:bottom="1440" w:gutter="0" w:footer="0" w:header="0"/>
        </w:sectPr>
      </w:pPr>
    </w:p>
    <w:bookmarkStart w:id="42" w:name="page43"/>
    <w:bookmarkEnd w:id="42"/>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B-3</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u w:val="single" w:color="auto"/>
          <w:color w:val="auto"/>
        </w:rPr>
        <w:t>Written Testing-the-Waters Communications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Sch B-3-1</w:t>
      </w:r>
    </w:p>
    <w:p>
      <w:pPr>
        <w:sectPr>
          <w:pgSz w:w="11900" w:h="16838" w:orient="portrait"/>
          <w:cols w:equalWidth="0" w:num="1">
            <w:col w:w="10019"/>
          </w:cols>
          <w:pgMar w:left="440" w:top="270" w:right="1440" w:bottom="1440" w:gutter="0" w:footer="0" w:header="0"/>
        </w:sectPr>
      </w:pPr>
    </w:p>
    <w:bookmarkStart w:id="43" w:name="page44"/>
    <w:bookmarkEnd w:id="43"/>
    <w:p>
      <w:pPr>
        <w:jc w:val="center"/>
        <w:ind w:righ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11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7"/>
          <w:szCs w:val="17"/>
          <w:u w:val="single" w:color="auto"/>
          <w:color w:val="auto"/>
        </w:rPr>
        <w:t>List of Persons and Entities Subject to Lock-Up</w:t>
      </w:r>
    </w:p>
    <w:p>
      <w:pPr>
        <w:spacing w:after="0" w:line="264"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Goldberg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Aziz Mottiwala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Bhaskar Chaudhauri</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Bobak Azamian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Bobak Azamian, as Trustee of the Bobak Azamian Living Trust, established April 16, 2018</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Bryan Wahl, M.D., J.D.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Dianne Whitfield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Yeu-Lin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Farrow</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Katherine Goodrich</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Morrison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Morrison-Minton Family 2004 Trust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Sesha Neervannan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Wendy Yarno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J. Link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Family Enterprise, LP</w:t>
      </w:r>
    </w:p>
    <w:p>
      <w:pPr>
        <w:spacing w:after="0" w:line="158" w:lineRule="exact"/>
        <w:rPr>
          <w:sz w:val="20"/>
          <w:szCs w:val="20"/>
          <w:color w:val="auto"/>
        </w:rPr>
      </w:pPr>
    </w:p>
    <w:p>
      <w:pPr>
        <w:ind w:left="5224"/>
        <w:spacing w:after="0"/>
        <w:rPr>
          <w:sz w:val="20"/>
          <w:szCs w:val="20"/>
          <w:color w:val="auto"/>
        </w:rPr>
      </w:pPr>
      <w:r>
        <w:rPr>
          <w:rFonts w:ascii="Times New Roman" w:cs="Times New Roman" w:eastAsia="Times New Roman" w:hAnsi="Times New Roman"/>
          <w:sz w:val="18"/>
          <w:szCs w:val="18"/>
          <w:color w:val="auto"/>
        </w:rPr>
        <w:t>Sch C-1</w:t>
      </w:r>
    </w:p>
    <w:p>
      <w:pPr>
        <w:sectPr>
          <w:pgSz w:w="11900" w:h="16838" w:orient="portrait"/>
          <w:cols w:equalWidth="0" w:num="1">
            <w:col w:w="10023"/>
          </w:cols>
          <w:pgMar w:left="436" w:top="270"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6"/>
        <w:spacing w:after="0" w:line="407" w:lineRule="auto"/>
        <w:rPr>
          <w:sz w:val="20"/>
          <w:szCs w:val="20"/>
          <w:color w:val="auto"/>
        </w:rPr>
      </w:pPr>
      <w:r>
        <w:rPr>
          <w:rFonts w:ascii="Times New Roman" w:cs="Times New Roman" w:eastAsia="Times New Roman" w:hAnsi="Times New Roman"/>
          <w:sz w:val="18"/>
          <w:szCs w:val="18"/>
          <w:color w:val="auto"/>
        </w:rPr>
        <w:t>FORM OF LOCK-UP FROM DIRECTORS, OFFICERS OR OTHER STOCKHOLDERS PURSUANT TO SECTION 5(i) [•], 2025</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ind w:left="184" w:hanging="184"/>
        <w:spacing w:after="0"/>
        <w:tabs>
          <w:tab w:leader="none" w:pos="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Representatives of the several</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to be named in the</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within-mentioned Underwriting Agreement</w:t>
      </w:r>
    </w:p>
    <w:p>
      <w:pPr>
        <w:spacing w:after="0" w:line="11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4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West Street</w:t>
            </w:r>
          </w:p>
        </w:tc>
      </w:tr>
      <w:tr>
        <w:trPr>
          <w:trHeight w:val="234"/>
        </w:trPr>
        <w:tc>
          <w:tcPr>
            <w:tcW w:w="42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New York 10282</w:t>
            </w:r>
          </w:p>
        </w:tc>
      </w:tr>
      <w:tr>
        <w:trPr>
          <w:trHeight w:val="31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34"/>
        </w:trPr>
        <w:tc>
          <w:tcPr>
            <w:tcW w:w="42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New York 10036</w:t>
            </w:r>
          </w:p>
        </w:tc>
      </w:tr>
      <w:tr>
        <w:trPr>
          <w:trHeight w:val="31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4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745 Seventh Avenue</w:t>
            </w:r>
          </w:p>
        </w:tc>
      </w:tr>
      <w:tr>
        <w:trPr>
          <w:trHeight w:val="234"/>
        </w:trPr>
        <w:tc>
          <w:tcPr>
            <w:tcW w:w="42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NY 10019</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Proposed Public Offering by Tarsus Pharmaceuticals, Inc.</w:t>
            </w: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The undersigned, a stockholder and/or a stock option holder and/or an officer and/or a director, as applicable, of Tarsus Pharmaceuticals, Inc., a Delaware corporation (the “Company”), understands that Goldman Sachs &amp; Co. LLC (“Goldman”), BofA Securities, Inc. (“BofA Securities”) and Barclays Capital Inc. (and together with Goldman and BofA Securities, the “Representatives”) propose to enter into an Underwriting Agreement (the “Underwriting Agreement”) with the Company and the other Underwriters party thereto providing for the public offering (the “Public Offering”) of shares of the Company’s common stock, par value $0.0001 per share (the “Common Stock”). In recognition of the benefit that the Public Offering will confer upon the undersigned as a stockholder and/or a stock option holder and/or an officer and/or a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“Lock-Up Period”), the undersigned will not, without the prior written consent of the Representatives (it being understood that to the extent that prior to the consummation of the Public Offering, any such Underwriter ceases to participate in the Public Offering, such Underwriter shall cease to be a Representative hereunder),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(ii) enter into any swap, hedging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70" w:right="439" w:bottom="1440" w:gutter="0" w:footer="0" w:header="0"/>
        </w:sectPr>
      </w:pPr>
    </w:p>
    <w:bookmarkStart w:id="45" w:name="page46"/>
    <w:bookmarkEnd w:id="45"/>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and subject to the conditions below, the undersigned may transfer the Lock-Up Securities without the prior written consent of the Representatives, provided that (1) in the case of clause (i) through (vi) and (ix) below, the Representatives receive a signed lock-up agreement for the balance of the Lock-Up Period from each donee, trustee, distributee, or transferee, as the case may be, (2) (A) in the clauses</w:t>
      </w:r>
    </w:p>
    <w:p>
      <w:pPr>
        <w:spacing w:after="0" w:line="1" w:lineRule="exact"/>
        <w:rPr>
          <w:sz w:val="20"/>
          <w:szCs w:val="20"/>
          <w:color w:val="auto"/>
        </w:rPr>
      </w:pPr>
    </w:p>
    <w:p>
      <w:pPr>
        <w:ind w:left="4" w:right="20" w:hanging="4"/>
        <w:spacing w:after="0" w:line="253"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below, any such transfer shall not involve a disposition for value, (B) in the cases of clause (i) through (iv) below, such transfers are not required to be reported during the Lock-Up Period with the Securities and Exchange Commission (the “SEC”) on Form 4 in accordance with Section 16 of the Securities Exchange Act of 1934, as amended (the “Exchange Act”), and (C) in the cases of clauses (v) through (ix) below, any filing under Section 16 of the Exchange Act made during the Lock-Up Period shall clearly indicate in the footnotes the circumstances of the transfer, and (3) the undersigned does not otherwise voluntarily effect any public filing or report regarding such transfers during the Lock-Up Period:</w:t>
      </w:r>
    </w:p>
    <w:p>
      <w:pPr>
        <w:spacing w:after="0" w:line="9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general or limited partners, members, stockholders or other equity holders of the undersigned;</w:t>
      </w:r>
    </w:p>
    <w:p>
      <w:pPr>
        <w:spacing w:after="0" w:line="130"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that, directly or indirectly, controls or manages, is controlled or managed by, or is under common control or management with, the undersigned;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upon the death of the undersigned;</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4"/>
          </w:cols>
          <w:pgMar w:left="436" w:top="270" w:right="479" w:bottom="1440" w:gutter="0" w:footer="0" w:header="0"/>
        </w:sectPr>
      </w:pPr>
    </w:p>
    <w:bookmarkStart w:id="46" w:name="page47"/>
    <w:bookmarkEnd w:id="46"/>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 court of regulatory agency order, a qualified domestic order or in connection with a divorce settlement;</w:t>
      </w:r>
    </w:p>
    <w:p>
      <w:pPr>
        <w:spacing w:after="0" w:line="130"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settlement of restricted stock units or exercise of options, warrants or other rights to acquire shares of Common Stock or any security convertible, exercisable for or settled into shares of Common Stock of the Company by way of net exercise, net settlement and/or to cover withholding tax obligations in connection with such exercise or settlement pursuant to an employee benefit plan, option, restricted stock unit or warrant or other right disclosed in the prospectus for the Public Offering or any document incorporated by reference therein, provided that any such shares of the Common Stock issued upon settlement of such restricted stock unit or exercise of such option, warrant or other right shall be subject to the restrictions set forth herein;</w:t>
      </w:r>
    </w:p>
    <w:p>
      <w:pPr>
        <w:spacing w:after="0" w:line="92" w:lineRule="exact"/>
        <w:rPr>
          <w:rFonts w:ascii="Times New Roman" w:cs="Times New Roman" w:eastAsia="Times New Roman" w:hAnsi="Times New Roman"/>
          <w:sz w:val="18"/>
          <w:szCs w:val="18"/>
          <w:color w:val="auto"/>
        </w:rPr>
      </w:pPr>
    </w:p>
    <w:p>
      <w:pPr>
        <w:ind w:left="540" w:right="200" w:hanging="532"/>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agreements under which the Company has exercised its option to repurchase such shares or has exercised a right of first refusal with respect to transfers of such shares upon termination of service of the undersigned, so long as such agreement or right of first refusal is disclosed in the prospectus or any document incorporated by reference therein, for the Public Offering;</w:t>
      </w:r>
    </w:p>
    <w:p>
      <w:pPr>
        <w:spacing w:after="0" w:line="81"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bona fide third party pursuant to a merger, consolidation, tender offer or other similar transaction made to all holders of shares of the Common Stock and involving a Change of Control (as defined below)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 or</w:t>
      </w:r>
    </w:p>
    <w:p>
      <w:pPr>
        <w:spacing w:after="0" w:line="93"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sale on the open market of up to 100,000 shares (in the aggregate for all directors and executive officers of the Company) of Common Stock underlying restricted stock units held by the undersigned that will vest during the Lock-Up Period and settle during the Lock-Up Period, but solely to the extent necessary to satisfy income tax withholding and remittance obligations in connection with the vesting and settlement of such restricted stock units that are outstanding as of the date of the Prospectus and described therein and pursuant to an equity incentive plan or other equity award plan described in the Prospectus or in a document incorporated therein by reference; provided that (1) any remaining shares of Common Stock issued upon vesting of such restricted stock units shall be subject to the restrictions set forth in this lock-up agreement, (2) any filing under Section 16 of the Exchange Act required in connection therewith shall indicate that such transfer is to satisfy income tax withholding and remittance obligations in connection with the vesting and settlement of restricted stock units and (3) no filing or public announcement shall be voluntarily made during the Lock-Up Period.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580"/>
          </w:cols>
          <w:pgMar w:left="860" w:top="270" w:right="459" w:bottom="1440" w:gutter="0" w:footer="0" w:header="0"/>
        </w:sectPr>
      </w:pPr>
    </w:p>
    <w:bookmarkStart w:id="47" w:name="page48"/>
    <w:bookmarkEnd w:id="4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Furthermore, the undersigned may sell shares of Common Stock of the Company purchased by the undersigned from the underwriters in the Public Offering or on the open market following the Public Offering if and only if (i) such sales are not required to be reported in any public report or filing with the SEC, or otherwise and (ii) the undersigned does not otherwise voluntarily effect any public filing or report regarding such sales during the Lock-Up Period.</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(i) the undersigned may establish a trading plan pursuant to Rule 10b5-1 under the Exchange Act (a “10b5-1 Trading Plan”), provided that (A) any required filing under the Exchange Act made by the Company or any person regarding the establishment of such plan during the Lock-Up Period shall state that the undersigned is not permitted to sell, transfer or otherwise dispose of securities under such plan during the Lock-Up Period in contravention of this lock-up agreement and (B) no sales are made during the Lock-Up Period pursuant to such plan and (ii) the undersigned may sell shares of Common Stock or transfer as a distribution to general or limited partners, members, stockholders or other equity holders of the undersigned pursuant to a 10b5-1 Trading Plan, provided that such plan was established prior to the execution of this lock-up agreement by the undersigned and provided to the Representatives, and provided further that (x) any filing under Section 16(a) of the Exchange Act that is made in connection with any such sales during the Lock-Up Period shall state that such sales have been executed under a 10b5-1 Trading Plan and shall also state the date such 10b5-1 Trading Plan was adopted and (y) the undersigned does not otherwise voluntarily effect any public filing or report regarding such sales or transfers during the Lock-Up Period.</w:t>
      </w:r>
    </w:p>
    <w:p>
      <w:pPr>
        <w:spacing w:after="0" w:line="19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9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48" w:name="page49"/>
    <w:bookmarkEnd w:id="48"/>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lock-up agreement, the Lock-Up Period described herein and related restrictions shall automatically terminate upon the earliest to occur, if any, of (i) either the Company, on the one hand, or the Representatives, on the other hand, advising the other in writing prior to the execution of the Underwriting Agreement that it has determined not to proceed with the Public Offering, (ii) the termination of the Underwriting Agreement before payment for and delivery of the Common Stock to be sold thereunder, (iii) the registration statement filed under the Securities Act with respect to the Public Offering contemplated by the Underwriting Agreement is withdrawn or (iv) March 31, 2025, in the event the closing of the Public Offering shall not have occurred on or before such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20"/>
          </w:cols>
          <w:pgMar w:left="440" w:top="270" w:right="539" w:bottom="1440" w:gutter="0" w:footer="0" w:header="0"/>
        </w:sectPr>
      </w:pPr>
    </w:p>
    <w:bookmarkStart w:id="49" w:name="page50"/>
    <w:bookmarkEnd w:id="4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If signatory is an individual</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signatory is an entity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2631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171450</wp:posOffset>
            </wp:positionV>
            <wp:extent cx="5332095" cy="805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3209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March 12,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Irvine, CA 92618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7"/>
          <w:szCs w:val="17"/>
          <w:color w:val="auto"/>
        </w:rPr>
        <w:t>You have requested our opinion with respect to certain matters in connection with the sale and issuance by Tarsus Pharmaceuticals,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of up to an aggregate of 3,230,336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Company’s common stock, par value $0.0001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(including up to an aggregate of 421,348 Shares that may be sold pursuant to the exercise of an option granted by the Company to the underwriters), pursuant to (i) a shelf registration statement on Form S-3 (File No. 333-277523)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on February 29, 2024, which became automatically effective upon filing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as supplemented by the prospectus supplement, dated March 12, 2025, filed with the Commission pursuant to Rule 424(b) under the Act (the “</w:t>
      </w:r>
      <w:r>
        <w:rPr>
          <w:rFonts w:ascii="Times New Roman" w:cs="Times New Roman" w:eastAsia="Times New Roman" w:hAnsi="Times New Roman"/>
          <w:sz w:val="17"/>
          <w:szCs w:val="17"/>
          <w:b w:val="1"/>
          <w:bCs w:val="1"/>
          <w:i w:val="1"/>
          <w:iCs w:val="1"/>
          <w:color w:val="auto"/>
        </w:rPr>
        <w:t>Prospectus Supplement</w:t>
      </w:r>
      <w:r>
        <w:rPr>
          <w:rFonts w:ascii="Times New Roman" w:cs="Times New Roman" w:eastAsia="Times New Roman" w:hAnsi="Times New Roman"/>
          <w:sz w:val="17"/>
          <w:szCs w:val="17"/>
          <w:color w:val="auto"/>
        </w:rPr>
        <w:t>” and together with the Base Prospectus,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4" w:right="120" w:hanging="4"/>
        <w:spacing w:after="0" w:line="260"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underwriting agreement, dated March 12, 2025, entered into by and among the Company and Goldman Sachs &amp; Co. LLC, BofA Securities, Inc., and Barclay Capital Inc., as representatives of the several underwriters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and the Prospectus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87630</wp:posOffset>
            </wp:positionV>
            <wp:extent cx="5332095" cy="351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32095" cy="351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516255</wp:posOffset>
            </wp:positionV>
            <wp:extent cx="699516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51" w:name="page52"/>
    <w:bookmarkEnd w:id="51"/>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included in the Prospectus and to the filing of this opinion as an exhibit to the Company’s Current Report on Form 8-K to be filed with the Commission on March 13, 2025. In giving such consent, we do not thereby admit that we are in the category of persons whose consent is required under Section 7 of the Act or the rules and regulations of the Commission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Gunderson Dettmer Stough Villeneuve Franklin &amp;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Hachigian, LLP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GUNDERSON DETTMER STOUGH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VILLENEUVE FRANKLIN &amp; HACHIGIAN, LLP</w:t>
      </w:r>
    </w:p>
    <w:p>
      <w:pPr>
        <w:sectPr>
          <w:pgSz w:w="11900" w:h="16838" w:orient="portrait"/>
          <w:cols w:equalWidth="0" w:num="1">
            <w:col w:w="11000"/>
          </w:cols>
          <w:pgMar w:left="440" w:top="270" w:right="4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173990</wp:posOffset>
            </wp:positionV>
            <wp:extent cx="1440180" cy="1045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Announces Proposed $100.0 Million Public Offering</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IRVINE, Calif., March 12, 2025 (GLOBAL NEWSWIRE) — Tarsus Pharmaceuticals, Inc. (Nasdaq: TARS) (the “Company” or “Tarsus”) today announced the commencement of an underwritten public offering of $100.0 million of shares of its common stock. Tarsus also intends to grant the underwriters a 30-day option to purchase up to an additional $15.0 million of shares of its common stock offered in the proposed offering. All shares in the proposed offering are to be sold by Tarsus. The offering is subject to market and other conditions, and there can be no assurance as to whether or when the offering may be completed, or as to the actual size or terms of the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BofA Securities, Barclays, and Oppenheimer &amp; Co. are acting as joint book-running managers for the offering.</w:t>
      </w:r>
    </w:p>
    <w:p>
      <w:pPr>
        <w:spacing w:after="0" w:line="22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A registration statement relating to the shares to be sold in the proposed offering was filed with the U.S. Securities and Exchange Commission (“SEC”) on February 29, 2024 and became automatically effective upon filing. Copies of the registration statement can be accessed through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The offering will be made only by means of prospectus. A preliminary prospectus supplement related to the offering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accompanying prospectus) will be filed with the SEC and will be available on the SEC’s website located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Copies of the preliminary prospectus supplement and the accompanying prospectus may also be obtained, when available, from: Goldman Sachs &amp; Co. LLC, Attention: Prospectus Department, 200 West Street, New York, New York 10282, by telephone at (866) 471-2526, or by email at prospectus-ny@ny.email.gs.com; BofA Securities, NC1-022-02-25, 201 North Tryon Street, Charlotte, North Carolina 28255-0001, Attention: Prospectus Department, or by email at dg.prospectus_requests@bofa.com; Barclays Capital Inc., c/o Broadridge Financial Solutions, 1155 Long Island Avenue, Edgewood, New York 11717, by telephone at (888) 603-5847, or by email at Barclaysprospectus@broadridge.com; or Oppenheimer &amp; Co. Inc., Attention: Syndicate Prospectus Department, 85 Broad Street, 26th Floor, New York, New York 10004, by telephone at (212) 667-8055, or by email at EquityProspectus@opco.com.</w:t>
      </w:r>
    </w:p>
    <w:p>
      <w:pPr>
        <w:spacing w:after="0" w:line="17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shares, nor shall there be any sale of these shares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Tarsus Pharmaceuticals, Inc.</w:t>
      </w:r>
    </w:p>
    <w:p>
      <w:pPr>
        <w:spacing w:after="0" w:line="121" w:lineRule="exact"/>
        <w:rPr>
          <w:sz w:val="20"/>
          <w:szCs w:val="20"/>
          <w:color w:val="auto"/>
        </w:rPr>
      </w:pPr>
    </w:p>
    <w:p>
      <w:pPr>
        <w:ind w:left="4" w:right="140"/>
        <w:spacing w:after="0" w:line="281" w:lineRule="auto"/>
        <w:rPr>
          <w:sz w:val="20"/>
          <w:szCs w:val="20"/>
          <w:color w:val="auto"/>
        </w:rPr>
      </w:pPr>
      <w:r>
        <w:rPr>
          <w:rFonts w:ascii="Times New Roman" w:cs="Times New Roman" w:eastAsia="Times New Roman" w:hAnsi="Times New Roman"/>
          <w:sz w:val="17"/>
          <w:szCs w:val="17"/>
          <w:color w:val="auto"/>
        </w:rPr>
        <w:t>Tarsus Pharmaceuticals, Inc. applies proven science and new technology to revolutionize treatment for patients, starting with eye care. Tarsus is advancing its pipeline to address several diseases with high unmet need across a range of therapeutic categories, including eye care and infectious disease prevention. XDEMVY (lotilaner ophthalmic solution, 0.25%) is FDA approved in the United States for the treatment of Demodex blepharitis. Tarsus is also developing TP-04 for the potential treatment of Ocular Rosacea and TP-05 as an oral tablet for the potential prevention of Lyme disease.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but not limited to, risks and uncertainties related to market conditions, and satisfaction of customary closing conditions related to the proposed public offering and the grant to the underwriters of an option to purchase additional shares.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2024 filed on February 25, 2025 with the SEC,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Adrienne Kemp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9" w:lineRule="exact"/>
        <w:rPr>
          <w:sz w:val="20"/>
          <w:szCs w:val="20"/>
          <w:color w:val="auto"/>
        </w:rPr>
      </w:pPr>
    </w:p>
    <w:p>
      <w:pPr>
        <w:ind w:left="444" w:hanging="444"/>
        <w:spacing w:after="0"/>
        <w:tabs>
          <w:tab w:leader="none" w:pos="4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922-0801</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akemp@tarsusrx.com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 Contact: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David Nakasone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right="9060" w:hanging="4"/>
        <w:spacing w:after="0" w:line="290" w:lineRule="auto"/>
        <w:tabs>
          <w:tab w:leader="none" w:pos="43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620-3223 </w:t>
      </w:r>
      <w:r>
        <w:rPr>
          <w:rFonts w:ascii="Times New Roman" w:cs="Times New Roman" w:eastAsia="Times New Roman" w:hAnsi="Times New Roman"/>
          <w:sz w:val="17"/>
          <w:szCs w:val="17"/>
          <w:u w:val="single" w:color="auto"/>
          <w:color w:val="auto"/>
        </w:rPr>
        <w:t>DNakasone@tarsusrx.com</w:t>
      </w:r>
    </w:p>
    <w:p>
      <w:pPr>
        <w:sectPr>
          <w:pgSz w:w="11900" w:h="16838" w:orient="portrait"/>
          <w:cols w:equalWidth="0" w:num="1">
            <w:col w:w="10984"/>
          </w:cols>
          <w:pgMar w:left="436" w:top="266" w:right="4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19685</wp:posOffset>
            </wp:positionV>
            <wp:extent cx="1440180" cy="1045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Announces Pricing of Upsized $125.0 Million Public Offering</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IRVINE, Calif., March 12, 2025 — Tarsus Pharmaceuticals, Inc. (Nasdaq: TARS) (the “Company” or “Tarsus”) today announced the pricing of an upsized underwritten public offering of 2,808,988 shares of its common stock at a public offering price of $44.50 per share. In addition, Tarsus has granted the underwriters a 30-day option to purchase up to an additional 421,348 shares of its common stock at the public offering price, less underwriting discounts and commissions. The gross proceeds from the offering, before deducting underwriting discounts and commissions and other estimated offering expenses payable by Tarsus, are expected to be approximately $125.0 million, excluding any exercise of the underwriters’ option to purchase additional shares. The offering is expected to close on March 14, 2025, subject to the satisfaction of customary closing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BofA Securities, Barclays, and Oppenheimer &amp; Co. are acting as joint book-running managers for the offering.</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A registration statement relating to the shares to be sold in the offering was filed with the U.S. Securities and Exchange Commission (the “SEC”) on February 29, 2024 and became automatically effective upon filing. Copies of the registration statement can be accessed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offering is being made only by means of a prospectus supplement and the accompanying prospectus which forms a part of the effective shelf registration statement.</w:t>
      </w:r>
    </w:p>
    <w:p>
      <w:pPr>
        <w:spacing w:after="0" w:line="180"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A preliminary prospectus supplement related to the offering (including the accompanying prospectus) has been filed with the SEC and is available on the SEC’s website located at www.sec.gov. Copies of the final prospectus supplement and the accompanying prospectus may also be obtained, when available, from: Goldman Sachs &amp; Co. LLC, Attention: Prospectus Department, 200 West Street, New York, New York 10282, by telephone at (866)</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471-2526, or by email at prospectus-ny@ny.email.gs.com; BofA Securities, NC1-022-02-25, 201 North Tryon Street, Charlotte, North Carolina 28255-0001, Attention: Prospectus Department, or by email at dg.prospectus_requests@bofa.com; Barclays Capital Inc., c/o Broadridge Financial Solutions, 1155 Long Island Avenue, Edgewood, New York 11717, by telephone at (888) 603-5847, or by email at Barclaysprospectus@broadridge.com; or Oppenheimer &amp; Co. Inc., Attention: Syndicate Prospectus Department, 85 Broad Street, 26th Floor, New York, New York 10004, by telephone at (212) 667-8055, or by email at EquityProspectus@opco.com.</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shares, nor shall there be any sale of these shares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Tarsus Pharmaceuticals, Inc. applies proven science and new technology to revolutionize</w:t>
      </w:r>
    </w:p>
    <w:p>
      <w:pPr>
        <w:sectPr>
          <w:pgSz w:w="11900" w:h="16838" w:orient="portrait"/>
          <w:cols w:equalWidth="0" w:num="1">
            <w:col w:w="11020"/>
          </w:cols>
          <w:pgMar w:left="440" w:top="117" w:right="439" w:bottom="1440" w:gutter="0" w:footer="0" w:header="0"/>
        </w:sectPr>
      </w:pPr>
    </w:p>
    <w:bookmarkStart w:id="55" w:name="page56"/>
    <w:bookmarkEnd w:id="55"/>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for patients, starting with eye care. Tarsus is advancing its pipeline to address several diseases with high unmet need across a range of therapeutic categories, including eye care and infectious disease prevention. XDEMVY (lotilaner ophthalmic solution, 0.25%) is FDA approved in the United States for the treatment of Demodex blepharitis. Tarsus is also developing TP-04 for the potential treatment of Ocular Rosacea and TP-05 as an oral tablet for the potential prevention of Lyme disease.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but not limited to, risks and uncertainties related to market conditions and satisfaction of customary closing conditions related to the public offering.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2024, filed on February 25, 2025, with the SEC,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Adrienne Kemp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9" w:lineRule="exact"/>
        <w:rPr>
          <w:sz w:val="20"/>
          <w:szCs w:val="20"/>
          <w:color w:val="auto"/>
        </w:rPr>
      </w:pPr>
    </w:p>
    <w:p>
      <w:pPr>
        <w:ind w:left="4" w:right="9280" w:hanging="4"/>
        <w:spacing w:after="0" w:line="290" w:lineRule="auto"/>
        <w:tabs>
          <w:tab w:leader="none" w:pos="43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922-0801 </w:t>
      </w:r>
      <w:r>
        <w:rPr>
          <w:rFonts w:ascii="Times New Roman" w:cs="Times New Roman" w:eastAsia="Times New Roman" w:hAnsi="Times New Roman"/>
          <w:sz w:val="17"/>
          <w:szCs w:val="17"/>
          <w:u w:val="single" w:color="auto"/>
          <w:color w:val="auto"/>
        </w:rPr>
        <w:t>AKemp@tarsusrx.com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 Contact: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David Nakasone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right="9020" w:hanging="4"/>
        <w:spacing w:after="0" w:line="290" w:lineRule="auto"/>
        <w:tabs>
          <w:tab w:leader="none" w:pos="43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620-3223 </w:t>
      </w:r>
      <w:r>
        <w:rPr>
          <w:rFonts w:ascii="Times New Roman" w:cs="Times New Roman" w:eastAsia="Times New Roman" w:hAnsi="Times New Roman"/>
          <w:sz w:val="17"/>
          <w:szCs w:val="17"/>
          <w:u w:val="single" w:color="auto"/>
          <w:color w:val="auto"/>
        </w:rPr>
        <w:t>DNakasone@tarsusrx.com</w:t>
      </w:r>
    </w:p>
    <w:sectPr>
      <w:pgSz w:w="11900" w:h="16838" w:orient="portrait"/>
      <w:cols w:equalWidth="0" w:num="1">
        <w:col w:w="10944"/>
      </w:cols>
      <w:pgMar w:left="43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Letter"/>
      <w:start w:val="1"/>
    </w:lvl>
    <w:lvl w:ilvl="1">
      <w:lvlJc w:val="left"/>
      <w:lvlText w:val="(%2)"/>
      <w:numFmt w:val="lowerLetter"/>
      <w:start w:val="9"/>
    </w:lvl>
  </w:abstractNum>
  <w:abstractNum w:abstractNumId="2">
    <w:nsid w:val="2901D82"/>
    <w:multiLevelType w:val="hybridMultilevel"/>
    <w:lvl w:ilvl="0">
      <w:lvlJc w:val="left"/>
      <w:lvlText w:val="(%1)"/>
      <w:numFmt w:val="lowerRoman"/>
      <w:start w:val="2"/>
    </w:lvl>
  </w:abstractNum>
  <w:abstractNum w:abstractNumId="3">
    <w:nsid w:val="3A95F874"/>
    <w:multiLevelType w:val="hybridMultilevel"/>
    <w:lvl w:ilvl="0">
      <w:lvlJc w:val="left"/>
      <w:lvlText w:val="(%1)"/>
      <w:numFmt w:val="lowerRoman"/>
      <w:start w:val="3"/>
    </w:lvl>
  </w:abstractNum>
  <w:abstractNum w:abstractNumId="4">
    <w:nsid w:val="8138641"/>
    <w:multiLevelType w:val="hybridMultilevel"/>
    <w:lvl w:ilvl="0">
      <w:lvlJc w:val="left"/>
      <w:lvlText w:val="(%1)"/>
      <w:numFmt w:val="lowerRoman"/>
      <w:start w:val="4"/>
    </w:lvl>
  </w:abstractNum>
  <w:abstractNum w:abstractNumId="5">
    <w:nsid w:val="1E7FF521"/>
    <w:multiLevelType w:val="hybridMultilevel"/>
    <w:lvl w:ilvl="0">
      <w:lvlJc w:val="left"/>
      <w:lvlText w:val="(%1)"/>
      <w:numFmt w:val="lowerRoman"/>
      <w:start w:val="6"/>
    </w:lvl>
  </w:abstractNum>
  <w:abstractNum w:abstractNumId="6">
    <w:nsid w:val="7C3DBD3D"/>
    <w:multiLevelType w:val="hybridMultilevel"/>
    <w:lvl w:ilvl="0">
      <w:lvlJc w:val="left"/>
      <w:lvlText w:val="(%1)"/>
      <w:numFmt w:val="lowerRoman"/>
      <w:start w:val="10"/>
    </w:lvl>
  </w:abstractNum>
  <w:abstractNum w:abstractNumId="7">
    <w:nsid w:val="737B8DDC"/>
    <w:multiLevelType w:val="hybridMultilevel"/>
    <w:lvl w:ilvl="0">
      <w:lvlJc w:val="left"/>
      <w:lvlText w:val="(%1)"/>
      <w:numFmt w:val="lowerRoman"/>
      <w:start w:val="18"/>
    </w:lvl>
  </w:abstractNum>
  <w:abstractNum w:abstractNumId="8">
    <w:nsid w:val="6CEAF087"/>
    <w:multiLevelType w:val="hybridMultilevel"/>
    <w:lvl w:ilvl="0">
      <w:lvlJc w:val="left"/>
      <w:lvlText w:val="%1"/>
      <w:numFmt w:val="upperLetter"/>
      <w:start w:val="1"/>
    </w:lvl>
    <w:lvl w:ilvl="1">
      <w:lvlJc w:val="left"/>
      <w:lvlText w:val="(%2)"/>
      <w:numFmt w:val="lowerRoman"/>
      <w:start w:val="20"/>
    </w:lvl>
  </w:abstractNum>
  <w:abstractNum w:abstractNumId="9">
    <w:nsid w:val="22221A70"/>
    <w:multiLevelType w:val="hybridMultilevel"/>
    <w:lvl w:ilvl="0">
      <w:lvlJc w:val="left"/>
      <w:lvlText w:val="(%1)"/>
      <w:numFmt w:val="upperLetter"/>
      <w:start w:val="2"/>
    </w:lvl>
    <w:lvl w:ilvl="1">
      <w:lvlJc w:val="left"/>
      <w:lvlText w:val="%2"/>
      <w:numFmt w:val="lowerRoman"/>
      <w:start w:val="1"/>
    </w:lvl>
  </w:abstractNum>
  <w:abstractNum w:abstractNumId="10">
    <w:nsid w:val="4516DDE9"/>
    <w:multiLevelType w:val="hybridMultilevel"/>
    <w:lvl w:ilvl="0">
      <w:lvlJc w:val="left"/>
      <w:lvlText w:val="(%1)"/>
      <w:numFmt w:val="lowerRoman"/>
      <w:start w:val="24"/>
    </w:lvl>
  </w:abstractNum>
  <w:abstractNum w:abstractNumId="11">
    <w:nsid w:val="3006C83E"/>
    <w:multiLevelType w:val="hybridMultilevel"/>
    <w:lvl w:ilvl="0">
      <w:lvlJc w:val="left"/>
      <w:lvlText w:val="%1"/>
      <w:numFmt w:val="upperLetter"/>
      <w:start w:val="1"/>
    </w:lvl>
    <w:lvl w:ilvl="1">
      <w:lvlJc w:val="left"/>
      <w:lvlText w:val="(%2)"/>
      <w:numFmt w:val="lowerRoman"/>
      <w:start w:val="25"/>
    </w:lvl>
  </w:abstractNum>
  <w:abstractNum w:abstractNumId="12">
    <w:nsid w:val="614FD4A1"/>
    <w:multiLevelType w:val="hybridMultilevel"/>
    <w:lvl w:ilvl="0">
      <w:lvlJc w:val="left"/>
      <w:lvlText w:val="(%1)"/>
      <w:numFmt w:val="upperLetter"/>
      <w:start w:val="1"/>
    </w:lvl>
    <w:lvl w:ilvl="1">
      <w:lvlJc w:val="left"/>
      <w:lvlText w:val="%2"/>
      <w:numFmt w:val="lowerRoman"/>
      <w:start w:val="1"/>
    </w:lvl>
  </w:abstractNum>
  <w:abstractNum w:abstractNumId="13">
    <w:nsid w:val="419AC241"/>
    <w:multiLevelType w:val="hybridMultilevel"/>
    <w:lvl w:ilvl="0">
      <w:lvlJc w:val="left"/>
      <w:lvlText w:val="%1"/>
      <w:numFmt w:val="upperLetter"/>
      <w:start w:val="1"/>
    </w:lvl>
    <w:lvl w:ilvl="1">
      <w:lvlJc w:val="left"/>
      <w:lvlText w:val="(%2)"/>
      <w:numFmt w:val="lowerRoman"/>
      <w:start w:val="26"/>
    </w:lvl>
  </w:abstractNum>
  <w:abstractNum w:abstractNumId="14">
    <w:nsid w:val="5577F8E1"/>
    <w:multiLevelType w:val="hybridMultilevel"/>
    <w:lvl w:ilvl="0">
      <w:lvlJc w:val="left"/>
      <w:lvlText w:val="(%1)"/>
      <w:numFmt w:val="upperLetter"/>
      <w:start w:val="2"/>
    </w:lvl>
    <w:lvl w:ilvl="1">
      <w:lvlJc w:val="left"/>
      <w:lvlText w:val="(%2)"/>
      <w:numFmt w:val="lowerRoman"/>
      <w:start w:val="27"/>
    </w:lvl>
  </w:abstractNum>
  <w:abstractNum w:abstractNumId="15">
    <w:nsid w:val="440BADFC"/>
    <w:multiLevelType w:val="hybridMultilevel"/>
    <w:lvl w:ilvl="0">
      <w:lvlJc w:val="left"/>
      <w:lvlText w:val="(%1)"/>
      <w:numFmt w:val="lowerRoman"/>
      <w:start w:val="29"/>
    </w:lvl>
  </w:abstractNum>
  <w:abstractNum w:abstractNumId="16">
    <w:nsid w:val="5072367"/>
    <w:multiLevelType w:val="hybridMultilevel"/>
    <w:lvl w:ilvl="0">
      <w:lvlJc w:val="left"/>
      <w:lvlText w:val="(%1)"/>
      <w:numFmt w:val="lowerRoman"/>
      <w:start w:val="34"/>
    </w:lvl>
  </w:abstractNum>
  <w:abstractNum w:abstractNumId="17">
    <w:nsid w:val="3804823E"/>
    <w:multiLevelType w:val="hybridMultilevel"/>
    <w:lvl w:ilvl="0">
      <w:lvlJc w:val="left"/>
      <w:lvlText w:val="(%1)"/>
      <w:numFmt w:val="lowerRoman"/>
      <w:start w:val="38"/>
    </w:lvl>
  </w:abstractNum>
  <w:abstractNum w:abstractNumId="18">
    <w:nsid w:val="77465F01"/>
    <w:multiLevelType w:val="hybridMultilevel"/>
    <w:lvl w:ilvl="0">
      <w:lvlJc w:val="left"/>
      <w:lvlText w:val="(%1)"/>
      <w:numFmt w:val="lowerRoman"/>
      <w:start w:val="39"/>
    </w:lvl>
  </w:abstractNum>
  <w:abstractNum w:abstractNumId="19">
    <w:nsid w:val="7724C67E"/>
    <w:multiLevelType w:val="hybridMultilevel"/>
    <w:lvl w:ilvl="0">
      <w:lvlJc w:val="left"/>
      <w:lvlText w:val="(%1)"/>
      <w:numFmt w:val="upperLetter"/>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lowerLetter"/>
      <w:start w:val="25"/>
    </w:lvl>
  </w:abstractNum>
  <w:abstractNum w:abstractNumId="22">
    <w:nsid w:val="5E884ADC"/>
    <w:multiLevelType w:val="hybridMultilevel"/>
    <w:lvl w:ilvl="0">
      <w:lvlJc w:val="left"/>
      <w:lvlText w:val="(%1)"/>
      <w:numFmt w:val="lowerLetter"/>
      <w:start w:val="2"/>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2"/>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3"/>
    </w:lvl>
  </w:abstractNum>
  <w:abstractNum w:abstractNumId="27">
    <w:nsid w:val="3855585C"/>
    <w:multiLevelType w:val="hybridMultilevel"/>
    <w:lvl w:ilvl="0">
      <w:lvlJc w:val="left"/>
      <w:lvlText w:val="(%1)"/>
      <w:numFmt w:val="lowerLetter"/>
      <w:start w:val="9"/>
    </w:lvl>
  </w:abstractNum>
  <w:abstractNum w:abstractNumId="28">
    <w:nsid w:val="70A64E2A"/>
    <w:multiLevelType w:val="hybridMultilevel"/>
    <w:lvl w:ilvl="0">
      <w:lvlJc w:val="left"/>
      <w:lvlText w:val="(%1)"/>
      <w:numFmt w:val="lowerLetter"/>
      <w:start w:val="13"/>
    </w:lvl>
  </w:abstractNum>
  <w:abstractNum w:abstractNumId="29">
    <w:nsid w:val="6A2342EC"/>
    <w:multiLevelType w:val="hybridMultilevel"/>
    <w:lvl w:ilvl="0">
      <w:lvlJc w:val="left"/>
      <w:lvlText w:val="%1"/>
      <w:numFmt w:val="lowerRoman"/>
      <w:start w:val="1"/>
    </w:lvl>
    <w:lvl w:ilvl="1">
      <w:lvlJc w:val="left"/>
      <w:lvlText w:val="(%2)"/>
      <w:numFmt w:val="lowerLetter"/>
      <w:start w:val="1"/>
    </w:lvl>
  </w:abstractNum>
  <w:abstractNum w:abstractNumId="30">
    <w:nsid w:val="2A487CB0"/>
    <w:multiLevelType w:val="hybridMultilevel"/>
    <w:lvl w:ilvl="0">
      <w:lvlJc w:val="left"/>
      <w:lvlText w:val="(%1)"/>
      <w:numFmt w:val="lowerRoman"/>
      <w:start w:val="4"/>
    </w:lvl>
    <w:lvl w:ilvl="1">
      <w:lvlJc w:val="left"/>
      <w:lvlText w:val="%2"/>
      <w:numFmt w:val="lowerLetter"/>
      <w:start w:val="1"/>
    </w:lvl>
  </w:abstractNum>
  <w:abstractNum w:abstractNumId="31">
    <w:nsid w:val="1D4ED43B"/>
    <w:multiLevelType w:val="hybridMultilevel"/>
    <w:lvl w:ilvl="0">
      <w:lvlJc w:val="left"/>
      <w:lvlText w:val="%1"/>
      <w:numFmt w:val="lowerLetter"/>
      <w:start w:val="1"/>
    </w:lvl>
    <w:lvl w:ilvl="1">
      <w:lvlJc w:val="left"/>
      <w:lvlText w:val="(%2)"/>
      <w:numFmt w:val="lowerLetter"/>
      <w:start w:val="2"/>
    </w:lvl>
  </w:abstractNum>
  <w:abstractNum w:abstractNumId="32">
    <w:nsid w:val="725A06FB"/>
    <w:multiLevelType w:val="hybridMultilevel"/>
    <w:lvl w:ilvl="0">
      <w:lvlJc w:val="left"/>
      <w:lvlText w:val="(%1)"/>
      <w:numFmt w:val="lowerLetter"/>
      <w:start w:val="9"/>
    </w:lvl>
    <w:lvl w:ilvl="1">
      <w:lvlJc w:val="left"/>
      <w:lvlText w:val="%2"/>
      <w:numFmt w:val="lowerLetter"/>
      <w:start w:val="1"/>
    </w:lvl>
  </w:abstractNum>
  <w:abstractNum w:abstractNumId="33">
    <w:nsid w:val="2CD89A32"/>
    <w:multiLevelType w:val="hybridMultilevel"/>
    <w:lvl w:ilvl="0">
      <w:lvlJc w:val="left"/>
      <w:lvlText w:val="(%1)"/>
      <w:numFmt w:val="lowerLetter"/>
      <w:start w:val="1"/>
    </w:lvl>
    <w:lvl w:ilvl="1">
      <w:lvlJc w:val="left"/>
      <w:lvlText w:val="(%2)"/>
      <w:numFmt w:val="lowerRoman"/>
      <w:start w:val="1"/>
    </w:lvl>
  </w:abstractNum>
  <w:abstractNum w:abstractNumId="34">
    <w:nsid w:val="57E4CCAF"/>
    <w:multiLevelType w:val="hybridMultilevel"/>
    <w:lvl w:ilvl="0">
      <w:lvlJc w:val="left"/>
      <w:lvlText w:val="(%1)"/>
      <w:numFmt w:val="lowerLetter"/>
      <w:start w:val="4"/>
    </w:lvl>
  </w:abstractNum>
  <w:abstractNum w:abstractNumId="35">
    <w:nsid w:val="7A6D8D3C"/>
    <w:multiLevelType w:val="hybridMultilevel"/>
    <w:lvl w:ilvl="0">
      <w:lvlJc w:val="left"/>
      <w:lvlText w:val="(%1)"/>
      <w:numFmt w:val="lowerLetter"/>
      <w:start w:val="10"/>
    </w:lvl>
    <w:lvl w:ilvl="1">
      <w:lvlJc w:val="left"/>
      <w:lvlText w:val="(%2)"/>
      <w:numFmt w:val="lowerLetter"/>
      <w:start w:val="9"/>
    </w:lvl>
  </w:abstractNum>
  <w:abstractNum w:abstractNumId="36">
    <w:nsid w:val="4B588F54"/>
    <w:multiLevelType w:val="hybridMultilevel"/>
    <w:lvl w:ilvl="0">
      <w:lvlJc w:val="left"/>
      <w:lvlText w:val="%1"/>
      <w:numFmt w:val="lowerLetter"/>
      <w:start w:val="1"/>
    </w:lvl>
    <w:lvl w:ilvl="1">
      <w:lvlJc w:val="left"/>
      <w:lvlText w:val="(%2)"/>
      <w:numFmt w:val="lowerRoman"/>
      <w:start w:val="2"/>
    </w:lvl>
  </w:abstractNum>
  <w:abstractNum w:abstractNumId="37">
    <w:nsid w:val="542289EC"/>
    <w:multiLevelType w:val="hybridMultilevel"/>
    <w:lvl w:ilvl="0">
      <w:lvlJc w:val="left"/>
      <w:lvlText w:val="(%1)"/>
      <w:numFmt w:val="lowerLetter"/>
      <w:start w:val="13"/>
    </w:lvl>
    <w:lvl w:ilvl="1">
      <w:lvlJc w:val="left"/>
      <w:lvlText w:val="%2"/>
      <w:numFmt w:val="lowerRoman"/>
      <w:start w:val="1"/>
    </w:lvl>
  </w:abstractNum>
  <w:abstractNum w:abstractNumId="38">
    <w:nsid w:val="6DE91B18"/>
    <w:multiLevelType w:val="hybridMultilevel"/>
    <w:lvl w:ilvl="0">
      <w:lvlJc w:val="left"/>
      <w:lvlText w:val="(%1)"/>
      <w:numFmt w:val="lowerLetter"/>
      <w:start w:val="1"/>
    </w:lvl>
    <w:lvl w:ilvl="1">
      <w:lvlJc w:val="left"/>
      <w:lvlText w:val="(%2)"/>
      <w:numFmt w:val="lowerRoman"/>
      <w:start w:val="1"/>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1)"/>
      <w:numFmt w:val="lowerLetter"/>
      <w:start w:val="3"/>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Roman"/>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 "/>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
      <w:numFmt w:val="bullet"/>
      <w:start w:val="1"/>
    </w:lvl>
  </w:abstractNum>
  <w:abstractNum w:abstractNumId="48">
    <w:nsid w:val="75C6C33A"/>
    <w:multiLevelType w:val="hybridMultilevel"/>
    <w:lvl w:ilvl="0">
      <w:lvlJc w:val="left"/>
      <w:lvlText w:val="(%1)"/>
      <w:numFmt w:val="lowerRoman"/>
      <w:start w:val="1"/>
    </w:lvl>
    <w:lvl w:ilvl="1">
      <w:lvlJc w:val="left"/>
      <w:lvlText w:val="(%2)"/>
      <w:numFmt w:val="lowerRoman"/>
      <w:start w:val="1"/>
    </w:lvl>
  </w:abstractNum>
  <w:abstractNum w:abstractNumId="49">
    <w:nsid w:val="12E685FB"/>
    <w:multiLevelType w:val="hybridMultilevel"/>
    <w:lvl w:ilvl="0">
      <w:lvlJc w:val="left"/>
      <w:lvlText w:val="(%1)"/>
      <w:numFmt w:val="lowerRoman"/>
      <w:start w:val="6"/>
    </w:lvl>
  </w:abstractNum>
  <w:abstractNum w:abstractNumId="50">
    <w:nsid w:val="70C6A529"/>
    <w:multiLevelType w:val="hybridMultilevel"/>
    <w:lvl w:ilvl="0">
      <w:lvlJc w:val="left"/>
      <w:lvlText w:val="(%1)"/>
      <w:numFmt w:val="lowerRoman"/>
      <w:start w:val="2"/>
    </w:lvl>
  </w:abstractNum>
  <w:abstractNum w:abstractNumId="51">
    <w:nsid w:val="520EEDD1"/>
    <w:multiLevelType w:val="hybridMultilevel"/>
    <w:lvl w:ilvl="0">
      <w:lvlJc w:val="left"/>
      <w:lvlText w:val="(%1)"/>
      <w:numFmt w:val="decimal"/>
      <w:start w:val="949"/>
    </w:lvl>
  </w:abstractNum>
  <w:abstractNum w:abstractNumId="52">
    <w:nsid w:val="374A3FE6"/>
    <w:multiLevelType w:val="hybridMultilevel"/>
    <w:lvl w:ilvl="0">
      <w:lvlJc w:val="left"/>
      <w:lvlText w:val="(%1)"/>
      <w:numFmt w:val="decimal"/>
      <w:start w:val="949"/>
    </w:lvl>
  </w:abstractNum>
  <w:abstractNum w:abstractNumId="53">
    <w:nsid w:val="4F4EF005"/>
    <w:multiLevelType w:val="hybridMultilevel"/>
    <w:lvl w:ilvl="0">
      <w:lvlJc w:val="left"/>
      <w:lvlText w:val="(%1)"/>
      <w:numFmt w:val="decimal"/>
      <w:start w:val="949"/>
    </w:lvl>
  </w:abstractNum>
  <w:abstractNum w:abstractNumId="54">
    <w:nsid w:val="23F9C13C"/>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2025-03-13T16:13:52Z</dcterms:created>
  <dcterms:modified xsi:type="dcterms:W3CDTF">2025-03-13T16:13:52Z</dcterms:modified>
</cp:coreProperties>
</file>