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February 27, 2024</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S-8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REGISTRATION STATEMENT </w: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 xml:space="preserve">Under </w:t>
      </w:r>
    </w:p>
    <w:p>
      <w:pPr>
        <w:pStyle w:val="TextBody"/>
        <w:bidi w:val="0"/>
        <w:spacing w:lineRule="auto" w:line="240" w:before="0" w:after="0"/>
        <w:jc w:val="center"/>
        <w:rPr>
          <w:rFonts w:ascii="Times New Roman;sans-serif" w:hAnsi="Times New Roman;sans-serif"/>
          <w:b/>
          <w:i/>
          <w:color w:val="000000"/>
          <w:sz w:val="24"/>
        </w:rPr>
      </w:pPr>
      <w:r>
        <w:rPr>
          <w:rFonts w:ascii="Times New Roman;sans-serif" w:hAnsi="Times New Roman;sans-serif"/>
          <w:b/>
          <w:i/>
          <w:color w:val="000000"/>
          <w:sz w:val="24"/>
        </w:rPr>
        <w:t xml:space="preserve">The Securities Act of 1933 </w:t>
      </w:r>
    </w:p>
    <w:p>
      <w:pPr>
        <w:pStyle w:val="TextBody"/>
        <w:bidi w:val="0"/>
        <w:spacing w:lineRule="auto" w:line="240"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TARSUS PHARMACEUTICALS, INC.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81-4717861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15440 Laguna Canyon Road, Suite 160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Irvine, CA 92618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(949) 418-1801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Tarsus Pharmaceuticals, Inc. 2020 Equity Incentive Plan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(Full title of plan)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Bobak Azamian, M.D., Ph.D.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Tarsus Pharmaceuticals, Inc.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15440 Laguna Canyon Road, Suite 160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Irvine, CA 92618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and address of agent for service)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(949) 418-1801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(Telephone number, including area code, of agent for service) </w:t>
      </w:r>
    </w:p>
    <w:p>
      <w:pPr>
        <w:pStyle w:val="TextBody"/>
        <w:bidi w:val="0"/>
        <w:spacing w:lineRule="auto" w:line="240" w:before="24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Copies to: </w:t>
      </w:r>
    </w:p>
    <w:tbl>
      <w:tblPr>
        <w:tblW w:w="8156" w:type="dxa"/>
        <w:jc w:val="left"/>
        <w:tblInd w:w="0" w:type="dxa"/>
        <w:tblLayout w:type="fixed"/>
        <w:tblCellMar>
          <w:top w:w="28" w:type="dxa"/>
          <w:left w:w="28" w:type="dxa"/>
          <w:bottom w:w="28" w:type="dxa"/>
          <w:right w:w="28" w:type="dxa"/>
        </w:tblCellMar>
      </w:tblPr>
      <w:tblGrid>
        <w:gridCol w:w="1256"/>
        <w:gridCol w:w="1102"/>
        <w:gridCol w:w="1107"/>
        <w:gridCol w:w="109"/>
        <w:gridCol w:w="109"/>
        <w:gridCol w:w="109"/>
        <w:gridCol w:w="1276"/>
        <w:gridCol w:w="1276"/>
        <w:gridCol w:w="1812"/>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Ryan J. Gunderson</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Gunderson Dettmer Stough Villeneuve</w:t>
              <w:br/>
              <w:t>Franklin &amp; Hachigian, LLP</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3570 Carmel Mountain Road, Suite 200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Diego, CA 92130</w:t>
            </w:r>
          </w:p>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(858) 436-8000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Jeffrey S. Farrow</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 and Chief Strategy Officer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Bryan Wahl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General Counsel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15440 Laguna Canyon Road, Suite 160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Irvine, CA 92618</w:t>
            </w:r>
          </w:p>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(949) 418-1801</w:t>
            </w:r>
          </w:p>
        </w:tc>
      </w:tr>
    </w:tbl>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before="4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General Instruction E to Form S-8 under the 1933 Act, this Registration Statement is filed by Tarsus Pharmaceuticals, Inc. (the “Registrant”) for the purpose of registering 1,368,447 additional shares of common stock, par value $0.0001 per share, of the Registrant (the “Common Stock”) under the 2020 Equity Incentive Plan pursuant to the provisions of such plan that provides for an automatic annual increase in the number of shares reserved for issuance thereunder. This Registration Statement hereby incorporates by reference the contents of the Registrant’s registration statements on Form S-8 filed with the Commission on October 20, 2020 (File No. 333-249571), March 31, 2021 (File No. 333-254932) and March 14, 2022 (File No. 333-263537), and March 17, 2023 (333-270644) to the extent not superseded hereby.</w:t>
      </w:r>
    </w:p>
    <w:p>
      <w:pPr>
        <w:pStyle w:val="TextBody"/>
        <w:bidi w:val="0"/>
        <w:spacing w:lineRule="auto" w:line="240" w:before="48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before="0" w:after="0"/>
        <w:jc w:val="center"/>
        <w:rPr/>
      </w:pPr>
      <w:r>
        <w:rPr/>
      </w:r>
    </w:p>
    <w:tbl>
      <w:tblPr>
        <w:tblW w:w="4378" w:type="dxa"/>
        <w:jc w:val="left"/>
        <w:tblInd w:w="0" w:type="dxa"/>
        <w:tblLayout w:type="fixed"/>
        <w:tblCellMar>
          <w:top w:w="28" w:type="dxa"/>
          <w:left w:w="28" w:type="dxa"/>
          <w:bottom w:w="28" w:type="dxa"/>
          <w:right w:w="28" w:type="dxa"/>
        </w:tblCellMar>
      </w:tblPr>
      <w:tblGrid>
        <w:gridCol w:w="255"/>
        <w:gridCol w:w="223"/>
        <w:gridCol w:w="226"/>
        <w:gridCol w:w="1074"/>
        <w:gridCol w:w="1074"/>
        <w:gridCol w:w="152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Incorporation of Documents by Reference</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hereby incorporates by reference into this Registration Statement the following documents previously filed with the Securities and Exchange Commission (the “SEC”):</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3"/>
        <w:gridCol w:w="2778"/>
        <w:gridCol w:w="39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Registrant’s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fiscal year ended December 31, 2023, filed with the SEC on February 27,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Registrant’s Current Report on Form 8-K filed with the SEC on </w:t>
            </w:r>
            <w:hyperlink r:id="rId3">
              <w:r>
                <w:rPr>
                  <w:rStyle w:val="InternetLink"/>
                  <w:rFonts w:ascii="Times New Roman;sans-serif" w:hAnsi="Times New Roman;sans-serif"/>
                  <w:b w:val="false"/>
                  <w:color w:val="0000FF"/>
                  <w:sz w:val="20"/>
                  <w:u w:val="single"/>
                </w:rPr>
                <w:t>January 18, 2024</w:t>
              </w:r>
            </w:hyperlink>
            <w:r>
              <w:rPr>
                <w:rFonts w:ascii="Times New Roman;sans-serif" w:hAnsi="Times New Roman;sans-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other reports filed pursuant to Section 13(a) or 15(d) of the Exchange Act of 1934, as amended (the “Exchange Act”) since the end of the fiscal year covered by the registrant document referred to in (a) above;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description of the Registrant’s common stock contained in </w:t>
            </w:r>
            <w:hyperlink r:id="rId4">
              <w:r>
                <w:rPr>
                  <w:rStyle w:val="InternetLink"/>
                  <w:rFonts w:ascii="Times New Roman;sans-serif" w:hAnsi="Times New Roman;sans-serif"/>
                  <w:b w:val="false"/>
                  <w:color w:val="0000FF"/>
                  <w:sz w:val="20"/>
                  <w:u w:val="single"/>
                </w:rPr>
                <w:t>Exhibit 4.2</w:t>
              </w:r>
            </w:hyperlink>
            <w:r>
              <w:rPr>
                <w:color w:val="000000"/>
              </w:rPr>
              <w:t xml:space="preserve"> </w:t>
            </w:r>
            <w:r>
              <w:rPr>
                <w:rFonts w:ascii="Times New Roman;sans-serif" w:hAnsi="Times New Roman;sans-serif"/>
                <w:b w:val="false"/>
                <w:color w:val="000000"/>
                <w:sz w:val="20"/>
              </w:rPr>
              <w:t>of the Registrant’s Annual Report on Form 10-K, filed with the SEC on March 14, 2022, including any amendments or reports filed for the purpose of updating such description.</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reports and documents filed by the Registrant pursuant to Sections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 </w:t>
      </w:r>
    </w:p>
    <w:p>
      <w:pPr>
        <w:pStyle w:val="TextBody"/>
        <w:bidi w:val="0"/>
        <w:spacing w:before="0" w:after="0"/>
        <w:jc w:val="left"/>
        <w:rPr/>
      </w:pPr>
      <w:r>
        <w:rPr/>
      </w:r>
    </w:p>
    <w:tbl>
      <w:tblPr>
        <w:tblW w:w="2908" w:type="dxa"/>
        <w:jc w:val="left"/>
        <w:tblInd w:w="0" w:type="dxa"/>
        <w:tblLayout w:type="fixed"/>
        <w:tblCellMar>
          <w:top w:w="28" w:type="dxa"/>
          <w:left w:w="28" w:type="dxa"/>
          <w:bottom w:w="28" w:type="dxa"/>
          <w:right w:w="28" w:type="dxa"/>
        </w:tblCellMar>
      </w:tblPr>
      <w:tblGrid>
        <w:gridCol w:w="255"/>
        <w:gridCol w:w="223"/>
        <w:gridCol w:w="226"/>
        <w:gridCol w:w="644"/>
        <w:gridCol w:w="644"/>
        <w:gridCol w:w="91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Securities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tbl>
      <w:tblPr>
        <w:tblW w:w="4213" w:type="dxa"/>
        <w:jc w:val="left"/>
        <w:tblInd w:w="0" w:type="dxa"/>
        <w:tblLayout w:type="fixed"/>
        <w:tblCellMar>
          <w:top w:w="28" w:type="dxa"/>
          <w:left w:w="28" w:type="dxa"/>
          <w:bottom w:w="28" w:type="dxa"/>
          <w:right w:w="28" w:type="dxa"/>
        </w:tblCellMar>
      </w:tblPr>
      <w:tblGrid>
        <w:gridCol w:w="255"/>
        <w:gridCol w:w="223"/>
        <w:gridCol w:w="226"/>
        <w:gridCol w:w="1027"/>
        <w:gridCol w:w="1027"/>
        <w:gridCol w:w="145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Interests of Named Experts and Counsel</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333" w:type="dxa"/>
        <w:jc w:val="left"/>
        <w:tblInd w:w="0" w:type="dxa"/>
        <w:tblLayout w:type="fixed"/>
        <w:tblCellMar>
          <w:top w:w="28" w:type="dxa"/>
          <w:left w:w="28" w:type="dxa"/>
          <w:bottom w:w="28" w:type="dxa"/>
          <w:right w:w="28" w:type="dxa"/>
        </w:tblCellMar>
      </w:tblPr>
      <w:tblGrid>
        <w:gridCol w:w="255"/>
        <w:gridCol w:w="223"/>
        <w:gridCol w:w="226"/>
        <w:gridCol w:w="1061"/>
        <w:gridCol w:w="1061"/>
        <w:gridCol w:w="1507"/>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Indemnification of Directors and Officers</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any breach of the director’s duty of loyalty to us or our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acts or omissions not in good faith or that involve intentional misconduct or a knowing violation of law;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respect of unlawful payments of dividends or unlawful stock repurchases or redemptions as provided in Section 174 of the Delaware General Corporation Law;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any transaction from which the director derives any improper personal benefit.</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indemnification agreements with each of our directors and executive officers and certain other key employees.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carry and intend to continue to carry liability insurance for our directors and officers. </w:t>
      </w:r>
    </w:p>
    <w:p>
      <w:pPr>
        <w:pStyle w:val="TextBody"/>
        <w:bidi w:val="0"/>
        <w:spacing w:before="0" w:after="0"/>
        <w:jc w:val="left"/>
        <w:rPr/>
      </w:pPr>
      <w:r>
        <w:rPr/>
      </w:r>
    </w:p>
    <w:tbl>
      <w:tblPr>
        <w:tblW w:w="4109" w:type="dxa"/>
        <w:jc w:val="left"/>
        <w:tblInd w:w="0" w:type="dxa"/>
        <w:tblLayout w:type="fixed"/>
        <w:tblCellMar>
          <w:top w:w="28" w:type="dxa"/>
          <w:left w:w="28" w:type="dxa"/>
          <w:bottom w:w="28" w:type="dxa"/>
          <w:right w:w="28" w:type="dxa"/>
        </w:tblCellMar>
      </w:tblPr>
      <w:tblGrid>
        <w:gridCol w:w="255"/>
        <w:gridCol w:w="223"/>
        <w:gridCol w:w="226"/>
        <w:gridCol w:w="995"/>
        <w:gridCol w:w="995"/>
        <w:gridCol w:w="141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Exemption from Registration Claimed</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tbl>
      <w:tblPr>
        <w:tblW w:w="1560" w:type="dxa"/>
        <w:jc w:val="left"/>
        <w:tblInd w:w="0" w:type="dxa"/>
        <w:tblLayout w:type="fixed"/>
        <w:tblCellMar>
          <w:top w:w="28" w:type="dxa"/>
          <w:left w:w="28" w:type="dxa"/>
          <w:bottom w:w="28" w:type="dxa"/>
          <w:right w:w="28" w:type="dxa"/>
        </w:tblCellMar>
      </w:tblPr>
      <w:tblGrid>
        <w:gridCol w:w="255"/>
        <w:gridCol w:w="223"/>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incorporated herein by reference.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224"/>
        <w:gridCol w:w="1224"/>
        <w:gridCol w:w="1236"/>
        <w:gridCol w:w="109"/>
        <w:gridCol w:w="109"/>
        <w:gridCol w:w="109"/>
        <w:gridCol w:w="176"/>
        <w:gridCol w:w="176"/>
        <w:gridCol w:w="177"/>
        <w:gridCol w:w="109"/>
        <w:gridCol w:w="109"/>
        <w:gridCol w:w="109"/>
        <w:gridCol w:w="342"/>
        <w:gridCol w:w="272"/>
        <w:gridCol w:w="245"/>
        <w:gridCol w:w="109"/>
        <w:gridCol w:w="109"/>
        <w:gridCol w:w="109"/>
        <w:gridCol w:w="210"/>
        <w:gridCol w:w="210"/>
        <w:gridCol w:w="211"/>
        <w:gridCol w:w="109"/>
        <w:gridCol w:w="109"/>
        <w:gridCol w:w="109"/>
        <w:gridCol w:w="332"/>
        <w:gridCol w:w="332"/>
        <w:gridCol w:w="338"/>
        <w:gridCol w:w="109"/>
        <w:gridCol w:w="109"/>
        <w:gridCol w:w="109"/>
        <w:gridCol w:w="242"/>
        <w:gridCol w:w="242"/>
        <w:gridCol w:w="34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EE"/>
                  <w:sz w:val="20"/>
                  <w:u w:val="single"/>
                </w:rPr>
                <w:t xml:space="preserve">Amended and Restated Certificate of Incorporation of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EE"/>
                  <w:sz w:val="20"/>
                  <w:u w:val="single"/>
                </w:rPr>
                <w:t xml:space="preserve">Amended and Restated Bylaws of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EE"/>
                  <w:sz w:val="20"/>
                  <w:u w:val="single"/>
                </w:rPr>
                <w:t xml:space="preserve">Specimen common stock certificate of the Registrant.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arsus-51legalopinion2024e.htm">
              <w:r>
                <w:rPr>
                  <w:rStyle w:val="InternetLink"/>
                  <w:rFonts w:ascii="Times New Roman;sans-serif" w:hAnsi="Times New Roman;sans-serif"/>
                  <w:b w:val="false"/>
                  <w:color w:val="0000FF"/>
                  <w:sz w:val="20"/>
                  <w:u w:val="single"/>
                </w:rPr>
                <w:t xml:space="preserve">Opinion of Gunderson Dettmer Stough Villeneuve Franklin &amp; Hachigian, LLP.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2024eyconsent.htm">
              <w:r>
                <w:rPr>
                  <w:rStyle w:val="InternetLink"/>
                  <w:rFonts w:ascii="Times New Roman;sans-serif" w:hAnsi="Times New Roman;sans-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arsus-51legalopinion2024e.htm">
              <w:r>
                <w:rPr>
                  <w:rStyle w:val="InternetLink"/>
                  <w:rFonts w:ascii="Times New Roman;sans-serif" w:hAnsi="Times New Roman;sans-serif"/>
                  <w:b w:val="false"/>
                  <w:color w:val="0000FF"/>
                  <w:sz w:val="20"/>
                  <w:u w:val="single"/>
                </w:rPr>
                <w:t xml:space="preserve">Consent of Gunderson Dettmer Stough Villeneuve Franklin &amp; Hachigian, LLP (contained in Exhibit 5.1).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a2ba8d1ee34e4bb3caa3ae9602378f_7">
              <w:r>
                <w:rPr>
                  <w:rStyle w:val="InternetLink"/>
                  <w:rFonts w:ascii="Times New Roman;sans-serif" w:hAnsi="Times New Roman;sans-serif"/>
                  <w:b w:val="false"/>
                  <w:color w:val="0000FF"/>
                  <w:sz w:val="20"/>
                  <w:u w:val="single"/>
                </w:rPr>
                <w:t xml:space="preserve">Power of Attorney (contained in the signature page hereto).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EE"/>
                  <w:sz w:val="20"/>
                  <w:u w:val="single"/>
                </w:rPr>
                <w:t xml:space="preserve">2020 Equity Incentive Plan and forms of agreements thereunder.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333-249571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arsus-sx8calculationoffil.htm">
              <w:r>
                <w:rPr>
                  <w:rStyle w:val="InternetLink"/>
                  <w:rFonts w:ascii="Times New Roman;sans-serif" w:hAnsi="Times New Roman;sans-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jc w:val="left"/>
        <w:rPr/>
      </w:pPr>
      <w:r>
        <w:rPr/>
      </w:r>
    </w:p>
    <w:p>
      <w:pPr>
        <w:pStyle w:val="TextBody"/>
        <w:bidi w:val="0"/>
        <w:spacing w:before="0" w:after="0"/>
        <w:jc w:val="left"/>
        <w:rPr/>
      </w:pPr>
      <w:r>
        <w:rPr/>
      </w:r>
    </w:p>
    <w:tbl>
      <w:tblPr>
        <w:tblW w:w="1995" w:type="dxa"/>
        <w:jc w:val="left"/>
        <w:tblInd w:w="0" w:type="dxa"/>
        <w:tblLayout w:type="fixed"/>
        <w:tblCellMar>
          <w:top w:w="28" w:type="dxa"/>
          <w:left w:w="28" w:type="dxa"/>
          <w:bottom w:w="28" w:type="dxa"/>
          <w:right w:w="28" w:type="dxa"/>
        </w:tblCellMar>
      </w:tblPr>
      <w:tblGrid>
        <w:gridCol w:w="255"/>
        <w:gridCol w:w="223"/>
        <w:gridCol w:w="226"/>
        <w:gridCol w:w="378"/>
        <w:gridCol w:w="378"/>
        <w:gridCol w:w="535"/>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Undertakings</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undersigned Registrant hereby undertakes: </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file, during any period in which offers or sales are being made, a post-effective amendment to this Registration Statement:</w:t>
            </w:r>
          </w:p>
        </w:tc>
      </w:tr>
    </w:tbl>
    <w:p>
      <w:pPr>
        <w:pStyle w:val="TextBody"/>
        <w:bidi w:val="0"/>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to include any prospectus required by Section 10(a)(3) of the Securities Act,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remove from registration by means of a post-effective amendment any of the securities being registered which remain unsold at the termination of the Registrant’s offering.</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this 27th day of February, 2024. </w:t>
      </w:r>
    </w:p>
    <w:tbl>
      <w:tblPr>
        <w:tblW w:w="6285" w:type="dxa"/>
        <w:jc w:val="left"/>
        <w:tblInd w:w="0" w:type="dxa"/>
        <w:tblLayout w:type="fixed"/>
        <w:tblCellMar>
          <w:top w:w="28" w:type="dxa"/>
          <w:left w:w="28" w:type="dxa"/>
          <w:bottom w:w="28" w:type="dxa"/>
          <w:right w:w="28" w:type="dxa"/>
        </w:tblCellMar>
      </w:tblPr>
      <w:tblGrid>
        <w:gridCol w:w="405"/>
        <w:gridCol w:w="357"/>
        <w:gridCol w:w="357"/>
        <w:gridCol w:w="357"/>
        <w:gridCol w:w="357"/>
        <w:gridCol w:w="357"/>
        <w:gridCol w:w="1192"/>
        <w:gridCol w:w="1192"/>
        <w:gridCol w:w="1711"/>
      </w:tblGrid>
      <w:tr>
        <w:trPr/>
        <w:tc>
          <w:tcPr>
            <w:tcW w:w="4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095"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bl>
    <w:p>
      <w:pPr>
        <w:pStyle w:val="TextBody"/>
        <w:bidi w:val="0"/>
        <w:spacing w:lineRule="auto" w:line="240" w:before="4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POWER OF ATTORNEY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KNOW ALL PERSONS BY THESE PRESENTS that each person whose signature appears below constitutes and appoints Bobak Azamian, M.D., Ph.D., Jeffrey S. Farrow and Bryan Wahl, M.D.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each of the undersigned has executed this Power of Attorney as of the date indicated.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68"/>
        <w:gridCol w:w="851"/>
        <w:gridCol w:w="857"/>
        <w:gridCol w:w="109"/>
        <w:gridCol w:w="109"/>
        <w:gridCol w:w="109"/>
        <w:gridCol w:w="1740"/>
        <w:gridCol w:w="1739"/>
        <w:gridCol w:w="1762"/>
        <w:gridCol w:w="109"/>
        <w:gridCol w:w="109"/>
        <w:gridCol w:w="109"/>
        <w:gridCol w:w="475"/>
        <w:gridCol w:w="475"/>
        <w:gridCol w:w="684"/>
      </w:tblGrid>
      <w:tr>
        <w:trPr/>
        <w:tc>
          <w:tcPr>
            <w:tcW w:w="9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President, Chief Executive Officer and Board Chairman</w:t>
              <w:br/>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Jeffrey S. Farrow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Chief Financial Officer and Chief Strategic Officer</w:t>
              <w:br/>
            </w:r>
            <w:r>
              <w:rPr>
                <w:rFonts w:ascii="Times New Roman;sans-serif" w:hAnsi="Times New Roman;sans-serif"/>
                <w:b w:val="false"/>
                <w:i/>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S. Farrow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Bhaskar Chaudhuri,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Bhaskar Chaudhuri,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Rosemary Crane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Rosemary Crane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Andrew Goldberg,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Andrew Goldberg,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Link,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William J. Link,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Scott Morrison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Scott Morrison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Wendy Yarno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Wendy Yarno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Elizabeth Yeu-Lin,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Elizabeth Yeu-Lin,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Calculation of Filing Fee Tables</w:t>
      </w:r>
    </w:p>
    <w:p>
      <w:pPr>
        <w:pStyle w:val="TextBody"/>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S-8</w:t>
      </w:r>
    </w:p>
    <w:p>
      <w:pPr>
        <w:pStyle w:val="TextBody"/>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(Form Type)</w: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Tarsus Pharmaceuticals, Inc.</w:t>
      </w:r>
    </w:p>
    <w:p>
      <w:pPr>
        <w:pStyle w:val="TextBody"/>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(Exact name of Registrant as Specified in its Charter)</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Table 1: Newly Registered Securities</w:t>
      </w:r>
    </w:p>
    <w:tbl>
      <w:tblPr>
        <w:tblW w:w="10205" w:type="dxa"/>
        <w:jc w:val="left"/>
        <w:tblInd w:w="0" w:type="dxa"/>
        <w:tblLayout w:type="fixed"/>
        <w:tblCellMar>
          <w:top w:w="28" w:type="dxa"/>
          <w:left w:w="28" w:type="dxa"/>
          <w:bottom w:w="28" w:type="dxa"/>
          <w:right w:w="28" w:type="dxa"/>
        </w:tblCellMar>
      </w:tblPr>
      <w:tblGrid>
        <w:gridCol w:w="295"/>
        <w:gridCol w:w="259"/>
        <w:gridCol w:w="261"/>
        <w:gridCol w:w="540"/>
        <w:gridCol w:w="489"/>
        <w:gridCol w:w="491"/>
        <w:gridCol w:w="383"/>
        <w:gridCol w:w="383"/>
        <w:gridCol w:w="384"/>
        <w:gridCol w:w="374"/>
        <w:gridCol w:w="374"/>
        <w:gridCol w:w="375"/>
        <w:gridCol w:w="527"/>
        <w:gridCol w:w="527"/>
        <w:gridCol w:w="528"/>
        <w:gridCol w:w="740"/>
        <w:gridCol w:w="461"/>
        <w:gridCol w:w="463"/>
        <w:gridCol w:w="319"/>
        <w:gridCol w:w="319"/>
        <w:gridCol w:w="323"/>
        <w:gridCol w:w="403"/>
        <w:gridCol w:w="403"/>
        <w:gridCol w:w="584"/>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Security Type</w:t>
            </w:r>
          </w:p>
        </w:tc>
        <w:tc>
          <w:tcPr>
            <w:tcW w:w="15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Security Class Title</w:t>
            </w:r>
          </w:p>
        </w:tc>
        <w:tc>
          <w:tcPr>
            <w:tcW w:w="11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Fee Calculation Rule(4)</w:t>
            </w:r>
          </w:p>
        </w:tc>
        <w:tc>
          <w:tcPr>
            <w:tcW w:w="11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 Registered(1)</w:t>
            </w:r>
          </w:p>
        </w:tc>
        <w:tc>
          <w:tcPr>
            <w:tcW w:w="15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Proposed Maximum Offering Price Per Share</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Maximum Aggregate Offering Price</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Fee Rate</w:t>
            </w:r>
          </w:p>
        </w:tc>
        <w:tc>
          <w:tcPr>
            <w:tcW w:w="1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 of Registration Fee(4)</w:t>
            </w:r>
          </w:p>
        </w:tc>
      </w:tr>
      <w:tr>
        <w:trPr/>
        <w:tc>
          <w:tcPr>
            <w:tcW w:w="8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5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1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Rule 457(h)</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Rule 457(c)</w:t>
            </w:r>
          </w:p>
        </w:tc>
        <w:tc>
          <w:tcPr>
            <w:tcW w:w="112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1,368,447(2)</w:t>
            </w:r>
          </w:p>
        </w:tc>
        <w:tc>
          <w:tcPr>
            <w:tcW w:w="15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$30.18(3)</w:t>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$41,299,730.46</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0.00014760</w:t>
            </w:r>
          </w:p>
        </w:tc>
        <w:tc>
          <w:tcPr>
            <w:tcW w:w="1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$6,095.84</w:t>
            </w:r>
          </w:p>
        </w:tc>
      </w:tr>
      <w:tr>
        <w:trPr/>
        <w:tc>
          <w:tcPr>
            <w:tcW w:w="4608"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Offering Amounts</w:t>
            </w:r>
          </w:p>
        </w:tc>
        <w:tc>
          <w:tcPr>
            <w:tcW w:w="15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$41,299,730.46</w:t>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$6,095.84</w:t>
            </w:r>
          </w:p>
        </w:tc>
      </w:tr>
      <w:tr>
        <w:trPr/>
        <w:tc>
          <w:tcPr>
            <w:tcW w:w="4608"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Fee Offsets</w:t>
            </w:r>
          </w:p>
        </w:tc>
        <w:tc>
          <w:tcPr>
            <w:tcW w:w="158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608" w:type="dxa"/>
            <w:gridSpan w:val="1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Net Fee Due</w:t>
            </w:r>
          </w:p>
        </w:tc>
        <w:tc>
          <w:tcPr>
            <w:tcW w:w="158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$6,059.84</w:t>
            </w:r>
          </w:p>
        </w:tc>
      </w:tr>
    </w:tbl>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ind w:left="0" w:right="0" w:hanging="220"/>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Pursuant to Rule 416(a) under the Securities Act of 1933, as amended (the “Securities Act”), this Registration Statement shall also cover any additional shares of Registrant’s common stock, par value $0.0001 per share (the “Common Stock”), that become issuable under the Registrant’s 2020 Equity Incentive Plan (the “2020 Plan”)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2020 Plan were previously registered on Registration Statements on Form S-8 filed by the Registrant with the Securities and Exchange Commission on October 20, 2020 (File No. 333-249571), March 31, 2021 (File No. 333-254932), March 14, 2022 (File No. 333-263537), and March 17, 2023 (333-270644).</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ind w:left="0" w:right="0" w:hanging="220"/>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Represents shares of Common Stock that were automatically added to the shares reserved for issuance under the 2020 Plan on January 1, 2024 pursuant to an “evergreen” provision contained in the 2020 Plan (the “2020 Plan Evergreen Shares”). The number of shares of Common Stock available for issuance under the 2020 Plan is subject to an automatic annual increase on the first day of each fiscal year of the Registrant through 2030 equal to the lowest of (a) 4% of the total number of shares of Common Stock actually issued and outstanding on the last day of the prior fiscal year, or (b) a number of shares of Common Stock determined by the Registrant’s Board of Directors. </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ind w:left="0" w:right="0" w:hanging="220"/>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This estimate is made pursuant to Rule 457(h)(1) and Rule 457(c) of the Securities Act solely for purposes of calculating the registration fee. The price per share and aggregate offering price of the 2020 Plan Evergreen Shares are based upon the average of the high and low prices of the Common Stock on February 21, 2024, as reported on the Nasdaq Global Select Market, which date is within five business days prior to the filing of this Registration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Calibri;sans-serif" w:hAnsi="Calibri;sans-serif"/>
                <w:b w:val="false"/>
                <w:color w:val="000000"/>
                <w:sz w:val="16"/>
              </w:rPr>
            </w:pPr>
            <w:r>
              <w:rPr>
                <w:rFonts w:ascii="Calibri;sans-serif" w:hAnsi="Calibri;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Registrant does not have any fee offsets.</w:t>
            </w:r>
          </w:p>
        </w:tc>
      </w:tr>
    </w:tbl>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16" w:type="dxa"/>
        <w:jc w:val="left"/>
        <w:tblInd w:w="0" w:type="dxa"/>
        <w:tblLayout w:type="fixed"/>
        <w:tblCellMar>
          <w:top w:w="28" w:type="dxa"/>
          <w:left w:w="28" w:type="dxa"/>
          <w:bottom w:w="28" w:type="dxa"/>
          <w:right w:w="28" w:type="dxa"/>
        </w:tblCellMar>
      </w:tblPr>
      <w:tblGrid>
        <w:gridCol w:w="3011"/>
        <w:gridCol w:w="2641"/>
        <w:gridCol w:w="3764"/>
      </w:tblGrid>
      <w:tr>
        <w:trPr/>
        <w:tc>
          <w:tcPr>
            <w:tcW w:w="301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Exhibit 5.1</w:t>
            </w:r>
          </w:p>
        </w:tc>
      </w:tr>
      <w:tr>
        <w:trPr/>
        <w:tc>
          <w:tcPr>
            <w:tcW w:w="94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886450" cy="13620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9"/>
                          <a:stretch>
                            <a:fillRect/>
                          </a:stretch>
                        </pic:blipFill>
                        <pic:spPr bwMode="auto">
                          <a:xfrm>
                            <a:off x="0" y="0"/>
                            <a:ext cx="5886450" cy="1362075"/>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40" w:before="24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February 27, 2024</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Tarsus Pharmaceuticals, Inc.</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15440 Laguna Canyon Road</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Suite 160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Irvine, CA 92618</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88" w:before="240" w:after="283"/>
        <w:jc w:val="both"/>
        <w:rPr/>
      </w:pPr>
      <w:r>
        <w:rPr>
          <w:rFonts w:ascii="Times New Roman;sans-serif" w:hAnsi="Times New Roman;sans-serif"/>
          <w:b w:val="false"/>
          <w:color w:val="000000"/>
          <w:sz w:val="22"/>
        </w:rPr>
        <w:t>We refer to the registration statement on Form S-8 (the “</w:t>
      </w:r>
      <w:r>
        <w:rPr>
          <w:rFonts w:ascii="Times New Roman;sans-serif" w:hAnsi="Times New Roman;sans-serif"/>
          <w:b/>
          <w:i/>
          <w:color w:val="000000"/>
          <w:sz w:val="22"/>
        </w:rPr>
        <w:t>Registration Statement</w:t>
      </w:r>
      <w:r>
        <w:rPr>
          <w:color w:val="000000"/>
        </w:rPr>
        <w:t>”</w:t>
      </w:r>
      <w:r>
        <w:rPr>
          <w:rFonts w:ascii="Times New Roman;sans-serif" w:hAnsi="Times New Roman;sans-serif"/>
          <w:b w:val="false"/>
          <w:color w:val="000000"/>
          <w:sz w:val="22"/>
        </w:rPr>
        <w:t>) to be filed by Tarsus Pharmaceuticals,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with the Securities and Exchange Commission (the “</w:t>
      </w:r>
      <w:r>
        <w:rPr>
          <w:rFonts w:ascii="Times New Roman;sans-serif" w:hAnsi="Times New Roman;sans-serif"/>
          <w:b/>
          <w:i/>
          <w:color w:val="000000"/>
          <w:sz w:val="22"/>
        </w:rPr>
        <w:t>Commission</w:t>
      </w:r>
      <w:r>
        <w:rPr>
          <w:color w:val="000000"/>
        </w:rPr>
        <w:t>”</w:t>
      </w:r>
      <w:r>
        <w:rPr>
          <w:rFonts w:ascii="Times New Roman;sans-serif" w:hAnsi="Times New Roman;sans-serif"/>
          <w:b w:val="false"/>
          <w:color w:val="000000"/>
          <w:sz w:val="22"/>
        </w:rPr>
        <w:t>) in connection with the registration under the Securities Act of 1933, as amended (the “</w:t>
      </w:r>
      <w:r>
        <w:rPr>
          <w:rFonts w:ascii="Times New Roman;sans-serif" w:hAnsi="Times New Roman;sans-serif"/>
          <w:b/>
          <w:i/>
          <w:color w:val="000000"/>
          <w:sz w:val="22"/>
        </w:rPr>
        <w:t>Act</w:t>
      </w:r>
      <w:r>
        <w:rPr>
          <w:color w:val="000000"/>
        </w:rPr>
        <w:t>”</w:t>
      </w:r>
      <w:r>
        <w:rPr>
          <w:rFonts w:ascii="Times New Roman;sans-serif" w:hAnsi="Times New Roman;sans-serif"/>
          <w:b w:val="false"/>
          <w:color w:val="000000"/>
          <w:sz w:val="22"/>
        </w:rPr>
        <w:t>), of an aggregate of 1,368,447 shares of the Company’s common stock, $0.0001 par value per share (the “</w:t>
      </w:r>
      <w:r>
        <w:rPr>
          <w:rFonts w:ascii="Times New Roman;sans-serif" w:hAnsi="Times New Roman;sans-serif"/>
          <w:b/>
          <w:i/>
          <w:color w:val="000000"/>
          <w:sz w:val="22"/>
        </w:rPr>
        <w:t>Shares</w:t>
      </w:r>
      <w:r>
        <w:rPr>
          <w:color w:val="000000"/>
        </w:rPr>
        <w:t>”</w:t>
      </w:r>
      <w:r>
        <w:rPr>
          <w:rFonts w:ascii="Times New Roman;sans-serif" w:hAnsi="Times New Roman;sans-serif"/>
          <w:b w:val="false"/>
          <w:color w:val="000000"/>
          <w:sz w:val="22"/>
        </w:rPr>
        <w:t>), that are subject to issuance by the Company upon the exercise or settlement of awards granted or to be granted under the Company’s 2020 Equity Incentive Plan. The Company’s 2020 Equity Incentive Plan is referred to in this letter as the “</w:t>
      </w:r>
      <w:r>
        <w:rPr>
          <w:rFonts w:ascii="Times New Roman;sans-serif" w:hAnsi="Times New Roman;sans-serif"/>
          <w:b/>
          <w:i/>
          <w:color w:val="000000"/>
          <w:sz w:val="22"/>
        </w:rPr>
        <w:t>Plan</w:t>
      </w:r>
      <w:r>
        <w:rPr>
          <w:color w:val="000000"/>
        </w:rPr>
        <w:t>”</w:t>
      </w:r>
      <w:r>
        <w:rPr>
          <w:rFonts w:ascii="Times New Roman;sans-serif" w:hAnsi="Times New Roman;sans-serif"/>
          <w:b w:val="false"/>
          <w:color w:val="000000"/>
          <w:sz w:val="22"/>
        </w:rPr>
        <w:t>.</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this opinion, we have reviewed the actions proposed to be taken by you in connection with the issuance and sale of the Shares to be issued under the Plan.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pStyle w:val="TextBody"/>
        <w:bidi w:val="0"/>
        <w:spacing w:lineRule="auto" w:line="288" w:before="240" w:after="283"/>
        <w:jc w:val="both"/>
        <w:rPr/>
      </w:pPr>
      <w:r>
        <w:rPr>
          <w:rFonts w:ascii="Times New Roman;sans-serif" w:hAnsi="Times New Roman;sans-serif"/>
          <w:b w:val="false"/>
          <w:color w:val="000000"/>
          <w:sz w:val="22"/>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sans-serif" w:hAnsi="Times New Roman;sans-serif"/>
          <w:b/>
          <w:i/>
          <w:color w:val="000000"/>
          <w:sz w:val="22"/>
        </w:rPr>
        <w:t>DGCL</w:t>
      </w:r>
      <w:r>
        <w:rPr>
          <w:color w:val="000000"/>
        </w:rPr>
        <w:t>”</w:t>
      </w:r>
      <w:r>
        <w:rPr>
          <w:rFonts w:ascii="Times New Roman;sans-serif" w:hAnsi="Times New Roman;sans-serif"/>
          <w:b w:val="false"/>
          <w:color w:val="000000"/>
          <w:sz w:val="22"/>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Based upon and subject to the foregoing, we advise you that, in our opinion, when the Shares have been issued and sold by the Company pursuant to the applicable provisions of the Plan and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agreements which accompany the Plan, and in accordance with the Registration Statement, such Shares will be validly issued, fully paid and nonassessable.</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240" w:after="283"/>
        <w:jc w:val="both"/>
        <w:rPr/>
      </w:pPr>
      <w:r>
        <w:rPr/>
      </w:r>
    </w:p>
    <w:p>
      <w:pPr>
        <w:pStyle w:val="TextBody"/>
        <w:bidi w:val="0"/>
        <w:spacing w:lineRule="auto" w:line="288" w:before="24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lineRule="auto" w:line="240" w:before="0" w:after="240"/>
        <w:ind w:left="0" w:right="0" w:hanging="27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Gunderson Dettmer Stough </w:t>
        <w:br/>
        <w:t>Villeneuve Franklin &amp; Hachigian, LLP</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GUNDERSON DETTMER STOUGH</w:t>
      </w:r>
    </w:p>
    <w:p>
      <w:pPr>
        <w:pStyle w:val="TextBody"/>
        <w:bidi w:val="0"/>
        <w:spacing w:lineRule="auto" w:line="240"/>
        <w:jc w:val="left"/>
        <w:rPr>
          <w:rFonts w:ascii="Times New Roman;sans-serif" w:hAnsi="Times New Roman;sans-serif"/>
          <w:b w:val="false"/>
          <w:color w:val="000000"/>
          <w:sz w:val="22"/>
        </w:rPr>
      </w:pPr>
      <w:r>
        <w:rPr>
          <w:rFonts w:ascii="Times New Roman;sans-serif" w:hAnsi="Times New Roman;sans-serif"/>
          <w:b w:val="false"/>
          <w:color w:val="000000"/>
          <w:sz w:val="22"/>
        </w:rPr>
        <w:t>VILLENEUVE FRANKLIN &amp; HACHIGIAN,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8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80"/>
        <w:jc w:val="center"/>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lineRule="auto" w:line="240"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pertaining to the Tarsus Pharmaceuticals, Inc. 2020 Equity Incentive Plan and the Tarsus Pharmaceuticals, Inc. 2020 Employee Stock Purchase Plan of Tarsus Pharmaceuticals, Inc. of our report dated February 27, 2024, with respect to the financial statements of Tarsus Pharmaceuticals, Inc. included in its Annual Report (Form 10-K) for the year ended December 31, 2023, filed with the Securities and Exchange Commission.</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Irvine, California</w:t>
      </w:r>
    </w:p>
    <w:p>
      <w:pPr>
        <w:pStyle w:val="TextBody"/>
        <w:bidi w:val="0"/>
        <w:spacing w:lineRule="auto" w:line="28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19790/000181979024000018/tars-20231231.htm" TargetMode="External"/><Relationship Id="rId3" Type="http://schemas.openxmlformats.org/officeDocument/2006/relationships/hyperlink" Target="http://www.sec.gov/ix?doc=/Archives/edgar/data/1819790/000181979024000006/tars-20240111.htm" TargetMode="External"/><Relationship Id="rId4" Type="http://schemas.openxmlformats.org/officeDocument/2006/relationships/hyperlink" Target="http://www.sec.gov/Archives/edgar/data/1819790/000181979022000010/tarsus-form10xkxex42descri.htm" TargetMode="External"/><Relationship Id="rId5" Type="http://schemas.openxmlformats.org/officeDocument/2006/relationships/hyperlink" Target="http://www.sec.gov/Archives/edgar/data/1819790/000119312520272900/d11649dex31.htm" TargetMode="External"/><Relationship Id="rId6" Type="http://schemas.openxmlformats.org/officeDocument/2006/relationships/hyperlink" Target="http://www.sec.gov/Archives/edgar/data/1819790/000119312520272900/d11649dex32.htm" TargetMode="External"/><Relationship Id="rId7" Type="http://schemas.openxmlformats.org/officeDocument/2006/relationships/hyperlink" Target="http://www.sec.gov/Archives/edgar/data/1819790/000119312520267327/d30607dex41.htm" TargetMode="External"/><Relationship Id="rId8" Type="http://schemas.openxmlformats.org/officeDocument/2006/relationships/hyperlink" Target="http://www.sec.gov/Archives/edgar/data/0001819790/000119312520272944/d55477dex992.htm" TargetMode="Externa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3606</Words>
  <Characters>19508</Characters>
  <CharactersWithSpaces>22898</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