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p>
      <w:pPr>
        <w:pStyle w:val="TextBody"/>
        <w:spacing w:lineRule="auto" w:line="288" w:before="24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spacing w:lineRule="auto" w:line="288" w:before="240" w:after="283"/>
        <w:jc w:val="center"/>
        <w:rPr>
          <w:rFonts w:ascii="Times New Roman;sans-serif" w:hAnsi="Times New Roman;sans-serif"/>
          <w:b/>
          <w:color w:val="231F20"/>
          <w:sz w:val="22"/>
        </w:rPr>
      </w:pPr>
      <w:r>
        <w:rPr>
          <w:rFonts w:ascii="Times New Roman;sans-serif" w:hAnsi="Times New Roman;sans-serif"/>
          <w:b/>
          <w:color w:val="231F20"/>
          <w:sz w:val="22"/>
        </w:rPr>
        <w:t>CURRENT REPORT</w:t>
      </w:r>
    </w:p>
    <w:p>
      <w:pPr>
        <w:pStyle w:val="TextBody"/>
        <w:spacing w:lineRule="auto" w:line="288" w:before="0" w:after="0"/>
        <w:jc w:val="center"/>
        <w:rPr>
          <w:rFonts w:ascii="Times New Roman;sans-serif" w:hAnsi="Times New Roman;sans-serif"/>
          <w:b/>
          <w:color w:val="231F20"/>
          <w:sz w:val="22"/>
        </w:rPr>
      </w:pPr>
      <w:r>
        <w:rPr>
          <w:rFonts w:ascii="Times New Roman;sans-serif" w:hAnsi="Times New Roman;sans-serif"/>
          <w:b/>
          <w:color w:val="231F20"/>
          <w:sz w:val="22"/>
        </w:rPr>
        <w:t>Pursuant to Section 13 OR 15(d) of The Securities Exchange Act of 1934</w:t>
      </w:r>
    </w:p>
    <w:p>
      <w:pPr>
        <w:pStyle w:val="TextBody"/>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Date of Report (date of earliest event reported): March 31, 2021</w:t>
      </w:r>
    </w:p>
    <w:p>
      <w:pPr>
        <w:pStyle w:val="TextBody"/>
        <w:spacing w:lineRule="auto" w:line="276"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p>
      <w:pPr>
        <w:pStyle w:val="TextBody"/>
        <w:spacing w:lineRule="auto" w:line="288" w:before="240" w:after="283"/>
        <w:jc w:val="center"/>
        <w:rPr>
          <w:rFonts w:ascii="Times New Roman;sans-serif" w:hAnsi="Times New Roman;sans-serif"/>
          <w:b/>
          <w:color w:val="000000"/>
          <w:sz w:val="44"/>
        </w:rPr>
      </w:pPr>
      <w:r>
        <w:rPr>
          <w:rFonts w:ascii="Times New Roman;sans-serif" w:hAnsi="Times New Roman;sans-serif"/>
          <w:b/>
          <w:color w:val="000000"/>
          <w:sz w:val="44"/>
        </w:rPr>
        <w:t>TARSUS PHARMACEUTICALS,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tbl>
      <w:tblPr>
        <w:tblW w:w="8002" w:type="dxa"/>
        <w:jc w:val="left"/>
        <w:tblInd w:w="0" w:type="dxa"/>
        <w:tblCellMar>
          <w:top w:w="28" w:type="dxa"/>
          <w:left w:w="28" w:type="dxa"/>
          <w:bottom w:w="28" w:type="dxa"/>
          <w:right w:w="28" w:type="dxa"/>
        </w:tblCellMar>
      </w:tblPr>
      <w:tblGrid>
        <w:gridCol w:w="1354"/>
        <w:gridCol w:w="1194"/>
        <w:gridCol w:w="1202"/>
        <w:gridCol w:w="278"/>
        <w:gridCol w:w="278"/>
        <w:gridCol w:w="278"/>
        <w:gridCol w:w="278"/>
        <w:gridCol w:w="278"/>
        <w:gridCol w:w="286"/>
        <w:gridCol w:w="733"/>
        <w:gridCol w:w="733"/>
        <w:gridCol w:w="738"/>
        <w:gridCol w:w="109"/>
        <w:gridCol w:w="109"/>
        <w:gridCol w:w="154"/>
      </w:tblGrid>
      <w:tr>
        <w:trPr/>
        <w:tc>
          <w:tcPr>
            <w:tcW w:w="1354"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50"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676" w:type="dxa"/>
            <w:gridSpan w:val="6"/>
            <w:tcBorders/>
            <w:shd w:fill="auto" w:val="clear"/>
            <w:tcMar>
              <w:top w:w="0" w:type="dxa"/>
              <w:left w:w="0" w:type="dxa"/>
              <w:bottom w:w="0" w:type="dxa"/>
              <w:right w:w="0" w:type="dxa"/>
            </w:tcMar>
            <w:vAlign w:val="center"/>
          </w:tcPr>
          <w:p>
            <w:pPr>
              <w:pStyle w:val="TableContents"/>
              <w:spacing w:lineRule="auto" w:line="256" w:before="120" w:after="283"/>
              <w:jc w:val="center"/>
              <w:rPr>
                <w:rFonts w:ascii="Times New Roman;sans-serif" w:hAnsi="Times New Roman;sans-serif"/>
                <w:b/>
                <w:color w:val="000000"/>
                <w:sz w:val="18"/>
              </w:rPr>
            </w:pPr>
            <w:r>
              <w:rPr>
                <w:rFonts w:ascii="Times New Roman;sans-serif" w:hAnsi="Times New Roman;sans-serif"/>
                <w:b/>
                <w:color w:val="000000"/>
                <w:sz w:val="18"/>
              </w:rPr>
              <w:t>012-3456</w:t>
            </w:r>
          </w:p>
        </w:tc>
        <w:tc>
          <w:tcPr>
            <w:tcW w:w="220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81-4717861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 incorporation or organization)</w:t>
            </w:r>
          </w:p>
        </w:tc>
        <w:tc>
          <w:tcPr>
            <w:tcW w:w="1676" w:type="dxa"/>
            <w:gridSpan w:val="6"/>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(Commission File Number)</w:t>
            </w:r>
          </w:p>
        </w:tc>
        <w:tc>
          <w:tcPr>
            <w:tcW w:w="220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color w:val="231F20"/>
          <w:sz w:val="20"/>
        </w:rPr>
      </w:pPr>
      <w:r>
        <w:rPr>
          <w:rFonts w:ascii="Times New Roman;sans-serif" w:hAnsi="Times New Roman;sans-serif"/>
          <w:b/>
          <w:color w:val="231F20"/>
          <w:sz w:val="20"/>
        </w:rPr>
        <w:t>15440 Laguna Canyon Road, Suite 160</w:t>
      </w:r>
    </w:p>
    <w:p>
      <w:pPr>
        <w:pStyle w:val="TextBody"/>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Irvine, CA 92618</w:t>
      </w:r>
    </w:p>
    <w:p>
      <w:pPr>
        <w:pStyle w:val="TextBody"/>
        <w:spacing w:lineRule="auto" w:line="288" w:before="0" w:after="0"/>
        <w:jc w:val="center"/>
        <w:rPr>
          <w:rFonts w:ascii="Times New Roman;sans-serif" w:hAnsi="Times New Roman;sans-serif"/>
          <w:b/>
          <w:color w:val="231F20"/>
          <w:sz w:val="14"/>
        </w:rPr>
      </w:pPr>
      <w:r>
        <w:rPr>
          <w:rFonts w:ascii="Times New Roman;sans-serif" w:hAnsi="Times New Roman;sans-serif"/>
          <w:b/>
          <w:color w:val="231F20"/>
          <w:sz w:val="14"/>
        </w:rPr>
        <w:t>(Address of principal executive offices, including Zip Code)</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(949) 409-9820</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8442" w:type="dxa"/>
        <w:jc w:val="left"/>
        <w:tblInd w:w="0" w:type="dxa"/>
        <w:tblCellMar>
          <w:top w:w="28" w:type="dxa"/>
          <w:left w:w="28" w:type="dxa"/>
          <w:bottom w:w="28" w:type="dxa"/>
          <w:right w:w="28" w:type="dxa"/>
        </w:tblCellMar>
      </w:tblPr>
      <w:tblGrid>
        <w:gridCol w:w="124"/>
        <w:gridCol w:w="109"/>
        <w:gridCol w:w="109"/>
        <w:gridCol w:w="2369"/>
        <w:gridCol w:w="2369"/>
        <w:gridCol w:w="33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9" w:type="dxa"/>
            <w:tcBorders/>
            <w:shd w:fill="auto" w:val="clear"/>
            <w:vAlign w:val="center"/>
          </w:tcPr>
          <w:p>
            <w:pPr>
              <w:pStyle w:val="TableContents"/>
              <w:spacing w:before="0" w:after="283"/>
              <w:rPr>
                <w:sz w:val="4"/>
                <w:szCs w:val="4"/>
              </w:rPr>
            </w:pPr>
            <w:r>
              <w:rPr>
                <w:sz w:val="4"/>
                <w:szCs w:val="4"/>
              </w:rPr>
            </w:r>
          </w:p>
        </w:tc>
        <w:tc>
          <w:tcPr>
            <w:tcW w:w="2369"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200" w:after="283"/>
              <w:jc w:val="left"/>
              <w:rPr>
                <w:rFonts w:ascii="Times New Roman;sans-serif" w:hAnsi="Times New Roman;sans-serif"/>
                <w:b w:val="false"/>
                <w:color w:val="231F20"/>
                <w:sz w:val="18"/>
              </w:rPr>
            </w:pPr>
            <w:r>
              <w:rPr>
                <w:rFonts w:ascii="Times New Roman;sans-serif" w:hAnsi="Times New Roman;sans-serif"/>
                <w:b w:val="false"/>
                <w:color w:val="231F20"/>
                <w:sz w:val="18"/>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56" w:before="0" w:after="0"/>
              <w:ind w:left="0" w:right="0" w:hanging="360"/>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20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200" w:after="283"/>
              <w:ind w:left="0" w:right="0" w:hanging="360"/>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20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Pre-commencement communications pursuant to Rule 13e-4(c) under the Exchange Act (17 CFR 240.13e-4(c))</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008" w:type="dxa"/>
        <w:jc w:val="left"/>
        <w:tblInd w:w="0" w:type="dxa"/>
        <w:tblCellMar>
          <w:top w:w="28" w:type="dxa"/>
          <w:left w:w="28" w:type="dxa"/>
          <w:bottom w:w="28" w:type="dxa"/>
          <w:right w:w="28" w:type="dxa"/>
        </w:tblCellMar>
      </w:tblPr>
      <w:tblGrid>
        <w:gridCol w:w="1184"/>
        <w:gridCol w:w="1043"/>
        <w:gridCol w:w="1058"/>
        <w:gridCol w:w="484"/>
        <w:gridCol w:w="484"/>
        <w:gridCol w:w="486"/>
        <w:gridCol w:w="956"/>
        <w:gridCol w:w="956"/>
        <w:gridCol w:w="1357"/>
      </w:tblGrid>
      <w:tr>
        <w:trPr/>
        <w:tc>
          <w:tcPr>
            <w:tcW w:w="1184"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left w:val="single" w:sz="8" w:space="0" w:color="000000"/>
            </w:tcBorders>
            <w:shd w:fill="auto" w:val="clear"/>
            <w:tcMar>
              <w:top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left w:val="single" w:sz="8" w:space="0" w:color="000000"/>
            </w:tcBorders>
            <w:shd w:fill="auto" w:val="clear"/>
            <w:tcMar>
              <w:top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per share</w:t>
            </w:r>
          </w:p>
        </w:tc>
        <w:tc>
          <w:tcPr>
            <w:tcW w:w="145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TARS</w:t>
            </w:r>
          </w:p>
        </w:tc>
        <w:tc>
          <w:tcPr>
            <w:tcW w:w="326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Market LLC</w:t>
            </w:r>
          </w:p>
          <w:p>
            <w:pPr>
              <w:pStyle w:val="TableContents"/>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spacing w:lineRule="auto" w:line="288" w:before="240" w:after="283"/>
        <w:rPr/>
      </w:pPr>
      <w:r>
        <w:rPr>
          <w:rFonts w:ascii="Times New Roman;sans-serif" w:hAnsi="Times New Roman;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sans-serif" w:hAnsi="Times New Roman;sans-serif"/>
          <w:b w:val="false"/>
          <w:color w:val="231F20"/>
          <w:sz w:val="18"/>
        </w:rPr>
        <w:t>Emerging growth company ☒</w:t>
      </w:r>
    </w:p>
    <w:p>
      <w:pPr>
        <w:pStyle w:val="TextBody"/>
        <w:spacing w:lineRule="auto" w:line="288" w:before="240" w:after="283"/>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before="0" w:after="0"/>
        <w:jc w:val="both"/>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2021, Tarsus Pharmaceuticals, Inc. (the “Company”) issued a press release, which, among other matters, sets forth the Company’s results of operations for the year ended December 31, 2020. A copy of the press release is attached hereto as Exhibit 99.1 and is incorporated herein by reference.</w:t>
      </w:r>
    </w:p>
    <w:p>
      <w:pPr>
        <w:pStyle w:val="TextBody"/>
        <w:spacing w:before="0" w:after="0"/>
        <w:ind w:left="0" w:right="0" w:firstLine="450"/>
        <w:jc w:val="both"/>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897" w:type="dxa"/>
        <w:jc w:val="left"/>
        <w:tblInd w:w="0" w:type="dxa"/>
        <w:tblCellMar>
          <w:top w:w="28" w:type="dxa"/>
          <w:left w:w="28" w:type="dxa"/>
          <w:bottom w:w="28" w:type="dxa"/>
          <w:right w:w="28" w:type="dxa"/>
        </w:tblCellMar>
      </w:tblPr>
      <w:tblGrid>
        <w:gridCol w:w="135"/>
        <w:gridCol w:w="118"/>
        <w:gridCol w:w="118"/>
        <w:gridCol w:w="140"/>
        <w:gridCol w:w="140"/>
        <w:gridCol w:w="141"/>
        <w:gridCol w:w="118"/>
        <w:gridCol w:w="118"/>
        <w:gridCol w:w="118"/>
        <w:gridCol w:w="109"/>
        <w:gridCol w:w="109"/>
        <w:gridCol w:w="109"/>
        <w:gridCol w:w="109"/>
        <w:gridCol w:w="109"/>
        <w:gridCol w:w="109"/>
        <w:gridCol w:w="109"/>
        <w:gridCol w:w="109"/>
        <w:gridCol w:w="109"/>
        <w:gridCol w:w="610"/>
        <w:gridCol w:w="610"/>
        <w:gridCol w:w="610"/>
        <w:gridCol w:w="610"/>
        <w:gridCol w:w="610"/>
        <w:gridCol w:w="610"/>
        <w:gridCol w:w="610"/>
        <w:gridCol w:w="610"/>
        <w:gridCol w:w="890"/>
      </w:tblGrid>
      <w:tr>
        <w:trPr/>
        <w:tc>
          <w:tcPr>
            <w:tcW w:w="13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r>
      <w:tr>
        <w:trPr/>
        <w:tc>
          <w:tcPr>
            <w:tcW w:w="3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6"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79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ind w:left="0" w:right="0" w:firstLine="20"/>
              <w:jc w:val="righ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ind w:left="0" w:right="0" w:firstLine="20"/>
              <w:jc w:val="left"/>
              <w:rPr/>
            </w:pPr>
            <w:hyperlink w:anchor="exhibit991tarsus3312021pre.htm">
              <w:r>
                <w:rPr>
                  <w:rStyle w:val="InternetLink"/>
                </w:rPr>
                <w:t xml:space="preserve">Press Release dated </w:t>
              </w:r>
            </w:hyperlink>
            <w:hyperlink w:anchor="exhibit991tarsus3312021pre.htm">
              <w:r>
                <w:rPr>
                  <w:rStyle w:val="InternetLink"/>
                </w:rPr>
                <w:t>March 31, 2021</w:t>
              </w:r>
            </w:hyperlink>
          </w:p>
        </w:tc>
      </w:tr>
      <w:tr>
        <w:trPr/>
        <w:tc>
          <w:tcPr>
            <w:tcW w:w="3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firstLine="20"/>
              <w:rPr>
                <w:sz w:val="4"/>
                <w:szCs w:val="4"/>
              </w:rPr>
            </w:pPr>
            <w:r>
              <w:rPr>
                <w:sz w:val="4"/>
                <w:szCs w:val="4"/>
              </w:rPr>
            </w:r>
          </w:p>
        </w:tc>
        <w:tc>
          <w:tcPr>
            <w:tcW w:w="5770" w:type="dxa"/>
            <w:gridSpan w:val="9"/>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XBRL document)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jc w:val="right"/>
        <w:rPr/>
      </w:pPr>
      <w:r>
        <w:rPr/>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p>
      <w:pPr>
        <w:pStyle w:val="TextBody"/>
        <w:spacing w:before="0" w:after="0"/>
        <w:jc w:val="center"/>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before="0" w:after="0"/>
        <w:jc w:val="both"/>
        <w:rPr/>
      </w:pPr>
      <w:r>
        <w:rPr/>
      </w:r>
    </w:p>
    <w:tbl>
      <w:tblPr>
        <w:tblW w:w="8216" w:type="dxa"/>
        <w:jc w:val="left"/>
        <w:tblInd w:w="0" w:type="dxa"/>
        <w:tblCellMar>
          <w:top w:w="28" w:type="dxa"/>
          <w:left w:w="28" w:type="dxa"/>
          <w:bottom w:w="28" w:type="dxa"/>
          <w:right w:w="28" w:type="dxa"/>
        </w:tblCellMar>
      </w:tblPr>
      <w:tblGrid>
        <w:gridCol w:w="237"/>
        <w:gridCol w:w="209"/>
        <w:gridCol w:w="209"/>
        <w:gridCol w:w="209"/>
        <w:gridCol w:w="209"/>
        <w:gridCol w:w="209"/>
        <w:gridCol w:w="209"/>
        <w:gridCol w:w="209"/>
        <w:gridCol w:w="209"/>
        <w:gridCol w:w="109"/>
        <w:gridCol w:w="109"/>
        <w:gridCol w:w="109"/>
        <w:gridCol w:w="109"/>
        <w:gridCol w:w="109"/>
        <w:gridCol w:w="109"/>
        <w:gridCol w:w="109"/>
        <w:gridCol w:w="109"/>
        <w:gridCol w:w="109"/>
        <w:gridCol w:w="825"/>
        <w:gridCol w:w="825"/>
        <w:gridCol w:w="825"/>
        <w:gridCol w:w="825"/>
        <w:gridCol w:w="825"/>
        <w:gridCol w:w="1201"/>
      </w:tblGrid>
      <w:tr>
        <w:trPr/>
        <w:tc>
          <w:tcPr>
            <w:tcW w:w="237"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r>
      <w:tr>
        <w:trPr/>
        <w:tc>
          <w:tcPr>
            <w:tcW w:w="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9"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31, 2021</w:t>
            </w:r>
          </w:p>
        </w:tc>
        <w:tc>
          <w:tcPr>
            <w:tcW w:w="981"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26"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76" w:before="0" w:after="0"/>
              <w:ind w:left="0" w:right="0" w:firstLine="20"/>
              <w:jc w:val="left"/>
              <w:rPr/>
            </w:pPr>
            <w:r>
              <w:rPr>
                <w:rFonts w:ascii="Times New Roman;sans-serif" w:hAnsi="Times New Roman;sans-serif"/>
                <w:b w:val="false"/>
                <w:color w:val="000000"/>
                <w:sz w:val="20"/>
              </w:rPr>
              <w:t xml:space="preserve">/s/ </w:t>
            </w:r>
            <w:r>
              <w:rPr>
                <w:rFonts w:ascii="Times New Roman;sans-serif" w:hAnsi="Times New Roman;sans-serif"/>
                <w:b w:val="false"/>
                <w:color w:val="000000"/>
                <w:sz w:val="18"/>
              </w:rPr>
              <w:t>Leo M. Greenstein</w:t>
            </w:r>
          </w:p>
        </w:tc>
      </w:tr>
      <w:tr>
        <w:trPr/>
        <w:tc>
          <w:tcPr>
            <w:tcW w:w="190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6"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18"/>
              </w:rPr>
            </w:pPr>
            <w:r>
              <w:rPr>
                <w:rFonts w:ascii="Times New Roman;sans-serif" w:hAnsi="Times New Roman;sans-serif"/>
                <w:b w:val="false"/>
                <w:color w:val="000000"/>
                <w:sz w:val="18"/>
              </w:rPr>
              <w:t>Leo M. Greenstein</w:t>
            </w:r>
          </w:p>
        </w:tc>
      </w:tr>
      <w:tr>
        <w:trPr/>
        <w:tc>
          <w:tcPr>
            <w:tcW w:w="190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6" w:type="dxa"/>
            <w:gridSpan w:val="6"/>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0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6" w:type="dxa"/>
            <w:gridSpan w:val="6"/>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drawing>
          <wp:inline distT="0" distB="63500" distL="0" distR="0">
            <wp:extent cx="1600200" cy="1162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0200" cy="1162050"/>
                    </a:xfrm>
                    <a:prstGeom prst="rect">
                      <a:avLst/>
                    </a:prstGeom>
                  </pic:spPr>
                </pic:pic>
              </a:graphicData>
            </a:graphic>
          </wp:inline>
        </w:drawing>
      </w:r>
    </w:p>
    <w:p>
      <w:pPr>
        <w:pStyle w:val="TextBody"/>
        <w:spacing w:before="0" w:after="0"/>
        <w:jc w:val="center"/>
        <w:rPr/>
      </w:pPr>
      <w:r>
        <w:rPr/>
      </w:r>
    </w:p>
    <w:p>
      <w:pPr>
        <w:pStyle w:val="TextBody"/>
        <w:spacing w:lineRule="auto" w:line="276" w:before="0" w:after="0"/>
        <w:jc w:val="center"/>
        <w:rPr>
          <w:rFonts w:ascii="Arial;sans-serif" w:hAnsi="Arial;sans-serif"/>
          <w:b/>
          <w:color w:val="000000"/>
          <w:sz w:val="24"/>
        </w:rPr>
      </w:pPr>
      <w:r>
        <w:rPr>
          <w:rFonts w:ascii="Arial;sans-serif" w:hAnsi="Arial;sans-serif"/>
          <w:b/>
          <w:color w:val="000000"/>
          <w:sz w:val="24"/>
        </w:rPr>
        <w:t>Tarsus Pharmaceuticals, Inc. Reports Full-Year 2020 Financial Results and Business and Clinical Updates</w:t>
      </w:r>
    </w:p>
    <w:p>
      <w:pPr>
        <w:pStyle w:val="TextBody"/>
        <w:spacing w:before="0" w:after="0"/>
        <w:rPr/>
      </w:pPr>
      <w:r>
        <w:rPr/>
      </w:r>
    </w:p>
    <w:p>
      <w:pPr>
        <w:pStyle w:val="TextBody"/>
        <w:spacing w:before="0" w:after="0"/>
        <w:rPr/>
      </w:pPr>
      <w:r>
        <w:rPr/>
      </w:r>
    </w:p>
    <w:p>
      <w:pPr>
        <w:pStyle w:val="TextBody"/>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 xml:space="preserve">Enrollment complete for Saturn-1, first TP-03 pivotal trial for the treatment of Demodex blepharitis; initiation of Saturn-2 expected in Q2 2021 </w:t>
      </w:r>
    </w:p>
    <w:p>
      <w:pPr>
        <w:pStyle w:val="TextBody"/>
        <w:spacing w:before="0" w:after="0"/>
        <w:rPr/>
      </w:pPr>
      <w:r>
        <w:rPr/>
      </w:r>
    </w:p>
    <w:p>
      <w:pPr>
        <w:pStyle w:val="TextBody"/>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 xml:space="preserve">Strategic partnership with LianBio in March 2021 for TP-03 in Greater China provides Tarsus with $70 million expected during next 12 months and up to $130 million in future years, plus double-digit royalties and equity in LianBio </w:t>
      </w:r>
    </w:p>
    <w:p>
      <w:pPr>
        <w:pStyle w:val="TextBody"/>
        <w:spacing w:before="0" w:after="0"/>
        <w:rPr/>
      </w:pPr>
      <w:r>
        <w:rPr/>
      </w:r>
    </w:p>
    <w:p>
      <w:pPr>
        <w:pStyle w:val="TextBody"/>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 xml:space="preserve">Cash and cash equivalents of $168 million as of December 31, 2020 </w:t>
      </w:r>
    </w:p>
    <w:p>
      <w:pPr>
        <w:pStyle w:val="TextBody"/>
        <w:spacing w:before="0" w:after="0"/>
        <w:rPr/>
      </w:pPr>
      <w:r>
        <w:rPr/>
      </w:r>
    </w:p>
    <w:p>
      <w:pPr>
        <w:pStyle w:val="TextBody"/>
        <w:spacing w:before="0" w:after="0"/>
        <w:rPr/>
      </w:pPr>
      <w:r>
        <w:rPr/>
      </w:r>
    </w:p>
    <w:p>
      <w:pPr>
        <w:pStyle w:val="TextBody"/>
        <w:spacing w:lineRule="auto" w:line="276" w:before="0" w:after="0"/>
        <w:rPr/>
      </w:pPr>
      <w:r>
        <w:rPr>
          <w:rFonts w:ascii="Arial;sans-serif" w:hAnsi="Arial;sans-serif"/>
          <w:b/>
          <w:color w:val="000000"/>
          <w:sz w:val="22"/>
        </w:rPr>
        <w:t>IRVINE, Calif., March 31, 2021 (GLOBE NEWSWIRE)</w:t>
      </w:r>
      <w:r>
        <w:rPr>
          <w:color w:val="000000"/>
        </w:rPr>
        <w:t xml:space="preserve"> </w:t>
      </w:r>
      <w:r>
        <w:rPr>
          <w:rFonts w:ascii="Arial;sans-serif" w:hAnsi="Arial;sans-serif"/>
          <w:b w:val="false"/>
          <w:color w:val="000000"/>
          <w:sz w:val="22"/>
        </w:rPr>
        <w:t xml:space="preserve">-- Tarsus Pharmaceuticals, Inc. (NASDAQ: TARS), a late clinical-stage biopharmaceutical company whose mission is to focus on unmet needs and apply proven science and new technology to revolutionize treatment for patients, starting with eye care, today announced financial results and certain business and clinical updates for the year ended December 31, 2020. </w:t>
      </w:r>
    </w:p>
    <w:p>
      <w:pPr>
        <w:pStyle w:val="TextBody"/>
        <w:spacing w:before="0" w:after="0"/>
        <w:rPr/>
      </w:pPr>
      <w:r>
        <w:rPr/>
      </w:r>
    </w:p>
    <w:p>
      <w:pPr>
        <w:pStyle w:val="TextBody"/>
        <w:spacing w:lineRule="auto" w:line="276" w:before="0" w:after="0"/>
        <w:rPr>
          <w:color w:val="000000"/>
        </w:rPr>
      </w:pPr>
      <w:r>
        <w:rPr>
          <w:color w:val="000000"/>
        </w:rPr>
        <w:t>“</w:t>
      </w:r>
      <w:r>
        <w:rPr>
          <w:rFonts w:ascii="Arial;sans-serif" w:hAnsi="Arial;sans-serif"/>
          <w:b w:val="false"/>
          <w:color w:val="000000"/>
          <w:sz w:val="22"/>
        </w:rPr>
        <w:t xml:space="preserve">Since completing our successful IPO in October of last year, we continue to make important clinical progress with our lead program, TP-03, which is currently being evaluated in the Saturn-1 pivotal Phase 2b/3 trial for Demodex blepharitis, a disease for which there are currently no FDA-approved treatments,” said Bobak Azamian, MD, PhD, CEO, Tarsus Pharmaceuticals, Inc. “Our recent strategic partnership with LianBio for TP-03 in Greater China also expands our global reach to the second largest healthcare market in the world, while also providing significant non-dilutive funding. This will further allow for our advancement of pipeline, including TP-04 and TP-05, each focused on areas of high unmet medical need in MGD, rosacea, Lyme disease, and malaria.” </w:t>
      </w:r>
    </w:p>
    <w:p>
      <w:pPr>
        <w:pStyle w:val="TextBody"/>
        <w:spacing w:lineRule="auto" w:line="288" w:before="240" w:after="283"/>
        <w:jc w:val="both"/>
        <w:rPr>
          <w:rFonts w:ascii="Arial;sans-serif" w:hAnsi="Arial;sans-serif"/>
          <w:b/>
          <w:color w:val="000000"/>
          <w:sz w:val="22"/>
        </w:rPr>
      </w:pPr>
      <w:r>
        <w:rPr>
          <w:rFonts w:ascii="Arial;sans-serif" w:hAnsi="Arial;sans-serif"/>
          <w:b/>
          <w:color w:val="000000"/>
          <w:sz w:val="22"/>
        </w:rPr>
        <w:t>Recent Business Highlights and Corporate Update:</w:t>
      </w:r>
    </w:p>
    <w:p>
      <w:pPr>
        <w:pStyle w:val="TextBody"/>
        <w:spacing w:before="0" w:after="0"/>
        <w:jc w:val="both"/>
        <w:rPr/>
      </w:pPr>
      <w:r>
        <w:rPr/>
      </w:r>
    </w:p>
    <w:p>
      <w:pPr>
        <w:pStyle w:val="TextBody"/>
        <w:spacing w:lineRule="auto" w:line="276" w:before="0" w:after="0"/>
        <w:ind w:left="0" w:right="0" w:hanging="360"/>
        <w:rPr/>
      </w:pPr>
      <w:r>
        <w:rPr>
          <w:color w:val="000000"/>
        </w:rPr>
        <w:t>•</w:t>
      </w:r>
      <w:r>
        <w:rPr>
          <w:rFonts w:ascii="Arial;sans-serif" w:hAnsi="Arial;sans-serif"/>
          <w:b w:val="false"/>
          <w:color w:val="000000"/>
          <w:sz w:val="22"/>
        </w:rPr>
        <w:t>In March 2021, Tarsus announced its strategic partnership to develop and commercialize TP-03 in Greater China (PRC, Hong Kong, Taiwan, and Macau) for the treatment of Demodex blepharitis and Meibomian Gland Disease (MGD), eye conditions with significant unmet treatment needs. In this arrangement, LianBio obtained exclusive TP-03 development and commercialization rights to Greater China. In return, LianBio will (i) pay Tarsus $25 million by June 30, 2021 and up to $175 million in clinical, regulatory, and sales milestones, (ii) pay Tarsus tiered low double-digit royalties on sales of TP-03 in Greater China, and (iii) grant Tarsus a minority equity stake in LianBio Ophthalmology.</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56" w:before="0" w:after="0"/>
        <w:rPr>
          <w:rFonts w:ascii="Arial;sans-serif" w:hAnsi="Arial;sans-serif"/>
          <w:b w:val="false"/>
          <w:color w:val="000000"/>
          <w:sz w:val="22"/>
        </w:rPr>
      </w:pPr>
      <w:r>
        <w:rPr>
          <w:rFonts w:ascii="Arial;sans-serif" w:hAnsi="Arial;sans-serif"/>
          <w:b w:val="false"/>
          <w:color w:val="000000"/>
          <w:sz w:val="22"/>
        </w:rPr>
        <w:t>Tarsus expects to receive $70 million from these contractual milestones during the next 12 months.</w:t>
      </w:r>
    </w:p>
    <w:p>
      <w:pPr>
        <w:pStyle w:val="TextBody"/>
        <w:spacing w:before="0" w:after="0"/>
        <w:ind w:left="0" w:right="0" w:firstLine="720"/>
        <w:rPr/>
      </w:pPr>
      <w:r>
        <w:rPr/>
      </w:r>
    </w:p>
    <w:p>
      <w:pPr>
        <w:pStyle w:val="TextBody"/>
        <w:spacing w:lineRule="auto" w:line="276" w:before="0" w:after="0"/>
        <w:ind w:left="0" w:right="0" w:hanging="360"/>
        <w:rPr/>
      </w:pPr>
      <w:r>
        <w:rPr>
          <w:color w:val="000000"/>
        </w:rPr>
        <w:t>•</w:t>
      </w:r>
      <w:r>
        <w:rPr>
          <w:rFonts w:ascii="Arial;sans-serif" w:hAnsi="Arial;sans-serif"/>
          <w:b w:val="false"/>
          <w:color w:val="000000"/>
          <w:sz w:val="22"/>
        </w:rPr>
        <w:t>In December 2020, Tarsus had a Type C meeting with the United States Food and Drug Administration (FDA) for TP-03 in the treatment of Demodex blepharitis.</w:t>
      </w:r>
      <w:r>
        <w:rPr>
          <w:color w:val="000000"/>
        </w:rPr>
        <w:t xml:space="preserve"> </w:t>
      </w:r>
      <w:r>
        <w:rPr>
          <w:rFonts w:ascii="Arial;sans-serif" w:hAnsi="Arial;sans-serif"/>
          <w:b w:val="false"/>
          <w:color w:val="000000"/>
          <w:sz w:val="22"/>
        </w:rPr>
        <w:t>This meeting confirmed the planned new drug application (NDA) pathway with respect to the data and information required in the NDA filing.</w:t>
      </w:r>
      <w:r>
        <w:rPr>
          <w:color w:val="000000"/>
        </w:rPr>
        <w:t xml:space="preserve"> </w:t>
      </w:r>
    </w:p>
    <w:p>
      <w:pPr>
        <w:pStyle w:val="TextBody"/>
        <w:spacing w:before="0" w:after="0"/>
        <w:rPr/>
      </w:pPr>
      <w:r>
        <w:rPr/>
      </w:r>
    </w:p>
    <w:p>
      <w:pPr>
        <w:pStyle w:val="TextBody"/>
        <w:spacing w:lineRule="auto" w:line="276" w:before="0" w:after="0"/>
        <w:ind w:left="0" w:right="0" w:hanging="360"/>
        <w:rPr/>
      </w:pPr>
      <w:r>
        <w:rPr>
          <w:color w:val="000000"/>
        </w:rPr>
        <w:t>•</w:t>
      </w:r>
      <w:r>
        <w:rPr>
          <w:rFonts w:ascii="Arial;sans-serif" w:hAnsi="Arial;sans-serif"/>
          <w:b w:val="false"/>
          <w:color w:val="000000"/>
          <w:sz w:val="22"/>
        </w:rPr>
        <w:t>In December 2020, Tarsus announced that it was added to the broad-market Russell 3000® Index and the small-cap Russell 2000® Index as part of its periodic rebalancing.</w:t>
      </w:r>
    </w:p>
    <w:p>
      <w:pPr>
        <w:pStyle w:val="TextBody"/>
        <w:spacing w:before="0" w:after="0"/>
        <w:rPr/>
      </w:pPr>
      <w:r>
        <w:rPr/>
      </w:r>
    </w:p>
    <w:p>
      <w:pPr>
        <w:pStyle w:val="TextBody"/>
        <w:spacing w:lineRule="auto" w:line="276" w:before="0" w:after="0"/>
        <w:ind w:left="0" w:right="0" w:hanging="360"/>
        <w:rPr/>
      </w:pPr>
      <w:r>
        <w:rPr>
          <w:color w:val="000000"/>
        </w:rPr>
        <w:t>•</w:t>
      </w:r>
      <w:r>
        <w:rPr>
          <w:rFonts w:ascii="Arial;sans-serif" w:hAnsi="Arial;sans-serif"/>
          <w:b w:val="false"/>
          <w:color w:val="000000"/>
          <w:sz w:val="22"/>
        </w:rPr>
        <w:t>Beginning in the fourth quarter of 2020, Tarsus further expanded its management team and expertise of its Board of Directors:</w:t>
      </w:r>
    </w:p>
    <w:p>
      <w:pPr>
        <w:pStyle w:val="TextBody"/>
        <w:spacing w:lineRule="auto" w:line="288" w:before="240" w:after="283"/>
        <w:ind w:left="0" w:right="0" w:hanging="360"/>
        <w:rPr/>
      </w:pPr>
      <w:r>
        <w:rPr>
          <w:color w:val="000000"/>
        </w:rPr>
        <w:t>◦</w:t>
      </w:r>
      <w:r>
        <w:rPr>
          <w:rFonts w:ascii="Arial;sans-serif" w:hAnsi="Arial;sans-serif"/>
          <w:b w:val="false"/>
          <w:color w:val="000000"/>
          <w:sz w:val="22"/>
        </w:rPr>
        <w:t>Appointed Bryan Wahl, M.D., J.D. as General Counsel. Dr. Wahl has over 15 years of broad legal experience, including significant intellectual property (IP), corporate, and transactional expertise.</w:t>
      </w:r>
    </w:p>
    <w:p>
      <w:pPr>
        <w:pStyle w:val="TextBody"/>
        <w:spacing w:lineRule="auto" w:line="288" w:before="0" w:after="0"/>
        <w:ind w:left="0" w:right="0" w:hanging="360"/>
        <w:rPr/>
      </w:pPr>
      <w:r>
        <w:rPr>
          <w:color w:val="000000"/>
        </w:rPr>
        <w:t>◦</w:t>
      </w:r>
      <w:r>
        <w:rPr>
          <w:rFonts w:ascii="Arial;sans-serif" w:hAnsi="Arial;sans-serif"/>
          <w:b w:val="false"/>
          <w:color w:val="000000"/>
          <w:sz w:val="22"/>
        </w:rPr>
        <w:t>Appointed Dianne Whitfield as Chief Human Resources Officer. Ms. Whitfield has more than 20 years of experience in human resources, including over a decade of management and leadership experience in the life sciences industry.</w:t>
      </w:r>
    </w:p>
    <w:p>
      <w:pPr>
        <w:pStyle w:val="TextBody"/>
        <w:spacing w:lineRule="auto" w:line="288" w:before="0" w:after="0"/>
        <w:ind w:left="0" w:right="0" w:hanging="360"/>
        <w:rPr/>
      </w:pPr>
      <w:r>
        <w:rPr>
          <w:color w:val="000000"/>
        </w:rPr>
        <w:t>◦</w:t>
      </w:r>
      <w:r>
        <w:rPr>
          <w:rFonts w:ascii="Arial;sans-serif" w:hAnsi="Arial;sans-serif"/>
          <w:b w:val="false"/>
          <w:color w:val="000000"/>
          <w:sz w:val="22"/>
        </w:rPr>
        <w:t>Appointed Wendy L. Yarno to the Board of Directors and its Audit Committee. Ms. Yarno has more than 30 years of experience in the biopharmaceutical industry, both as a public company director and product commercialization leader, including 26 years at Merck &amp; Co. Inc.</w:t>
      </w:r>
    </w:p>
    <w:p>
      <w:pPr>
        <w:pStyle w:val="TextBody"/>
        <w:spacing w:lineRule="auto" w:line="288" w:before="240" w:after="283"/>
        <w:jc w:val="both"/>
        <w:rPr>
          <w:rFonts w:ascii="Arial;sans-serif" w:hAnsi="Arial;sans-serif"/>
          <w:b/>
          <w:color w:val="000000"/>
          <w:sz w:val="22"/>
        </w:rPr>
      </w:pPr>
      <w:r>
        <w:rPr>
          <w:rFonts w:ascii="Arial;sans-serif" w:hAnsi="Arial;sans-serif"/>
          <w:b/>
          <w:color w:val="000000"/>
          <w:sz w:val="22"/>
        </w:rPr>
        <w:t>Full-Year 2020 Financial Results:</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2"/>
        </w:rPr>
        <w:t xml:space="preserve">Full year net loss for 2020 was $26.8 million, compared to $4.7 million in 2019.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2"/>
        </w:rPr>
        <w:t xml:space="preserve">Full year research and development expenses for 2020 were $18.8 million, compared to $3.2 million in 2019.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2"/>
        </w:rPr>
        <w:t xml:space="preserve">Full year general and administrative expenses for 2020 were $8.2 million, compared to $1.1 million in 2019.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2"/>
        </w:rPr>
        <w:t>As of December 31, 2020, cash and cash equivalents were $168.1 million.</w:t>
      </w:r>
      <w:r>
        <w:rPr>
          <w:color w:val="000000"/>
        </w:rPr>
        <w:t xml:space="preserve"> </w:t>
      </w:r>
    </w:p>
    <w:p>
      <w:pPr>
        <w:pStyle w:val="TextBody"/>
        <w:spacing w:before="0" w:after="0"/>
        <w:jc w:val="both"/>
        <w:rPr/>
      </w:pPr>
      <w:r>
        <w:rPr/>
      </w:r>
    </w:p>
    <w:p>
      <w:pPr>
        <w:pStyle w:val="TextBody"/>
        <w:spacing w:lineRule="auto" w:line="276" w:before="0" w:after="0"/>
        <w:jc w:val="both"/>
        <w:rPr>
          <w:rFonts w:ascii="Arial;sans-serif" w:hAnsi="Arial;sans-serif"/>
          <w:b/>
          <w:color w:val="000000"/>
          <w:sz w:val="22"/>
        </w:rPr>
      </w:pPr>
      <w:r>
        <w:rPr>
          <w:rFonts w:ascii="Arial;sans-serif" w:hAnsi="Arial;sans-serif"/>
          <w:b/>
          <w:color w:val="000000"/>
          <w:sz w:val="22"/>
        </w:rPr>
        <w:t>About Tarsus Pharmaceuticals, Inc.</w:t>
      </w:r>
    </w:p>
    <w:p>
      <w:pPr>
        <w:pStyle w:val="TextBody"/>
        <w:spacing w:lineRule="auto" w:line="276" w:before="0" w:after="0"/>
        <w:rPr>
          <w:rFonts w:ascii="Arial;sans-serif" w:hAnsi="Arial;sans-serif"/>
          <w:b w:val="false"/>
          <w:color w:val="000000"/>
          <w:sz w:val="22"/>
        </w:rPr>
      </w:pPr>
      <w:r>
        <w:rPr>
          <w:rFonts w:ascii="Arial;sans-serif" w:hAnsi="Arial;sans-serif"/>
          <w:b w:val="false"/>
          <w:color w:val="000000"/>
          <w:sz w:val="22"/>
        </w:rPr>
        <w:t>Tarsus Pharmaceuticals, Inc. is a late clinical-stage biopharmaceutical company that applies proven science and new technology to revolutionize treatment for patients, starting with eye care. It is advancing its pipeline to address several diseases with high unmet need across a range of therapeutic categories, including eye care, dermatology, and infectious disease prevention. Its lead product candidate, TP-03, is a novel therapeutic in Phase 2b/3 that is being developed for the treatment of Demodex blepharitis and Meibomian Gland Disease.</w:t>
      </w:r>
    </w:p>
    <w:p>
      <w:pPr>
        <w:pStyle w:val="TextBody"/>
        <w:spacing w:before="0" w:after="0"/>
        <w:rPr/>
      </w:pPr>
      <w:r>
        <w:rPr/>
      </w:r>
    </w:p>
    <w:p>
      <w:pPr>
        <w:pStyle w:val="TextBody"/>
        <w:spacing w:lineRule="auto" w:line="276" w:before="0" w:after="0"/>
        <w:jc w:val="both"/>
        <w:rPr>
          <w:rFonts w:ascii="Arial;sans-serif" w:hAnsi="Arial;sans-serif"/>
          <w:b/>
          <w:color w:val="000000"/>
          <w:sz w:val="22"/>
        </w:rPr>
      </w:pPr>
      <w:r>
        <w:rPr>
          <w:rFonts w:ascii="Arial;sans-serif" w:hAnsi="Arial;sans-serif"/>
          <w:b/>
          <w:color w:val="000000"/>
          <w:sz w:val="22"/>
        </w:rPr>
        <w:t>Forward-Looking Statements</w:t>
      </w:r>
    </w:p>
    <w:p>
      <w:pPr>
        <w:pStyle w:val="TextBody"/>
        <w:spacing w:lineRule="auto" w:line="276"/>
        <w:rPr>
          <w:rFonts w:ascii="Arial;sans-serif" w:hAnsi="Arial;sans-serif"/>
          <w:b w:val="false"/>
          <w:color w:val="000000"/>
          <w:sz w:val="22"/>
        </w:rPr>
      </w:pPr>
      <w:r>
        <w:rPr>
          <w:rFonts w:ascii="Arial;sans-serif" w:hAnsi="Arial;sans-serif"/>
          <w:b w:val="false"/>
          <w:color w:val="000000"/>
          <w:sz w:val="22"/>
        </w:rPr>
        <w:t xml:space="preserve">Statements in this press release about future expectations, plans and prospects, as well as any other statements regarding matters that are not historical facts, may constitute “forward-looking statements.” These statements include statements regarding the receipt by Tarsus of payments and achievement and timing of milestones under the terms of the collaboration, the ability of LianBio to commercialize TP-03 in the Greater China territory, the market size for TP-03, future events and Tarsus’ plans for and the anticipated benefits of its product candidates including TP-03, the timing, objectives and results of the clinical studies and anticipated regulatory and </w:t>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rPr>
          <w:rFonts w:ascii="Arial;sans-serif" w:hAnsi="Arial;sans-serif"/>
          <w:b w:val="false"/>
          <w:color w:val="000000"/>
          <w:sz w:val="22"/>
        </w:rPr>
      </w:pPr>
      <w:r>
        <w:rPr>
          <w:rFonts w:ascii="Arial;sans-serif" w:hAnsi="Arial;sans-serif"/>
          <w:b w:val="false"/>
          <w:color w:val="000000"/>
          <w:sz w:val="22"/>
        </w:rPr>
        <w:t>development milestones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has incurred significant losses and negative cash flows from operations since inception and anticipates that it will continue to incur significant expenses and losses for the foreseeable future; Tarsus may need to obtain additional funding to complete the development and any commercialization of its product candidates, if approved; Tarsus is heavily dependent on the success of its lead product candidate, TP-03 for the treatment of Demodex blepharitis; the COVID-19 pandemic may affect Tarsus’ ability to initiate and complete preclinical studies and clinical trials, disrupt regulatory activities, disrupt manufacturing and supply chain or have other adverse effects on Tarsus’ business and operations; even if TP-03 or any other product candidate that Tarsus develops receives marketing approval, Tarsus may not be successful in educating eye care physician and the market about the need for treatments specifically for Demodex blepharitis and or other diseases or conditions targeted by Tarsus’ products; the development and commercialization of Tarsus products is dependent on intellectual property it licenses from Elanco Tiergesundheit AG; Tarsus will need to develop and expand the company and Tarsus may encounter difficulties in managing its growth, which could disrupt its operations; the sizes of the market opportunity for Tarsus’ product candidates, particularly TP-03 for the treatment of Demodex blepharitis and MGD,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and if Tarsus is unable to obtain and maintain sufficient intellectual property protection for its product candidates, or if the scope of the intellectual property protection is not sufficiently broad, Tarsus’ competitors could develop and commercialize products similar or identical Tarsus’ product.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2020 filed with the SEC on March 31, 2021,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pStyle w:val="TextBody"/>
        <w:spacing w:before="24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4241" w:type="dxa"/>
        <w:jc w:val="left"/>
        <w:tblInd w:w="0" w:type="dxa"/>
        <w:tblCellMar>
          <w:top w:w="28" w:type="dxa"/>
          <w:left w:w="28" w:type="dxa"/>
          <w:bottom w:w="28" w:type="dxa"/>
          <w:right w:w="28" w:type="dxa"/>
        </w:tblCellMar>
      </w:tblPr>
      <w:tblGrid>
        <w:gridCol w:w="1397"/>
        <w:gridCol w:w="1231"/>
        <w:gridCol w:w="1241"/>
        <w:gridCol w:w="109"/>
        <w:gridCol w:w="109"/>
        <w:gridCol w:w="154"/>
      </w:tblGrid>
      <w:tr>
        <w:trPr/>
        <w:tc>
          <w:tcPr>
            <w:tcW w:w="1397"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22"/>
              </w:rPr>
            </w:pPr>
            <w:r>
              <w:rPr>
                <w:rFonts w:ascii="Arial;sans-serif" w:hAnsi="Arial;sans-serif"/>
                <w:b/>
                <w:color w:val="000000"/>
                <w:sz w:val="22"/>
              </w:rPr>
              <w:t>Media Contact: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2"/>
              </w:rPr>
            </w:pPr>
            <w:r>
              <w:rPr>
                <w:rFonts w:ascii="Arial;sans-serif" w:hAnsi="Arial;sans-serif"/>
                <w:b w:val="false"/>
                <w:color w:val="000000"/>
                <w:sz w:val="22"/>
              </w:rPr>
              <w:t>SuJin Oh</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2"/>
              </w:rPr>
            </w:pPr>
            <w:r>
              <w:rPr>
                <w:rFonts w:ascii="Arial;sans-serif" w:hAnsi="Arial;sans-serif"/>
                <w:b w:val="false"/>
                <w:color w:val="000000"/>
                <w:sz w:val="22"/>
              </w:rPr>
              <w:t>Shop PR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2"/>
              </w:rPr>
            </w:pPr>
            <w:r>
              <w:rPr>
                <w:rFonts w:ascii="Arial;sans-serif" w:hAnsi="Arial;sans-serif"/>
                <w:b w:val="false"/>
                <w:color w:val="000000"/>
                <w:sz w:val="22"/>
              </w:rPr>
              <w:t>(917) 841-5213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2"/>
              </w:rPr>
            </w:pPr>
            <w:r>
              <w:rPr>
                <w:rFonts w:ascii="Arial;sans-serif" w:hAnsi="Arial;sans-serif"/>
                <w:b w:val="false"/>
                <w:color w:val="000000"/>
                <w:sz w:val="22"/>
              </w:rPr>
              <w:t>soh@shop-pr.com</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319" w:before="0" w:after="0"/>
              <w:jc w:val="left"/>
              <w:rPr>
                <w:rFonts w:ascii="Arial;sans-serif" w:hAnsi="Arial;sans-serif"/>
                <w:b/>
                <w:color w:val="000000"/>
                <w:sz w:val="22"/>
              </w:rPr>
            </w:pPr>
            <w:r>
              <w:rPr>
                <w:rFonts w:ascii="Arial;sans-serif" w:hAnsi="Arial;sans-serif"/>
                <w:b/>
                <w:color w:val="000000"/>
                <w:sz w:val="22"/>
              </w:rPr>
              <w:t>Investor Contact: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319" w:before="0" w:after="0"/>
              <w:jc w:val="left"/>
              <w:rPr>
                <w:rFonts w:ascii="Arial;sans-serif" w:hAnsi="Arial;sans-serif"/>
                <w:b w:val="false"/>
                <w:color w:val="000000"/>
                <w:sz w:val="22"/>
              </w:rPr>
            </w:pPr>
            <w:r>
              <w:rPr>
                <w:rFonts w:ascii="Arial;sans-serif" w:hAnsi="Arial;sans-serif"/>
                <w:b w:val="false"/>
                <w:color w:val="000000"/>
                <w:sz w:val="22"/>
              </w:rPr>
              <w:t>Patti Bank</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319" w:before="0" w:after="0"/>
              <w:jc w:val="left"/>
              <w:rPr>
                <w:rFonts w:ascii="Arial;sans-serif" w:hAnsi="Arial;sans-serif"/>
                <w:b w:val="false"/>
                <w:color w:val="000000"/>
                <w:sz w:val="22"/>
              </w:rPr>
            </w:pPr>
            <w:r>
              <w:rPr>
                <w:rFonts w:ascii="Arial;sans-serif" w:hAnsi="Arial;sans-serif"/>
                <w:b w:val="false"/>
                <w:color w:val="000000"/>
                <w:sz w:val="22"/>
              </w:rPr>
              <w:t>Westwicke Partners, an ICR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(415) 513-1284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IR@tarsusrx.com</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center"/>
        <w:rPr>
          <w:rFonts w:ascii="Arial;sans-serif" w:hAnsi="Arial;sans-serif"/>
          <w:b/>
          <w:color w:val="000000"/>
          <w:sz w:val="22"/>
        </w:rPr>
      </w:pPr>
      <w:r>
        <w:rPr>
          <w:rFonts w:ascii="Arial;sans-serif" w:hAnsi="Arial;sans-serif"/>
          <w:b/>
          <w:color w:val="000000"/>
          <w:sz w:val="22"/>
        </w:rPr>
        <w:t>TARSUS PHARMACEUTICALS, INC.</w:t>
      </w:r>
    </w:p>
    <w:p>
      <w:pPr>
        <w:pStyle w:val="TextBody"/>
        <w:spacing w:lineRule="auto" w:line="288" w:before="240" w:after="283"/>
        <w:jc w:val="center"/>
        <w:rPr>
          <w:rFonts w:ascii="Arial;sans-serif" w:hAnsi="Arial;sans-serif"/>
          <w:b/>
          <w:color w:val="000000"/>
          <w:sz w:val="22"/>
        </w:rPr>
      </w:pPr>
      <w:r>
        <w:rPr>
          <w:rFonts w:ascii="Arial;sans-serif" w:hAnsi="Arial;sans-serif"/>
          <w:b/>
          <w:color w:val="000000"/>
          <w:sz w:val="22"/>
        </w:rPr>
        <w:t>STATEMENTS OF OPERATIONS AND COMPREHENSIVE LOSS</w:t>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(In thousands, except share and per share amounts)</w:t>
      </w:r>
    </w:p>
    <w:tbl>
      <w:tblPr>
        <w:tblW w:w="10205" w:type="dxa"/>
        <w:jc w:val="center"/>
        <w:tblInd w:w="0" w:type="dxa"/>
        <w:tblCellMar>
          <w:top w:w="28" w:type="dxa"/>
          <w:left w:w="28" w:type="dxa"/>
          <w:bottom w:w="28" w:type="dxa"/>
          <w:right w:w="28" w:type="dxa"/>
        </w:tblCellMar>
      </w:tblPr>
      <w:tblGrid>
        <w:gridCol w:w="2916"/>
        <w:gridCol w:w="2360"/>
        <w:gridCol w:w="2366"/>
        <w:gridCol w:w="211"/>
        <w:gridCol w:w="785"/>
        <w:gridCol w:w="109"/>
        <w:gridCol w:w="109"/>
        <w:gridCol w:w="109"/>
        <w:gridCol w:w="109"/>
        <w:gridCol w:w="244"/>
        <w:gridCol w:w="732"/>
        <w:gridCol w:w="155"/>
      </w:tblGrid>
      <w:tr>
        <w:trPr/>
        <w:tc>
          <w:tcPr>
            <w:tcW w:w="2916" w:type="dxa"/>
            <w:tcBorders/>
            <w:shd w:fill="auto" w:val="clear"/>
            <w:vAlign w:val="center"/>
          </w:tcPr>
          <w:p>
            <w:pPr>
              <w:pStyle w:val="TableContents"/>
              <w:spacing w:before="0" w:after="283"/>
              <w:rPr>
                <w:sz w:val="4"/>
                <w:szCs w:val="4"/>
              </w:rPr>
            </w:pPr>
            <w:r>
              <w:rPr>
                <w:sz w:val="4"/>
                <w:szCs w:val="4"/>
              </w:rPr>
            </w:r>
          </w:p>
        </w:tc>
        <w:tc>
          <w:tcPr>
            <w:tcW w:w="2360" w:type="dxa"/>
            <w:tcBorders/>
            <w:shd w:fill="auto" w:val="clear"/>
            <w:vAlign w:val="center"/>
          </w:tcPr>
          <w:p>
            <w:pPr>
              <w:pStyle w:val="TableContents"/>
              <w:spacing w:before="0" w:after="283"/>
              <w:rPr>
                <w:sz w:val="4"/>
                <w:szCs w:val="4"/>
              </w:rPr>
            </w:pPr>
            <w:r>
              <w:rPr>
                <w:sz w:val="4"/>
                <w:szCs w:val="4"/>
              </w:rPr>
            </w:r>
          </w:p>
        </w:tc>
        <w:tc>
          <w:tcPr>
            <w:tcW w:w="23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7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2019</w:t>
            </w:r>
          </w:p>
        </w:tc>
      </w:tr>
      <w:tr>
        <w:trPr/>
        <w:tc>
          <w:tcPr>
            <w:tcW w:w="76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18,826 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3,162 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9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4,298 </w:t>
            </w:r>
          </w:p>
        </w:tc>
        <w:tc>
          <w:tcPr>
            <w:tcW w:w="15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 before other income (expense) and income taxes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11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convertible notes</w:t>
            </w:r>
          </w:p>
        </w:tc>
        <w:tc>
          <w:tcPr>
            <w:tcW w:w="9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derivative liabilities</w:t>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(expense)</w:t>
            </w:r>
          </w:p>
        </w:tc>
        <w:tc>
          <w:tcPr>
            <w:tcW w:w="9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w:t>
            </w:r>
          </w:p>
        </w:tc>
        <w:tc>
          <w:tcPr>
            <w:tcW w:w="15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and comprehensive loss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(26,811)</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(4,670)</w:t>
            </w:r>
          </w:p>
        </w:tc>
        <w:tc>
          <w:tcPr>
            <w:tcW w:w="15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attributable to common stockholders, basic and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outstanding used in computing net loss per share attributable to common stockholders, basic and diluted</w:t>
            </w:r>
          </w:p>
        </w:tc>
        <w:tc>
          <w:tcPr>
            <w:tcW w:w="996" w:type="dxa"/>
            <w:gridSpan w:val="2"/>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6,207,367 </w:t>
            </w:r>
          </w:p>
        </w:tc>
        <w:tc>
          <w:tcPr>
            <w:tcW w:w="109"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2,362,768 </w:t>
            </w:r>
          </w:p>
        </w:tc>
        <w:tc>
          <w:tcPr>
            <w:tcW w:w="155"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00" w:after="283"/>
        <w:jc w:val="center"/>
        <w:rPr>
          <w:rFonts w:ascii="Arial;sans-serif" w:hAnsi="Arial;sans-serif"/>
          <w:b/>
          <w:color w:val="000000"/>
          <w:sz w:val="22"/>
        </w:rPr>
      </w:pPr>
      <w:r>
        <w:rPr>
          <w:rFonts w:ascii="Arial;sans-serif" w:hAnsi="Arial;sans-serif"/>
          <w:b/>
          <w:color w:val="000000"/>
          <w:sz w:val="22"/>
        </w:rPr>
        <w:t>TARSUS PHARMACEUTICALS, INC.</w:t>
      </w:r>
    </w:p>
    <w:p>
      <w:pPr>
        <w:pStyle w:val="TextBody"/>
        <w:spacing w:lineRule="auto" w:line="288" w:before="200" w:after="283"/>
        <w:jc w:val="center"/>
        <w:rPr>
          <w:rFonts w:ascii="Arial;sans-serif" w:hAnsi="Arial;sans-serif"/>
          <w:b/>
          <w:color w:val="000000"/>
          <w:sz w:val="22"/>
        </w:rPr>
      </w:pPr>
      <w:r>
        <w:rPr>
          <w:rFonts w:ascii="Arial;sans-serif" w:hAnsi="Arial;sans-serif"/>
          <w:b/>
          <w:color w:val="000000"/>
          <w:sz w:val="22"/>
        </w:rPr>
        <w:t>BALANCE SHEETS</w:t>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(In thousands, except share and par value amounts)</w:t>
      </w:r>
    </w:p>
    <w:p>
      <w:pPr>
        <w:pStyle w:val="TextBody"/>
        <w:spacing w:lineRule="auto" w:line="288" w:before="0" w:after="0"/>
        <w:jc w:val="center"/>
        <w:rPr>
          <w:color w:val="000000"/>
        </w:rPr>
      </w:pPr>
      <w:r>
        <w:rPr>
          <w:color w:val="000000"/>
        </w:rPr>
        <w:t> </w:t>
      </w:r>
    </w:p>
    <w:tbl>
      <w:tblPr>
        <w:tblW w:w="10205" w:type="dxa"/>
        <w:jc w:val="center"/>
        <w:tblInd w:w="0" w:type="dxa"/>
        <w:tblCellMar>
          <w:top w:w="28" w:type="dxa"/>
          <w:left w:w="28" w:type="dxa"/>
          <w:bottom w:w="28" w:type="dxa"/>
          <w:right w:w="28" w:type="dxa"/>
        </w:tblCellMar>
      </w:tblPr>
      <w:tblGrid>
        <w:gridCol w:w="3121"/>
        <w:gridCol w:w="2286"/>
        <w:gridCol w:w="2238"/>
        <w:gridCol w:w="211"/>
        <w:gridCol w:w="826"/>
        <w:gridCol w:w="109"/>
        <w:gridCol w:w="109"/>
        <w:gridCol w:w="109"/>
        <w:gridCol w:w="109"/>
        <w:gridCol w:w="211"/>
        <w:gridCol w:w="721"/>
        <w:gridCol w:w="155"/>
      </w:tblGrid>
      <w:tr>
        <w:trPr/>
        <w:tc>
          <w:tcPr>
            <w:tcW w:w="3121" w:type="dxa"/>
            <w:tcBorders/>
            <w:shd w:fill="auto" w:val="clear"/>
            <w:vAlign w:val="center"/>
          </w:tcPr>
          <w:p>
            <w:pPr>
              <w:pStyle w:val="TableContents"/>
              <w:spacing w:before="0" w:after="283"/>
              <w:rPr>
                <w:sz w:val="4"/>
                <w:szCs w:val="4"/>
              </w:rPr>
            </w:pPr>
            <w:r>
              <w:rPr>
                <w:sz w:val="4"/>
                <w:szCs w:val="4"/>
              </w:rPr>
            </w:r>
          </w:p>
        </w:tc>
        <w:tc>
          <w:tcPr>
            <w:tcW w:w="2286"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7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2019</w:t>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57,952 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 xml:space="preserve">LIABILITIES, PREFERRED STOCK AND STOCKHOLDERS’ EQUITY (DEFICIT) </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other accrued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payroll and benefits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 xml:space="preserve">Commitments and contingencies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Series A Preferred Stock, $0.0001 par value; no shares authorized, issued and outstanding at December 31, 2020; 1,575,030 shares authorized, issued and outstanding at December 31, 2019; liquidation preference of $3,650 at December 31, 2019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Series B Preferred Stock, $0.0001 par value; no shares authorized, issued and outstanding at December 31, 2020; 6,731,649 shares authorized and 6,674,909 shares issued and outstanding at December 31, 2019; liquidation preference of $60,010 at December 31, 2019</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59,838 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Stockholders’ equity (deficit):</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$0.0001 par value; 10,000,000 and no shares authorized at December 31, 2020 and December 31, 2019, respectively; no shares issued and outstanding at December 31, 2020 and December 31, 2019</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$0.0001 par value; 200,000,000 shares authorized; 20,502,576 shares issued and 20,323,201 outstanding, which excludes 179,375 shares subject to repurchase at December 31, 2020; 2,650,919 shares issued and 2,646,619 outstanding, which excludes 4,300 shares subject to repurchase at December 31, 2019</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198,821 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 xml:space="preserve">Total stockholders’ equity (deficit)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 xml:space="preserve">Total liabilities, preferred stock and stockholders’ equity (deficit)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171,972 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58,316 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2368</Words>
  <CharactersWithSpaces>15846</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