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732657dsc13ga.htm"/>
      <w:bookmarkStart w:id="1" w:name="ksd732657dsc13ga"/>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360" w:after="0"/>
        <w:jc w:val="center"/>
        <w:rPr>
          <w:rFonts w:ascii="Times New Roman" w:hAnsi="Times New Roman"/>
          <w:b/>
          <w:sz w:val="36"/>
        </w:rPr>
      </w:pPr>
      <w:r>
        <w:rPr>
          <w:rFonts w:ascii="Times New Roman" w:hAnsi="Times New Roman"/>
          <w:b/>
          <w:sz w:val="36"/>
        </w:rPr>
        <w:t xml:space="preserve">SCHEDULE 13G </w:t>
      </w:r>
    </w:p>
    <w:p>
      <w:pPr>
        <w:pStyle w:val="TextBody"/>
        <w:bidi w:val="0"/>
        <w:spacing w:before="240" w:after="0"/>
        <w:jc w:val="center"/>
        <w:rPr>
          <w:rFonts w:ascii="Times New Roman" w:hAnsi="Times New Roman"/>
          <w:b/>
          <w:sz w:val="24"/>
        </w:rPr>
      </w:pPr>
      <w:r>
        <w:rPr>
          <w:rFonts w:ascii="Times New Roman" w:hAnsi="Times New Roman"/>
          <w:b/>
          <w:sz w:val="24"/>
        </w:rPr>
        <w:t xml:space="preserve">Under the Securities Exchange Act of l934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No.1)1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360" w:after="0"/>
        <w:jc w:val="center"/>
        <w:rPr>
          <w:rFonts w:ascii="Times New Roman" w:hAnsi="Times New Roman"/>
          <w:b/>
          <w:sz w:val="44"/>
        </w:rPr>
      </w:pPr>
      <w:r>
        <w:rPr>
          <w:rFonts w:ascii="Times New Roman" w:hAnsi="Times New Roman"/>
          <w:b/>
          <w:sz w:val="44"/>
        </w:rPr>
        <w:t xml:space="preserve">TARSUS PHARMACEUTICALS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Issuer) </w:t>
      </w:r>
    </w:p>
    <w:p>
      <w:pPr>
        <w:pStyle w:val="TextBody"/>
        <w:bidi w:val="0"/>
        <w:spacing w:before="240" w:after="0"/>
        <w:jc w:val="center"/>
        <w:rPr>
          <w:rFonts w:ascii="Times New Roman" w:hAnsi="Times New Roman"/>
          <w:b/>
          <w:sz w:val="20"/>
        </w:rPr>
      </w:pPr>
      <w:r>
        <w:rPr>
          <w:rFonts w:ascii="Times New Roman" w:hAnsi="Times New Roman"/>
          <w:b/>
          <w:sz w:val="20"/>
        </w:rPr>
        <w:t xml:space="preserve">Common Stock, $0.0001 par value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Class of Securities) </w:t>
      </w:r>
    </w:p>
    <w:p>
      <w:pPr>
        <w:pStyle w:val="TextBody"/>
        <w:bidi w:val="0"/>
        <w:spacing w:before="240" w:after="0"/>
        <w:jc w:val="center"/>
        <w:rPr>
          <w:rFonts w:ascii="Times New Roman" w:hAnsi="Times New Roman"/>
          <w:b/>
          <w:sz w:val="20"/>
        </w:rPr>
      </w:pPr>
      <w:r>
        <w:rPr>
          <w:rFonts w:ascii="Times New Roman" w:hAnsi="Times New Roman"/>
          <w:b/>
          <w:sz w:val="20"/>
        </w:rPr>
        <w:t xml:space="preserve">87650lL03 </w:t>
      </w:r>
    </w:p>
    <w:p>
      <w:pPr>
        <w:pStyle w:val="TextBody"/>
        <w:bidi w:val="0"/>
        <w:spacing w:before="0" w:after="0"/>
        <w:jc w:val="center"/>
        <w:rPr>
          <w:rFonts w:ascii="Times New Roman" w:hAnsi="Times New Roman"/>
          <w:b/>
          <w:sz w:val="16"/>
        </w:rPr>
      </w:pPr>
      <w:r>
        <w:rPr>
          <w:rFonts w:ascii="Times New Roman" w:hAnsi="Times New Roman"/>
          <w:b/>
          <w:sz w:val="16"/>
        </w:rPr>
        <w:t xml:space="preserve">(CUSIP Number) </w:t>
      </w:r>
    </w:p>
    <w:p>
      <w:pPr>
        <w:pStyle w:val="TextBody"/>
        <w:bidi w:val="0"/>
        <w:spacing w:before="240" w:after="0"/>
        <w:jc w:val="center"/>
        <w:rPr>
          <w:rFonts w:ascii="Times New Roman" w:hAnsi="Times New Roman"/>
          <w:b/>
          <w:sz w:val="20"/>
        </w:rPr>
      </w:pPr>
      <w:r>
        <w:rPr>
          <w:rFonts w:ascii="Times New Roman" w:hAnsi="Times New Roman"/>
          <w:b/>
          <w:sz w:val="20"/>
        </w:rPr>
        <w:t xml:space="preserve">December 31, 2023 </w:t>
      </w:r>
    </w:p>
    <w:p>
      <w:pPr>
        <w:pStyle w:val="TextBody"/>
        <w:bidi w:val="0"/>
        <w:spacing w:before="0" w:after="0"/>
        <w:jc w:val="center"/>
        <w:rPr>
          <w:rFonts w:ascii="Times New Roman" w:hAnsi="Times New Roman"/>
          <w:b/>
          <w:sz w:val="16"/>
        </w:rPr>
      </w:pPr>
      <w:r>
        <w:rPr>
          <w:rFonts w:ascii="Times New Roman" w:hAnsi="Times New Roman"/>
          <w:b/>
          <w:sz w:val="16"/>
        </w:rPr>
        <w:t xml:space="preserve">(Date of Event Which Requires Filing of this Statement)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360" w:after="0"/>
        <w:jc w:val="left"/>
        <w:rPr>
          <w:rFonts w:ascii="Times New Roman" w:hAnsi="Times New Roman"/>
          <w:sz w:val="20"/>
        </w:rPr>
      </w:pPr>
      <w:r>
        <w:rPr>
          <w:rFonts w:ascii="Times New Roman" w:hAnsi="Times New Roman"/>
          <w:sz w:val="20"/>
        </w:rPr>
        <w:t xml:space="preserve">Check the appropriate box to designate the rule pursuant to which this Schedule is filed. </w:t>
      </w:r>
    </w:p>
    <w:p>
      <w:pPr>
        <w:pStyle w:val="TextBody"/>
        <w:bidi w:val="0"/>
        <w:spacing w:before="240" w:after="0"/>
        <w:jc w:val="left"/>
        <w:rPr/>
      </w:pPr>
      <w:r>
        <w:rPr/>
        <w:t xml:space="preserve">☒ </w:t>
      </w:r>
      <w:r>
        <w:rPr>
          <w:rFonts w:ascii="Times New Roman" w:hAnsi="Times New Roman"/>
          <w:sz w:val="20"/>
        </w:rPr>
        <w:t xml:space="preserve">Rule 13d-1(b) </w:t>
      </w:r>
    </w:p>
    <w:p>
      <w:pPr>
        <w:pStyle w:val="TextBody"/>
        <w:bidi w:val="0"/>
        <w:spacing w:before="240" w:after="0"/>
        <w:jc w:val="left"/>
        <w:rPr/>
      </w:pPr>
      <w:r>
        <w:rPr/>
        <w:t xml:space="preserve">☐ </w:t>
      </w:r>
      <w:r>
        <w:rPr>
          <w:rFonts w:ascii="Times New Roman" w:hAnsi="Times New Roman"/>
          <w:sz w:val="20"/>
        </w:rPr>
        <w:t xml:space="preserve">Rule 13d-1(c) </w:t>
      </w:r>
    </w:p>
    <w:p>
      <w:pPr>
        <w:pStyle w:val="TextBody"/>
        <w:bidi w:val="0"/>
        <w:spacing w:before="240" w:after="0"/>
        <w:jc w:val="left"/>
        <w:rPr/>
      </w:pPr>
      <w:r>
        <w:rPr/>
        <w:t xml:space="preserve">☐ </w:t>
      </w:r>
      <w:r>
        <w:rPr>
          <w:rFonts w:ascii="Times New Roman" w:hAnsi="Times New Roman"/>
          <w:sz w:val="20"/>
        </w:rPr>
        <w:t xml:space="preserve">Rule 13d-1(d)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remainder of this cover page shall be filled out for a reporting persons initial filing on this form with respect to the subject class of securities, and for any subsequent amendment containing information which would alter the disclosures provided in a prior cover page.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CUSIP No. 87650L103 </w:t>
      </w:r>
    </w:p>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525"/>
        <w:gridCol w:w="128"/>
        <w:gridCol w:w="687"/>
        <w:gridCol w:w="231"/>
        <w:gridCol w:w="226"/>
        <w:gridCol w:w="231"/>
        <w:gridCol w:w="8074"/>
      </w:tblGrid>
      <w:tr>
        <w:trPr/>
        <w:tc>
          <w:tcPr>
            <w:tcW w:w="52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8074" w:type="dxa"/>
            <w:tcBorders/>
            <w:vAlign w:val="center"/>
          </w:tcPr>
          <w:p>
            <w:pPr>
              <w:pStyle w:val="TableContents"/>
              <w:bidi w:val="0"/>
              <w:spacing w:before="0" w:after="283"/>
              <w:jc w:val="left"/>
              <w:rPr>
                <w:sz w:val="4"/>
                <w:szCs w:val="4"/>
              </w:rPr>
            </w:pPr>
            <w:r>
              <w:rPr>
                <w:sz w:val="4"/>
                <w:szCs w:val="4"/>
              </w:rPr>
            </w:r>
          </w:p>
        </w:tc>
      </w:tr>
      <w:tr>
        <w:trPr/>
        <w:tc>
          <w:tcPr>
            <w:tcW w:w="525"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49"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r>
              <w:rPr>
                <w:rFonts w:ascii="Times New Roman" w:hAnsi="Times New Roman"/>
                <w:sz w:val="20"/>
              </w:rPr>
              <w:t>I.R.S. Identification Nos. of Above Persons (Entities Only)</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TimesSquare Capital Management, LLC</w:t>
            </w:r>
          </w:p>
          <w:p>
            <w:pPr>
              <w:pStyle w:val="TableContents"/>
              <w:bidi w:val="0"/>
              <w:spacing w:before="0" w:after="20"/>
              <w:jc w:val="left"/>
              <w:rPr/>
            </w:pPr>
            <w:r>
              <w:rPr/>
              <w:t> </w:t>
            </w:r>
            <w:r>
              <w:rPr>
                <w:rFonts w:ascii="Times New Roman" w:hAnsi="Times New Roman"/>
                <w:sz w:val="20"/>
              </w:rPr>
              <w:t>20-1665304</w:t>
            </w:r>
          </w:p>
        </w:tc>
      </w:tr>
      <w:tr>
        <w:trPr/>
        <w:tc>
          <w:tcPr>
            <w:tcW w:w="52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9"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(a) ☐  (b) ☐</w:t>
            </w:r>
          </w:p>
        </w:tc>
      </w:tr>
      <w:tr>
        <w:trPr/>
        <w:tc>
          <w:tcPr>
            <w:tcW w:w="52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9"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52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9"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Delaware</w:t>
            </w:r>
          </w:p>
        </w:tc>
      </w:tr>
    </w:tbl>
    <w:tbl>
      <w:tblPr>
        <w:tblW w:w="4950" w:type="pct"/>
        <w:jc w:val="left"/>
        <w:tblInd w:w="0" w:type="dxa"/>
        <w:tblLayout w:type="fixed"/>
        <w:tblCellMar>
          <w:top w:w="0" w:type="dxa"/>
          <w:left w:w="0" w:type="dxa"/>
          <w:bottom w:w="0" w:type="dxa"/>
          <w:right w:w="0" w:type="dxa"/>
        </w:tblCellMar>
      </w:tblPr>
      <w:tblGrid>
        <w:gridCol w:w="598"/>
        <w:gridCol w:w="352"/>
        <w:gridCol w:w="765"/>
        <w:gridCol w:w="177"/>
        <w:gridCol w:w="334"/>
        <w:gridCol w:w="129"/>
        <w:gridCol w:w="7747"/>
      </w:tblGrid>
      <w:tr>
        <w:trPr/>
        <w:tc>
          <w:tcPr>
            <w:tcW w:w="598"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747" w:type="dxa"/>
            <w:tcBorders/>
            <w:vAlign w:val="center"/>
          </w:tcPr>
          <w:p>
            <w:pPr>
              <w:pStyle w:val="TableContents"/>
              <w:bidi w:val="0"/>
              <w:spacing w:before="0" w:after="283"/>
              <w:jc w:val="left"/>
              <w:rPr>
                <w:sz w:val="4"/>
                <w:szCs w:val="4"/>
              </w:rPr>
            </w:pPr>
            <w:r>
              <w:rPr>
                <w:sz w:val="4"/>
                <w:szCs w:val="4"/>
              </w:rPr>
            </w:r>
          </w:p>
        </w:tc>
      </w:tr>
      <w:tr>
        <w:trPr/>
        <w:tc>
          <w:tcPr>
            <w:tcW w:w="1715"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20"/>
              <w:jc w:val="center"/>
              <w:rPr>
                <w:rFonts w:ascii="Times New Roman" w:hAnsi="Times New Roman"/>
                <w:sz w:val="20"/>
              </w:rPr>
            </w:pPr>
            <w:r>
              <w:rPr>
                <w:rFonts w:ascii="Times New Roman" w:hAnsi="Times New Roman"/>
                <w:sz w:val="20"/>
              </w:rPr>
              <w:t>With</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34" w:type="dxa"/>
            <w:tcBorders>
              <w:bottom w:val="single" w:sz="2" w:space="0" w:color="000000"/>
            </w:tcBorders>
            <w:tcMar>
              <w:bottom w:w="28" w:type="dxa"/>
            </w:tcMar>
          </w:tcPr>
          <w:p>
            <w:pPr>
              <w:pStyle w:val="TableContents"/>
              <w:bidi w:val="0"/>
              <w:spacing w:before="0" w:after="283"/>
              <w:jc w:val="left"/>
              <w:rPr/>
            </w:pPr>
            <w:r>
              <w:rPr/>
              <w:t>5) </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747"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71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34" w:type="dxa"/>
            <w:tcBorders>
              <w:bottom w:val="single" w:sz="2" w:space="0" w:color="000000"/>
            </w:tcBorders>
            <w:tcMar>
              <w:bottom w:w="28" w:type="dxa"/>
            </w:tcMar>
          </w:tcPr>
          <w:p>
            <w:pPr>
              <w:pStyle w:val="TableContents"/>
              <w:bidi w:val="0"/>
              <w:spacing w:before="0" w:after="283"/>
              <w:jc w:val="left"/>
              <w:rPr/>
            </w:pPr>
            <w:r>
              <w:rPr/>
              <w:t>6)</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747"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71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34" w:type="dxa"/>
            <w:tcBorders>
              <w:bottom w:val="single" w:sz="2" w:space="0" w:color="000000"/>
            </w:tcBorders>
            <w:tcMar>
              <w:bottom w:w="28" w:type="dxa"/>
            </w:tcMar>
          </w:tcPr>
          <w:p>
            <w:pPr>
              <w:pStyle w:val="TableContents"/>
              <w:bidi w:val="0"/>
              <w:spacing w:before="0" w:after="283"/>
              <w:jc w:val="left"/>
              <w:rPr/>
            </w:pPr>
            <w:r>
              <w:rPr/>
              <w:t>7)</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747"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71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334" w:type="dxa"/>
            <w:tcBorders/>
          </w:tcPr>
          <w:p>
            <w:pPr>
              <w:pStyle w:val="TableContents"/>
              <w:bidi w:val="0"/>
              <w:spacing w:before="0" w:after="283"/>
              <w:jc w:val="left"/>
              <w:rPr/>
            </w:pPr>
            <w:r>
              <w:rPr/>
              <w:t>8)</w:t>
            </w:r>
          </w:p>
        </w:tc>
        <w:tc>
          <w:tcPr>
            <w:tcW w:w="129" w:type="dxa"/>
            <w:tcBorders>
              <w:left w:val="single" w:sz="2" w:space="0" w:color="000000"/>
            </w:tcBorders>
            <w:tcMar>
              <w:left w:w="28" w:type="dxa"/>
            </w:tcMar>
            <w:vAlign w:val="bottom"/>
          </w:tcPr>
          <w:p>
            <w:pPr>
              <w:pStyle w:val="TableContents"/>
              <w:bidi w:val="0"/>
              <w:spacing w:before="0" w:after="283"/>
              <w:jc w:val="left"/>
              <w:rPr/>
            </w:pPr>
            <w:r>
              <w:rPr/>
              <w:t> </w:t>
            </w:r>
          </w:p>
        </w:tc>
        <w:tc>
          <w:tcPr>
            <w:tcW w:w="7747"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bl>
    <w:tbl>
      <w:tblPr>
        <w:tblW w:w="4950" w:type="pct"/>
        <w:jc w:val="left"/>
        <w:tblInd w:w="0" w:type="dxa"/>
        <w:tblLayout w:type="fixed"/>
        <w:tblCellMar>
          <w:top w:w="0" w:type="dxa"/>
          <w:left w:w="0" w:type="dxa"/>
          <w:bottom w:w="0" w:type="dxa"/>
          <w:right w:w="0" w:type="dxa"/>
        </w:tblCellMar>
      </w:tblPr>
      <w:tblGrid>
        <w:gridCol w:w="520"/>
        <w:gridCol w:w="127"/>
        <w:gridCol w:w="674"/>
        <w:gridCol w:w="212"/>
        <w:gridCol w:w="205"/>
        <w:gridCol w:w="212"/>
        <w:gridCol w:w="8152"/>
      </w:tblGrid>
      <w:tr>
        <w:trPr/>
        <w:tc>
          <w:tcPr>
            <w:tcW w:w="52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8152" w:type="dxa"/>
            <w:tcBorders/>
            <w:vAlign w:val="center"/>
          </w:tcPr>
          <w:p>
            <w:pPr>
              <w:pStyle w:val="TableContents"/>
              <w:bidi w:val="0"/>
              <w:spacing w:before="0" w:after="283"/>
              <w:jc w:val="left"/>
              <w:rPr>
                <w:sz w:val="4"/>
                <w:szCs w:val="4"/>
              </w:rPr>
            </w:pPr>
            <w:r>
              <w:rPr>
                <w:sz w:val="4"/>
                <w:szCs w:val="4"/>
              </w:rPr>
            </w:r>
          </w:p>
        </w:tc>
      </w:tr>
      <w:tr>
        <w:trPr/>
        <w:tc>
          <w:tcPr>
            <w:tcW w:w="520"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9) 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5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5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10)</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(9)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5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11)</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9</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5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IA</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Item l(a) </w:t>
      </w:r>
    </w:p>
    <w:p>
      <w:pPr>
        <w:pStyle w:val="TextBody"/>
        <w:bidi w:val="0"/>
        <w:spacing w:before="240" w:after="0"/>
        <w:jc w:val="left"/>
        <w:rPr>
          <w:rFonts w:ascii="Times New Roman" w:hAnsi="Times New Roman"/>
          <w:sz w:val="20"/>
        </w:rPr>
      </w:pPr>
      <w:r>
        <w:rPr>
          <w:rFonts w:ascii="Times New Roman" w:hAnsi="Times New Roman"/>
          <w:sz w:val="20"/>
        </w:rPr>
        <w:t xml:space="preserve">Name of Issuer: TARSUS PHARMACEUTICALS, INC. </w:t>
      </w:r>
    </w:p>
    <w:p>
      <w:pPr>
        <w:pStyle w:val="TextBody"/>
        <w:bidi w:val="0"/>
        <w:spacing w:before="240" w:after="0"/>
        <w:jc w:val="center"/>
        <w:rPr>
          <w:rFonts w:ascii="Times New Roman" w:hAnsi="Times New Roman"/>
          <w:b/>
          <w:sz w:val="20"/>
        </w:rPr>
      </w:pPr>
      <w:r>
        <w:rPr>
          <w:rFonts w:ascii="Times New Roman" w:hAnsi="Times New Roman"/>
          <w:b/>
          <w:sz w:val="20"/>
        </w:rPr>
        <w:t xml:space="preserve">Item l(b)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101"/>
        <w:gridCol w:w="6532"/>
      </w:tblGrid>
      <w:tr>
        <w:trPr/>
        <w:tc>
          <w:tcPr>
            <w:tcW w:w="357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6532"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pPr>
            <w:r>
              <w:rPr/>
              <w:t>Address of Issuers Principal Executive Offices:</w:t>
            </w:r>
          </w:p>
        </w:tc>
        <w:tc>
          <w:tcPr>
            <w:tcW w:w="101" w:type="dxa"/>
            <w:tcBorders/>
            <w:vAlign w:val="bottom"/>
          </w:tcPr>
          <w:p>
            <w:pPr>
              <w:pStyle w:val="TableContents"/>
              <w:bidi w:val="0"/>
              <w:spacing w:before="0" w:after="283"/>
              <w:jc w:val="left"/>
              <w:rPr/>
            </w:pPr>
            <w:r>
              <w:rPr/>
              <w:t> </w:t>
            </w:r>
          </w:p>
        </w:tc>
        <w:tc>
          <w:tcPr>
            <w:tcW w:w="6532" w:type="dxa"/>
            <w:tcBorders/>
          </w:tcPr>
          <w:p>
            <w:pPr>
              <w:pStyle w:val="TableContents"/>
              <w:bidi w:val="0"/>
              <w:spacing w:before="0" w:after="283"/>
              <w:jc w:val="left"/>
              <w:rPr/>
            </w:pPr>
            <w:r>
              <w:rPr/>
              <w:t>15440 LAGUNA CANYON ROAD</w:t>
            </w:r>
          </w:p>
        </w:tc>
      </w:tr>
      <w:tr>
        <w:trPr/>
        <w:tc>
          <w:tcPr>
            <w:tcW w:w="357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6532" w:type="dxa"/>
            <w:tcBorders/>
          </w:tcPr>
          <w:p>
            <w:pPr>
              <w:pStyle w:val="TableContents"/>
              <w:bidi w:val="0"/>
              <w:spacing w:before="0" w:after="283"/>
              <w:jc w:val="left"/>
              <w:rPr/>
            </w:pPr>
            <w:r>
              <w:rPr/>
              <w:t>IRVINE, CALIFORNIA 92618</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Item 2(a) </w:t>
      </w:r>
    </w:p>
    <w:p>
      <w:pPr>
        <w:pStyle w:val="TextBody"/>
        <w:bidi w:val="0"/>
        <w:spacing w:before="240" w:after="0"/>
        <w:jc w:val="left"/>
        <w:rPr>
          <w:rFonts w:ascii="Times New Roman" w:hAnsi="Times New Roman"/>
          <w:sz w:val="20"/>
        </w:rPr>
      </w:pPr>
      <w:r>
        <w:rPr>
          <w:rFonts w:ascii="Times New Roman" w:hAnsi="Times New Roman"/>
          <w:sz w:val="20"/>
        </w:rPr>
        <w:t xml:space="preserve">Name of Persons Filing: TimesSquare Capital Management, LLC (TimesSquare) </w:t>
      </w:r>
    </w:p>
    <w:p>
      <w:pPr>
        <w:pStyle w:val="TextBody"/>
        <w:bidi w:val="0"/>
        <w:spacing w:before="240" w:after="0"/>
        <w:jc w:val="center"/>
        <w:rPr>
          <w:rFonts w:ascii="Times New Roman" w:hAnsi="Times New Roman"/>
          <w:b/>
          <w:sz w:val="20"/>
        </w:rPr>
      </w:pPr>
      <w:r>
        <w:rPr>
          <w:rFonts w:ascii="Times New Roman" w:hAnsi="Times New Roman"/>
          <w:b/>
          <w:sz w:val="20"/>
        </w:rPr>
        <w:t xml:space="preserve">Item 2(b) </w:t>
      </w:r>
    </w:p>
    <w:p>
      <w:pPr>
        <w:pStyle w:val="TextBody"/>
        <w:bidi w:val="0"/>
        <w:spacing w:before="240" w:after="0"/>
        <w:jc w:val="left"/>
        <w:rPr>
          <w:rFonts w:ascii="Times New Roman" w:hAnsi="Times New Roman"/>
          <w:sz w:val="20"/>
        </w:rPr>
      </w:pPr>
      <w:r>
        <w:rPr>
          <w:rFonts w:ascii="Times New Roman" w:hAnsi="Times New Roman"/>
          <w:sz w:val="20"/>
        </w:rPr>
        <w:t xml:space="preserve">Address of Principal Business Office or, if none, Residence: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78"/>
        <w:gridCol w:w="110"/>
        <w:gridCol w:w="8817"/>
      </w:tblGrid>
      <w:tr>
        <w:trPr/>
        <w:tc>
          <w:tcPr>
            <w:tcW w:w="1278"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8817" w:type="dxa"/>
            <w:tcBorders/>
            <w:vAlign w:val="center"/>
          </w:tcPr>
          <w:p>
            <w:pPr>
              <w:pStyle w:val="TableContents"/>
              <w:bidi w:val="0"/>
              <w:spacing w:before="0" w:after="283"/>
              <w:jc w:val="left"/>
              <w:rPr>
                <w:sz w:val="4"/>
                <w:szCs w:val="4"/>
              </w:rPr>
            </w:pPr>
            <w:r>
              <w:rPr>
                <w:sz w:val="4"/>
                <w:szCs w:val="4"/>
              </w:rPr>
            </w:r>
          </w:p>
        </w:tc>
      </w:tr>
      <w:tr>
        <w:trPr/>
        <w:tc>
          <w:tcPr>
            <w:tcW w:w="1278" w:type="dxa"/>
            <w:tcBorders/>
          </w:tcPr>
          <w:p>
            <w:pPr>
              <w:pStyle w:val="TableContents"/>
              <w:bidi w:val="0"/>
              <w:spacing w:before="0" w:after="283"/>
              <w:jc w:val="left"/>
              <w:rPr/>
            </w:pPr>
            <w:r>
              <w:rPr/>
              <w:t>TimesSquare:</w:t>
            </w:r>
          </w:p>
        </w:tc>
        <w:tc>
          <w:tcPr>
            <w:tcW w:w="110" w:type="dxa"/>
            <w:tcBorders/>
            <w:vAlign w:val="bottom"/>
          </w:tcPr>
          <w:p>
            <w:pPr>
              <w:pStyle w:val="TableContents"/>
              <w:bidi w:val="0"/>
              <w:spacing w:before="0" w:after="283"/>
              <w:jc w:val="left"/>
              <w:rPr/>
            </w:pPr>
            <w:r>
              <w:rPr/>
              <w:t> </w:t>
            </w:r>
          </w:p>
        </w:tc>
        <w:tc>
          <w:tcPr>
            <w:tcW w:w="8817" w:type="dxa"/>
            <w:tcBorders/>
          </w:tcPr>
          <w:p>
            <w:pPr>
              <w:pStyle w:val="TableContents"/>
              <w:bidi w:val="0"/>
              <w:spacing w:before="0" w:after="283"/>
              <w:jc w:val="left"/>
              <w:rPr/>
            </w:pPr>
            <w:r>
              <w:rPr/>
              <w:t>75 Rockefeller Plaza, 30th Floor</w:t>
            </w:r>
          </w:p>
        </w:tc>
      </w:tr>
      <w:tr>
        <w:trPr/>
        <w:tc>
          <w:tcPr>
            <w:tcW w:w="1278"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8817" w:type="dxa"/>
            <w:tcBorders/>
          </w:tcPr>
          <w:p>
            <w:pPr>
              <w:pStyle w:val="TableContents"/>
              <w:bidi w:val="0"/>
              <w:spacing w:before="0" w:after="283"/>
              <w:jc w:val="left"/>
              <w:rPr/>
            </w:pPr>
            <w:r>
              <w:rPr/>
              <w:t>New York, NY 10019</w:t>
            </w:r>
          </w:p>
        </w:tc>
      </w:tr>
      <w:tr>
        <w:trPr/>
        <w:tc>
          <w:tcPr>
            <w:tcW w:w="1278"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8817"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Item 2(c) </w:t>
      </w:r>
    </w:p>
    <w:p>
      <w:pPr>
        <w:pStyle w:val="TextBody"/>
        <w:bidi w:val="0"/>
        <w:spacing w:before="240" w:after="0"/>
        <w:jc w:val="left"/>
        <w:rPr>
          <w:rFonts w:ascii="Times New Roman" w:hAnsi="Times New Roman"/>
          <w:sz w:val="20"/>
        </w:rPr>
      </w:pPr>
      <w:r>
        <w:rPr>
          <w:rFonts w:ascii="Times New Roman" w:hAnsi="Times New Roman"/>
          <w:sz w:val="20"/>
        </w:rPr>
        <w:t xml:space="preserve">Citizenship:  TimesSquare is a Delaware limited liability company. </w:t>
      </w:r>
    </w:p>
    <w:p>
      <w:pPr>
        <w:pStyle w:val="TextBody"/>
        <w:bidi w:val="0"/>
        <w:spacing w:before="240" w:after="0"/>
        <w:jc w:val="center"/>
        <w:rPr>
          <w:rFonts w:ascii="Times New Roman" w:hAnsi="Times New Roman"/>
          <w:b/>
          <w:sz w:val="20"/>
        </w:rPr>
      </w:pPr>
      <w:r>
        <w:rPr>
          <w:rFonts w:ascii="Times New Roman" w:hAnsi="Times New Roman"/>
          <w:b/>
          <w:sz w:val="20"/>
        </w:rPr>
        <w:t xml:space="preserve">Item 2(d) </w:t>
      </w:r>
    </w:p>
    <w:p>
      <w:pPr>
        <w:pStyle w:val="TextBody"/>
        <w:bidi w:val="0"/>
        <w:spacing w:before="240" w:after="0"/>
        <w:jc w:val="left"/>
        <w:rPr>
          <w:rFonts w:ascii="Times New Roman" w:hAnsi="Times New Roman"/>
          <w:sz w:val="20"/>
        </w:rPr>
      </w:pPr>
      <w:r>
        <w:rPr>
          <w:rFonts w:ascii="Times New Roman" w:hAnsi="Times New Roman"/>
          <w:sz w:val="20"/>
        </w:rPr>
        <w:t xml:space="preserve">Title of Class of Securities: Common Stock, $0.0001 par value </w:t>
      </w:r>
    </w:p>
    <w:p>
      <w:pPr>
        <w:pStyle w:val="TextBody"/>
        <w:bidi w:val="0"/>
        <w:spacing w:before="240" w:after="0"/>
        <w:jc w:val="center"/>
        <w:rPr>
          <w:rFonts w:ascii="Times New Roman" w:hAnsi="Times New Roman"/>
          <w:b/>
          <w:sz w:val="20"/>
        </w:rPr>
      </w:pPr>
      <w:r>
        <w:rPr>
          <w:rFonts w:ascii="Times New Roman" w:hAnsi="Times New Roman"/>
          <w:b/>
          <w:sz w:val="20"/>
        </w:rPr>
        <w:t xml:space="preserve">Item 2(e) </w:t>
      </w:r>
    </w:p>
    <w:p>
      <w:pPr>
        <w:pStyle w:val="TextBody"/>
        <w:bidi w:val="0"/>
        <w:spacing w:before="240" w:after="0"/>
        <w:jc w:val="left"/>
        <w:rPr>
          <w:rFonts w:ascii="Times New Roman" w:hAnsi="Times New Roman"/>
          <w:sz w:val="20"/>
        </w:rPr>
      </w:pPr>
      <w:r>
        <w:rPr>
          <w:rFonts w:ascii="Times New Roman" w:hAnsi="Times New Roman"/>
          <w:sz w:val="20"/>
        </w:rPr>
        <w:t xml:space="preserve">CUSIP Number: 87650L103 </w:t>
      </w:r>
    </w:p>
    <w:p>
      <w:pPr>
        <w:pStyle w:val="TextBody"/>
        <w:bidi w:val="0"/>
        <w:spacing w:before="240" w:after="0"/>
        <w:jc w:val="center"/>
        <w:rPr>
          <w:rFonts w:ascii="Times New Roman" w:hAnsi="Times New Roman"/>
          <w:b/>
          <w:sz w:val="20"/>
        </w:rPr>
      </w:pPr>
      <w:r>
        <w:rPr>
          <w:rFonts w:ascii="Times New Roman" w:hAnsi="Times New Roman"/>
          <w:b/>
          <w:sz w:val="20"/>
        </w:rPr>
        <w:t xml:space="preserve">Item 3 </w:t>
      </w:r>
    </w:p>
    <w:p>
      <w:pPr>
        <w:pStyle w:val="TextBody"/>
        <w:bidi w:val="0"/>
        <w:spacing w:before="240" w:after="0"/>
        <w:jc w:val="left"/>
        <w:rPr>
          <w:rFonts w:ascii="Times New Roman" w:hAnsi="Times New Roman"/>
          <w:sz w:val="20"/>
        </w:rPr>
      </w:pPr>
      <w:r>
        <w:rPr>
          <w:rFonts w:ascii="Times New Roman" w:hAnsi="Times New Roman"/>
          <w:sz w:val="20"/>
        </w:rPr>
        <w:t xml:space="preserve">This statement is filed by TimesSquare pursuant to §§240.l3d-l(b), or 240.13d-2(b) or (c), on the basis that TimesSquare is an investment adviser in accordance with §240.13d-1(b)(1)(ii)(E). </w:t>
      </w:r>
    </w:p>
    <w:p>
      <w:pPr>
        <w:pStyle w:val="TextBody"/>
        <w:bidi w:val="0"/>
        <w:spacing w:before="240" w:after="0"/>
        <w:jc w:val="center"/>
        <w:rPr>
          <w:rFonts w:ascii="Times New Roman" w:hAnsi="Times New Roman"/>
          <w:b/>
          <w:sz w:val="20"/>
        </w:rPr>
      </w:pPr>
      <w:r>
        <w:rPr>
          <w:rFonts w:ascii="Times New Roman" w:hAnsi="Times New Roman"/>
          <w:b/>
          <w:sz w:val="20"/>
        </w:rPr>
        <w:t xml:space="preserve">Item 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59"/>
        <w:gridCol w:w="127"/>
        <w:gridCol w:w="8919"/>
      </w:tblGrid>
      <w:tr>
        <w:trPr/>
        <w:tc>
          <w:tcPr>
            <w:tcW w:w="1159"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8919" w:type="dxa"/>
            <w:tcBorders/>
            <w:vAlign w:val="center"/>
          </w:tcPr>
          <w:p>
            <w:pPr>
              <w:pStyle w:val="TableContents"/>
              <w:bidi w:val="0"/>
              <w:spacing w:before="0" w:after="283"/>
              <w:jc w:val="left"/>
              <w:rPr>
                <w:sz w:val="4"/>
                <w:szCs w:val="4"/>
              </w:rPr>
            </w:pPr>
            <w:r>
              <w:rPr>
                <w:sz w:val="4"/>
                <w:szCs w:val="4"/>
              </w:rPr>
            </w:r>
          </w:p>
        </w:tc>
      </w:tr>
      <w:tr>
        <w:trPr/>
        <w:tc>
          <w:tcPr>
            <w:tcW w:w="1159" w:type="dxa"/>
            <w:tcBorders/>
          </w:tcPr>
          <w:p>
            <w:pPr>
              <w:pStyle w:val="TableContents"/>
              <w:bidi w:val="0"/>
              <w:spacing w:before="0" w:after="283"/>
              <w:jc w:val="left"/>
              <w:rPr/>
            </w:pPr>
            <w:r>
              <w:rPr/>
              <w:t>Ownership.</w:t>
            </w:r>
          </w:p>
        </w:tc>
        <w:tc>
          <w:tcPr>
            <w:tcW w:w="127" w:type="dxa"/>
            <w:tcBorders/>
            <w:vAlign w:val="bottom"/>
          </w:tcPr>
          <w:p>
            <w:pPr>
              <w:pStyle w:val="TableContents"/>
              <w:bidi w:val="0"/>
              <w:spacing w:before="0" w:after="283"/>
              <w:jc w:val="left"/>
              <w:rPr/>
            </w:pPr>
            <w:r>
              <w:rPr/>
              <w:t>  </w:t>
            </w:r>
          </w:p>
        </w:tc>
        <w:tc>
          <w:tcPr>
            <w:tcW w:w="8919" w:type="dxa"/>
            <w:tcBorders/>
          </w:tcPr>
          <w:p>
            <w:pPr>
              <w:pStyle w:val="TableContents"/>
              <w:bidi w:val="0"/>
              <w:spacing w:before="0" w:after="283"/>
              <w:jc w:val="left"/>
              <w:rPr/>
            </w:pPr>
            <w:r>
              <w:rPr/>
              <w:t>The following ownership information is as of December 31, 2023.</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 Beneficially Owned: 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Percent of Class: 0% </w:t>
            </w:r>
          </w:p>
        </w:tc>
      </w:tr>
    </w:tbl>
    <w:p>
      <w:pPr>
        <w:pStyle w:val="TextBody"/>
        <w:bidi w:val="0"/>
        <w:spacing w:before="120" w:after="0"/>
        <w:jc w:val="left"/>
        <w:rPr>
          <w:rFonts w:ascii="Times New Roman" w:hAnsi="Times New Roman"/>
          <w:sz w:val="20"/>
        </w:rPr>
      </w:pPr>
      <w:r>
        <w:rPr>
          <w:rFonts w:ascii="Times New Roman" w:hAnsi="Times New Roman"/>
          <w:sz w:val="20"/>
        </w:rPr>
        <w:t xml:space="preserve">Percent of class is based on 33,104,612 shares of Common Stock outstanding as of December 31, 2023 as reported to us by ICE Data Corporation.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shares as to which the person has: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sole power to vote or to direct the vote   0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shared power to vote or to direct the vote   0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sole power to dispose or to direct the disposition of  0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shared power to dispose or to direct the disposition of  0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Item 5 </w:t>
      </w:r>
    </w:p>
    <w:p>
      <w:pPr>
        <w:pStyle w:val="TextBody"/>
        <w:bidi w:val="0"/>
        <w:spacing w:before="240" w:after="0"/>
        <w:jc w:val="left"/>
        <w:rPr>
          <w:rFonts w:ascii="Times New Roman" w:hAnsi="Times New Roman"/>
          <w:sz w:val="20"/>
        </w:rPr>
      </w:pPr>
      <w:r>
        <w:rPr>
          <w:rFonts w:ascii="Times New Roman" w:hAnsi="Times New Roman"/>
          <w:sz w:val="20"/>
        </w:rPr>
        <w:t xml:space="preserve">Ownership of Five Percent or Less of a Class. </w:t>
      </w:r>
    </w:p>
    <w:p>
      <w:pPr>
        <w:pStyle w:val="TextBody"/>
        <w:bidi w:val="0"/>
        <w:spacing w:before="240" w:after="0"/>
        <w:jc w:val="left"/>
        <w:rPr>
          <w:rFonts w:ascii="Times New Roman" w:hAnsi="Times New Roman"/>
          <w:sz w:val="20"/>
        </w:rPr>
      </w:pPr>
      <w:r>
        <w:rPr>
          <w:rFonts w:ascii="Times New Roman" w:hAnsi="Times New Roman"/>
          <w:sz w:val="20"/>
        </w:rPr>
        <w:t xml:space="preserve">If this statement is being filed to report the fact that as of the date hereof the reporting person has ceased to be the beneficial owner of more than five percent of the class of securities, check the following ☒. </w:t>
      </w:r>
    </w:p>
    <w:p>
      <w:pPr>
        <w:pStyle w:val="TextBody"/>
        <w:bidi w:val="0"/>
        <w:spacing w:before="240" w:after="0"/>
        <w:jc w:val="center"/>
        <w:rPr>
          <w:rFonts w:ascii="Times New Roman" w:hAnsi="Times New Roman"/>
          <w:b/>
          <w:sz w:val="20"/>
        </w:rPr>
      </w:pPr>
      <w:r>
        <w:rPr>
          <w:rFonts w:ascii="Times New Roman" w:hAnsi="Times New Roman"/>
          <w:b/>
          <w:sz w:val="20"/>
        </w:rPr>
        <w:t xml:space="preserve">Item 6 </w:t>
      </w:r>
    </w:p>
    <w:p>
      <w:pPr>
        <w:pStyle w:val="TextBody"/>
        <w:bidi w:val="0"/>
        <w:spacing w:before="240" w:after="0"/>
        <w:jc w:val="left"/>
        <w:rPr>
          <w:rFonts w:ascii="Times New Roman" w:hAnsi="Times New Roman"/>
          <w:sz w:val="20"/>
        </w:rPr>
      </w:pPr>
      <w:r>
        <w:rPr>
          <w:rFonts w:ascii="Times New Roman" w:hAnsi="Times New Roman"/>
          <w:sz w:val="20"/>
        </w:rPr>
        <w:t xml:space="preserve">Ownership of More than Five Percent on Behalf of Another Person. </w:t>
      </w:r>
    </w:p>
    <w:p>
      <w:pPr>
        <w:pStyle w:val="TextBody"/>
        <w:bidi w:val="0"/>
        <w:spacing w:before="240" w:after="0"/>
        <w:jc w:val="left"/>
        <w:rPr>
          <w:rFonts w:ascii="Times New Roman" w:hAnsi="Times New Roman"/>
          <w:sz w:val="20"/>
        </w:rPr>
      </w:pPr>
      <w:r>
        <w:rPr>
          <w:rFonts w:ascii="Times New Roman" w:hAnsi="Times New Roman"/>
          <w:sz w:val="20"/>
        </w:rPr>
        <w:t xml:space="preserve">The shares of Common Stock reported on in this statement are owned by investment advisory clients of TimesSquare, and such clients have the right to receive dividends from and proceeds from the sale of such shares. To TimesSquares knowledge, the interest of no one of these clients relates to more than 5% of the class. </w:t>
      </w:r>
    </w:p>
    <w:p>
      <w:pPr>
        <w:pStyle w:val="TextBody"/>
        <w:bidi w:val="0"/>
        <w:spacing w:before="240" w:after="0"/>
        <w:jc w:val="left"/>
        <w:rPr>
          <w:rFonts w:ascii="Times New Roman" w:hAnsi="Times New Roman"/>
          <w:sz w:val="20"/>
        </w:rPr>
      </w:pPr>
      <w:r>
        <w:rPr>
          <w:rFonts w:ascii="Times New Roman" w:hAnsi="Times New Roman"/>
          <w:sz w:val="20"/>
        </w:rPr>
        <w:t xml:space="preserve">Not applicable </w:t>
      </w:r>
    </w:p>
    <w:p>
      <w:pPr>
        <w:pStyle w:val="TextBody"/>
        <w:bidi w:val="0"/>
        <w:spacing w:before="240" w:after="0"/>
        <w:jc w:val="center"/>
        <w:rPr>
          <w:rFonts w:ascii="Times New Roman" w:hAnsi="Times New Roman"/>
          <w:b/>
          <w:sz w:val="20"/>
        </w:rPr>
      </w:pPr>
      <w:r>
        <w:rPr>
          <w:rFonts w:ascii="Times New Roman" w:hAnsi="Times New Roman"/>
          <w:b/>
          <w:sz w:val="20"/>
        </w:rPr>
        <w:t xml:space="preserve">Item 7 </w:t>
      </w:r>
    </w:p>
    <w:p>
      <w:pPr>
        <w:pStyle w:val="TextBody"/>
        <w:bidi w:val="0"/>
        <w:spacing w:before="240" w:after="0"/>
        <w:jc w:val="left"/>
        <w:rPr>
          <w:rFonts w:ascii="Times New Roman" w:hAnsi="Times New Roman"/>
          <w:sz w:val="20"/>
        </w:rPr>
      </w:pPr>
      <w:r>
        <w:rPr>
          <w:rFonts w:ascii="Times New Roman" w:hAnsi="Times New Roman"/>
          <w:sz w:val="20"/>
        </w:rPr>
        <w:t xml:space="preserve">Identification and Classification of the Subsidiary Which Acquired the Security Being Reported on By the Parent Holding Company or Control Person. </w:t>
      </w:r>
    </w:p>
    <w:p>
      <w:pPr>
        <w:pStyle w:val="TextBody"/>
        <w:bidi w:val="0"/>
        <w:spacing w:before="240" w:after="0"/>
        <w:jc w:val="left"/>
        <w:rPr>
          <w:rFonts w:ascii="Times New Roman" w:hAnsi="Times New Roman"/>
          <w:sz w:val="20"/>
        </w:rPr>
      </w:pPr>
      <w:r>
        <w:rPr>
          <w:rFonts w:ascii="Times New Roman" w:hAnsi="Times New Roman"/>
          <w:sz w:val="20"/>
        </w:rPr>
        <w:t xml:space="preserve">Not applicable. </w:t>
      </w:r>
    </w:p>
    <w:p>
      <w:pPr>
        <w:pStyle w:val="TextBody"/>
        <w:bidi w:val="0"/>
        <w:spacing w:before="240" w:after="0"/>
        <w:jc w:val="center"/>
        <w:rPr>
          <w:rFonts w:ascii="Times New Roman" w:hAnsi="Times New Roman"/>
          <w:b/>
          <w:sz w:val="20"/>
        </w:rPr>
      </w:pPr>
      <w:r>
        <w:rPr>
          <w:rFonts w:ascii="Times New Roman" w:hAnsi="Times New Roman"/>
          <w:b/>
          <w:sz w:val="20"/>
        </w:rPr>
        <w:t xml:space="preserve">Item 8 </w:t>
      </w:r>
    </w:p>
    <w:p>
      <w:pPr>
        <w:pStyle w:val="TextBody"/>
        <w:bidi w:val="0"/>
        <w:spacing w:before="240" w:after="0"/>
        <w:jc w:val="left"/>
        <w:rPr>
          <w:rFonts w:ascii="Times New Roman" w:hAnsi="Times New Roman"/>
          <w:sz w:val="20"/>
        </w:rPr>
      </w:pPr>
      <w:r>
        <w:rPr>
          <w:rFonts w:ascii="Times New Roman" w:hAnsi="Times New Roman"/>
          <w:sz w:val="20"/>
        </w:rPr>
        <w:t xml:space="preserve">Identification and Classification of Members of the Group. </w:t>
      </w:r>
    </w:p>
    <w:p>
      <w:pPr>
        <w:pStyle w:val="TextBody"/>
        <w:bidi w:val="0"/>
        <w:spacing w:before="240" w:after="0"/>
        <w:jc w:val="left"/>
        <w:rPr>
          <w:rFonts w:ascii="Times New Roman" w:hAnsi="Times New Roman"/>
          <w:sz w:val="20"/>
        </w:rPr>
      </w:pPr>
      <w:r>
        <w:rPr>
          <w:rFonts w:ascii="Times New Roman" w:hAnsi="Times New Roman"/>
          <w:sz w:val="20"/>
        </w:rPr>
        <w:t xml:space="preserve">Not applicable. </w:t>
      </w:r>
    </w:p>
    <w:p>
      <w:pPr>
        <w:pStyle w:val="TextBody"/>
        <w:bidi w:val="0"/>
        <w:spacing w:before="240" w:after="0"/>
        <w:jc w:val="center"/>
        <w:rPr>
          <w:rFonts w:ascii="Times New Roman" w:hAnsi="Times New Roman"/>
          <w:b/>
          <w:sz w:val="20"/>
        </w:rPr>
      </w:pPr>
      <w:r>
        <w:rPr>
          <w:rFonts w:ascii="Times New Roman" w:hAnsi="Times New Roman"/>
          <w:b/>
          <w:sz w:val="20"/>
        </w:rPr>
        <w:t xml:space="preserve">Item 9 </w:t>
      </w:r>
    </w:p>
    <w:p>
      <w:pPr>
        <w:pStyle w:val="TextBody"/>
        <w:bidi w:val="0"/>
        <w:spacing w:before="240" w:after="0"/>
        <w:jc w:val="left"/>
        <w:rPr>
          <w:rFonts w:ascii="Times New Roman" w:hAnsi="Times New Roman"/>
          <w:sz w:val="20"/>
        </w:rPr>
      </w:pPr>
      <w:r>
        <w:rPr>
          <w:rFonts w:ascii="Times New Roman" w:hAnsi="Times New Roman"/>
          <w:sz w:val="20"/>
        </w:rPr>
        <w:t xml:space="preserve">Notice of Dissolution of Group. </w:t>
      </w:r>
    </w:p>
    <w:p>
      <w:pPr>
        <w:pStyle w:val="TextBody"/>
        <w:bidi w:val="0"/>
        <w:spacing w:before="240" w:after="0"/>
        <w:jc w:val="left"/>
        <w:rPr>
          <w:rFonts w:ascii="Times New Roman" w:hAnsi="Times New Roman"/>
          <w:sz w:val="20"/>
        </w:rPr>
      </w:pPr>
      <w:r>
        <w:rPr>
          <w:rFonts w:ascii="Times New Roman" w:hAnsi="Times New Roman"/>
          <w:sz w:val="20"/>
        </w:rPr>
        <w:t xml:space="preserve">Not applicable.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Item l0 </w:t>
      </w:r>
    </w:p>
    <w:p>
      <w:pPr>
        <w:pStyle w:val="TextBody"/>
        <w:bidi w:val="0"/>
        <w:spacing w:before="360" w:after="0"/>
        <w:jc w:val="left"/>
        <w:rPr>
          <w:rFonts w:ascii="Times New Roman" w:hAnsi="Times New Roman"/>
          <w:b/>
          <w:sz w:val="20"/>
        </w:rPr>
      </w:pPr>
      <w:r>
        <w:rPr>
          <w:rFonts w:ascii="Times New Roman" w:hAnsi="Times New Roman"/>
          <w:b/>
          <w:sz w:val="20"/>
        </w:rPr>
        <w:t xml:space="preserve">Certification. </w:t>
      </w:r>
    </w:p>
    <w:p>
      <w:pPr>
        <w:pStyle w:val="TextBody"/>
        <w:bidi w:val="0"/>
        <w:spacing w:before="120" w:after="0"/>
        <w:jc w:val="left"/>
        <w:rPr>
          <w:rFonts w:ascii="Times New Roman" w:hAnsi="Times New Roman"/>
          <w:sz w:val="20"/>
        </w:rPr>
      </w:pPr>
      <w:r>
        <w:rPr>
          <w:rFonts w:ascii="Times New Roman" w:hAnsi="Times New Roman"/>
          <w:sz w:val="20"/>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w:t>
      </w:r>
    </w:p>
    <w:p>
      <w:pPr>
        <w:pStyle w:val="TextBody"/>
        <w:bidi w:val="0"/>
        <w:spacing w:before="360" w:after="0"/>
        <w:jc w:val="left"/>
        <w:rPr>
          <w:rFonts w:ascii="Times New Roman" w:hAnsi="Times New Roman"/>
          <w:b/>
          <w:sz w:val="20"/>
        </w:rPr>
      </w:pPr>
      <w:r>
        <w:rPr>
          <w:rFonts w:ascii="Times New Roman" w:hAnsi="Times New Roman"/>
          <w:b/>
          <w:sz w:val="20"/>
        </w:rPr>
        <w:t xml:space="preserve">Signature. </w:t>
      </w:r>
    </w:p>
    <w:p>
      <w:pPr>
        <w:pStyle w:val="TextBody"/>
        <w:bidi w:val="0"/>
        <w:spacing w:before="120" w:after="0"/>
        <w:jc w:val="left"/>
        <w:rPr>
          <w:rFonts w:ascii="Times New Roman" w:hAnsi="Times New Roman"/>
          <w:sz w:val="20"/>
        </w:rPr>
      </w:pPr>
      <w:r>
        <w:rPr>
          <w:rFonts w:ascii="Times New Roman" w:hAnsi="Times New Roman"/>
          <w:sz w:val="20"/>
        </w:rPr>
        <w:t xml:space="preserve">After reasonable inquiry and to the best of my knowledge and belief, I certify that the information set forth in this statement is true, complete and correct. </w:t>
      </w:r>
    </w:p>
    <w:p>
      <w:pPr>
        <w:pStyle w:val="TextBody"/>
        <w:bidi w:val="0"/>
        <w:spacing w:before="240" w:after="0"/>
        <w:jc w:val="left"/>
        <w:rPr>
          <w:rFonts w:ascii="Times New Roman" w:hAnsi="Times New Roman"/>
          <w:sz w:val="20"/>
        </w:rPr>
      </w:pPr>
      <w:r>
        <w:rPr>
          <w:rFonts w:ascii="Times New Roman" w:hAnsi="Times New Roman"/>
          <w:sz w:val="20"/>
        </w:rPr>
        <w:t xml:space="preserve">Date: February 2, 2024 </w:t>
      </w:r>
    </w:p>
    <w:p>
      <w:pPr>
        <w:pStyle w:val="TextBody"/>
        <w:bidi w:val="0"/>
        <w:spacing w:before="240" w:after="0"/>
        <w:jc w:val="left"/>
        <w:rPr>
          <w:rFonts w:ascii="Times New Roman" w:hAnsi="Times New Roman"/>
          <w:sz w:val="20"/>
        </w:rPr>
      </w:pPr>
      <w:r>
        <w:rPr>
          <w:rFonts w:ascii="Times New Roman" w:hAnsi="Times New Roman"/>
          <w:sz w:val="20"/>
        </w:rPr>
        <w:t xml:space="preserve">TIMESSQUARE CAPITAL MANAGEMENT, LLC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947"/>
        <w:gridCol w:w="60"/>
        <w:gridCol w:w="3075"/>
      </w:tblGrid>
      <w:tr>
        <w:trPr/>
        <w:tc>
          <w:tcPr>
            <w:tcW w:w="94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9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Signature: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075"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 Preeti Kohli</w:t>
            </w:r>
          </w:p>
        </w:tc>
      </w:tr>
      <w:tr>
        <w:trPr/>
        <w:tc>
          <w:tcPr>
            <w:tcW w:w="9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Name/Title:</w:t>
            </w:r>
          </w:p>
        </w:tc>
        <w:tc>
          <w:tcPr>
            <w:tcW w:w="60" w:type="dxa"/>
            <w:tcBorders/>
            <w:vAlign w:val="bottom"/>
          </w:tcPr>
          <w:p>
            <w:pPr>
              <w:pStyle w:val="TableContents"/>
              <w:bidi w:val="0"/>
              <w:spacing w:before="0" w:after="283"/>
              <w:jc w:val="left"/>
              <w:rPr/>
            </w:pPr>
            <w:r>
              <w:rPr/>
              <w:t> </w:t>
            </w:r>
          </w:p>
        </w:tc>
        <w:tc>
          <w:tcPr>
            <w:tcW w:w="30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Preeti Kohli</w:t>
            </w:r>
          </w:p>
        </w:tc>
      </w:tr>
      <w:tr>
        <w:trPr/>
        <w:tc>
          <w:tcPr>
            <w:tcW w:w="94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Chief Compliance Officer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827</Words>
  <Characters>4079</Characters>
  <CharactersWithSpaces>4937</CharactersWithSpaces>
  <Paragraphs>197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SC 13G/A</dc:title>
</cp:coreProperties>
</file>