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333-249076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333-249509</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5,500,000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155575</wp:posOffset>
            </wp:positionV>
            <wp:extent cx="1808480" cy="394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8480"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Tarsus Pharmaceuticals, Inc.</w:t>
      </w:r>
    </w:p>
    <w:p>
      <w:pPr>
        <w:spacing w:after="0" w:line="13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This is Tarsus Pharmaceuticals, Inc.’s initial public offering. We are selling 5,500,000 shares of our common stock.</w:t>
      </w:r>
    </w:p>
    <w:p>
      <w:pPr>
        <w:spacing w:after="0" w:line="117" w:lineRule="exact"/>
        <w:rPr>
          <w:sz w:val="24"/>
          <w:szCs w:val="24"/>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initial public offering price is $16.00 per share. Currently, no public market exists for the shares of our common stock. Our common stock has been approved for listing on the Nasdaq Global Select Market under the symbol “TARS.”</w:t>
      </w:r>
    </w:p>
    <w:p>
      <w:pPr>
        <w:spacing w:after="0" w:line="49" w:lineRule="exact"/>
        <w:rPr>
          <w:sz w:val="24"/>
          <w:szCs w:val="24"/>
          <w:color w:val="auto"/>
        </w:rPr>
      </w:pPr>
    </w:p>
    <w:p>
      <w:pPr>
        <w:ind w:left="120" w:right="80" w:firstLine="881"/>
        <w:spacing w:after="0" w:line="243" w:lineRule="auto"/>
        <w:rPr>
          <w:sz w:val="20"/>
          <w:szCs w:val="20"/>
          <w:color w:val="auto"/>
        </w:rPr>
      </w:pPr>
      <w:r>
        <w:rPr>
          <w:rFonts w:ascii="Arial" w:cs="Arial" w:eastAsia="Arial" w:hAnsi="Arial"/>
          <w:sz w:val="22"/>
          <w:szCs w:val="22"/>
          <w:b w:val="1"/>
          <w:bCs w:val="1"/>
          <w:color w:val="auto"/>
        </w:rPr>
        <w:t>We are an emerging growth company as defined under the U.S. federal securities laws and, as such, may elect to comply with certain reduced public company reporting requirements for this and future filings. See “Prospectus Summary—Implications of Being an Emerging Growth Company.”</w:t>
      </w:r>
    </w:p>
    <w:p>
      <w:pPr>
        <w:spacing w:after="0" w:line="69" w:lineRule="exact"/>
        <w:rPr>
          <w:sz w:val="24"/>
          <w:szCs w:val="24"/>
          <w:color w:val="auto"/>
        </w:rPr>
      </w:pPr>
    </w:p>
    <w:p>
      <w:pPr>
        <w:ind w:left="120" w:right="360" w:firstLine="881"/>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common stock involves risks that are described in the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section beginning on page 16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128905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3" w:lineRule="exact"/>
        <w:rPr>
          <w:sz w:val="24"/>
          <w:szCs w:val="24"/>
          <w:color w:val="auto"/>
        </w:rPr>
      </w:pPr>
    </w:p>
    <w:tbl>
      <w:tblPr>
        <w:tblLayout w:type="fixed"/>
        <w:tblInd w:w="14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16.00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88,000,000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168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6,160,000</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8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14.88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81,840,000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85725</wp:posOffset>
            </wp:positionV>
            <wp:extent cx="5740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150" w:lineRule="exact"/>
        <w:rPr>
          <w:sz w:val="24"/>
          <w:szCs w:val="24"/>
          <w:color w:val="auto"/>
        </w:rPr>
      </w:pPr>
    </w:p>
    <w:p>
      <w:pPr>
        <w:ind w:left="1720" w:right="2300" w:hanging="281"/>
        <w:spacing w:after="0" w:line="253" w:lineRule="auto"/>
        <w:tabs>
          <w:tab w:leader="none" w:pos="1707"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refer you to “Underwriting” beginning on page 204 of this prospectus for additional information regarding underwriting compensation.</w:t>
      </w:r>
    </w:p>
    <w:p>
      <w:pPr>
        <w:spacing w:after="0" w:line="83" w:lineRule="exact"/>
        <w:rPr>
          <w:sz w:val="24"/>
          <w:szCs w:val="24"/>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The underwriters may also exercise their option to purchase up to an additional 825,000 shares of common stock from us, at the public offering price, less the underwriting discounts and commissions, for 30 days after the date of this prospectus.</w:t>
      </w:r>
    </w:p>
    <w:p>
      <w:pPr>
        <w:spacing w:after="0" w:line="58" w:lineRule="exact"/>
        <w:rPr>
          <w:sz w:val="24"/>
          <w:szCs w:val="24"/>
          <w:color w:val="auto"/>
        </w:rPr>
      </w:pPr>
    </w:p>
    <w:p>
      <w:pPr>
        <w:ind w:left="120" w:right="700" w:firstLine="88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The shares of common stock will be ready for delivery on or about October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96" w:lineRule="exact"/>
        <w:rPr>
          <w:sz w:val="24"/>
          <w:szCs w:val="24"/>
          <w:color w:val="auto"/>
        </w:rPr>
      </w:pPr>
    </w:p>
    <w:p>
      <w:pPr>
        <w:ind w:left="120"/>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jc w:val="center"/>
        <w:ind w:right="2340"/>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25"/>
          <w:szCs w:val="25"/>
          <w:b w:val="1"/>
          <w:bCs w:val="1"/>
          <w:color w:val="auto"/>
        </w:rPr>
        <w:t>Raymond James</w:t>
      </w:r>
    </w:p>
    <w:p>
      <w:pPr>
        <w:spacing w:after="0" w:line="181" w:lineRule="exact"/>
        <w:rPr>
          <w:sz w:val="24"/>
          <w:szCs w:val="24"/>
          <w:color w:val="auto"/>
        </w:rPr>
      </w:pPr>
    </w:p>
    <w:p>
      <w:pPr>
        <w:sectPr>
          <w:pgSz w:w="11900" w:h="16838" w:orient="portrait"/>
          <w:cols w:equalWidth="0" w:num="3">
            <w:col w:w="4280" w:space="720"/>
            <w:col w:w="3380" w:space="720"/>
            <w:col w:w="2040"/>
          </w:cols>
          <w:pgMar w:left="320" w:top="230" w:right="439" w:bottom="1440" w:gutter="0" w:footer="0" w:header="0"/>
          <w:type w:val="continuous"/>
        </w:sectPr>
      </w:pPr>
    </w:p>
    <w:p>
      <w:pPr>
        <w:ind w:left="2060"/>
        <w:spacing w:after="0"/>
        <w:rPr>
          <w:sz w:val="20"/>
          <w:szCs w:val="20"/>
          <w:color w:val="auto"/>
        </w:rPr>
      </w:pPr>
      <w:r>
        <w:rPr>
          <w:rFonts w:ascii="Arial" w:cs="Arial" w:eastAsia="Arial" w:hAnsi="Arial"/>
          <w:sz w:val="23"/>
          <w:szCs w:val="23"/>
          <w:b w:val="1"/>
          <w:bCs w:val="1"/>
          <w:color w:val="auto"/>
        </w:rPr>
        <w:t>LifeSci Capital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Ladenburg Thalmann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189230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520" w:space="720"/>
            <w:col w:w="3900"/>
          </w:cols>
          <w:pgMar w:left="320" w:top="230" w:right="439" w:bottom="1440" w:gutter="0" w:footer="0" w:header="0"/>
          <w:type w:val="continuous"/>
        </w:sectPr>
      </w:pP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The date of this prospectus is October 15, 2020.</w:t>
      </w:r>
    </w:p>
    <w:p>
      <w:pPr>
        <w:sectPr>
          <w:pgSz w:w="11900" w:h="16838" w:orient="portrait"/>
          <w:cols w:equalWidth="0" w:num="1">
            <w:col w:w="11140"/>
          </w:cols>
          <w:pgMar w:left="320" w:top="230"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tc>
        <w:tc>
          <w:tcPr>
            <w:tcW w:w="1100" w:type="dxa"/>
            <w:vAlign w:val="bottom"/>
          </w:tcPr>
          <w:p>
            <w:pPr>
              <w:spacing w:after="0"/>
              <w:rPr>
                <w:sz w:val="20"/>
                <w:szCs w:val="20"/>
                <w:color w:val="auto"/>
              </w:rPr>
            </w:pPr>
          </w:p>
        </w:tc>
      </w:tr>
      <w:tr>
        <w:trPr>
          <w:trHeight w:val="513"/>
        </w:trPr>
        <w:tc>
          <w:tcPr>
            <w:tcW w:w="99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100" w:type="dxa"/>
            <w:vAlign w:val="bottom"/>
          </w:tcPr>
          <w:p>
            <w:pPr>
              <w:spacing w:after="0"/>
              <w:rPr>
                <w:sz w:val="24"/>
                <w:szCs w:val="24"/>
                <w:color w:val="auto"/>
              </w:rPr>
            </w:pPr>
          </w:p>
        </w:tc>
      </w:tr>
      <w:tr>
        <w:trPr>
          <w:trHeight w:val="445"/>
        </w:trPr>
        <w:tc>
          <w:tcPr>
            <w:tcW w:w="9980" w:type="dxa"/>
            <w:vAlign w:val="bottom"/>
          </w:tcPr>
          <w:p>
            <w:pPr>
              <w:ind w:left="1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FACTORS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SPECIAL NOTE REGARDING FORWARD-LOOKING STATEMENTS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MARKET, INDUSTRY AND OTHER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USE OF PROCEEDS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DIVIDEND POLICY</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CAPITALIZATION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DILUTION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SELECTED FINANCIAL DATA</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BUSINESS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MANAGEMENT</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EXECUTIVE COMPENSATION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CERTAIN RELATIONSHIPS AND RELATED PARTY TRANSACTIONS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PRINCIPAL STOCKHOLDERS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DESCRIPTION OF CAPITAL STOCK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SHARES ELIGIBLE FOR FUTURE SALE</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MATERIAL U.S. FEDERAL INCOME TAX CONSEQUENCES FOR NON-U.S. HOLDERS OF OUR COMMON STOCK</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UNDERWRITING</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LEGAL MATTERS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EXPERTS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9980" w:type="dxa"/>
            <w:vAlign w:val="bottom"/>
          </w:tcPr>
          <w:p>
            <w:pPr>
              <w:ind w:left="12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WHERE YOU CAN FIND ADDITIONAL INFORMATION</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30"/>
        </w:trPr>
        <w:tc>
          <w:tcPr>
            <w:tcW w:w="9980" w:type="dxa"/>
            <w:vAlign w:val="bottom"/>
          </w:tcPr>
          <w:p>
            <w:pPr>
              <w:ind w:left="12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INDEX TO FINANCIAL STATEMENTS</w:t>
              </w:r>
            </w:hyperlink>
          </w:p>
        </w:tc>
        <w:tc>
          <w:tcPr>
            <w:tcW w:w="11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firstLine="881"/>
        <w:spacing w:after="0" w:line="254" w:lineRule="auto"/>
        <w:rPr>
          <w:sz w:val="20"/>
          <w:szCs w:val="20"/>
          <w:color w:val="auto"/>
        </w:rPr>
      </w:pPr>
      <w:r>
        <w:rPr>
          <w:rFonts w:ascii="Arial" w:cs="Arial" w:eastAsia="Arial" w:hAnsi="Arial"/>
          <w:sz w:val="18"/>
          <w:szCs w:val="18"/>
          <w:color w:val="auto"/>
        </w:rPr>
        <w:t>Neither we nor the underwriters have authorized anyone to provide any information or to make any representations other than those contained in this prospectus, any amendment or supplement to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9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761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3"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“Business,” “Management’s Discussion and Analysis of Financial Condition and Results of Operations” and our financial statements and related notes included elsewhere in this prospectus before making an investment decision. In this prospectus, unless context requires otherwise, references to “we,” “us,” “our,” “Tarsus,” or “the Company” refer to Tarsus Pharmaceuticals, Inc.</w:t>
      </w:r>
    </w:p>
    <w:p>
      <w:pPr>
        <w:spacing w:after="0" w:line="1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 new drug application, or NDA, to the Food and Drug Administration, or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67"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g-aminobutyric acid-gated chloride channels, or GABA-Cl channels. We are advancing our pipeline to address a number of diseases across therapeutic categories including eye care, dermatology and other diseases with high, unmet needs. These diseases include Demodex blepharitis, Meibomian Gland Disease, or MGD, rosacea, Lyme disease and malaria.</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pipeline chart presents our wholly-owned product candidates and clinical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20" w:hanging="422"/>
        <w:spacing w:after="0"/>
        <w:tabs>
          <w:tab w:leader="none" w:pos="7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Anticipated milestones are subject to the impact of the ongoing COVID-19 pandemic on our business and those of our partners.</w:t>
      </w:r>
    </w:p>
    <w:p>
      <w:pPr>
        <w:ind w:left="720" w:right="540" w:hanging="422"/>
        <w:spacing w:after="0" w:line="221" w:lineRule="auto"/>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720" w:hanging="422"/>
        <w:spacing w:after="0"/>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We intend to leverage all preclinical, Phase 2 and Phase 3 data from the TP-03 Demodex blepharitis program. We intend to conduct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bioequivalence studies</w:t>
      </w:r>
    </w:p>
    <w:p>
      <w:pPr>
        <w:ind w:left="720"/>
        <w:spacing w:after="0"/>
        <w:rPr>
          <w:sz w:val="20"/>
          <w:szCs w:val="20"/>
          <w:color w:val="auto"/>
        </w:rPr>
      </w:pPr>
      <w:r>
        <w:rPr>
          <w:rFonts w:ascii="Arial" w:cs="Arial" w:eastAsia="Arial" w:hAnsi="Arial"/>
          <w:sz w:val="13"/>
          <w:szCs w:val="13"/>
          <w:color w:val="auto"/>
        </w:rPr>
        <w:t>with our preservative-free formulation to compare it to the current preserved formulation of TP-03 in Demodex blepharitis after NDA submission and file a supplement.</w:t>
      </w:r>
    </w:p>
    <w:p>
      <w:pPr>
        <w:ind w:left="720" w:right="120" w:hanging="422"/>
        <w:spacing w:after="0" w:line="221" w:lineRule="auto"/>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 We have not conducted any preclinical studies in rosacea with TP-04 to date.</w:t>
      </w:r>
    </w:p>
    <w:p>
      <w:pPr>
        <w:spacing w:after="0" w:line="1" w:lineRule="exact"/>
        <w:rPr>
          <w:sz w:val="20"/>
          <w:szCs w:val="20"/>
          <w:color w:val="auto"/>
        </w:rPr>
      </w:pPr>
    </w:p>
    <w:p>
      <w:pPr>
        <w:ind w:left="720" w:right="60" w:hanging="422"/>
        <w:spacing w:after="0" w:line="226"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Subject to FDA feedback from our planned pre-IND meeting, we intend to conduct Phase 1/2 trials in these indications based on these preclinical studies. In relation to malaria, we may conduct our Phase 1/2 trial outside the United States. While we plan to discuss this approach for Lyme disease in a planned pre-IND meeting with the FDA, the FDA may reject our use of data from these preclinical studies and require us to conduct additional preclinical studies before advancing to clinical trials, which may delay our expected timelines for approval and increase costs.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Blepharitis: A Significant, Underserved and Underdiagnosed Market</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higher. In addition, there is growing awareness among eye care professionals, or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6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70" w:lineRule="exact"/>
        <w:rPr>
          <w:sz w:val="20"/>
          <w:szCs w:val="20"/>
          <w:color w:val="auto"/>
        </w:rPr>
      </w:pPr>
    </w:p>
    <w:p>
      <w:pPr>
        <w:ind w:left="300" w:right="60" w:firstLine="852"/>
        <w:spacing w:after="0" w:line="272" w:lineRule="auto"/>
        <w:rPr>
          <w:sz w:val="20"/>
          <w:szCs w:val="20"/>
          <w:color w:val="auto"/>
        </w:rPr>
      </w:pPr>
      <w:r>
        <w:rPr>
          <w:rFonts w:ascii="Arial" w:cs="Arial" w:eastAsia="Arial" w:hAnsi="Arial"/>
          <w:sz w:val="17"/>
          <w:szCs w:val="17"/>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International Classification of Diseases, Tenth Revision, Clinical Modification, or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77"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8" w:lineRule="exact"/>
        <w:rPr>
          <w:sz w:val="20"/>
          <w:szCs w:val="20"/>
          <w:color w:val="auto"/>
        </w:rPr>
      </w:pPr>
    </w:p>
    <w:p>
      <w:pPr>
        <w:ind w:left="300" w:right="80" w:firstLine="852"/>
        <w:spacing w:after="0" w:line="273" w:lineRule="auto"/>
        <w:rPr>
          <w:sz w:val="20"/>
          <w:szCs w:val="20"/>
          <w:color w:val="auto"/>
        </w:rPr>
      </w:pPr>
      <w:r>
        <w:rPr>
          <w:rFonts w:ascii="Arial" w:cs="Arial" w:eastAsia="Arial" w:hAnsi="Arial"/>
          <w:sz w:val="17"/>
          <w:szCs w:val="17"/>
          <w:color w:val="auto"/>
        </w:rPr>
        <w:t>We have conducted market research studies that, although based on a small sample size and conducted internally, lead us to believe the blepharitis market has the potential to be analogous to other ophthalmic markets that grew significantly once there was a product to address the large, latent demand for an effective therapy, such as dry eye. Blepharitis already has 2.1 million diagnoses per year with blepharitis classified per the ICD-10-CM, despite no approved therapies to help with market awareness, but we believe there is potential for significant market expansion. 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 TP-03</w:t>
      </w:r>
    </w:p>
    <w:p>
      <w:pPr>
        <w:spacing w:after="0" w:line="229" w:lineRule="exact"/>
        <w:rPr>
          <w:sz w:val="20"/>
          <w:szCs w:val="20"/>
          <w:color w:val="auto"/>
        </w:rPr>
      </w:pPr>
    </w:p>
    <w:p>
      <w:pPr>
        <w:ind w:left="300" w:right="220" w:firstLine="852"/>
        <w:spacing w:after="0" w:line="263" w:lineRule="auto"/>
        <w:rPr>
          <w:sz w:val="20"/>
          <w:szCs w:val="20"/>
          <w:color w:val="auto"/>
        </w:rPr>
      </w:pPr>
      <w:r>
        <w:rPr>
          <w:rFonts w:ascii="Arial" w:cs="Arial" w:eastAsia="Arial" w:hAnsi="Arial"/>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figure provides the characteristics of TP-03 in the Saturn-1 Phase 2b/3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00" w:firstLine="852"/>
        <w:spacing w:after="0" w:line="284" w:lineRule="auto"/>
        <w:rPr>
          <w:sz w:val="20"/>
          <w:szCs w:val="20"/>
          <w:color w:val="auto"/>
        </w:rPr>
      </w:pPr>
      <w:r>
        <w:rPr>
          <w:rFonts w:ascii="Arial" w:cs="Arial" w:eastAsia="Arial" w:hAnsi="Arial"/>
          <w:sz w:val="16"/>
          <w:szCs w:val="16"/>
          <w:color w:val="auto"/>
        </w:rPr>
        <w:t xml:space="preserve">We have completed four Phase 2 clinical trials to date, along with one additional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laurolkonium chloride, or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following figure provides a summary of our completed and planned clinical investigations evaluating TP-03 for Demodex</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blepharitis: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720" w:right="80" w:hanging="422"/>
        <w:spacing w:after="0" w:line="244" w:lineRule="auto"/>
        <w:tabs>
          <w:tab w:leader="none" w:pos="7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720" w:hanging="422"/>
        <w:spacing w:after="0" w:line="223" w:lineRule="auto"/>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Primary endpoint in Io, Europa, Saturn-1 and intended in Saturn-2 is collarette cure rate based on collarette grade.</w:t>
      </w:r>
    </w:p>
    <w:p>
      <w:pPr>
        <w:ind w:left="720" w:hanging="422"/>
        <w:spacing w:after="0" w:line="222" w:lineRule="auto"/>
        <w:tabs>
          <w:tab w:leader="none" w:pos="7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connection with our IND application, a no-objection letter was received from the FDA regarding the trial design of the Saturn-1 trial.</w:t>
      </w:r>
    </w:p>
    <w:p>
      <w:pPr>
        <w:ind w:left="720" w:right="340" w:hanging="422"/>
        <w:spacing w:after="0" w:line="237" w:lineRule="auto"/>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Saturn-2 design is highly comparable to that of Saturn-1 with respect to which the FDA raised no-objection and we expect to update the IND protocol prior to commencing Saturn-2.</w:t>
      </w:r>
    </w:p>
    <w:p>
      <w:pPr>
        <w:spacing w:after="0" w:line="187" w:lineRule="exact"/>
        <w:rPr>
          <w:sz w:val="20"/>
          <w:szCs w:val="20"/>
          <w:color w:val="auto"/>
        </w:rPr>
      </w:pPr>
    </w:p>
    <w:p>
      <w:pPr>
        <w:ind w:left="300" w:firstLine="852"/>
        <w:spacing w:after="0" w:line="270" w:lineRule="auto"/>
        <w:rPr>
          <w:sz w:val="20"/>
          <w:szCs w:val="20"/>
          <w:color w:val="auto"/>
        </w:rPr>
      </w:pPr>
      <w:r>
        <w:rPr>
          <w:rFonts w:ascii="Arial" w:cs="Arial" w:eastAsia="Arial" w:hAnsi="Arial"/>
          <w:sz w:val="17"/>
          <w:szCs w:val="17"/>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81" w:lineRule="exact"/>
        <w:rPr>
          <w:sz w:val="20"/>
          <w:szCs w:val="20"/>
          <w:color w:val="auto"/>
        </w:rPr>
      </w:pPr>
    </w:p>
    <w:p>
      <w:pPr>
        <w:jc w:val="both"/>
        <w:ind w:left="300" w:right="60" w:firstLine="852"/>
        <w:spacing w:after="0" w:line="263" w:lineRule="auto"/>
        <w:rPr>
          <w:sz w:val="20"/>
          <w:szCs w:val="20"/>
          <w:color w:val="auto"/>
        </w:rPr>
      </w:pPr>
      <w:r>
        <w:rPr>
          <w:rFonts w:ascii="Arial" w:cs="Arial" w:eastAsia="Arial" w:hAnsi="Arial"/>
          <w:sz w:val="18"/>
          <w:szCs w:val="18"/>
          <w:color w:val="auto"/>
        </w:rPr>
        <w:t>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24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245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 xml:space="preserve">MGD. In the United States, MGD prevalence has been found to be approximately two-thirds of the estimated 34 million dry eye patient population. One species of Demodex mite,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is known to infest the meibomian gland, and clinical signs of MGD have been shown to be correlated with infestation of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While dry eye is a multi-factorial disease, TP-03 is designed to relieve some of the key elements of MGD by virtue of causing the death of the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mites.</w:t>
      </w:r>
    </w:p>
    <w:p>
      <w:pPr>
        <w:spacing w:after="0" w:line="146" w:lineRule="exact"/>
        <w:rPr>
          <w:sz w:val="20"/>
          <w:szCs w:val="20"/>
          <w:color w:val="auto"/>
        </w:rPr>
      </w:pPr>
    </w:p>
    <w:p>
      <w:pPr>
        <w:jc w:val="both"/>
        <w:ind w:left="300" w:right="120" w:firstLine="852"/>
        <w:spacing w:after="0" w:line="263" w:lineRule="auto"/>
        <w:rPr>
          <w:sz w:val="20"/>
          <w:szCs w:val="20"/>
          <w:color w:val="auto"/>
        </w:rPr>
      </w:pPr>
      <w:r>
        <w:rPr>
          <w:rFonts w:ascii="Arial" w:cs="Arial" w:eastAsia="Arial" w:hAnsi="Arial"/>
          <w:sz w:val="18"/>
          <w:szCs w:val="18"/>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57" w:lineRule="exact"/>
        <w:rPr>
          <w:sz w:val="20"/>
          <w:szCs w:val="20"/>
          <w:color w:val="auto"/>
        </w:rPr>
      </w:pPr>
    </w:p>
    <w:p>
      <w:pPr>
        <w:ind w:left="300" w:right="80" w:firstLine="852"/>
        <w:spacing w:after="0" w:line="296" w:lineRule="auto"/>
        <w:rPr>
          <w:sz w:val="20"/>
          <w:szCs w:val="20"/>
          <w:color w:val="auto"/>
        </w:rPr>
      </w:pPr>
      <w:r>
        <w:rPr>
          <w:rFonts w:ascii="Arial" w:cs="Arial" w:eastAsia="Arial" w:hAnsi="Arial"/>
          <w:sz w:val="16"/>
          <w:szCs w:val="16"/>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In anticipation of such trial, we intend to initiate preclinical studies in 2020 to select Phase 1/2 formulation for TP-04.</w:t>
      </w:r>
    </w:p>
    <w:p>
      <w:pPr>
        <w:spacing w:after="0" w:line="121" w:lineRule="exact"/>
        <w:rPr>
          <w:sz w:val="20"/>
          <w:szCs w:val="20"/>
          <w:color w:val="auto"/>
        </w:rPr>
      </w:pPr>
    </w:p>
    <w:p>
      <w:pPr>
        <w:jc w:val="both"/>
        <w:ind w:left="300" w:right="100" w:firstLine="852"/>
        <w:spacing w:after="0" w:line="287" w:lineRule="auto"/>
        <w:rPr>
          <w:sz w:val="20"/>
          <w:szCs w:val="20"/>
          <w:color w:val="auto"/>
        </w:rPr>
      </w:pPr>
      <w:r>
        <w:rPr>
          <w:rFonts w:ascii="Arial" w:cs="Arial" w:eastAsia="Arial" w:hAnsi="Arial"/>
          <w:sz w:val="16"/>
          <w:szCs w:val="16"/>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w:t>
      </w:r>
    </w:p>
    <w:p>
      <w:pPr>
        <w:spacing w:after="0" w:line="2"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Similar to its mechanism against Demodex, lotilaner, the API in TP-05 and an isoxazoline endectocide, is a potent non-competitive antagonist of tick and mosquito GABA-Cl channels. Lotilaner is designed to eradicate ticks and mosquitoes by selectively inhibiting GABA-Cl channels, causing their paralysis and eventual death. We are developing TP-05 as an oral formulation that is designed as a prophylactic drug against Lyme disease to eradicate the tick before it can transmit the Borrelia bacteria. Further, we are developing TP-05 as an oral formulation that is designed to cause the death or incapacity of a mosquito before it can infect another person and which is administered to a population. We believe TP-05 has the potential to significantly reduce malaria transmission through reducing the lifespan of mosquitos that transmit malaria. This may in turn provide herd protection against the spread of malaria. For instance, a modeling study on mosquito populations published in the Proceedings of the National Academy of Sciences of the United States of America in 2018, or the PNAS Study, indicated that an annual administration of an isoxazoline endectocide for only 30% population coverage is predicted to give a 66% reduction in malaria cases, as compared to no intervention. TP-05 is not intended to treat malaria, but to limit its transmission among a population. We plan to seek FDA feedback in a pre-IND meeting and submit an IND and initiate a Phase 1/2 trial of TP-05 for Lyme disease in 2021. For malaria, we may conduct the Phase 1/2 trial outside of the United States.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02" w:lineRule="exact"/>
        <w:rPr>
          <w:sz w:val="20"/>
          <w:szCs w:val="20"/>
          <w:color w:val="auto"/>
        </w:rPr>
      </w:pPr>
    </w:p>
    <w:p>
      <w:pPr>
        <w:ind w:left="300" w:right="80" w:firstLine="852"/>
        <w:spacing w:after="0" w:line="272" w:lineRule="auto"/>
        <w:rPr>
          <w:sz w:val="20"/>
          <w:szCs w:val="20"/>
          <w:color w:val="auto"/>
        </w:rPr>
      </w:pPr>
      <w:r>
        <w:rPr>
          <w:rFonts w:ascii="Arial" w:cs="Arial" w:eastAsia="Arial" w:hAnsi="Arial"/>
          <w:sz w:val="17"/>
          <w:szCs w:val="17"/>
          <w:color w:val="auto"/>
        </w:rPr>
        <w:t>We have assembled a team with extensive experience developing and commercializing leading ophthalmic products and therapies. Members of our management team and board of directors have founded and led several biopharmaceutical companies including those in the ophthalmic care space, such as Oyster Point Pharma, Inc., or Oyster Point Pharma (NASDAQ: OYST), and Oculeve Inc., or Oculeve, and have been pivotal in the development and commercialization of various leading ophthalmic products, including the dry eye therapy, Restasis. We intend to leverage this expertise and experience to rapidly pursue the development of TP-03 and any other future product candidates that we may identify and develop. We are supported by healthcare dedicated financial investors, which include Aperture Venture Partners, Flying L Ventures, Horowitz Limited Partnership, Frazier Life Sciences, Visionary Ventures and Vivo Capital.</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 and Differentiation</w:t>
      </w:r>
    </w:p>
    <w:p>
      <w:pPr>
        <w:spacing w:after="0" w:line="18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We believe our company and our product candidates have the following key distinguishing characteristics:</w:t>
      </w:r>
    </w:p>
    <w:p>
      <w:pPr>
        <w:spacing w:after="0" w:line="221" w:lineRule="exact"/>
        <w:rPr>
          <w:sz w:val="20"/>
          <w:szCs w:val="20"/>
          <w:color w:val="auto"/>
        </w:rPr>
      </w:pPr>
    </w:p>
    <w:p>
      <w:pPr>
        <w:ind w:left="1540" w:hanging="297"/>
        <w:spacing w:after="0" w:line="269" w:lineRule="auto"/>
        <w:tabs>
          <w:tab w:leader="none" w:pos="15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TP-03 is currently in Phase 2b/3 and has met various endpoints for efficacy in Phase 2 trials. </w:t>
      </w:r>
      <w:r>
        <w:rPr>
          <w:rFonts w:ascii="Arial" w:cs="Arial" w:eastAsia="Arial" w:hAnsi="Arial"/>
          <w:sz w:val="17"/>
          <w:szCs w:val="17"/>
          <w:color w:val="auto"/>
        </w:rPr>
        <w:t>We have observed TP-03’s</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205" w:lineRule="exact"/>
        <w:rPr>
          <w:rFonts w:ascii="Arial" w:cs="Arial" w:eastAsia="Arial" w:hAnsi="Arial"/>
          <w:sz w:val="17"/>
          <w:szCs w:val="17"/>
          <w:color w:val="auto"/>
        </w:rPr>
      </w:pPr>
    </w:p>
    <w:p>
      <w:pPr>
        <w:ind w:left="1540" w:hanging="297"/>
        <w:spacing w:after="0" w:line="272" w:lineRule="auto"/>
        <w:tabs>
          <w:tab w:leader="none" w:pos="154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 xml:space="preserve">Large, underserved and underdiagnosed blepharitis market with a significant opportunity for growth. </w:t>
      </w:r>
      <w:r>
        <w:rPr>
          <w:rFonts w:ascii="Arial" w:cs="Arial" w:eastAsia="Arial" w:hAnsi="Arial"/>
          <w:sz w:val="17"/>
          <w:szCs w:val="17"/>
          <w:color w:val="auto"/>
        </w:rPr>
        <w:t>Although 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 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198" w:lineRule="exact"/>
        <w:rPr>
          <w:rFonts w:ascii="Arial" w:cs="Arial" w:eastAsia="Arial" w:hAnsi="Arial"/>
          <w:sz w:val="17"/>
          <w:szCs w:val="17"/>
          <w:color w:val="auto"/>
        </w:rPr>
      </w:pPr>
    </w:p>
    <w:p>
      <w:pPr>
        <w:ind w:left="1540" w:right="100" w:hanging="297"/>
        <w:spacing w:after="0" w:line="303"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Novel chemistry developed for the first time in human medicine. </w:t>
      </w:r>
      <w:r>
        <w:rPr>
          <w:rFonts w:ascii="Arial" w:cs="Arial" w:eastAsia="Arial" w:hAnsi="Arial"/>
          <w:sz w:val="16"/>
          <w:szCs w:val="16"/>
          <w:color w:val="auto"/>
        </w:rPr>
        <w:t>Our current therapeutic strategy is focused on the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177" w:lineRule="exact"/>
        <w:rPr>
          <w:rFonts w:ascii="Arial" w:cs="Arial" w:eastAsia="Arial" w:hAnsi="Arial"/>
          <w:sz w:val="16"/>
          <w:szCs w:val="16"/>
          <w:color w:val="auto"/>
        </w:rPr>
      </w:pPr>
    </w:p>
    <w:p>
      <w:pPr>
        <w:ind w:left="1540" w:right="200" w:hanging="297"/>
        <w:spacing w:after="0" w:line="292"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Additional opportunities beyond Demodex blepharitis. </w:t>
      </w:r>
      <w:r>
        <w:rPr>
          <w:rFonts w:ascii="Arial" w:cs="Arial" w:eastAsia="Arial" w:hAnsi="Arial"/>
          <w:sz w:val="16"/>
          <w:szCs w:val="16"/>
          <w:color w:val="auto"/>
        </w:rPr>
        <w:t>Like blepharitis, MGD may also be caused by Demodex infestation,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we 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0" w:lineRule="exact"/>
        <w:rPr>
          <w:rFonts w:ascii="Arial" w:cs="Arial" w:eastAsia="Arial" w:hAnsi="Arial"/>
          <w:sz w:val="16"/>
          <w:szCs w:val="16"/>
          <w:color w:val="auto"/>
        </w:rPr>
      </w:pPr>
    </w:p>
    <w:p>
      <w:pPr>
        <w:ind w:left="5580" w:hanging="106"/>
        <w:spacing w:after="0"/>
        <w:tabs>
          <w:tab w:leader="none" w:pos="55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33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40" w:right="120" w:hanging="297"/>
        <w:spacing w:after="0" w:line="258"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Experienced management team and board of directors supported by high quality investor base. </w:t>
      </w:r>
      <w:r>
        <w:rPr>
          <w:rFonts w:ascii="Arial" w:cs="Arial" w:eastAsia="Arial" w:hAnsi="Arial"/>
          <w:sz w:val="18"/>
          <w:szCs w:val="18"/>
          <w:color w:val="auto"/>
        </w:rPr>
        <w:t>We have built a leadership</w:t>
      </w:r>
      <w:r>
        <w:rPr>
          <w:rFonts w:ascii="Arial" w:cs="Arial" w:eastAsia="Arial" w:hAnsi="Arial"/>
          <w:sz w:val="18"/>
          <w:szCs w:val="18"/>
          <w:b w:val="1"/>
          <w:bCs w:val="1"/>
          <w:color w:val="auto"/>
        </w:rPr>
        <w:t xml:space="preserve"> </w:t>
      </w:r>
      <w:r>
        <w:rPr>
          <w:rFonts w:ascii="Arial" w:cs="Arial" w:eastAsia="Arial" w:hAnsi="Arial"/>
          <w:sz w:val="18"/>
          <w:szCs w:val="18"/>
          <w:color w:val="auto"/>
        </w:rPr>
        <w:t>team 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300" w:firstLine="852"/>
        <w:spacing w:after="0" w:line="263" w:lineRule="auto"/>
        <w:rPr>
          <w:sz w:val="20"/>
          <w:szCs w:val="20"/>
          <w:color w:val="auto"/>
        </w:rPr>
      </w:pPr>
      <w:r>
        <w:rPr>
          <w:rFonts w:ascii="Arial" w:cs="Arial" w:eastAsia="Arial" w:hAnsi="Arial"/>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207" w:lineRule="exact"/>
        <w:rPr>
          <w:sz w:val="20"/>
          <w:szCs w:val="20"/>
          <w:color w:val="auto"/>
        </w:rPr>
      </w:pPr>
    </w:p>
    <w:p>
      <w:pPr>
        <w:ind w:left="1540" w:right="40" w:hanging="297"/>
        <w:spacing w:after="0" w:line="274"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Advance TP-03 through clinical development and eventual approval for the treatment of Demodex blepharitis. </w:t>
      </w:r>
      <w:r>
        <w:rPr>
          <w:rFonts w:ascii="Arial" w:cs="Arial" w:eastAsia="Arial" w:hAnsi="Arial"/>
          <w:sz w:val="17"/>
          <w:szCs w:val="17"/>
          <w:color w:val="auto"/>
        </w:rPr>
        <w:t>We have</w:t>
      </w:r>
      <w:r>
        <w:rPr>
          <w:rFonts w:ascii="Arial" w:cs="Arial" w:eastAsia="Arial" w:hAnsi="Arial"/>
          <w:sz w:val="17"/>
          <w:szCs w:val="17"/>
          <w:b w:val="1"/>
          <w:bCs w:val="1"/>
          <w:color w:val="auto"/>
        </w:rPr>
        <w:t xml:space="preserve"> </w:t>
      </w:r>
      <w:r>
        <w:rPr>
          <w:rFonts w:ascii="Arial" w:cs="Arial" w:eastAsia="Arial" w:hAnsi="Arial"/>
          <w:sz w:val="17"/>
          <w:szCs w:val="17"/>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200" w:lineRule="exact"/>
        <w:rPr>
          <w:rFonts w:ascii="Arial" w:cs="Arial" w:eastAsia="Arial" w:hAnsi="Arial"/>
          <w:sz w:val="17"/>
          <w:szCs w:val="17"/>
          <w:color w:val="auto"/>
        </w:rPr>
      </w:pPr>
    </w:p>
    <w:p>
      <w:pPr>
        <w:ind w:left="1540" w:hanging="297"/>
        <w:spacing w:after="0" w:line="281" w:lineRule="auto"/>
        <w:tabs>
          <w:tab w:leader="none" w:pos="15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Educate ECPs and establish our own specialty sales organization to commercialize TP-03 in the United States. </w:t>
      </w:r>
      <w:r>
        <w:rPr>
          <w:rFonts w:ascii="Arial" w:cs="Arial" w:eastAsia="Arial" w:hAnsi="Arial"/>
          <w:sz w:val="17"/>
          <w:szCs w:val="17"/>
          <w:color w:val="auto"/>
        </w:rPr>
        <w:t>If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191" w:lineRule="exact"/>
        <w:rPr>
          <w:rFonts w:ascii="Arial" w:cs="Arial" w:eastAsia="Arial" w:hAnsi="Arial"/>
          <w:sz w:val="17"/>
          <w:szCs w:val="17"/>
          <w:color w:val="auto"/>
        </w:rPr>
      </w:pPr>
    </w:p>
    <w:p>
      <w:pPr>
        <w:ind w:left="1540" w:right="340" w:hanging="297"/>
        <w:spacing w:after="0" w:line="282"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Expand the label of TP-03 for other indications, including MGD. </w:t>
      </w:r>
      <w:r>
        <w:rPr>
          <w:rFonts w:ascii="Arial" w:cs="Arial" w:eastAsia="Arial" w:hAnsi="Arial"/>
          <w:sz w:val="18"/>
          <w:szCs w:val="18"/>
          <w:color w:val="auto"/>
        </w:rPr>
        <w:t>Like blepharitis, MGD may also be caused by Demodex</w:t>
      </w:r>
      <w:r>
        <w:rPr>
          <w:rFonts w:ascii="Arial" w:cs="Arial" w:eastAsia="Arial" w:hAnsi="Arial"/>
          <w:sz w:val="18"/>
          <w:szCs w:val="18"/>
          <w:b w:val="1"/>
          <w:bCs w:val="1"/>
          <w:color w:val="auto"/>
        </w:rPr>
        <w:t xml:space="preserve"> </w:t>
      </w:r>
      <w:r>
        <w:rPr>
          <w:rFonts w:ascii="Arial" w:cs="Arial" w:eastAsia="Arial" w:hAnsi="Arial"/>
          <w:sz w:val="18"/>
          <w:szCs w:val="18"/>
          <w:color w:val="auto"/>
        </w:rPr>
        <w:t>infestation, and we intend to explore the clinical potential for TP-03 in the indication.</w:t>
      </w:r>
    </w:p>
    <w:p>
      <w:pPr>
        <w:spacing w:after="0" w:line="188" w:lineRule="exact"/>
        <w:rPr>
          <w:rFonts w:ascii="Arial" w:cs="Arial" w:eastAsia="Arial" w:hAnsi="Arial"/>
          <w:sz w:val="18"/>
          <w:szCs w:val="18"/>
          <w:color w:val="auto"/>
        </w:rPr>
      </w:pPr>
    </w:p>
    <w:p>
      <w:pPr>
        <w:ind w:left="1540" w:right="60" w:hanging="297"/>
        <w:spacing w:after="0" w:line="255"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Develop our pipeline, bringing novel products utilizing lotilaner to unmet needs across human medicine, including rosacea, Lyme disease and malaria</w:t>
      </w:r>
      <w:r>
        <w:rPr>
          <w:rFonts w:ascii="Arial" w:cs="Arial" w:eastAsia="Arial" w:hAnsi="Arial"/>
          <w:sz w:val="18"/>
          <w:szCs w:val="18"/>
          <w:color w:val="auto"/>
        </w:rPr>
        <w:t>. We plan to expand our pipeline of novel, differentiated product candidates that target</w:t>
      </w:r>
      <w:r>
        <w:rPr>
          <w:rFonts w:ascii="Arial" w:cs="Arial" w:eastAsia="Arial" w:hAnsi="Arial"/>
          <w:sz w:val="18"/>
          <w:szCs w:val="18"/>
          <w:b w:val="1"/>
          <w:bCs w:val="1"/>
          <w:color w:val="auto"/>
        </w:rPr>
        <w:t xml:space="preserve"> </w:t>
      </w:r>
      <w:r>
        <w:rPr>
          <w:rFonts w:ascii="Arial" w:cs="Arial" w:eastAsia="Arial" w:hAnsi="Arial"/>
          <w:sz w:val="18"/>
          <w:szCs w:val="18"/>
          <w:color w:val="auto"/>
        </w:rPr>
        <w:t>parasites to treat or 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215" w:lineRule="exact"/>
        <w:rPr>
          <w:rFonts w:ascii="Arial" w:cs="Arial" w:eastAsia="Arial" w:hAnsi="Arial"/>
          <w:sz w:val="18"/>
          <w:szCs w:val="18"/>
          <w:color w:val="auto"/>
        </w:rPr>
      </w:pPr>
    </w:p>
    <w:p>
      <w:pPr>
        <w:ind w:left="1540" w:right="180" w:hanging="297"/>
        <w:spacing w:after="0" w:line="255"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Evaluate and selectively enter into strategic collaborations to maximize the potential of our pipeline and the scope of our eye care product offerings. </w:t>
      </w:r>
      <w:r>
        <w:rPr>
          <w:rFonts w:ascii="Arial" w:cs="Arial" w:eastAsia="Arial" w:hAnsi="Arial"/>
          <w:sz w:val="18"/>
          <w:szCs w:val="18"/>
          <w:color w:val="auto"/>
        </w:rPr>
        <w:t>We have retained our rights globally to all of our indications for use in humans, including, our lead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 TP-03, for the potential treatment of Demodex blepharitis and MGD, TP-04 for the potential treatment of rosacea and TP-05 for potential prophylaxis of Lyme and community malaria reduction. We are dependent on licenses from Elanco Tiergesundheit AG, or Elanco, for the development and commercialization of these products. Given the potential to treat patients worldwide we may opportunistically enter into strategic collaborations around certain product candidates, disease or geographic regions.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4" w:lineRule="exact"/>
        <w:rPr>
          <w:rFonts w:ascii="Arial" w:cs="Arial" w:eastAsia="Arial" w:hAnsi="Arial"/>
          <w:sz w:val="18"/>
          <w:szCs w:val="18"/>
          <w:color w:val="auto"/>
        </w:rPr>
      </w:pPr>
    </w:p>
    <w:p>
      <w:pPr>
        <w:ind w:left="5580" w:hanging="106"/>
        <w:spacing w:after="0"/>
        <w:tabs>
          <w:tab w:leader="none" w:pos="5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020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300" w:right="140" w:firstLine="852"/>
        <w:spacing w:after="0" w:line="277" w:lineRule="auto"/>
        <w:rPr>
          <w:sz w:val="20"/>
          <w:szCs w:val="20"/>
          <w:color w:val="auto"/>
        </w:rPr>
      </w:pPr>
      <w:r>
        <w:rPr>
          <w:rFonts w:ascii="Arial" w:cs="Arial" w:eastAsia="Arial" w:hAnsi="Arial"/>
          <w:sz w:val="18"/>
          <w:szCs w:val="18"/>
          <w:color w:val="auto"/>
        </w:rPr>
        <w:t>Our ability to execute our business strategy is subject to numerous risks, as more fully described in the section entitled “Risk Factors” immediately following this prospectus summary. These risks include, among others:</w:t>
      </w:r>
    </w:p>
    <w:p>
      <w:pPr>
        <w:spacing w:after="0" w:line="193" w:lineRule="exact"/>
        <w:rPr>
          <w:sz w:val="20"/>
          <w:szCs w:val="20"/>
          <w:color w:val="auto"/>
        </w:rPr>
      </w:pPr>
    </w:p>
    <w:p>
      <w:pPr>
        <w:ind w:left="1540" w:hanging="297"/>
        <w:spacing w:after="0" w:line="266" w:lineRule="auto"/>
        <w:tabs>
          <w:tab w:leader="none" w:pos="1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We are a late clinical-stage biopharmaceutical company with limited operating history. We have incurred significant losses and negative cash flows from operations since our inception and anticipate that we will continue to incur significant expenses and losses for the foreseeable future.</w:t>
      </w:r>
    </w:p>
    <w:p>
      <w:pPr>
        <w:spacing w:after="0" w:line="202" w:lineRule="exact"/>
        <w:rPr>
          <w:rFonts w:ascii="Arial" w:cs="Arial" w:eastAsia="Arial" w:hAnsi="Arial"/>
          <w:sz w:val="18"/>
          <w:szCs w:val="18"/>
          <w:b w:val="1"/>
          <w:bCs w:val="1"/>
          <w:color w:val="auto"/>
        </w:rPr>
      </w:pPr>
    </w:p>
    <w:p>
      <w:pPr>
        <w:ind w:left="1540" w:hanging="297"/>
        <w:spacing w:after="0" w:line="261" w:lineRule="auto"/>
        <w:tabs>
          <w:tab w:leader="none" w:pos="1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06" w:lineRule="exact"/>
        <w:rPr>
          <w:rFonts w:ascii="Arial" w:cs="Arial" w:eastAsia="Arial" w:hAnsi="Arial"/>
          <w:sz w:val="18"/>
          <w:szCs w:val="18"/>
          <w:b w:val="1"/>
          <w:bCs w:val="1"/>
          <w:color w:val="auto"/>
        </w:rPr>
      </w:pPr>
    </w:p>
    <w:p>
      <w:pPr>
        <w:ind w:left="1540" w:hanging="297"/>
        <w:spacing w:after="0"/>
        <w:tabs>
          <w:tab w:leader="none" w:pos="15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We are heavily dependent on the success of our lead product candidate, TP-03 for the treatment of Demodex blepharitis.</w:t>
      </w:r>
    </w:p>
    <w:p>
      <w:pPr>
        <w:spacing w:after="0" w:line="275" w:lineRule="exact"/>
        <w:rPr>
          <w:rFonts w:ascii="Arial" w:cs="Arial" w:eastAsia="Arial" w:hAnsi="Arial"/>
          <w:sz w:val="16"/>
          <w:szCs w:val="16"/>
          <w:b w:val="1"/>
          <w:bCs w:val="1"/>
          <w:color w:val="auto"/>
        </w:rPr>
      </w:pPr>
    </w:p>
    <w:p>
      <w:pPr>
        <w:ind w:left="1540" w:right="140" w:hanging="297"/>
        <w:spacing w:after="0" w:line="266" w:lineRule="auto"/>
        <w:tabs>
          <w:tab w:leader="none" w:pos="1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w:t>
      </w:r>
    </w:p>
    <w:p>
      <w:pPr>
        <w:spacing w:after="0" w:line="202" w:lineRule="exact"/>
        <w:rPr>
          <w:rFonts w:ascii="Arial" w:cs="Arial" w:eastAsia="Arial" w:hAnsi="Arial"/>
          <w:sz w:val="18"/>
          <w:szCs w:val="18"/>
          <w:b w:val="1"/>
          <w:bCs w:val="1"/>
          <w:color w:val="auto"/>
        </w:rPr>
      </w:pPr>
    </w:p>
    <w:p>
      <w:pPr>
        <w:ind w:left="1540" w:right="60" w:hanging="297"/>
        <w:spacing w:after="0" w:line="274" w:lineRule="auto"/>
        <w:tabs>
          <w:tab w:leader="none" w:pos="15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Even if TP-03 or any other product candidate that we develop receives marketing approval, we may not be successful in educating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00" w:lineRule="exact"/>
        <w:rPr>
          <w:rFonts w:ascii="Arial" w:cs="Arial" w:eastAsia="Arial" w:hAnsi="Arial"/>
          <w:sz w:val="17"/>
          <w:szCs w:val="17"/>
          <w:b w:val="1"/>
          <w:bCs w:val="1"/>
          <w:color w:val="auto"/>
        </w:rPr>
      </w:pPr>
    </w:p>
    <w:p>
      <w:pPr>
        <w:ind w:left="1540" w:right="20" w:hanging="297"/>
        <w:spacing w:after="0" w:line="314" w:lineRule="auto"/>
        <w:tabs>
          <w:tab w:leader="none" w:pos="15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We are dependent on intellectual property we license from Elanco for the development and commercialization of our products, including our lead product candidate, TP-03 for the potential treatment of Demodex blepharitis and MGD, TP-04 for the potential treatment of rosacea and TP-05 for potential Lyme prophylaxis and community malaria reduction.</w:t>
      </w:r>
    </w:p>
    <w:p>
      <w:pPr>
        <w:spacing w:after="0" w:line="168" w:lineRule="exact"/>
        <w:rPr>
          <w:rFonts w:ascii="Arial" w:cs="Arial" w:eastAsia="Arial" w:hAnsi="Arial"/>
          <w:sz w:val="16"/>
          <w:szCs w:val="16"/>
          <w:b w:val="1"/>
          <w:bCs w:val="1"/>
          <w:color w:val="auto"/>
        </w:rPr>
      </w:pPr>
    </w:p>
    <w:p>
      <w:pPr>
        <w:ind w:left="1540" w:right="220" w:hanging="297"/>
        <w:spacing w:after="0" w:line="314" w:lineRule="auto"/>
        <w:tabs>
          <w:tab w:leader="none" w:pos="15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We will need to develop and expand our company in terms of operations and employees, which we expect to include our development, regulatory and operational capabilities and potentially implement sales, marketing and distribution capabilities and, as a result, we may encounter difficulties in managing our growth, which could disrupt our operations.</w:t>
      </w:r>
    </w:p>
    <w:p>
      <w:pPr>
        <w:spacing w:after="0" w:line="168" w:lineRule="exact"/>
        <w:rPr>
          <w:rFonts w:ascii="Arial" w:cs="Arial" w:eastAsia="Arial" w:hAnsi="Arial"/>
          <w:sz w:val="16"/>
          <w:szCs w:val="16"/>
          <w:b w:val="1"/>
          <w:bCs w:val="1"/>
          <w:color w:val="auto"/>
        </w:rPr>
      </w:pPr>
    </w:p>
    <w:p>
      <w:pPr>
        <w:ind w:left="1540" w:right="100" w:hanging="297"/>
        <w:spacing w:after="0" w:line="281" w:lineRule="auto"/>
        <w:tabs>
          <w:tab w:leader="none" w:pos="15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91" w:lineRule="exact"/>
        <w:rPr>
          <w:rFonts w:ascii="Arial" w:cs="Arial" w:eastAsia="Arial" w:hAnsi="Arial"/>
          <w:sz w:val="17"/>
          <w:szCs w:val="17"/>
          <w:b w:val="1"/>
          <w:bCs w:val="1"/>
          <w:color w:val="auto"/>
        </w:rPr>
      </w:pPr>
    </w:p>
    <w:p>
      <w:pPr>
        <w:ind w:left="1540" w:right="20" w:hanging="297"/>
        <w:spacing w:after="0" w:line="282" w:lineRule="auto"/>
        <w:tabs>
          <w:tab w:leader="none" w:pos="1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Clinical drug development involves a lengthy and expensive process with uncertain timelines and uncertain outcomes, and results of earlier studies and trials may not be predictive of future results.</w:t>
      </w:r>
    </w:p>
    <w:p>
      <w:pPr>
        <w:spacing w:after="0" w:line="200" w:lineRule="exact"/>
        <w:rPr>
          <w:rFonts w:ascii="Arial" w:cs="Arial" w:eastAsia="Arial" w:hAnsi="Arial"/>
          <w:sz w:val="18"/>
          <w:szCs w:val="18"/>
          <w:b w:val="1"/>
          <w:bCs w:val="1"/>
          <w:color w:val="auto"/>
        </w:rPr>
      </w:pPr>
    </w:p>
    <w:p>
      <w:pPr>
        <w:spacing w:after="0" w:line="397" w:lineRule="exact"/>
        <w:rPr>
          <w:rFonts w:ascii="Arial" w:cs="Arial" w:eastAsia="Arial" w:hAnsi="Arial"/>
          <w:sz w:val="18"/>
          <w:szCs w:val="18"/>
          <w:b w:val="1"/>
          <w:bCs w:val="1"/>
          <w:color w:val="auto"/>
        </w:rPr>
      </w:pPr>
    </w:p>
    <w:p>
      <w:pPr>
        <w:ind w:left="5580" w:hanging="106"/>
        <w:spacing w:after="0"/>
        <w:tabs>
          <w:tab w:leader="none" w:pos="55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40" w:right="20" w:hanging="297"/>
        <w:spacing w:after="0" w:line="347" w:lineRule="auto"/>
        <w:tabs>
          <w:tab w:leader="none" w:pos="15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42" w:lineRule="exact"/>
        <w:rPr>
          <w:rFonts w:ascii="Arial" w:cs="Arial" w:eastAsia="Arial" w:hAnsi="Arial"/>
          <w:sz w:val="16"/>
          <w:szCs w:val="16"/>
          <w:b w:val="1"/>
          <w:bCs w:val="1"/>
          <w:color w:val="auto"/>
        </w:rPr>
      </w:pPr>
    </w:p>
    <w:p>
      <w:pPr>
        <w:ind w:left="1540" w:hanging="297"/>
        <w:spacing w:after="0"/>
        <w:tabs>
          <w:tab w:leader="none" w:pos="15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We rely on third parties to conduct our clinical trials and perform some of our research and preclinical studies.</w:t>
      </w:r>
    </w:p>
    <w:p>
      <w:pPr>
        <w:spacing w:after="0" w:line="263" w:lineRule="exact"/>
        <w:rPr>
          <w:rFonts w:ascii="Arial" w:cs="Arial" w:eastAsia="Arial" w:hAnsi="Arial"/>
          <w:sz w:val="17"/>
          <w:szCs w:val="17"/>
          <w:b w:val="1"/>
          <w:bCs w:val="1"/>
          <w:color w:val="auto"/>
        </w:rPr>
      </w:pPr>
    </w:p>
    <w:p>
      <w:pPr>
        <w:ind w:left="1540" w:hanging="297"/>
        <w:spacing w:after="0" w:line="314" w:lineRule="auto"/>
        <w:tabs>
          <w:tab w:leader="none" w:pos="154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68" w:lineRule="exact"/>
        <w:rPr>
          <w:rFonts w:ascii="Arial" w:cs="Arial" w:eastAsia="Arial" w:hAnsi="Arial"/>
          <w:sz w:val="16"/>
          <w:szCs w:val="16"/>
          <w:b w:val="1"/>
          <w:bCs w:val="1"/>
          <w:color w:val="auto"/>
        </w:rPr>
      </w:pPr>
    </w:p>
    <w:p>
      <w:pPr>
        <w:ind w:left="1540" w:right="180" w:hanging="297"/>
        <w:spacing w:after="0" w:line="282" w:lineRule="auto"/>
        <w:tabs>
          <w:tab w:leader="none" w:pos="1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Patent terms may be inadequate to protect our competitive position on our product candidates and preclinical programs for an adequate amount of time.</w:t>
      </w:r>
    </w:p>
    <w:p>
      <w:pPr>
        <w:spacing w:after="0" w:line="188" w:lineRule="exact"/>
        <w:rPr>
          <w:rFonts w:ascii="Arial" w:cs="Arial" w:eastAsia="Arial" w:hAnsi="Arial"/>
          <w:sz w:val="18"/>
          <w:szCs w:val="18"/>
          <w:b w:val="1"/>
          <w:bCs w:val="1"/>
          <w:color w:val="auto"/>
        </w:rPr>
      </w:pPr>
    </w:p>
    <w:p>
      <w:pPr>
        <w:ind w:left="1540" w:right="60" w:hanging="297"/>
        <w:spacing w:after="0" w:line="312" w:lineRule="auto"/>
        <w:tabs>
          <w:tab w:leader="none" w:pos="154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4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300" w:right="40" w:firstLine="852"/>
        <w:spacing w:after="0" w:line="259" w:lineRule="auto"/>
        <w:rPr>
          <w:sz w:val="20"/>
          <w:szCs w:val="20"/>
          <w:color w:val="auto"/>
        </w:rPr>
      </w:pPr>
      <w:r>
        <w:rPr>
          <w:rFonts w:ascii="Arial" w:cs="Arial" w:eastAsia="Arial" w:hAnsi="Arial"/>
          <w:sz w:val="18"/>
          <w:szCs w:val="18"/>
          <w:color w:val="auto"/>
        </w:rPr>
        <w:t>We were incorporated under the laws of the State of Delaware in November 2016. Our principal executive offices are located at 15440 Laguna Canyon Road, Suite 160, Irvine, California 92618. Our telephone number is (949) 409-9820. Our website address is www.tarsusrx.com. Information contained on the website is not incorporated by reference into this prospectus. We have included our website address in this prospectus solely as an inactive textual reference.</w:t>
      </w:r>
    </w:p>
    <w:p>
      <w:pPr>
        <w:spacing w:after="0" w:line="187" w:lineRule="exact"/>
        <w:rPr>
          <w:sz w:val="20"/>
          <w:szCs w:val="20"/>
          <w:color w:val="auto"/>
        </w:rPr>
      </w:pPr>
    </w:p>
    <w:p>
      <w:pPr>
        <w:ind w:left="300" w:right="100" w:firstLine="852"/>
        <w:spacing w:after="0" w:line="272" w:lineRule="auto"/>
        <w:rPr>
          <w:sz w:val="20"/>
          <w:szCs w:val="20"/>
          <w:color w:val="auto"/>
        </w:rPr>
      </w:pPr>
      <w:r>
        <w:rPr>
          <w:rFonts w:ascii="Arial" w:cs="Arial" w:eastAsia="Arial" w:hAnsi="Arial"/>
          <w:sz w:val="17"/>
          <w:szCs w:val="17"/>
          <w:color w:val="auto"/>
        </w:rPr>
        <w:t xml:space="preserve">Tarsus Pharmaceuticals, Tarsus, and Tarsus Pharmaceuticals, Inc., our logo and other registered or common law trade names, trademarks or service markets of Tarsus appearing in this prospectus are the property of Tarsus.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SM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17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We are an “emerging growth company” as defined in the Jumpstart Our Business Startups Act of 2012, as amended, or the JOBS Act. We will remain an emerging growth company until the earliest to occur of: (i) the last day of the fiscal year in which we have more than</w:t>
      </w:r>
    </w:p>
    <w:p>
      <w:pPr>
        <w:ind w:left="300" w:right="160"/>
        <w:spacing w:after="0" w:line="292" w:lineRule="auto"/>
        <w:rPr>
          <w:sz w:val="20"/>
          <w:szCs w:val="20"/>
          <w:color w:val="auto"/>
        </w:rPr>
      </w:pPr>
      <w:r>
        <w:rPr>
          <w:rFonts w:ascii="Arial" w:cs="Arial" w:eastAsia="Arial" w:hAnsi="Arial"/>
          <w:sz w:val="16"/>
          <w:szCs w:val="16"/>
          <w:color w:val="auto"/>
        </w:rPr>
        <w:t>$1.07 billion in annual gross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or (iv) the last day of the fiscal year ending after the fifth anniversary of our initial public offering. As a result of this status, we have taken advantage of certain exemptions from various reporting requirements in this prospectus that are applicable to other publicly-traded entities that are not emerging growth companies and may elect to take advantage of other exemptions from</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058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4058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reporting requirements in our future filings with the SEC. In particular, in this prospectus, these exemptions include:</w:t>
      </w:r>
    </w:p>
    <w:p>
      <w:pPr>
        <w:spacing w:after="0" w:line="252" w:lineRule="exact"/>
        <w:rPr>
          <w:sz w:val="20"/>
          <w:szCs w:val="20"/>
          <w:color w:val="auto"/>
        </w:rPr>
      </w:pPr>
    </w:p>
    <w:p>
      <w:pPr>
        <w:ind w:left="1540" w:right="6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option to present only two years of audited financial statements and only two years of Management’s Discussion and Analysis of Financial Condition and Results of Operations;</w:t>
      </w:r>
    </w:p>
    <w:p>
      <w:pPr>
        <w:spacing w:after="0" w:line="197" w:lineRule="exact"/>
        <w:rPr>
          <w:rFonts w:ascii="Arial" w:cs="Arial" w:eastAsia="Arial" w:hAnsi="Arial"/>
          <w:sz w:val="18"/>
          <w:szCs w:val="18"/>
          <w:color w:val="auto"/>
        </w:rPr>
      </w:pPr>
    </w:p>
    <w:p>
      <w:pPr>
        <w:ind w:left="1540" w:right="26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 of 2002, as amended, or the Sarbanes Oxley Act;</w:t>
      </w:r>
    </w:p>
    <w:p>
      <w:pPr>
        <w:spacing w:after="0" w:line="197" w:lineRule="exact"/>
        <w:rPr>
          <w:rFonts w:ascii="Arial" w:cs="Arial" w:eastAsia="Arial" w:hAnsi="Arial"/>
          <w:sz w:val="18"/>
          <w:szCs w:val="18"/>
          <w:color w:val="auto"/>
        </w:rPr>
      </w:pPr>
    </w:p>
    <w:p>
      <w:pPr>
        <w:ind w:left="1540" w:right="66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197" w:lineRule="exact"/>
        <w:rPr>
          <w:rFonts w:ascii="Arial" w:cs="Arial" w:eastAsia="Arial" w:hAnsi="Arial"/>
          <w:sz w:val="18"/>
          <w:szCs w:val="18"/>
          <w:color w:val="auto"/>
        </w:rPr>
      </w:pPr>
    </w:p>
    <w:p>
      <w:pPr>
        <w:ind w:left="1540" w:right="940" w:hanging="297"/>
        <w:spacing w:after="0" w:line="263"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being required to disclose certain executive compensation-related items such as the correlation between executive compensation and performance and comparisons of the chief executive officer’s compensation to median employee compensation.</w:t>
      </w:r>
    </w:p>
    <w:p>
      <w:pPr>
        <w:spacing w:after="0" w:line="184" w:lineRule="exact"/>
        <w:rPr>
          <w:sz w:val="20"/>
          <w:szCs w:val="20"/>
          <w:color w:val="auto"/>
        </w:rPr>
      </w:pPr>
    </w:p>
    <w:p>
      <w:pPr>
        <w:ind w:left="300" w:right="40" w:firstLine="852"/>
        <w:spacing w:after="0" w:line="277" w:lineRule="auto"/>
        <w:rPr>
          <w:sz w:val="20"/>
          <w:szCs w:val="20"/>
          <w:color w:val="auto"/>
        </w:rPr>
      </w:pPr>
      <w:r>
        <w:rPr>
          <w:rFonts w:ascii="Arial" w:cs="Arial" w:eastAsia="Arial" w:hAnsi="Arial"/>
          <w:sz w:val="18"/>
          <w:szCs w:val="18"/>
          <w:color w:val="auto"/>
        </w:rPr>
        <w:t>As a result, we do not know if some investors will find our common stock less attractive. The result may be a less active trading market for our common stock, and the price of our common stock may become more volatile.</w:t>
      </w:r>
    </w:p>
    <w:p>
      <w:pPr>
        <w:spacing w:after="0" w:line="170" w:lineRule="exact"/>
        <w:rPr>
          <w:sz w:val="20"/>
          <w:szCs w:val="20"/>
          <w:color w:val="auto"/>
        </w:rPr>
      </w:pPr>
    </w:p>
    <w:p>
      <w:pPr>
        <w:ind w:left="300" w:firstLine="852"/>
        <w:spacing w:after="0" w:line="270"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 Even after we no longer qualify as an emerging growth company, we may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2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Tarsus Pharmaceuticals, Inc.</w:t>
            </w:r>
          </w:p>
        </w:tc>
      </w:tr>
      <w:tr>
        <w:trPr>
          <w:trHeight w:val="473"/>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Shares of common stock offered by us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5,500,000 shares</w:t>
            </w:r>
          </w:p>
        </w:tc>
      </w:tr>
      <w:tr>
        <w:trPr>
          <w:trHeight w:val="458"/>
        </w:trPr>
        <w:tc>
          <w:tcPr>
            <w:tcW w:w="11020" w:type="dxa"/>
            <w:vAlign w:val="bottom"/>
            <w:tcBorders>
              <w:left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w w:val="97"/>
              </w:rPr>
              <w:t>Shares of common stock to be outstanding immediately 19,259,014 shares (or 20,084,014 shares if the underwriters exercise their option to</w:t>
            </w:r>
          </w:p>
        </w:tc>
      </w:tr>
      <w:tr>
        <w:trPr>
          <w:trHeight w:val="230"/>
        </w:trPr>
        <w:tc>
          <w:tcPr>
            <w:tcW w:w="402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purchase additional shares in full)</w:t>
            </w:r>
          </w:p>
        </w:tc>
      </w:tr>
      <w:tr>
        <w:trPr>
          <w:trHeight w:val="458"/>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5"/>
              </w:rPr>
              <w:t>Underwriters’ option to purchase additional shares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We have granted the underwriters an option for a period of 30 days to purchase up to</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825,000 additional shares of our common stock. The underwriters can exercise this option</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at any time within 30 days after the date of this prospectus.</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We estimate that the net proceeds from this offering will be approximately $79.5 million,</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or approximately $91.7 million if the underwriters exercise their option to purchase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additional shares in full, after deducting underwriting discounts and commissions and</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estimated offering expenses payable by us, based on the initial public offering price of</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$16.00 per share.</w:t>
            </w:r>
          </w:p>
        </w:tc>
      </w:tr>
      <w:tr>
        <w:trPr>
          <w:trHeight w:val="445"/>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8"/>
              </w:rPr>
              <w:t>We intend to use the net proceeds from this offering to complete the development and</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regulatory approval of TP-03 for the treatment of Demodex blepharitis and the remaining</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proceeds to fund the development of our product pipeline, as well as for other general</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corporate purposes. See “Use of Proceeds” on page 89 for additional information.</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See “Risk Factors” beginning on page 16 and the other information included in this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9"/>
              </w:rPr>
              <w:t>prospectus for a discussion of factors you should consider carefully before deciding to</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invest in our common stock.</w:t>
            </w:r>
          </w:p>
        </w:tc>
      </w:tr>
      <w:tr>
        <w:trPr>
          <w:trHeight w:val="445"/>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Reserved Share Program</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At our request, an affiliate of BofA Securities, Inc., a participating underwriter, has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reserved for sale, at the initial public offering price, up to 3.7% of the shares offered by this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1"/>
              </w:rPr>
              <w:t>prospectus for sale to some of our business associates and certain other persons associated</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with us. If these persons purchase reserved shares, it will reduce the number of shares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available for sale to the general public. Any reserved shares that are not so purchased will</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be offered by the underwriters to the general public on the same terms as the other shares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offered by this prospectus. See section titled “Underwriting – Reserved Share Program” for</w:t>
            </w:r>
          </w:p>
        </w:tc>
      </w:tr>
      <w:tr>
        <w:trPr>
          <w:trHeight w:val="230"/>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additional information.</w:t>
            </w:r>
          </w:p>
        </w:tc>
      </w:tr>
      <w:tr>
        <w:trPr>
          <w:trHeight w:val="459"/>
        </w:trPr>
        <w:tc>
          <w:tcPr>
            <w:tcW w:w="402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Nasdaq Global Select Market trading symbol</w:t>
            </w:r>
          </w:p>
        </w:tc>
        <w:tc>
          <w:tcPr>
            <w:tcW w:w="70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“TARS”</w:t>
            </w:r>
          </w:p>
        </w:tc>
      </w:tr>
      <w:tr>
        <w:trPr>
          <w:trHeight w:val="253"/>
        </w:trPr>
        <w:tc>
          <w:tcPr>
            <w:tcW w:w="4020" w:type="dxa"/>
            <w:vAlign w:val="bottom"/>
            <w:tcBorders>
              <w:left w:val="single" w:sz="8" w:color="auto"/>
              <w:bottom w:val="single" w:sz="8" w:color="auto"/>
            </w:tcBorders>
          </w:tcPr>
          <w:p>
            <w:pPr>
              <w:spacing w:after="0"/>
              <w:rPr>
                <w:sz w:val="22"/>
                <w:szCs w:val="22"/>
                <w:color w:val="auto"/>
              </w:rPr>
            </w:pPr>
          </w:p>
        </w:tc>
        <w:tc>
          <w:tcPr>
            <w:tcW w:w="7000" w:type="dxa"/>
            <w:vAlign w:val="bottom"/>
            <w:tcBorders>
              <w:bottom w:val="single" w:sz="8" w:color="auto"/>
              <w:right w:val="single" w:sz="8" w:color="auto"/>
            </w:tcBorders>
          </w:tcPr>
          <w:p>
            <w:pPr>
              <w:spacing w:after="0"/>
              <w:rPr>
                <w:sz w:val="22"/>
                <w:szCs w:val="22"/>
                <w:color w:val="auto"/>
              </w:rPr>
            </w:pPr>
          </w:p>
        </w:tc>
      </w:tr>
      <w:tr>
        <w:trPr>
          <w:trHeight w:val="604"/>
        </w:trPr>
        <w:tc>
          <w:tcPr>
            <w:tcW w:w="4020" w:type="dxa"/>
            <w:vAlign w:val="bottom"/>
          </w:tcPr>
          <w:p>
            <w:pPr>
              <w:spacing w:after="0"/>
              <w:rPr>
                <w:sz w:val="24"/>
                <w:szCs w:val="24"/>
                <w:color w:val="auto"/>
              </w:rPr>
            </w:pPr>
          </w:p>
        </w:tc>
        <w:tc>
          <w:tcPr>
            <w:tcW w:w="7000" w:type="dxa"/>
            <w:vAlign w:val="bottom"/>
          </w:tcPr>
          <w:p>
            <w:pPr>
              <w:ind w:left="12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64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852"/>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13,759,014 shares of our common stock outstanding as of June 30, 2020, assuming the conversion of all of our 11,107,018 outstanding shares of preferred stock, including 2,857,079 shares of Series C preferred stock issued in September 2020, into an aggregate of 11,107,018 shares of our common stock immediately prior to the completion of this offering, and excludes the following:</w:t>
      </w:r>
    </w:p>
    <w:p>
      <w:pPr>
        <w:spacing w:after="0" w:line="214" w:lineRule="exact"/>
        <w:rPr>
          <w:sz w:val="20"/>
          <w:szCs w:val="20"/>
          <w:color w:val="auto"/>
        </w:rPr>
      </w:pPr>
    </w:p>
    <w:p>
      <w:pPr>
        <w:ind w:left="154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1,230,701 shares of common stock issuable upon the exercise of options outstanding as of June 30, 2020, with a weighted-average exercise price of $1.60 per share;</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737,517 shares of common stock issuable upon the exercise of options granted after June 30, 2020, at a weighted-average exercise price of $7.08 per share (112,059 shares of which have been issued as of the date of this prospectus upon early exercise of stock options, but are not outstanding as they are subject to a right of repurchase);</w:t>
      </w:r>
    </w:p>
    <w:p>
      <w:pPr>
        <w:spacing w:after="0" w:line="210" w:lineRule="exact"/>
        <w:rPr>
          <w:rFonts w:ascii="Arial" w:cs="Arial" w:eastAsia="Arial" w:hAnsi="Arial"/>
          <w:sz w:val="18"/>
          <w:szCs w:val="18"/>
          <w:color w:val="auto"/>
        </w:rPr>
      </w:pPr>
    </w:p>
    <w:p>
      <w:pPr>
        <w:ind w:left="154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67,316 shares of common stock, issued as of June 30, 2020 upon the early exercise of certain stock options, but not outstanding as they are subject to a right of repurchase;</w:t>
      </w:r>
    </w:p>
    <w:p>
      <w:pPr>
        <w:spacing w:after="0" w:line="197" w:lineRule="exact"/>
        <w:rPr>
          <w:rFonts w:ascii="Arial" w:cs="Arial" w:eastAsia="Arial" w:hAnsi="Arial"/>
          <w:sz w:val="18"/>
          <w:szCs w:val="18"/>
          <w:color w:val="auto"/>
        </w:rPr>
      </w:pPr>
    </w:p>
    <w:p>
      <w:pPr>
        <w:jc w:val="both"/>
        <w:ind w:left="1540" w:right="220" w:hanging="297"/>
        <w:spacing w:after="0" w:line="263"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1,148,915 shares of common stock reserved for future issuance under our 2016 Stock Plan, as amended, or the 2016 Plan, as of June 30, 2020, which shares will be added to the shares to be reserved under our 2020 Equity Incentive Plan, or the 2020 Plan, upon its effectiveness;</w:t>
      </w:r>
    </w:p>
    <w:p>
      <w:pPr>
        <w:spacing w:after="0" w:line="210" w:lineRule="exact"/>
        <w:rPr>
          <w:rFonts w:ascii="Arial" w:cs="Arial" w:eastAsia="Arial" w:hAnsi="Arial"/>
          <w:sz w:val="18"/>
          <w:szCs w:val="18"/>
          <w:color w:val="auto"/>
        </w:rPr>
      </w:pPr>
    </w:p>
    <w:p>
      <w:pPr>
        <w:ind w:left="1540" w:right="40" w:hanging="297"/>
        <w:spacing w:after="0" w:line="311" w:lineRule="auto"/>
        <w:tabs>
          <w:tab w:leader="none" w:pos="1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9,000,000 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5" w:lineRule="exact"/>
        <w:rPr>
          <w:rFonts w:ascii="Arial" w:cs="Arial" w:eastAsia="Arial" w:hAnsi="Arial"/>
          <w:sz w:val="16"/>
          <w:szCs w:val="16"/>
          <w:color w:val="auto"/>
        </w:rPr>
      </w:pPr>
    </w:p>
    <w:p>
      <w:pPr>
        <w:jc w:val="both"/>
        <w:ind w:left="1540" w:hanging="297"/>
        <w:spacing w:after="0" w:line="259"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2,300,000 shares of common stock reserved for issuance under our 2020 Employee Stock Purchase Plan, or the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13" w:lineRule="exact"/>
        <w:rPr>
          <w:rFonts w:ascii="Arial" w:cs="Arial" w:eastAsia="Arial" w:hAnsi="Arial"/>
          <w:sz w:val="18"/>
          <w:szCs w:val="18"/>
          <w:color w:val="auto"/>
        </w:rPr>
      </w:pPr>
    </w:p>
    <w:p>
      <w:pPr>
        <w:ind w:left="1540" w:right="380" w:hanging="297"/>
        <w:spacing w:after="0" w:line="277" w:lineRule="auto"/>
        <w:tabs>
          <w:tab w:leader="none" w:pos="1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222,460 shares of common stock issued to Elanco in September 2020 pursuant to the All Human Uses Elanco Agreement (as described in “Business—License Agreements—All Human Uses Elanco Agreement”).</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252" w:lineRule="exact"/>
        <w:rPr>
          <w:sz w:val="20"/>
          <w:szCs w:val="20"/>
          <w:color w:val="auto"/>
        </w:rPr>
      </w:pPr>
    </w:p>
    <w:p>
      <w:pPr>
        <w:ind w:left="1540" w:hanging="297"/>
        <w:spacing w:after="0"/>
        <w:tabs>
          <w:tab w:leader="none" w:pos="1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one-for-7.4276 reverse stock split of our common stock and our preferred stock which became effective on October 9, 2020;</w:t>
      </w:r>
    </w:p>
    <w:p>
      <w:pPr>
        <w:spacing w:after="0" w:line="275" w:lineRule="exact"/>
        <w:rPr>
          <w:rFonts w:ascii="Arial" w:cs="Arial" w:eastAsia="Arial" w:hAnsi="Arial"/>
          <w:sz w:val="16"/>
          <w:szCs w:val="16"/>
          <w:color w:val="auto"/>
        </w:rPr>
      </w:pPr>
    </w:p>
    <w:p>
      <w:pPr>
        <w:ind w:left="1540" w:right="20" w:hanging="297"/>
        <w:spacing w:after="0" w:line="263"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of all of our 11,107,018 outstanding shares of our preferred stock, including 2,857,079 shares of Series C preferred stock issued in September 2020, into an aggregate of 11,107,018 shares of common stock immediately prior to and in connection with the completion of this offering;</w:t>
      </w:r>
    </w:p>
    <w:p>
      <w:pPr>
        <w:spacing w:after="0" w:line="210" w:lineRule="exact"/>
        <w:rPr>
          <w:rFonts w:ascii="Arial" w:cs="Arial" w:eastAsia="Arial" w:hAnsi="Arial"/>
          <w:sz w:val="18"/>
          <w:szCs w:val="18"/>
          <w:color w:val="auto"/>
        </w:rPr>
      </w:pPr>
    </w:p>
    <w:p>
      <w:pPr>
        <w:ind w:left="1540" w:right="60" w:hanging="297"/>
        <w:spacing w:after="0" w:line="277" w:lineRule="auto"/>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97" w:lineRule="exact"/>
        <w:rPr>
          <w:rFonts w:ascii="Arial" w:cs="Arial" w:eastAsia="Arial" w:hAnsi="Arial"/>
          <w:sz w:val="18"/>
          <w:szCs w:val="18"/>
          <w:color w:val="auto"/>
        </w:rPr>
      </w:pPr>
    </w:p>
    <w:p>
      <w:pPr>
        <w:ind w:left="1540" w:hanging="297"/>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and</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after June 30,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hanging="111"/>
        <w:spacing w:after="0"/>
        <w:tabs>
          <w:tab w:leader="none" w:pos="55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ind w:left="300" w:right="220" w:firstLine="852"/>
        <w:spacing w:after="0" w:line="287" w:lineRule="auto"/>
        <w:rPr>
          <w:sz w:val="20"/>
          <w:szCs w:val="20"/>
          <w:color w:val="auto"/>
        </w:rPr>
      </w:pPr>
      <w:r>
        <w:rPr>
          <w:rFonts w:ascii="Arial" w:cs="Arial" w:eastAsia="Arial" w:hAnsi="Arial"/>
          <w:sz w:val="16"/>
          <w:szCs w:val="16"/>
          <w:color w:val="auto"/>
        </w:rPr>
        <w:t>The summary statements of operations data for the years ended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results that may be expected in the future, and the results for the six months ended June 30, 2020, are not necessarily indicative of results that may be expected for the full year or any other period. You should read these summary financial data together with our financial statements and related notes appearing elsewhere in this prospectus and the information in the sections titled “Selected Financial Data” and “Management’s Discussion and Analysis of Financial Condition and Results of Operations.” The selected financial data in this section are not intended to replace our financial statements and the related notes and are qualified in their entirety by the financial statements and related notes included elsewhere in this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7"/>
          </w:tcPr>
          <w:p>
            <w:pPr>
              <w:ind w:left="2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3"/>
              <w:spacing w:after="0" w:line="119" w:lineRule="exact"/>
              <w:rPr>
                <w:sz w:val="20"/>
                <w:szCs w:val="20"/>
                <w:color w:val="auto"/>
              </w:rPr>
            </w:pPr>
            <w:r>
              <w:rPr>
                <w:rFonts w:ascii="Arial" w:cs="Arial" w:eastAsia="Arial" w:hAnsi="Arial"/>
                <w:sz w:val="13"/>
                <w:szCs w:val="13"/>
                <w:b w:val="1"/>
                <w:bCs w:val="1"/>
                <w:color w:val="auto"/>
                <w:w w:val="98"/>
              </w:rPr>
              <w:t>(unaudited)</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6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93"/>
              </w:rPr>
              <w:t>(in thousands, except share and per share data)</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4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80"/>
              <w:spacing w:after="0"/>
              <w:rPr>
                <w:sz w:val="20"/>
                <w:szCs w:val="20"/>
                <w:color w:val="auto"/>
              </w:rPr>
            </w:pPr>
            <w:r>
              <w:rPr>
                <w:rFonts w:ascii="Arial" w:cs="Arial" w:eastAsia="Arial" w:hAnsi="Arial"/>
                <w:sz w:val="18"/>
                <w:szCs w:val="18"/>
                <w:color w:val="auto"/>
                <w:w w:val="90"/>
              </w:rPr>
              <w:t>Loss from operations before other income (expense) and income taxes</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related party convertible notes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8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80"/>
              <w:spacing w:after="0"/>
              <w:rPr>
                <w:sz w:val="20"/>
                <w:szCs w:val="20"/>
                <w:color w:val="auto"/>
              </w:rPr>
            </w:pPr>
            <w:r>
              <w:rPr>
                <w:rFonts w:ascii="Arial" w:cs="Arial" w:eastAsia="Arial" w:hAnsi="Arial"/>
                <w:sz w:val="18"/>
                <w:szCs w:val="18"/>
                <w:color w:val="auto"/>
                <w:w w:val="96"/>
              </w:rPr>
              <w:t>Net loss per share attributable to common stockholders, basic and</w:t>
            </w: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(0.75)</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Weighted-average shares outstanding used in computing net loss per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 xml:space="preserve">share attributable to common stockholders, basic and diluted </w:t>
            </w:r>
            <w:r>
              <w:rPr>
                <w:rFonts w:ascii="Arial" w:cs="Arial" w:eastAsia="Arial" w:hAnsi="Arial"/>
                <w:sz w:val="15"/>
                <w:szCs w:val="15"/>
                <w:color w:val="auto"/>
                <w:w w:val="96"/>
              </w:rPr>
              <w:t>(1)</w:t>
            </w:r>
          </w:p>
        </w:tc>
        <w:tc>
          <w:tcPr>
            <w:tcW w:w="4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1,759,495</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2,362,768</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2,238,793</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2,650,843</w:t>
            </w:r>
          </w:p>
        </w:tc>
        <w:tc>
          <w:tcPr>
            <w:tcW w:w="1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80"/>
              <w:spacing w:after="0"/>
              <w:rPr>
                <w:sz w:val="20"/>
                <w:szCs w:val="20"/>
                <w:color w:val="auto"/>
              </w:rPr>
            </w:pPr>
            <w:r>
              <w:rPr>
                <w:rFonts w:ascii="Arial" w:cs="Arial" w:eastAsia="Arial" w:hAnsi="Arial"/>
                <w:sz w:val="18"/>
                <w:szCs w:val="18"/>
                <w:color w:val="auto"/>
                <w:w w:val="96"/>
              </w:rPr>
              <w:t>Pro forma net loss per share attributable to common stockholders,</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100" w:type="dxa"/>
            <w:vAlign w:val="bottom"/>
          </w:tcPr>
          <w:p>
            <w:pPr>
              <w:ind w:left="180"/>
              <w:spacing w:after="0"/>
              <w:rPr>
                <w:sz w:val="20"/>
                <w:szCs w:val="20"/>
                <w:color w:val="auto"/>
              </w:rPr>
            </w:pPr>
            <w:r>
              <w:rPr>
                <w:rFonts w:ascii="Arial" w:cs="Arial" w:eastAsia="Arial" w:hAnsi="Arial"/>
                <w:sz w:val="18"/>
                <w:szCs w:val="18"/>
                <w:color w:val="auto"/>
              </w:rPr>
              <w:t xml:space="preserve">basic and diluted (unaudited) </w:t>
            </w:r>
            <w:r>
              <w:rPr>
                <w:rFonts w:ascii="Arial" w:cs="Arial" w:eastAsia="Arial" w:hAnsi="Arial"/>
                <w:sz w:val="15"/>
                <w:szCs w:val="15"/>
                <w:color w:val="auto"/>
              </w:rPr>
              <w:t>(1)</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1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9"/>
              </w:rPr>
              <w:t>Weighted-average shares outstanding used in computing pro forma net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loss per share attributable to common stockholders, basic and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diluted (unaudited) </w:t>
            </w:r>
            <w:r>
              <w:rPr>
                <w:rFonts w:ascii="Arial" w:cs="Arial" w:eastAsia="Arial" w:hAnsi="Arial"/>
                <w:sz w:val="15"/>
                <w:szCs w:val="15"/>
                <w:color w:val="auto"/>
              </w:rPr>
              <w:t>(1)</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4,285,262</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10,900,782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1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11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right="180" w:hanging="422"/>
        <w:spacing w:after="0" w:line="335" w:lineRule="auto"/>
        <w:tabs>
          <w:tab w:leader="none" w:pos="7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For the calculation of our basic and diluted net loss per share attributable to common stockholders, unaudited basic and diluted pro forma net loss per share and weighted-average number of shares used in the computation of the per share amounts, see Note 6 and Note 7 to our financial statements included elsewhere in this prospectus.</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presents our balance sheet data as of June 30, 2020:</w:t>
      </w:r>
    </w:p>
    <w:p>
      <w:pPr>
        <w:spacing w:after="0" w:line="252" w:lineRule="exact"/>
        <w:rPr>
          <w:sz w:val="20"/>
          <w:szCs w:val="20"/>
          <w:color w:val="auto"/>
        </w:rPr>
      </w:pPr>
    </w:p>
    <w:p>
      <w:pPr>
        <w:ind w:left="1540" w:hanging="297"/>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540" w:right="60" w:hanging="297"/>
        <w:spacing w:after="0" w:line="259"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 pro forma basis to give effect to: (i) the issuance of 2,857,079 shares of Series C preferred stock for net cash proceeds of $39.8 million in September 2020; and (ii) the conversion of all of our outstanding shares of convertible preferred stock into an aggregate of 11,107,018 shares of our common stock, which includes our Series C preferred stock issued in September 2020, immediately prior to the completion of this offering; and</w:t>
      </w:r>
    </w:p>
    <w:p>
      <w:pPr>
        <w:spacing w:after="0" w:line="213"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 pro forma as adjusted basis to give effect to: (i) the pro forma adjustments set forth above and (ii) our sale of 5,500,000 shares of our common stock in this offering at the initial public offering price of $16.00 per share, after deducting underwriting discounts and commissions and estimated offering expenses payable by us.</w:t>
      </w:r>
    </w:p>
    <w:p>
      <w:pPr>
        <w:spacing w:after="0" w:line="202"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2"/>
              </w:rPr>
              <w:t>As of June 30, 2020 (unaudited)</w:t>
            </w:r>
          </w:p>
        </w:tc>
        <w:tc>
          <w:tcPr>
            <w:tcW w:w="0" w:type="dxa"/>
            <w:vAlign w:val="bottom"/>
          </w:tcPr>
          <w:p>
            <w:pPr>
              <w:spacing w:after="0"/>
              <w:rPr>
                <w:sz w:val="1"/>
                <w:szCs w:val="1"/>
                <w:color w:val="auto"/>
              </w:rPr>
            </w:pPr>
          </w:p>
        </w:tc>
      </w:tr>
      <w:tr>
        <w:trPr>
          <w:trHeight w:val="119"/>
        </w:trPr>
        <w:tc>
          <w:tcPr>
            <w:tcW w:w="40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Actual</w:t>
            </w:r>
          </w:p>
        </w:tc>
        <w:tc>
          <w:tcPr>
            <w:tcW w:w="1600" w:type="dxa"/>
            <w:vAlign w:val="bottom"/>
            <w:tcBorders>
              <w:top w:val="single" w:sz="8" w:color="auto"/>
            </w:tcBorders>
            <w:vMerge w:val="restart"/>
          </w:tcPr>
          <w:p>
            <w:pPr>
              <w:ind w:left="560"/>
              <w:spacing w:after="0"/>
              <w:rPr>
                <w:sz w:val="20"/>
                <w:szCs w:val="20"/>
                <w:color w:val="auto"/>
              </w:rPr>
            </w:pPr>
            <w:r>
              <w:rPr>
                <w:rFonts w:ascii="Arial" w:cs="Arial" w:eastAsia="Arial" w:hAnsi="Arial"/>
                <w:sz w:val="14"/>
                <w:szCs w:val="14"/>
                <w:b w:val="1"/>
                <w:bCs w:val="1"/>
                <w:color w:val="auto"/>
              </w:rPr>
              <w:t>Pro Forma</w:t>
            </w: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center"/>
              <w:ind w:left="25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$ 53,135</w:t>
            </w:r>
          </w:p>
        </w:tc>
        <w:tc>
          <w:tcPr>
            <w:tcW w:w="1600" w:type="dxa"/>
            <w:vAlign w:val="bottom"/>
          </w:tcPr>
          <w:p>
            <w:pPr>
              <w:jc w:val="center"/>
              <w:ind w:left="277"/>
              <w:spacing w:after="0"/>
              <w:rPr>
                <w:sz w:val="20"/>
                <w:szCs w:val="20"/>
                <w:color w:val="auto"/>
              </w:rPr>
            </w:pPr>
            <w:r>
              <w:rPr>
                <w:rFonts w:ascii="Arial" w:cs="Arial" w:eastAsia="Arial" w:hAnsi="Arial"/>
                <w:sz w:val="18"/>
                <w:szCs w:val="18"/>
                <w:color w:val="auto"/>
                <w:w w:val="87"/>
              </w:rPr>
              <w:t>92,890</w:t>
            </w:r>
          </w:p>
        </w:tc>
        <w:tc>
          <w:tcPr>
            <w:tcW w:w="1060" w:type="dxa"/>
            <w:vAlign w:val="bottom"/>
          </w:tcPr>
          <w:p>
            <w:pPr>
              <w:jc w:val="right"/>
              <w:spacing w:after="0"/>
              <w:rPr>
                <w:sz w:val="20"/>
                <w:szCs w:val="20"/>
                <w:color w:val="auto"/>
              </w:rPr>
            </w:pPr>
            <w:r>
              <w:rPr>
                <w:rFonts w:ascii="Arial" w:cs="Arial" w:eastAsia="Arial" w:hAnsi="Arial"/>
                <w:sz w:val="18"/>
                <w:szCs w:val="18"/>
                <w:color w:val="auto"/>
              </w:rPr>
              <w:t>172,341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51,631</w:t>
            </w:r>
          </w:p>
        </w:tc>
        <w:tc>
          <w:tcPr>
            <w:tcW w:w="1600" w:type="dxa"/>
            <w:vAlign w:val="bottom"/>
            <w:shd w:val="clear" w:color="auto" w:fill="CCEEFF"/>
          </w:tcPr>
          <w:p>
            <w:pPr>
              <w:jc w:val="center"/>
              <w:ind w:left="277"/>
              <w:spacing w:after="0"/>
              <w:rPr>
                <w:sz w:val="20"/>
                <w:szCs w:val="20"/>
                <w:color w:val="auto"/>
              </w:rPr>
            </w:pPr>
            <w:r>
              <w:rPr>
                <w:rFonts w:ascii="Arial" w:cs="Arial" w:eastAsia="Arial" w:hAnsi="Arial"/>
                <w:sz w:val="18"/>
                <w:szCs w:val="18"/>
                <w:color w:val="auto"/>
                <w:w w:val="87"/>
              </w:rPr>
              <w:t>91,386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56,239</w:t>
            </w:r>
          </w:p>
        </w:tc>
        <w:tc>
          <w:tcPr>
            <w:tcW w:w="1600" w:type="dxa"/>
            <w:vAlign w:val="bottom"/>
          </w:tcPr>
          <w:p>
            <w:pPr>
              <w:jc w:val="center"/>
              <w:ind w:left="277"/>
              <w:spacing w:after="0"/>
              <w:rPr>
                <w:sz w:val="20"/>
                <w:szCs w:val="20"/>
                <w:color w:val="auto"/>
              </w:rPr>
            </w:pPr>
            <w:r>
              <w:rPr>
                <w:rFonts w:ascii="Arial" w:cs="Arial" w:eastAsia="Arial" w:hAnsi="Arial"/>
                <w:sz w:val="18"/>
                <w:szCs w:val="18"/>
                <w:color w:val="auto"/>
                <w:w w:val="87"/>
              </w:rPr>
              <w:t>95,994</w:t>
            </w:r>
          </w:p>
        </w:tc>
        <w:tc>
          <w:tcPr>
            <w:tcW w:w="1060" w:type="dxa"/>
            <w:vAlign w:val="bottom"/>
          </w:tcPr>
          <w:p>
            <w:pPr>
              <w:jc w:val="right"/>
              <w:spacing w:after="0"/>
              <w:rPr>
                <w:sz w:val="20"/>
                <w:szCs w:val="20"/>
                <w:color w:val="auto"/>
              </w:rPr>
            </w:pPr>
            <w:r>
              <w:rPr>
                <w:rFonts w:ascii="Arial" w:cs="Arial" w:eastAsia="Arial" w:hAnsi="Arial"/>
                <w:sz w:val="18"/>
                <w:szCs w:val="18"/>
                <w:color w:val="auto"/>
              </w:rPr>
              <w:t>175,445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63,402</w:t>
            </w:r>
          </w:p>
        </w:tc>
        <w:tc>
          <w:tcPr>
            <w:tcW w:w="16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(11,035)</w:t>
            </w:r>
          </w:p>
        </w:tc>
        <w:tc>
          <w:tcPr>
            <w:tcW w:w="1600" w:type="dxa"/>
            <w:vAlign w:val="bottom"/>
          </w:tcPr>
          <w:p>
            <w:pPr>
              <w:jc w:val="center"/>
              <w:ind w:left="277"/>
              <w:spacing w:after="0"/>
              <w:rPr>
                <w:sz w:val="20"/>
                <w:szCs w:val="20"/>
                <w:color w:val="auto"/>
              </w:rPr>
            </w:pPr>
            <w:r>
              <w:rPr>
                <w:rFonts w:ascii="Arial" w:cs="Arial" w:eastAsia="Arial" w:hAnsi="Arial"/>
                <w:sz w:val="18"/>
                <w:szCs w:val="18"/>
                <w:color w:val="auto"/>
                <w:w w:val="87"/>
              </w:rPr>
              <w:t>92,122</w:t>
            </w:r>
          </w:p>
        </w:tc>
        <w:tc>
          <w:tcPr>
            <w:tcW w:w="1060" w:type="dxa"/>
            <w:vAlign w:val="bottom"/>
          </w:tcPr>
          <w:p>
            <w:pPr>
              <w:jc w:val="right"/>
              <w:spacing w:after="0"/>
              <w:rPr>
                <w:sz w:val="20"/>
                <w:szCs w:val="20"/>
                <w:color w:val="auto"/>
              </w:rPr>
            </w:pPr>
            <w:r>
              <w:rPr>
                <w:rFonts w:ascii="Arial" w:cs="Arial" w:eastAsia="Arial" w:hAnsi="Arial"/>
                <w:sz w:val="18"/>
                <w:szCs w:val="18"/>
                <w:color w:val="auto"/>
              </w:rPr>
              <w:t>171,573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20" w:right="20" w:hanging="422"/>
        <w:spacing w:after="0" w:line="253" w:lineRule="auto"/>
        <w:tabs>
          <w:tab w:leader="none" w:pos="7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We define working capital as current assets </w:t>
      </w:r>
      <w:r>
        <w:rPr>
          <w:rFonts w:ascii="Arial" w:cs="Arial" w:eastAsia="Arial" w:hAnsi="Arial"/>
          <w:sz w:val="14"/>
          <w:szCs w:val="14"/>
          <w:i w:val="1"/>
          <w:iCs w:val="1"/>
          <w:color w:val="auto"/>
        </w:rPr>
        <w:t>less</w:t>
      </w:r>
      <w:r>
        <w:rPr>
          <w:rFonts w:ascii="Arial" w:cs="Arial" w:eastAsia="Arial" w:hAnsi="Arial"/>
          <w:sz w:val="14"/>
          <w:szCs w:val="14"/>
          <w:color w:val="auto"/>
        </w:rPr>
        <w:t xml:space="preserve"> current liabilities. See our unaudited financial statements and related notes appearing at the end of this prospectus for further details regarding our current assets and current liabilities.</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23" w:lineRule="exact"/>
        <w:rPr>
          <w:rFonts w:ascii="Arial" w:cs="Arial" w:eastAsia="Arial" w:hAnsi="Arial"/>
          <w:sz w:val="14"/>
          <w:szCs w:val="14"/>
          <w:color w:val="auto"/>
        </w:rPr>
      </w:pPr>
    </w:p>
    <w:p>
      <w:pPr>
        <w:ind w:left="5540" w:hanging="111"/>
        <w:spacing w:after="0"/>
        <w:tabs>
          <w:tab w:leader="none" w:pos="5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680"/>
          </w:cols>
          <w:pgMar w:left="320" w:top="459" w:right="8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i w:val="1"/>
          <w:iCs w:val="1"/>
          <w:color w:val="auto"/>
        </w:rPr>
        <w:t>Investing in our common stock is speculative and involves a high degree of risk. Before investing in our common stock, you should consider carefully the risks described below, together with the other information contained in this prospectus, including our financial statements and the related notes appearing at the end of this prospectus.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70"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and convertible promissory notes. For the years ended December 31, 2019 and 2018, our net losses were $4.7 million and $1.3 million, respectively. For the six months ended June 30, 2019 and 2020, our net losses were $2.6 million and $5.2 million, respectively. As of December 31, 2019 and June 30, 2020, we had an accumulated deficit of $6.0 million and $11.2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6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expect to continue incurring significant expenses and increasing operating losses for the foreseeable future. We expect that our expenses will increase substantially if and as we:</w:t>
      </w:r>
    </w:p>
    <w:p>
      <w:pPr>
        <w:spacing w:after="0" w:line="197" w:lineRule="exact"/>
        <w:rPr>
          <w:sz w:val="20"/>
          <w:szCs w:val="20"/>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for and initiate additional preclinical, clinical and other studies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or add additional manufacturers or suppliers, some of which may require additional permits or other governmental approvals;</w:t>
      </w:r>
    </w:p>
    <w:p>
      <w:pPr>
        <w:spacing w:after="0" w:line="275" w:lineRule="exact"/>
        <w:rPr>
          <w:rFonts w:ascii="Arial" w:cs="Arial" w:eastAsia="Arial" w:hAnsi="Arial"/>
          <w:sz w:val="16"/>
          <w:szCs w:val="16"/>
          <w:color w:val="auto"/>
        </w:rPr>
      </w:pPr>
    </w:p>
    <w:p>
      <w:pPr>
        <w:ind w:left="1420" w:right="90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as a public company, including adding operational, financial and management information systems and personnel;</w:t>
      </w:r>
    </w:p>
    <w:p>
      <w:pPr>
        <w:spacing w:after="0" w:line="197" w:lineRule="exact"/>
        <w:rPr>
          <w:rFonts w:ascii="Arial" w:cs="Arial" w:eastAsia="Arial" w:hAnsi="Arial"/>
          <w:sz w:val="18"/>
          <w:szCs w:val="18"/>
          <w:color w:val="auto"/>
        </w:rPr>
      </w:pPr>
    </w:p>
    <w:p>
      <w:pPr>
        <w:ind w:left="1420" w:right="68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enhance our product development and planned future commercialization efforts, including through hiring additional clinical, regulatory, quality control and scientific personnel;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marketing approvals and reimbursement for our product candidates;</w:t>
      </w:r>
    </w:p>
    <w:p>
      <w:pPr>
        <w:spacing w:after="0" w:line="252"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to identify, assess, acquire or develop additional product candidates;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milestone or other payments in connection with the development or approval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protect, enforce and expand our intellectual property portfolio;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5" w:lineRule="exact"/>
        <w:rPr>
          <w:sz w:val="20"/>
          <w:szCs w:val="20"/>
          <w:color w:val="auto"/>
        </w:rPr>
      </w:pPr>
    </w:p>
    <w:p>
      <w:pPr>
        <w:jc w:val="both"/>
        <w:ind w:left="120" w:right="420" w:firstLine="881"/>
        <w:spacing w:after="0" w:line="263"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211" w:lineRule="exact"/>
        <w:rPr>
          <w:sz w:val="20"/>
          <w:szCs w:val="20"/>
          <w:color w:val="auto"/>
        </w:rPr>
      </w:pPr>
    </w:p>
    <w:p>
      <w:pPr>
        <w:ind w:left="1420" w:hanging="319"/>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are required by regulatory authorities to perform trials or studies in addition to, or different than, those that we currently expect;</w:t>
      </w:r>
    </w:p>
    <w:p>
      <w:pPr>
        <w:spacing w:after="0" w:line="275" w:lineRule="exact"/>
        <w:rPr>
          <w:rFonts w:ascii="Arial" w:cs="Arial" w:eastAsia="Arial" w:hAnsi="Arial"/>
          <w:sz w:val="16"/>
          <w:szCs w:val="16"/>
          <w:color w:val="auto"/>
        </w:rPr>
      </w:pPr>
    </w:p>
    <w:p>
      <w:pPr>
        <w:ind w:left="1420" w:right="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any delays in establishing appropriate manufacturing arrangements for or completing the development of any of our product candidates;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are any third-party challenges to our intellectual property or we need to defend against any intellectual property-related claim.</w:t>
      </w:r>
    </w:p>
    <w:p>
      <w:pPr>
        <w:spacing w:after="0" w:line="24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18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184"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b w:val="1"/>
          <w:bCs w:val="1"/>
          <w:i w:val="1"/>
          <w:i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6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Since our inception, we have funded our operations through private placements of preferred stock and convertible promissory notes.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upon the completion of this offering, we expect to incur additional costs associated with operating as a public company.</w:t>
      </w:r>
    </w:p>
    <w:p>
      <w:pPr>
        <w:spacing w:after="0" w:line="17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As of June 30, 2020, we had $53.1 million in cash and cash equivalents. We raised an additional $39.8 million in net cash proceeds from the sale of Series C preferred stock in September 2020. Based on our current business plans, we believe that our existing cash and cash equivalents will be sufficient to fund our anticipated level of operations through at least the next 12 months without the proceeds from this offering. With the net proceeds from this offering, we believe that our cash and cash equivalents will be sufficient to fund our operating expenses and capital expenditure requirements into the fourth quarter of 2022. Accordingly, the net proceeds from this offering will be insufficient for us to concurrently fund our product candidates through regulatory approval and commercialization.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earlier than currently anticipated if we choose to pursue additional indications for our product candidates, acquire new product candidates or otherwise expand our business more rapidly than we presently planned.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211" w:lineRule="exact"/>
        <w:rPr>
          <w:sz w:val="20"/>
          <w:szCs w:val="20"/>
          <w:color w:val="auto"/>
        </w:rPr>
      </w:pPr>
    </w:p>
    <w:p>
      <w:pPr>
        <w:ind w:left="1420" w:right="18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rate of progress, costs and results of our drug discovery, preclinical development activities, laboratory testing and clinical trials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scope and costs of manufacturing development and commercial manufacturing activities and our ability to scale them up;</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52" w:lineRule="exact"/>
        <w:rPr>
          <w:rFonts w:ascii="Arial" w:cs="Arial" w:eastAsia="Arial" w:hAnsi="Arial"/>
          <w:sz w:val="18"/>
          <w:szCs w:val="18"/>
          <w:color w:val="auto"/>
        </w:rPr>
      </w:pPr>
    </w:p>
    <w:p>
      <w:pPr>
        <w:ind w:left="1420" w:right="100" w:hanging="319"/>
        <w:spacing w:after="0" w:line="286"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the regulatory environment and enforcement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cost and timing of establishing sales and marketing capabilities, if any of our product candidates receive marketing approval;</w:t>
      </w:r>
    </w:p>
    <w:p>
      <w:pPr>
        <w:spacing w:after="0" w:line="263" w:lineRule="exact"/>
        <w:rPr>
          <w:rFonts w:ascii="Arial" w:cs="Arial" w:eastAsia="Arial" w:hAnsi="Arial"/>
          <w:sz w:val="17"/>
          <w:szCs w:val="17"/>
          <w:color w:val="auto"/>
        </w:rPr>
      </w:pPr>
    </w:p>
    <w:p>
      <w:pPr>
        <w:ind w:left="1420" w:right="5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changes in pharmaceutical pricing and reimbursement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associated with commercializing our product candidates, if they receive marketing approval.</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currently generate no revenues from sales of any products and may never generate revenue or be profitable.</w:t>
      </w:r>
    </w:p>
    <w:p>
      <w:pPr>
        <w:spacing w:after="0" w:line="225"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We have no products approved for commercial sale and do not anticipate generating any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76" w:lineRule="exact"/>
        <w:rPr>
          <w:sz w:val="20"/>
          <w:szCs w:val="20"/>
          <w:color w:val="auto"/>
        </w:rPr>
      </w:pPr>
    </w:p>
    <w:p>
      <w:pPr>
        <w:ind w:left="1420" w:right="680" w:hanging="319"/>
        <w:spacing w:after="0" w:line="342" w:lineRule="auto"/>
        <w:tabs>
          <w:tab w:leader="none" w:pos="1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50" w:lineRule="exact"/>
        <w:rPr>
          <w:rFonts w:ascii="Arial" w:cs="Arial" w:eastAsia="Arial" w:hAnsi="Arial"/>
          <w:sz w:val="16"/>
          <w:szCs w:val="16"/>
          <w:color w:val="auto"/>
        </w:rPr>
      </w:pPr>
    </w:p>
    <w:p>
      <w:pPr>
        <w:ind w:left="1420" w:right="88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both in the United States and internationally, of our product candidates;</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receipt of regulatory approvals from applicable regulatory authorities for TP-03 or any other product candidates for which we successfully complete clinical development;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252" w:lineRule="exact"/>
        <w:rPr>
          <w:rFonts w:ascii="Arial" w:cs="Arial" w:eastAsia="Arial" w:hAnsi="Arial"/>
          <w:sz w:val="18"/>
          <w:szCs w:val="18"/>
          <w:color w:val="auto"/>
        </w:rPr>
      </w:pPr>
    </w:p>
    <w:p>
      <w:pPr>
        <w:jc w:val="both"/>
        <w:ind w:left="1420" w:hanging="319"/>
        <w:spacing w:after="0" w:line="263"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210"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obtaining an IND prior to commencing clinical trials in the United States for a particular indication, such as TP-04 for the potential treatment of rosacea (although for TP-04 we first intend to conduct a Phase 1/2 trial outside the United States and thus do not plan to submit an IND prior to this trial) and TP-05 for potential Lyme prophylaxis and community malaria reduction;</w:t>
      </w:r>
    </w:p>
    <w:p>
      <w:pPr>
        <w:spacing w:after="0" w:line="192"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commercial launch following any regulatory approval, including the development of a commercial infrastructure, whether in-house or with one or more collaborators;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continued acceptable safety and efficacy profile both prior to and following any marketing approval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educating ECPs about Demodex blepharitis and related diagnosis;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commercial acceptance of TP-03 and any of our other product candidates by patients, the medical community and third-party payors;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252"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97"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coverage and adequate reimbursement for customers and patients from government and third-party payors for product candidates that we develop;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120" w:right="160" w:firstLine="881"/>
        <w:spacing w:after="0" w:line="293" w:lineRule="auto"/>
        <w:rPr>
          <w:sz w:val="20"/>
          <w:szCs w:val="20"/>
          <w:color w:val="auto"/>
        </w:rPr>
      </w:pPr>
      <w:r>
        <w:rPr>
          <w:rFonts w:ascii="Arial" w:cs="Arial" w:eastAsia="Arial" w:hAnsi="Arial"/>
          <w:sz w:val="16"/>
          <w:szCs w:val="16"/>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6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7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7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6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may experience disruptions that could severely impact our business, preclinical studies, and clinical trials, including:</w:t>
      </w:r>
    </w:p>
    <w:p>
      <w:pPr>
        <w:spacing w:after="0" w:line="252" w:lineRule="exact"/>
        <w:rPr>
          <w:sz w:val="20"/>
          <w:szCs w:val="20"/>
          <w:color w:val="auto"/>
        </w:rPr>
      </w:pPr>
    </w:p>
    <w:p>
      <w:pPr>
        <w:ind w:left="1420" w:right="2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 including receiving any required investigational new drug applications, or INDs;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disruptions;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in the transport of clinical trial materials;</w:t>
      </w:r>
    </w:p>
    <w:p>
      <w:pPr>
        <w:spacing w:after="0" w:line="252" w:lineRule="exact"/>
        <w:rPr>
          <w:rFonts w:ascii="Arial" w:cs="Arial" w:eastAsia="Arial" w:hAnsi="Arial"/>
          <w:sz w:val="18"/>
          <w:szCs w:val="18"/>
          <w:color w:val="auto"/>
        </w:rPr>
      </w:pPr>
    </w:p>
    <w:p>
      <w:pPr>
        <w:ind w:left="1420" w:right="20" w:hanging="319"/>
        <w:spacing w:after="0" w:line="342" w:lineRule="auto"/>
        <w:tabs>
          <w:tab w:leader="none" w:pos="1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50" w:lineRule="exact"/>
        <w:rPr>
          <w:rFonts w:ascii="Arial" w:cs="Arial" w:eastAsia="Arial" w:hAnsi="Arial"/>
          <w:sz w:val="16"/>
          <w:szCs w:val="16"/>
          <w:color w:val="auto"/>
        </w:rPr>
      </w:pPr>
    </w:p>
    <w:p>
      <w:pPr>
        <w:ind w:left="1420" w:right="1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97" w:lineRule="exact"/>
        <w:rPr>
          <w:rFonts w:ascii="Arial" w:cs="Arial" w:eastAsia="Arial" w:hAnsi="Arial"/>
          <w:sz w:val="18"/>
          <w:szCs w:val="18"/>
          <w:color w:val="auto"/>
        </w:rPr>
      </w:pPr>
    </w:p>
    <w:p>
      <w:pPr>
        <w:ind w:left="1420" w:right="80" w:hanging="319"/>
        <w:spacing w:after="0" w:line="279"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198"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8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97" w:lineRule="exact"/>
        <w:rPr>
          <w:rFonts w:ascii="Arial" w:cs="Arial" w:eastAsia="Arial" w:hAnsi="Arial"/>
          <w:sz w:val="18"/>
          <w:szCs w:val="18"/>
          <w:color w:val="auto"/>
        </w:rPr>
      </w:pPr>
    </w:p>
    <w:p>
      <w:pPr>
        <w:ind w:left="1420" w:right="60" w:hanging="319"/>
        <w:spacing w:after="0" w:line="308" w:lineRule="auto"/>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which may impact review and approval timelines;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regulatory approvals for our product candidates due to the FDA focusing on clinical trials related to therapies and vaccines targeting COVID-19;</w:t>
      </w:r>
    </w:p>
    <w:p>
      <w:pPr>
        <w:spacing w:after="0" w:line="197" w:lineRule="exact"/>
        <w:rPr>
          <w:rFonts w:ascii="Arial" w:cs="Arial" w:eastAsia="Arial" w:hAnsi="Arial"/>
          <w:sz w:val="18"/>
          <w:szCs w:val="18"/>
          <w:color w:val="auto"/>
        </w:rPr>
      </w:pPr>
    </w:p>
    <w:p>
      <w:pPr>
        <w:ind w:left="1420" w:right="520" w:hanging="319"/>
        <w:spacing w:after="0" w:line="308" w:lineRule="auto"/>
        <w:tabs>
          <w:tab w:leader="none" w:pos="1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78"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70"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employees, consultants and advisors and to attract, retain and motivate qualified personnel.</w:t>
      </w:r>
    </w:p>
    <w:p>
      <w:pPr>
        <w:spacing w:after="0" w:line="260"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4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78"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166" w:lineRule="exact"/>
        <w:rPr>
          <w:sz w:val="20"/>
          <w:szCs w:val="20"/>
          <w:color w:val="auto"/>
        </w:rPr>
      </w:pPr>
    </w:p>
    <w:p>
      <w:pPr>
        <w:ind w:left="120" w:right="340" w:firstLine="881"/>
        <w:spacing w:after="0" w:line="257" w:lineRule="auto"/>
        <w:rPr>
          <w:sz w:val="20"/>
          <w:szCs w:val="20"/>
          <w:color w:val="auto"/>
        </w:rPr>
      </w:pPr>
      <w:r>
        <w:rPr>
          <w:rFonts w:ascii="Arial" w:cs="Arial" w:eastAsia="Arial" w:hAnsi="Arial"/>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realize the benefits of any acquisitions, in-license or other collaborations or strategic alliances that we enter into.</w:t>
      </w:r>
    </w:p>
    <w:p>
      <w:pPr>
        <w:spacing w:after="0" w:line="225"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68" w:lineRule="exact"/>
        <w:rPr>
          <w:sz w:val="20"/>
          <w:szCs w:val="20"/>
          <w:color w:val="auto"/>
        </w:rPr>
      </w:pPr>
    </w:p>
    <w:p>
      <w:pPr>
        <w:ind w:left="120" w:right="800"/>
        <w:spacing w:after="0" w:line="342" w:lineRule="auto"/>
        <w:rPr>
          <w:sz w:val="20"/>
          <w:szCs w:val="20"/>
          <w:color w:val="auto"/>
        </w:rPr>
      </w:pPr>
      <w:r>
        <w:rPr>
          <w:rFonts w:ascii="Arial" w:cs="Arial" w:eastAsia="Arial" w:hAnsi="Arial"/>
          <w:sz w:val="16"/>
          <w:szCs w:val="16"/>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24"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As of June 30, 2020, we had 12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214"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recruit, integrate, maintain and motivate additional qualified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manage our development efforts effectively, including the initiation and conduct of clinical trials for our product candidates;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reporting systems and procedures.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9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70"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pursuant to the terms of the license agreement with Elanco granting us a worldwide, sublicensable license for the development and marketing of lotilaner for all applications in humans outside the treatment or cure of any eye or skin condition in humans, or the All Human Uses Elanco Agreement, if is not terminated, or if we have not provided notice to terminate the All Human Uses Elanco Agreement, within 18 months of its effective date, we will be required to issue Elanco additional shares of our common stock equating to $3.0 million of aggregate value, based on the per share value of the price in this offering.</w:t>
      </w:r>
    </w:p>
    <w:p>
      <w:pPr>
        <w:spacing w:after="0" w:line="185" w:lineRule="exact"/>
        <w:rPr>
          <w:sz w:val="20"/>
          <w:szCs w:val="20"/>
          <w:color w:val="auto"/>
        </w:rPr>
      </w:pPr>
    </w:p>
    <w:p>
      <w:pPr>
        <w:ind w:left="120" w:right="720" w:firstLine="881"/>
        <w:spacing w:after="0" w:line="263" w:lineRule="auto"/>
        <w:rPr>
          <w:sz w:val="20"/>
          <w:szCs w:val="20"/>
          <w:color w:val="auto"/>
        </w:rPr>
      </w:pPr>
      <w:r>
        <w:rPr>
          <w:rFonts w:ascii="Arial" w:cs="Arial" w:eastAsia="Arial" w:hAnsi="Arial"/>
          <w:sz w:val="18"/>
          <w:szCs w:val="18"/>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We have incurred substantial losses during our history which we expect to continue, do not expect to become profitable in the near future, and we may never achieve profitability. 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income tax reform and the implementation of such reforms could adversely affect us.</w:t>
      </w:r>
    </w:p>
    <w:p>
      <w:pPr>
        <w:spacing w:after="0" w:line="225"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On December 22, 2017, the United States enacted the “Tax Cuts and Jobs Act,” or the TCJA, that significantly reformed the Code. The TCJA, among other things, includes contained significant changes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8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7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22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7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7" w:lineRule="auto"/>
        <w:rPr>
          <w:sz w:val="20"/>
          <w:szCs w:val="20"/>
          <w:color w:val="auto"/>
        </w:rPr>
      </w:pPr>
      <w:r>
        <w:rPr>
          <w:rFonts w:ascii="Arial" w:cs="Arial" w:eastAsia="Arial" w:hAnsi="Arial"/>
          <w:sz w:val="17"/>
          <w:szCs w:val="17"/>
          <w:color w:val="auto"/>
        </w:rPr>
        <w:t>We have not yet completed any Phase 2b/3 or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2b/3 trial, Saturn-1, or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19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82"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has recommended that for TP-03 we conduct carcinogenicity testing as well as embryofetal development studies in a second species. Any further recommendations by the FDA could cause delay of any regulatory approval by the FDA and cause our expenses to increase. We may experience numerous unforeseen events during, or as a result of, clinical trials that could delay or prevent our ability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receive marketing approval or commercialize TP-03, our other product candidates, or any other product candidates that we may develop, including:</w:t>
      </w:r>
    </w:p>
    <w:p>
      <w:pPr>
        <w:spacing w:after="0" w:line="275" w:lineRule="exact"/>
        <w:rPr>
          <w:sz w:val="20"/>
          <w:szCs w:val="20"/>
          <w:color w:val="auto"/>
        </w:rPr>
      </w:pPr>
    </w:p>
    <w:p>
      <w:pPr>
        <w:ind w:left="1420" w:right="40" w:hanging="319"/>
        <w:spacing w:after="0" w:line="342" w:lineRule="auto"/>
        <w:tabs>
          <w:tab w:leader="none" w:pos="1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50" w:lineRule="exact"/>
        <w:rPr>
          <w:rFonts w:ascii="Arial" w:cs="Arial" w:eastAsia="Arial" w:hAnsi="Arial"/>
          <w:sz w:val="16"/>
          <w:szCs w:val="16"/>
          <w:color w:val="auto"/>
        </w:rPr>
      </w:pPr>
    </w:p>
    <w:p>
      <w:pPr>
        <w:ind w:left="1420" w:right="70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97" w:lineRule="exact"/>
        <w:rPr>
          <w:rFonts w:ascii="Arial" w:cs="Arial" w:eastAsia="Arial" w:hAnsi="Arial"/>
          <w:sz w:val="18"/>
          <w:szCs w:val="18"/>
          <w:color w:val="auto"/>
        </w:rPr>
      </w:pPr>
    </w:p>
    <w:p>
      <w:pPr>
        <w:ind w:left="1420" w:right="420" w:hanging="319"/>
        <w:spacing w:after="0" w:line="263"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210" w:lineRule="exact"/>
        <w:rPr>
          <w:rFonts w:ascii="Arial" w:cs="Arial" w:eastAsia="Arial" w:hAnsi="Arial"/>
          <w:sz w:val="18"/>
          <w:szCs w:val="18"/>
          <w:color w:val="auto"/>
        </w:rPr>
      </w:pPr>
    </w:p>
    <w:p>
      <w:pPr>
        <w:jc w:val="both"/>
        <w:ind w:left="1420" w:right="20" w:hanging="319"/>
        <w:spacing w:after="0" w:line="286" w:lineRule="auto"/>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w:t>
      </w:r>
    </w:p>
    <w:p>
      <w:pPr>
        <w:spacing w:after="0" w:line="263" w:lineRule="exact"/>
        <w:rPr>
          <w:rFonts w:ascii="Arial" w:cs="Arial" w:eastAsia="Arial" w:hAnsi="Arial"/>
          <w:sz w:val="17"/>
          <w:szCs w:val="17"/>
          <w:color w:val="auto"/>
        </w:rPr>
      </w:pPr>
    </w:p>
    <w:p>
      <w:pPr>
        <w:ind w:left="1420" w:right="30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be delayed;</w:t>
      </w:r>
    </w:p>
    <w:p>
      <w:pPr>
        <w:spacing w:after="0" w:line="197"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determine that the planned design of our clinical trials is flawed or inadequate;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suspend or withdraw their approval of a product or impose restrictions on its distribution;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timely or at all obtain INDs for a product candidate;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modify a preclinical study or clinical trial protocol;</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contractors may fail to comply with regulatory requirements or meet their contractual obligations to us in a timely manner, or at all;</w:t>
      </w:r>
    </w:p>
    <w:p>
      <w:pPr>
        <w:spacing w:after="0" w:line="197" w:lineRule="exact"/>
        <w:rPr>
          <w:rFonts w:ascii="Arial" w:cs="Arial" w:eastAsia="Arial" w:hAnsi="Arial"/>
          <w:sz w:val="18"/>
          <w:szCs w:val="18"/>
          <w:color w:val="auto"/>
        </w:rPr>
      </w:pPr>
    </w:p>
    <w:p>
      <w:pPr>
        <w:ind w:left="1420" w:right="200" w:hanging="319"/>
        <w:spacing w:after="0" w:line="342" w:lineRule="auto"/>
        <w:tabs>
          <w:tab w:leader="none" w:pos="1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56" w:lineRule="exact"/>
        <w:rPr>
          <w:rFonts w:ascii="Arial" w:cs="Arial" w:eastAsia="Arial" w:hAnsi="Arial"/>
          <w:sz w:val="16"/>
          <w:szCs w:val="16"/>
          <w:color w:val="auto"/>
        </w:rPr>
      </w:pPr>
    </w:p>
    <w:p>
      <w:pPr>
        <w:ind w:left="5540" w:hanging="111"/>
        <w:spacing w:after="0"/>
        <w:tabs>
          <w:tab w:leader="none" w:pos="55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63"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delays due to the ongoing COVID-19 pandemic, including with respect to the conduct of ongoing clinical trials, receipt of product candidates or other materials, submission of New Drug Applications, or NDAs, filing of INDs, and starting any clinical trials for other indications or programs; and</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214" w:lineRule="exact"/>
        <w:rPr>
          <w:sz w:val="20"/>
          <w:szCs w:val="20"/>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8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76"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If TP-03 or any other product candidate that we are developing or develop receives marketing approval, it may nonetheless fail to gain sufficient market acceptance by ECPs or other healthcare providers, patients,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185" w:lineRule="exact"/>
        <w:rPr>
          <w:sz w:val="20"/>
          <w:szCs w:val="20"/>
          <w:color w:val="auto"/>
        </w:rPr>
      </w:pPr>
    </w:p>
    <w:p>
      <w:pPr>
        <w:jc w:val="both"/>
        <w:ind w:left="120" w:right="40" w:firstLine="881"/>
        <w:spacing w:after="0" w:line="311" w:lineRule="auto"/>
        <w:rPr>
          <w:sz w:val="20"/>
          <w:szCs w:val="20"/>
          <w:color w:val="auto"/>
        </w:rPr>
      </w:pPr>
      <w:r>
        <w:rPr>
          <w:rFonts w:ascii="Arial" w:cs="Arial" w:eastAsia="Arial" w:hAnsi="Arial"/>
          <w:sz w:val="16"/>
          <w:szCs w:val="16"/>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49"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176" w:lineRule="exact"/>
        <w:rPr>
          <w:sz w:val="20"/>
          <w:szCs w:val="20"/>
          <w:color w:val="auto"/>
        </w:rPr>
      </w:pPr>
    </w:p>
    <w:p>
      <w:pPr>
        <w:ind w:left="1420" w:right="4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offer our products for sale at competitive prices, particularly in light of the lower cost of alternative treatments;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ECPs to prescribe these therapies;</w:t>
      </w:r>
    </w:p>
    <w:p>
      <w:pPr>
        <w:spacing w:after="0" w:line="252" w:lineRule="exact"/>
        <w:rPr>
          <w:rFonts w:ascii="Arial" w:cs="Arial" w:eastAsia="Arial" w:hAnsi="Arial"/>
          <w:sz w:val="18"/>
          <w:szCs w:val="18"/>
          <w:color w:val="auto"/>
        </w:rPr>
      </w:pPr>
    </w:p>
    <w:p>
      <w:pPr>
        <w:ind w:left="1420" w:right="620" w:hanging="319"/>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and effectiveness of our marketing and distribution support, which may be adversely impacted by the COVID-19 pandemic;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perception by patients or physicians that the diseases we are targeting, including Demodex blepharitis, are not burdensome;</w:t>
      </w:r>
    </w:p>
    <w:p>
      <w:pPr>
        <w:spacing w:after="0" w:line="169" w:lineRule="exact"/>
        <w:rPr>
          <w:rFonts w:ascii="Arial" w:cs="Arial" w:eastAsia="Arial" w:hAnsi="Arial"/>
          <w:sz w:val="17"/>
          <w:szCs w:val="17"/>
          <w:color w:val="auto"/>
        </w:rPr>
      </w:pPr>
    </w:p>
    <w:p>
      <w:pPr>
        <w:ind w:left="5540" w:hanging="111"/>
        <w:spacing w:after="0"/>
        <w:tabs>
          <w:tab w:leader="none" w:pos="55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for our competitors to limit our access to the market through anti-competitive contracts or other arrangements;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third-party formulary coverage and adequate reimbursement;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170"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Most of our operations to date have been limited to preclinical studies and clinical trials. We have completed Phase 2 clinical trials for TP-03 for the treatment of Demodex blepharitis and have commenced our Phase 2b/3 clinical trial for the same indication, Saturn-1, for TP-03 in September 2020 and expect to initiate our Phase 3 clinical trial, Saturn-2, for TP-03 in 2021 and initiate clinical trials for our other product candidate in the future. As a result, we will need to expand our clinical operations, quality and regulatory capabilities to support these activities.</w:t>
      </w:r>
    </w:p>
    <w:p>
      <w:pPr>
        <w:spacing w:after="0" w:line="171"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 preclinical studies and augment with additional preclinical studies to select formulation in order to advance to Phase 1/2. We have not conducted any preclinical studies in rosacea with TP-04 to date. 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rosacea, Lyme disease and malaria based on these preclinical studies. In relation to malaria, we may conduct our Phase 1/2 trial outside the United States.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additional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182"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160"/>
        <w:spacing w:after="0" w:line="277" w:lineRule="auto"/>
        <w:rPr>
          <w:sz w:val="20"/>
          <w:szCs w:val="20"/>
          <w:color w:val="auto"/>
        </w:rPr>
      </w:pPr>
      <w:r>
        <w:rPr>
          <w:rFonts w:ascii="Arial" w:cs="Arial" w:eastAsia="Arial" w:hAnsi="Arial"/>
          <w:sz w:val="18"/>
          <w:szCs w:val="18"/>
          <w:color w:val="auto"/>
        </w:rPr>
        <w:t>the FDA or other comparable foreign regulatory authorities, or that, if approval is obtained, such product candidates can be successfully commercialized.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clinical trials to date have been small, and we may not be able to replicate our results from completed trials in Phase 3 trials.</w:t>
      </w:r>
    </w:p>
    <w:p>
      <w:pPr>
        <w:spacing w:after="0" w:line="237" w:lineRule="exact"/>
        <w:rPr>
          <w:sz w:val="20"/>
          <w:szCs w:val="20"/>
          <w:color w:val="auto"/>
        </w:rPr>
      </w:pPr>
    </w:p>
    <w:p>
      <w:pPr>
        <w:ind w:left="120" w:right="140" w:firstLine="881"/>
        <w:spacing w:after="0" w:line="289" w:lineRule="auto"/>
        <w:rPr>
          <w:sz w:val="20"/>
          <w:szCs w:val="20"/>
          <w:color w:val="auto"/>
        </w:rPr>
      </w:pPr>
      <w:r>
        <w:rPr>
          <w:rFonts w:ascii="Arial" w:cs="Arial" w:eastAsia="Arial" w:hAnsi="Arial"/>
          <w:sz w:val="16"/>
          <w:szCs w:val="16"/>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2b/3 and Phase 3 clinical trials, Saturn-1 and Saturn-2, will be conducted with larger patient populations to evaluate TP-03 for the treatment of Demodex blepharitis, in which we expect to enroll at least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16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214"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size of the patient population required for analysis of the trial’s primary endpoints;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to, or lack of adequate compensation for, prospective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difficulties of enrolling patients or patients continuing to participate in follow-up visits due to the ongoing COVID-19 pandemic; and</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25"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In addition, our clinical trials may compete with other clinical trials for product candidates that are in the same therapeutic areas as our product candidates, and this competition would reduce the number and types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57"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70" w:lineRule="exact"/>
        <w:rPr>
          <w:sz w:val="20"/>
          <w:szCs w:val="20"/>
          <w:color w:val="auto"/>
        </w:rPr>
      </w:pPr>
    </w:p>
    <w:p>
      <w:pPr>
        <w:jc w:val="both"/>
        <w:ind w:left="120" w:right="400"/>
        <w:spacing w:after="0" w:line="301" w:lineRule="auto"/>
        <w:rPr>
          <w:sz w:val="20"/>
          <w:szCs w:val="20"/>
          <w:color w:val="auto"/>
        </w:rPr>
      </w:pPr>
      <w:r>
        <w:rPr>
          <w:rFonts w:ascii="Arial" w:cs="Arial" w:eastAsia="Arial" w:hAnsi="Arial"/>
          <w:sz w:val="16"/>
          <w:szCs w:val="16"/>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5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8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6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 additional unexpected adverse events or an increase in adverse event rates may occur. If additional clinical experience indicates that TP-03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77"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51" w:lineRule="exact"/>
        <w:rPr>
          <w:sz w:val="20"/>
          <w:szCs w:val="20"/>
          <w:color w:val="auto"/>
        </w:rPr>
      </w:pPr>
    </w:p>
    <w:p>
      <w:pPr>
        <w:ind w:left="1420" w:right="440" w:hanging="319"/>
        <w:spacing w:after="0" w:line="263" w:lineRule="auto"/>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may be seized by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may be a recall of the product;</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or conduct additional clinical trials or post-approval studies;</w:t>
      </w:r>
    </w:p>
    <w:p>
      <w:pPr>
        <w:spacing w:after="0" w:line="263" w:lineRule="exact"/>
        <w:rPr>
          <w:rFonts w:ascii="Arial" w:cs="Arial" w:eastAsia="Arial" w:hAnsi="Arial"/>
          <w:sz w:val="17"/>
          <w:szCs w:val="17"/>
          <w:color w:val="auto"/>
        </w:rPr>
      </w:pPr>
    </w:p>
    <w:p>
      <w:pPr>
        <w:ind w:left="1420" w:right="260" w:hanging="319"/>
        <w:spacing w:after="0" w:line="263"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create and implement a Risk Evaluation and Mitigation Strategy, or REMS, plan, which could include a medication guide outlining the risks of such side effects for distribution to patients, a communication plan for healthcare providers, including ECPs, and/or other elements to assure safe use;</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reputation may suffer and there may be resulting harm to physician or patient acceptance of our product.</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or CMC, and our proposed clinical trial protocol, as part of an IND. The initiation of clinical trials in the European Union, or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205" w:lineRule="exact"/>
        <w:rPr>
          <w:sz w:val="20"/>
          <w:szCs w:val="20"/>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placing the clinical trial on hold;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failing to enroll or remain in our trial at the rate we expect;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choosing an alternative treatment or other product candidates, or participating in competing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subjects experiencing severe or unexpected drug-related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to demonstrate efficacy of the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interruptions or delays in the supply of our product candidates for our clinical trials;</w:t>
      </w:r>
    </w:p>
    <w:p>
      <w:pPr>
        <w:spacing w:after="0" w:line="252" w:lineRule="exact"/>
        <w:rPr>
          <w:rFonts w:ascii="Arial" w:cs="Arial" w:eastAsia="Arial" w:hAnsi="Arial"/>
          <w:sz w:val="18"/>
          <w:szCs w:val="18"/>
          <w:color w:val="auto"/>
        </w:rPr>
      </w:pPr>
    </w:p>
    <w:p>
      <w:pPr>
        <w:ind w:left="1420" w:right="220" w:hanging="319"/>
        <w:spacing w:after="0" w:line="259"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facility manufacturing any of our product candidates or any of their components being ordered by the FDA or comparable foreign regulatory authorities to temporarily or permanently shut down due to violations of good manufacturing practice, or cGMP, regulations or other applicable requirements, or infections or cross-contaminations of product candidates in the manufacturing process;</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changes to our manufacturing process that may be necessary or desired;</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vendors and clinical trial sites;</w:t>
      </w:r>
    </w:p>
    <w:p>
      <w:pPr>
        <w:spacing w:after="0" w:line="252" w:lineRule="exact"/>
        <w:rPr>
          <w:rFonts w:ascii="Arial" w:cs="Arial" w:eastAsia="Arial" w:hAnsi="Arial"/>
          <w:sz w:val="18"/>
          <w:szCs w:val="18"/>
          <w:color w:val="auto"/>
        </w:rPr>
      </w:pPr>
    </w:p>
    <w:p>
      <w:pPr>
        <w:ind w:left="1420" w:right="400" w:hanging="319"/>
        <w:spacing w:after="0" w:line="286" w:lineRule="auto"/>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practices, or GCP, or regulatory requirements or other third parties not performing data collection or analysis in a timely or accurate manner;</w:t>
      </w:r>
    </w:p>
    <w:p>
      <w:pPr>
        <w:spacing w:after="0" w:line="192" w:lineRule="exact"/>
        <w:rPr>
          <w:rFonts w:ascii="Arial" w:cs="Arial" w:eastAsia="Arial" w:hAnsi="Arial"/>
          <w:sz w:val="17"/>
          <w:szCs w:val="17"/>
          <w:color w:val="auto"/>
        </w:rPr>
      </w:pPr>
    </w:p>
    <w:p>
      <w:pPr>
        <w:jc w:val="both"/>
        <w:ind w:left="1420" w:right="100" w:hanging="319"/>
        <w:spacing w:after="0" w:line="311"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75" w:lineRule="exact"/>
        <w:rPr>
          <w:rFonts w:ascii="Arial" w:cs="Arial" w:eastAsia="Arial" w:hAnsi="Arial"/>
          <w:sz w:val="16"/>
          <w:szCs w:val="16"/>
          <w:color w:val="auto"/>
        </w:rPr>
      </w:pPr>
    </w:p>
    <w:p>
      <w:pPr>
        <w:ind w:left="1420" w:right="120" w:hanging="319"/>
        <w:spacing w:after="0" w:line="308" w:lineRule="auto"/>
        <w:tabs>
          <w:tab w:leader="none" w:pos="14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one or more Institutional Review Boards, or IRBs, other ethics committees refusing to approve, suspending or terminating the trial at an investigational site, precluding enrollment of additional subjects, or withdrawing its approval of the trial; or</w:t>
      </w:r>
    </w:p>
    <w:p>
      <w:pPr>
        <w:spacing w:after="0" w:line="17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70"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as well as embryofetal development studies in a second species, any result of which, or any additional requests by the FDA, could cause delays in regulatory approval by the FDA. 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95"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64"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2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187" w:lineRule="exact"/>
        <w:rPr>
          <w:sz w:val="20"/>
          <w:szCs w:val="20"/>
          <w:color w:val="auto"/>
        </w:rPr>
      </w:pPr>
    </w:p>
    <w:p>
      <w:pPr>
        <w:jc w:val="both"/>
        <w:ind w:left="120" w:right="360" w:firstLine="881"/>
        <w:spacing w:after="0" w:line="263" w:lineRule="auto"/>
        <w:rPr>
          <w:sz w:val="20"/>
          <w:szCs w:val="20"/>
          <w:color w:val="auto"/>
        </w:rPr>
      </w:pPr>
      <w:r>
        <w:rPr>
          <w:rFonts w:ascii="Arial" w:cs="Arial" w:eastAsia="Arial" w:hAnsi="Arial"/>
          <w:sz w:val="18"/>
          <w:szCs w:val="18"/>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87"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171"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for blepharitis and Demodex blepharitis may be not be similar to the market for dry eye.</w:t>
      </w:r>
    </w:p>
    <w:p>
      <w:pPr>
        <w:spacing w:after="0" w:line="225"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the commercial dry eye product or at all. Our inability to grow the market in a similar way to the dry eye market may occur due to differences in the underlying diseases, different ECP or patient attitudes towards the diseases, symptoms or treatment, changes over time in attitudes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towards direct to patient marketing, different reimbursement and coverage, differences in company strategy, marketing or operations and differences in key assumptions which we have not taken into account in our analysis. Additionally, there may be differences in symptoms, regulatory approval and market dynamics. Dry eye had numerous over-the-counter options that reinforced the disease and promoted disease management. Further, patient awareness for dry eye may have been higher due to the various over-the-counter options for dry eye, which do not exist to such a degree for Demodex blepharitis.</w:t>
      </w:r>
    </w:p>
    <w:p>
      <w:pPr>
        <w:spacing w:after="0" w:line="18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70"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178"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165" w:lineRule="exact"/>
        <w:rPr>
          <w:sz w:val="20"/>
          <w:szCs w:val="20"/>
          <w:color w:val="auto"/>
        </w:rPr>
      </w:pPr>
    </w:p>
    <w:p>
      <w:pPr>
        <w:ind w:left="120" w:right="400" w:firstLine="881"/>
        <w:spacing w:after="0" w:line="275"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6"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187"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4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57"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204"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variation or termination of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regulatory approval, recall, restriction on the approval or a “black box” warning or contraindication for an approved drug;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subjects;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diversion of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study subjects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or delay of our efforts to commercialize any products that we may develop.</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spacing w:after="0" w:line="192" w:lineRule="exact"/>
        <w:rPr>
          <w:sz w:val="20"/>
          <w:szCs w:val="20"/>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080"/>
          </w:cols>
          <w:pgMar w:left="32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170"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17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Although the FDA may accept data from clinical trials conducted outside the United States, acceptance of this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18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97" w:lineRule="exact"/>
        <w:rPr>
          <w:sz w:val="20"/>
          <w:szCs w:val="20"/>
          <w:color w:val="auto"/>
        </w:rPr>
      </w:pPr>
    </w:p>
    <w:p>
      <w:pPr>
        <w:ind w:left="1420" w:right="38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foreign exchange rate fluctuations;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different cultural attitudes to self-reported adverse events (such as burning, stinging, blurry vision) leading to a different safety profile;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184" w:lineRule="exact"/>
        <w:rPr>
          <w:sz w:val="20"/>
          <w:szCs w:val="20"/>
          <w:color w:val="auto"/>
        </w:rPr>
      </w:pPr>
    </w:p>
    <w:p>
      <w:pPr>
        <w:ind w:left="120" w:right="40" w:firstLine="881"/>
        <w:spacing w:after="0" w:line="287" w:lineRule="auto"/>
        <w:rPr>
          <w:sz w:val="20"/>
          <w:szCs w:val="20"/>
          <w:color w:val="auto"/>
        </w:rPr>
      </w:pPr>
      <w:r>
        <w:rPr>
          <w:rFonts w:ascii="Arial" w:cs="Arial" w:eastAsia="Arial" w:hAnsi="Arial"/>
          <w:sz w:val="16"/>
          <w:szCs w:val="16"/>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Managing our obligations under our in-license agreements and other strategic agreements may divert management time and attention, causing delays or disruptions to our business.</w:t>
      </w:r>
    </w:p>
    <w:p>
      <w:pPr>
        <w:spacing w:after="0" w:line="170"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have entered into two license agreements with Elanco: (i) an agreement granting us a worldwide, sublicensable license for the development and marketing of lotilaner for the treatment or cure of any eye or skin condition in humans, or, as amended, the Eye and Derm Elanco Agreement, and (ii) the All Human Uses Elanco Agreement, and may in the future enter into in-license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66"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Our in-license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70"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In connection with our in-license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6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7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184"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Any product candidate for which we obtain regulatory approval, along with the manufacturing processes, post-approval clinical data, labeling, advertising, and promotional activities for such product, will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92"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92"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2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84"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66"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Our reliance on these third parties for such development activities will reduce our control over these activities but will not relieve us of our regulatory responsibilities. For example, we will remain responsible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79" w:lineRule="exact"/>
        <w:rPr>
          <w:sz w:val="20"/>
          <w:szCs w:val="20"/>
          <w:color w:val="auto"/>
        </w:rPr>
      </w:pPr>
    </w:p>
    <w:p>
      <w:pPr>
        <w:ind w:left="120" w:right="240" w:firstLine="881"/>
        <w:spacing w:after="0" w:line="296" w:lineRule="auto"/>
        <w:rPr>
          <w:sz w:val="20"/>
          <w:szCs w:val="20"/>
          <w:color w:val="auto"/>
        </w:rPr>
      </w:pPr>
      <w:r>
        <w:rPr>
          <w:rFonts w:ascii="Arial" w:cs="Arial" w:eastAsia="Arial" w:hAnsi="Arial"/>
          <w:sz w:val="16"/>
          <w:szCs w:val="16"/>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61"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7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78" w:lineRule="exact"/>
        <w:rPr>
          <w:sz w:val="20"/>
          <w:szCs w:val="20"/>
          <w:color w:val="auto"/>
        </w:rPr>
      </w:pPr>
    </w:p>
    <w:p>
      <w:pPr>
        <w:ind w:left="120" w:right="800"/>
        <w:spacing w:after="0" w:line="259"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87" w:lineRule="exact"/>
        <w:rPr>
          <w:sz w:val="20"/>
          <w:szCs w:val="20"/>
          <w:color w:val="auto"/>
        </w:rPr>
      </w:pPr>
    </w:p>
    <w:p>
      <w:pPr>
        <w:ind w:left="120" w:right="160" w:firstLine="881"/>
        <w:spacing w:after="0" w:line="311" w:lineRule="auto"/>
        <w:rPr>
          <w:sz w:val="20"/>
          <w:szCs w:val="20"/>
          <w:color w:val="auto"/>
        </w:rPr>
      </w:pPr>
      <w:r>
        <w:rPr>
          <w:rFonts w:ascii="Arial" w:cs="Arial" w:eastAsia="Arial" w:hAnsi="Arial"/>
          <w:sz w:val="16"/>
          <w:szCs w:val="16"/>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6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179"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180"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97" w:lineRule="exact"/>
        <w:rPr>
          <w:sz w:val="20"/>
          <w:szCs w:val="20"/>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our product candidates under development;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marketing approvals, for our product candidates;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loss of the cooperation of an existing or future collaborator, including by Elanco under the license agreements with Elanco;</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requirements to cease development or to recall batches of our product candidates; and</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our product candidates, an inability to meet commercial demands for our product or any other future product candidates.</w:t>
      </w:r>
    </w:p>
    <w:p>
      <w:pPr>
        <w:spacing w:after="0" w:line="170" w:lineRule="exact"/>
        <w:rPr>
          <w:sz w:val="20"/>
          <w:szCs w:val="20"/>
          <w:color w:val="auto"/>
        </w:rPr>
      </w:pPr>
    </w:p>
    <w:p>
      <w:pPr>
        <w:ind w:left="120" w:right="460" w:firstLine="881"/>
        <w:spacing w:after="0" w:line="259"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187" w:lineRule="exact"/>
        <w:rPr>
          <w:sz w:val="20"/>
          <w:szCs w:val="20"/>
          <w:color w:val="auto"/>
        </w:rPr>
      </w:pPr>
    </w:p>
    <w:p>
      <w:pPr>
        <w:ind w:left="120" w:right="280" w:firstLine="991"/>
        <w:spacing w:after="0" w:line="293" w:lineRule="auto"/>
        <w:rPr>
          <w:sz w:val="20"/>
          <w:szCs w:val="20"/>
          <w:color w:val="auto"/>
        </w:rPr>
      </w:pPr>
      <w:r>
        <w:rPr>
          <w:rFonts w:ascii="Arial" w:cs="Arial" w:eastAsia="Arial" w:hAnsi="Arial"/>
          <w:sz w:val="16"/>
          <w:szCs w:val="16"/>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16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184"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16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that may inhibit our efforts to commercialize our medicines on our own include:</w:t>
      </w:r>
    </w:p>
    <w:p>
      <w:pPr>
        <w:spacing w:after="0" w:line="252" w:lineRule="exact"/>
        <w:rPr>
          <w:sz w:val="20"/>
          <w:szCs w:val="20"/>
          <w:color w:val="auto"/>
        </w:rPr>
      </w:pPr>
    </w:p>
    <w:p>
      <w:pPr>
        <w:ind w:left="1420" w:right="10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197"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equip sales personnel with effective materials, including medical and sales literature to help them educate ECPs regarding the indications we are targeting and our products, if approved;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ECPs or persuade adequate numbers of ECPs to prescribe any future medicines;</w:t>
      </w:r>
    </w:p>
    <w:p>
      <w:pPr>
        <w:spacing w:after="0" w:line="180" w:lineRule="exact"/>
        <w:rPr>
          <w:rFonts w:ascii="Arial" w:cs="Arial" w:eastAsia="Arial" w:hAnsi="Arial"/>
          <w:sz w:val="16"/>
          <w:szCs w:val="16"/>
          <w:color w:val="auto"/>
        </w:rPr>
      </w:pPr>
    </w:p>
    <w:p>
      <w:pPr>
        <w:ind w:left="5540" w:hanging="111"/>
        <w:spacing w:after="0"/>
        <w:tabs>
          <w:tab w:leader="none" w:pos="5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of reimbursement professionals to negotiate arrangements for formulary access, reimbursement and other acceptance by payors;</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complementary medicines to be offered by sales personnel, which may put us at a competitive disadvantage relative to companies with more extensive product lines;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77"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46"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left="120" w:right="200" w:firstLine="881"/>
        <w:spacing w:after="0" w:line="272" w:lineRule="auto"/>
        <w:rPr>
          <w:sz w:val="20"/>
          <w:szCs w:val="20"/>
          <w:color w:val="auto"/>
        </w:rPr>
      </w:pPr>
      <w:r>
        <w:rPr>
          <w:rFonts w:ascii="Arial" w:cs="Arial" w:eastAsia="Arial" w:hAnsi="Arial"/>
          <w:sz w:val="17"/>
          <w:szCs w:val="17"/>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187"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Pursuant to the Eye and Derm Elanco Agreement and the All Human Uses Elanco Agreement, each, an Elanco Agreement,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Eye and Derm Elanco Agreement and the All Human Uses Elanco Agreement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196"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spacing w:after="0" w:line="17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84" w:lineRule="exact"/>
        <w:rPr>
          <w:sz w:val="20"/>
          <w:szCs w:val="20"/>
          <w:color w:val="auto"/>
        </w:rPr>
      </w:pPr>
    </w:p>
    <w:p>
      <w:pPr>
        <w:ind w:left="120" w:right="320" w:firstLine="881"/>
        <w:spacing w:after="0" w:line="311" w:lineRule="auto"/>
        <w:rPr>
          <w:sz w:val="20"/>
          <w:szCs w:val="20"/>
          <w:color w:val="auto"/>
        </w:rPr>
      </w:pPr>
      <w:r>
        <w:rPr>
          <w:rFonts w:ascii="Arial" w:cs="Arial" w:eastAsia="Arial" w:hAnsi="Arial"/>
          <w:sz w:val="16"/>
          <w:szCs w:val="16"/>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184"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6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166"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secure and maintain freedom to operate, others could preclude us from commercializing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9" w:lineRule="exact"/>
        <w:rPr>
          <w:sz w:val="20"/>
          <w:szCs w:val="20"/>
          <w:color w:val="auto"/>
        </w:rPr>
      </w:pPr>
    </w:p>
    <w:p>
      <w:pPr>
        <w:ind w:left="120" w:right="40" w:firstLine="881"/>
        <w:spacing w:after="0" w:line="267" w:lineRule="auto"/>
        <w:rPr>
          <w:sz w:val="20"/>
          <w:szCs w:val="20"/>
          <w:color w:val="auto"/>
        </w:rPr>
      </w:pPr>
      <w:r>
        <w:rPr>
          <w:rFonts w:ascii="Arial" w:cs="Arial" w:eastAsia="Arial" w:hAnsi="Arial"/>
          <w:sz w:val="17"/>
          <w:szCs w:val="17"/>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Periodic maintenance fees, renewal fees, annuities fees and various other governmental fees on patents and/or patent applications are due to be paid to the U.S. Patent and Trademark Office, or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17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70"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7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24"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The development and potential commercialization of our product candidates will require substantial additional capital to fund expenses. We have entered into the Eye and Derm Elanco Agreement and the All Human Uses Elanco Agreement. We plan to utilize these license rights in developing and marketing our TP-03,</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192" w:lineRule="exact"/>
        <w:rPr>
          <w:sz w:val="20"/>
          <w:szCs w:val="20"/>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design or results of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likelihood of approval by the FDA or comparable foreign regulatory authorities;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market for the product candidate;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and complexities of manufacturing and delivering such product candidate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of competing products;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industry and market conditions generally.</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2" w:lineRule="exact"/>
        <w:rPr>
          <w:sz w:val="20"/>
          <w:szCs w:val="20"/>
          <w:color w:val="auto"/>
        </w:rPr>
      </w:pPr>
    </w:p>
    <w:p>
      <w:pPr>
        <w:ind w:left="120" w:right="860" w:firstLine="881"/>
        <w:spacing w:after="0" w:line="277" w:lineRule="auto"/>
        <w:rPr>
          <w:sz w:val="20"/>
          <w:szCs w:val="20"/>
          <w:color w:val="auto"/>
        </w:rPr>
      </w:pPr>
      <w:r>
        <w:rPr>
          <w:rFonts w:ascii="Arial" w:cs="Arial" w:eastAsia="Arial" w:hAnsi="Arial"/>
          <w:sz w:val="18"/>
          <w:szCs w:val="18"/>
          <w:color w:val="auto"/>
        </w:rPr>
        <w:t>Collaborations that we enter into may not be successful, and any success will depend heavily on the efforts and activities of such collaborators. Collaborations pose a number of risks, including the following:</w:t>
      </w:r>
    </w:p>
    <w:p>
      <w:pPr>
        <w:spacing w:after="0" w:line="197" w:lineRule="exact"/>
        <w:rPr>
          <w:sz w:val="20"/>
          <w:szCs w:val="20"/>
          <w:color w:val="auto"/>
        </w:rPr>
      </w:pPr>
    </w:p>
    <w:p>
      <w:pPr>
        <w:ind w:left="1420" w:right="26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52"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40"/>
        <w:spacing w:after="0" w:line="277" w:lineRule="auto"/>
        <w:rPr>
          <w:sz w:val="20"/>
          <w:szCs w:val="20"/>
          <w:color w:val="auto"/>
        </w:rPr>
      </w:pPr>
      <w:r>
        <w:rPr>
          <w:rFonts w:ascii="Arial" w:cs="Arial" w:eastAsia="Arial" w:hAnsi="Arial"/>
          <w:sz w:val="18"/>
          <w:szCs w:val="18"/>
          <w:color w:val="auto"/>
        </w:rPr>
        <w:t>collaborators’ strategic focus or available funding, or external factors, such as an acquisition or business combination, that divert resources or create competing priorities;</w:t>
      </w:r>
    </w:p>
    <w:p>
      <w:pPr>
        <w:spacing w:after="0" w:line="197" w:lineRule="exact"/>
        <w:rPr>
          <w:sz w:val="20"/>
          <w:szCs w:val="20"/>
          <w:color w:val="auto"/>
        </w:rPr>
      </w:pPr>
    </w:p>
    <w:p>
      <w:pPr>
        <w:ind w:left="1420" w:right="200" w:hanging="319"/>
        <w:spacing w:after="0" w:line="259"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213" w:lineRule="exact"/>
        <w:rPr>
          <w:rFonts w:ascii="Arial" w:cs="Arial" w:eastAsia="Arial" w:hAnsi="Arial"/>
          <w:sz w:val="18"/>
          <w:szCs w:val="18"/>
          <w:color w:val="auto"/>
        </w:rPr>
      </w:pPr>
    </w:p>
    <w:p>
      <w:pPr>
        <w:jc w:val="both"/>
        <w:ind w:left="1420" w:right="540" w:hanging="319"/>
        <w:spacing w:after="0" w:line="342" w:lineRule="auto"/>
        <w:tabs>
          <w:tab w:leader="none" w:pos="1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50" w:lineRule="exact"/>
        <w:rPr>
          <w:rFonts w:ascii="Arial" w:cs="Arial" w:eastAsia="Arial" w:hAnsi="Arial"/>
          <w:sz w:val="16"/>
          <w:szCs w:val="16"/>
          <w:color w:val="auto"/>
        </w:rPr>
      </w:pPr>
    </w:p>
    <w:p>
      <w:pPr>
        <w:jc w:val="both"/>
        <w:ind w:left="1420" w:right="60" w:hanging="319"/>
        <w:spacing w:after="0" w:line="263"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10"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10"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10"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197"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97"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97"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3" w:lineRule="exact"/>
        <w:rPr>
          <w:rFonts w:ascii="Arial" w:cs="Arial" w:eastAsia="Arial" w:hAnsi="Arial"/>
          <w:sz w:val="18"/>
          <w:szCs w:val="18"/>
          <w:color w:val="auto"/>
        </w:rPr>
      </w:pPr>
    </w:p>
    <w:p>
      <w:pPr>
        <w:ind w:left="1420" w:right="40" w:hanging="319"/>
        <w:spacing w:after="0" w:line="263" w:lineRule="auto"/>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92" w:lineRule="exact"/>
        <w:rPr>
          <w:sz w:val="20"/>
          <w:szCs w:val="20"/>
          <w:color w:val="auto"/>
        </w:rPr>
      </w:pPr>
    </w:p>
    <w:p>
      <w:pPr>
        <w:ind w:left="120" w:right="660"/>
        <w:spacing w:after="0" w:line="381"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0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68"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252"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252"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pending U.S. and foreign patent applications in our portfolio, however, we cannot predict:</w:t>
      </w:r>
    </w:p>
    <w:p>
      <w:pPr>
        <w:spacing w:after="0" w:line="252"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and when patents may issue based on our patent applications;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scope of protection of any patent issuing based on our patent applications;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claims of any patent issuing based on our patent applications will provide protection against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or not third parties will find ways to invalidate or circumvent our patent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patents and patent applications;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to enforce and/or defend our patent rights which will be costly whether we win or lose; and/or</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70"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92"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46"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7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any product candidates we may develop, our business may be materially harmed.</w:t>
      </w:r>
    </w:p>
    <w:p>
      <w:pPr>
        <w:spacing w:after="0" w:line="22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In the United States,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7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187"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66"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While we have not experienced any such system failure, accident or security breach to date, we cannot assure you that our data protection efforts and our investment in information technology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17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70"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7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248"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7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1"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5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color w:val="auto"/>
        </w:rPr>
        <w:t>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70"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66" w:lineRule="exact"/>
        <w:rPr>
          <w:sz w:val="20"/>
          <w:szCs w:val="20"/>
          <w:color w:val="auto"/>
        </w:rPr>
      </w:pPr>
    </w:p>
    <w:p>
      <w:pPr>
        <w:ind w:left="120" w:right="140" w:firstLine="881"/>
        <w:spacing w:after="0" w:line="289" w:lineRule="auto"/>
        <w:rPr>
          <w:sz w:val="20"/>
          <w:szCs w:val="20"/>
          <w:color w:val="auto"/>
        </w:rPr>
      </w:pPr>
      <w:r>
        <w:rPr>
          <w:rFonts w:ascii="Arial" w:cs="Arial" w:eastAsia="Arial" w:hAnsi="Arial"/>
          <w:sz w:val="16"/>
          <w:szCs w:val="16"/>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70"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7" w:lineRule="exact"/>
        <w:rPr>
          <w:sz w:val="20"/>
          <w:szCs w:val="20"/>
          <w:color w:val="auto"/>
        </w:rPr>
      </w:pPr>
    </w:p>
    <w:p>
      <w:pPr>
        <w:ind w:left="1420" w:right="26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be able to make product candidates that are similar to ours but that are not covered by the claims of the patents that we own or have exclusively licensed;</w:t>
      </w:r>
    </w:p>
    <w:p>
      <w:pPr>
        <w:spacing w:after="0" w:line="197"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or our licensors or future collaborators might not have been the first to file patent applications covering certain of our inventions;</w:t>
      </w:r>
    </w:p>
    <w:p>
      <w:pPr>
        <w:spacing w:after="0" w:line="275" w:lineRule="exact"/>
        <w:rPr>
          <w:rFonts w:ascii="Arial" w:cs="Arial" w:eastAsia="Arial" w:hAnsi="Arial"/>
          <w:sz w:val="16"/>
          <w:szCs w:val="16"/>
          <w:color w:val="auto"/>
        </w:rPr>
      </w:pPr>
    </w:p>
    <w:p>
      <w:pPr>
        <w:ind w:left="1420" w:right="3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060"/>
          </w:cols>
          <w:pgMar w:left="320" w:top="459"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hanging="319"/>
        <w:spacing w:after="0" w:line="308" w:lineRule="auto"/>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97"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97" w:lineRule="exact"/>
        <w:rPr>
          <w:rFonts w:ascii="Arial" w:cs="Arial" w:eastAsia="Arial" w:hAnsi="Arial"/>
          <w:sz w:val="18"/>
          <w:szCs w:val="18"/>
          <w:color w:val="auto"/>
        </w:rPr>
      </w:pPr>
    </w:p>
    <w:p>
      <w:pPr>
        <w:ind w:left="1420" w:right="40" w:hanging="319"/>
        <w:spacing w:after="0" w:line="342" w:lineRule="auto"/>
        <w:tabs>
          <w:tab w:leader="none" w:pos="14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patent terms may be inadequate to protect our competitive position on our product candidates for an adequate amount of time;</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and preclinical programs for an adequate amount of time.</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2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209" w:lineRule="exact"/>
        <w:rPr>
          <w:sz w:val="20"/>
          <w:szCs w:val="20"/>
          <w:color w:val="auto"/>
        </w:rPr>
      </w:pPr>
    </w:p>
    <w:p>
      <w:pPr>
        <w:ind w:left="1420" w:right="36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preclinical study or clinical trial may fail to produce safety and efficacy results satisfactory to the FDA or comparable foreign regulatory authorities;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97" w:lineRule="exact"/>
        <w:rPr>
          <w:rFonts w:ascii="Arial" w:cs="Arial" w:eastAsia="Arial" w:hAnsi="Arial"/>
          <w:sz w:val="18"/>
          <w:szCs w:val="18"/>
          <w:color w:val="auto"/>
        </w:rPr>
      </w:pPr>
    </w:p>
    <w:p>
      <w:pPr>
        <w:ind w:left="1420" w:right="20" w:hanging="319"/>
        <w:spacing w:after="0" w:line="263"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210" w:lineRule="exact"/>
        <w:rPr>
          <w:rFonts w:ascii="Arial" w:cs="Arial" w:eastAsia="Arial" w:hAnsi="Arial"/>
          <w:sz w:val="18"/>
          <w:szCs w:val="18"/>
          <w:color w:val="auto"/>
        </w:rPr>
      </w:pPr>
    </w:p>
    <w:p>
      <w:pPr>
        <w:ind w:left="1420" w:right="20" w:hanging="319"/>
        <w:spacing w:after="0" w:line="286" w:lineRule="auto"/>
        <w:tabs>
          <w:tab w:leader="none" w:pos="1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 addition, information generated during the clinical trial process is susceptible to varying interpretations that could delay, limit, or prevent marketing approval at any stage of the approval process.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70"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95" w:lineRule="exact"/>
        <w:rPr>
          <w:sz w:val="20"/>
          <w:szCs w:val="20"/>
          <w:color w:val="auto"/>
        </w:rPr>
      </w:pPr>
    </w:p>
    <w:p>
      <w:pPr>
        <w:ind w:left="120" w:right="140" w:firstLine="881"/>
        <w:spacing w:after="0" w:line="283" w:lineRule="auto"/>
        <w:rPr>
          <w:sz w:val="20"/>
          <w:szCs w:val="20"/>
          <w:color w:val="auto"/>
        </w:rPr>
      </w:pPr>
      <w:r>
        <w:rPr>
          <w:rFonts w:ascii="Arial" w:cs="Arial" w:eastAsia="Arial" w:hAnsi="Arial"/>
          <w:sz w:val="16"/>
          <w:szCs w:val="16"/>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w:t>
      </w:r>
    </w:p>
    <w:p>
      <w:pPr>
        <w:spacing w:after="0" w:line="6" w:lineRule="exact"/>
        <w:rPr>
          <w:sz w:val="20"/>
          <w:szCs w:val="20"/>
          <w:color w:val="auto"/>
        </w:rPr>
      </w:pPr>
    </w:p>
    <w:p>
      <w:pPr>
        <w:ind w:left="120" w:hanging="4"/>
        <w:spacing w:after="0" w:line="271" w:lineRule="auto"/>
        <w:tabs>
          <w:tab w:leader="none" w:pos="425"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or CMS, to test innovative payment and service delivery models to lower Medicare and Medicaid spending, potentially including prescription drug spending.</w:t>
      </w:r>
    </w:p>
    <w:p>
      <w:pPr>
        <w:spacing w:after="0" w:line="178"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Tax Cuts and Jobs Act of 2017, or the TCJA,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by mid-2021. Additionally, the Further Consolidated Appropriations Act of 2020, Pub. L. No. 116-94 permanently eliminated, effective January 1, 2020, the Affordable Care Act -mandated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50 percent to 70 percent the point-of-sale discount that is owed by pharmaceutical manufacturers who participate in Medicare Part D and to close the coverage gap in most 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91"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Coronavirus Aid, Relief and Economic Security Act, or CARES Act, signed into law in March 2020 and designed to provide financial support and resources to individuals and businesses affected by the COVID-19 pandemic.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68" w:lineRule="exact"/>
        <w:rPr>
          <w:sz w:val="20"/>
          <w:szCs w:val="20"/>
          <w:color w:val="auto"/>
        </w:rPr>
      </w:pPr>
    </w:p>
    <w:p>
      <w:pPr>
        <w:ind w:left="120" w:right="60" w:firstLine="881"/>
        <w:spacing w:after="0" w:line="287" w:lineRule="auto"/>
        <w:rPr>
          <w:sz w:val="20"/>
          <w:szCs w:val="20"/>
          <w:color w:val="auto"/>
        </w:rPr>
      </w:pPr>
      <w:r>
        <w:rPr>
          <w:rFonts w:ascii="Arial" w:cs="Arial" w:eastAsia="Arial" w:hAnsi="Arial"/>
          <w:sz w:val="16"/>
          <w:szCs w:val="16"/>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881"/>
        <w:spacing w:after="0" w:line="257" w:lineRule="auto"/>
        <w:rPr>
          <w:sz w:val="20"/>
          <w:szCs w:val="20"/>
          <w:color w:val="auto"/>
        </w:rPr>
      </w:pPr>
      <w:r>
        <w:rPr>
          <w:rFonts w:ascii="Arial" w:cs="Arial" w:eastAsia="Arial" w:hAnsi="Arial"/>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18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188"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57"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24" w:lineRule="exact"/>
        <w:rPr>
          <w:sz w:val="20"/>
          <w:szCs w:val="20"/>
          <w:color w:val="auto"/>
        </w:rPr>
      </w:pPr>
    </w:p>
    <w:p>
      <w:pPr>
        <w:ind w:left="120" w:right="160" w:firstLine="881"/>
        <w:spacing w:after="0" w:line="285"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w:t>
      </w:r>
    </w:p>
    <w:p>
      <w:pPr>
        <w:spacing w:after="0" w:line="2" w:lineRule="exact"/>
        <w:rPr>
          <w:sz w:val="20"/>
          <w:szCs w:val="20"/>
          <w:color w:val="auto"/>
        </w:rPr>
      </w:pPr>
    </w:p>
    <w:p>
      <w:pPr>
        <w:ind w:left="120" w:right="20" w:hanging="4"/>
        <w:spacing w:after="0" w:line="266" w:lineRule="auto"/>
        <w:tabs>
          <w:tab w:leader="none" w:pos="425" w:val="left"/>
        </w:tabs>
        <w:numPr>
          <w:ilvl w:val="0"/>
          <w:numId w:val="60"/>
        </w:numPr>
        <w:rPr>
          <w:rFonts w:ascii="Arial" w:cs="Arial" w:eastAsia="Arial" w:hAnsi="Arial"/>
          <w:sz w:val="17"/>
          <w:szCs w:val="17"/>
          <w:color w:val="auto"/>
        </w:rPr>
      </w:pPr>
      <w:r>
        <w:rPr>
          <w:rFonts w:ascii="Arial" w:cs="Arial" w:eastAsia="Arial" w:hAnsi="Arial"/>
          <w:sz w:val="17"/>
          <w:szCs w:val="17"/>
          <w:color w:val="auto"/>
        </w:rPr>
        <w:t>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intend to adopt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w:t>
      </w:r>
    </w:p>
    <w:p>
      <w:pPr>
        <w:spacing w:after="0" w:line="123" w:lineRule="exact"/>
        <w:rPr>
          <w:rFonts w:ascii="Arial" w:cs="Arial" w:eastAsia="Arial" w:hAnsi="Arial"/>
          <w:sz w:val="17"/>
          <w:szCs w:val="17"/>
          <w:color w:val="auto"/>
        </w:rPr>
      </w:pPr>
    </w:p>
    <w:p>
      <w:pPr>
        <w:ind w:left="5540" w:hanging="111"/>
        <w:spacing w:after="0"/>
        <w:tabs>
          <w:tab w:leader="none" w:pos="55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7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84"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219" w:lineRule="exact"/>
        <w:rPr>
          <w:sz w:val="20"/>
          <w:szCs w:val="20"/>
          <w:color w:val="auto"/>
        </w:rPr>
      </w:pPr>
    </w:p>
    <w:p>
      <w:pPr>
        <w:ind w:left="1420" w:right="12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any person or entity from, among other things, knowingly and willfully soliciting, receiving, offering or paying any remuneration, directly or</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61"/>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69" w:lineRule="auto"/>
        <w:rPr>
          <w:sz w:val="20"/>
          <w:szCs w:val="20"/>
          <w:color w:val="auto"/>
        </w:rPr>
      </w:pPr>
      <w:r>
        <w:rPr>
          <w:rFonts w:ascii="Arial" w:cs="Arial" w:eastAsia="Arial" w:hAnsi="Arial"/>
          <w:sz w:val="17"/>
          <w:szCs w:val="17"/>
          <w:color w:val="auto"/>
        </w:rPr>
        <w:t>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209" w:lineRule="exact"/>
        <w:rPr>
          <w:sz w:val="20"/>
          <w:szCs w:val="20"/>
          <w:color w:val="auto"/>
        </w:rPr>
      </w:pPr>
    </w:p>
    <w:p>
      <w:pPr>
        <w:ind w:left="1420" w:right="60" w:hanging="319"/>
        <w:spacing w:after="0" w:line="284" w:lineRule="auto"/>
        <w:tabs>
          <w:tab w:leader="none" w:pos="14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federal civil laws, such as the False Claims Act, or the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208" w:lineRule="exact"/>
        <w:rPr>
          <w:rFonts w:ascii="Arial" w:cs="Arial" w:eastAsia="Arial" w:hAnsi="Arial"/>
          <w:sz w:val="16"/>
          <w:szCs w:val="16"/>
          <w:color w:val="auto"/>
        </w:rPr>
      </w:pPr>
    </w:p>
    <w:p>
      <w:pPr>
        <w:ind w:left="1420" w:hanging="319"/>
        <w:spacing w:after="0" w:line="272" w:lineRule="auto"/>
        <w:tabs>
          <w:tab w:leader="none" w:pos="14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w:t>
      </w:r>
    </w:p>
    <w:p>
      <w:pPr>
        <w:spacing w:after="0" w:line="109" w:lineRule="exact"/>
        <w:rPr>
          <w:rFonts w:ascii="Arial" w:cs="Arial" w:eastAsia="Arial" w:hAnsi="Arial"/>
          <w:sz w:val="17"/>
          <w:szCs w:val="17"/>
          <w:color w:val="auto"/>
        </w:rPr>
      </w:pPr>
    </w:p>
    <w:p>
      <w:pPr>
        <w:ind w:left="5540" w:hanging="111"/>
        <w:spacing w:after="0"/>
        <w:tabs>
          <w:tab w:leader="none" w:pos="55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80"/>
        <w:spacing w:after="0" w:line="277" w:lineRule="auto"/>
        <w:rPr>
          <w:sz w:val="20"/>
          <w:szCs w:val="20"/>
          <w:color w:val="auto"/>
        </w:rPr>
      </w:pPr>
      <w:r>
        <w:rPr>
          <w:rFonts w:ascii="Arial" w:cs="Arial" w:eastAsia="Arial" w:hAnsi="Arial"/>
          <w:sz w:val="18"/>
          <w:szCs w:val="18"/>
          <w:color w:val="auto"/>
        </w:rPr>
        <w:t>services. Similar to the federal healthcare Anti-Kickback Statute, a person or entity does not need to have actual knowledge of the statute or specific intent to violate it to have committed a violation;</w:t>
      </w:r>
    </w:p>
    <w:p>
      <w:pPr>
        <w:spacing w:after="0" w:line="197" w:lineRule="exact"/>
        <w:rPr>
          <w:sz w:val="20"/>
          <w:szCs w:val="20"/>
          <w:color w:val="auto"/>
        </w:rPr>
      </w:pPr>
    </w:p>
    <w:p>
      <w:pPr>
        <w:ind w:left="1420" w:right="80" w:hanging="319"/>
        <w:spacing w:after="0" w:line="291"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193"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federal and state consumer protection and unfair competition laws, which broadly regulate marketplace activities and activities that potentially harm consumers;</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Food, Drug and Cosmetic Act, which prohibits, among other things, the adulteration or misbranding of drugs, biologics and medical devices;</w:t>
      </w:r>
    </w:p>
    <w:p>
      <w:pPr>
        <w:spacing w:after="0" w:line="197" w:lineRule="exact"/>
        <w:rPr>
          <w:rFonts w:ascii="Arial" w:cs="Arial" w:eastAsia="Arial" w:hAnsi="Arial"/>
          <w:sz w:val="18"/>
          <w:szCs w:val="18"/>
          <w:color w:val="auto"/>
        </w:rPr>
      </w:pPr>
    </w:p>
    <w:p>
      <w:pPr>
        <w:ind w:left="1420" w:hanging="319"/>
        <w:spacing w:after="0" w:line="25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 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223"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210" w:lineRule="exact"/>
        <w:rPr>
          <w:rFonts w:ascii="Arial" w:cs="Arial" w:eastAsia="Arial" w:hAnsi="Arial"/>
          <w:sz w:val="18"/>
          <w:szCs w:val="18"/>
          <w:color w:val="auto"/>
        </w:rPr>
      </w:pPr>
    </w:p>
    <w:p>
      <w:pPr>
        <w:ind w:left="1420" w:right="40" w:hanging="319"/>
        <w:spacing w:after="0" w:line="272" w:lineRule="auto"/>
        <w:tabs>
          <w:tab w:leader="none" w:pos="14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77"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60"/>
          </w:cols>
          <w:pgMar w:left="320" w:top="459" w:right="5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penalties. We could be adversely affected if regulatory agencies interpret our financial relationships with providers who may influence the ordering of and use our product candidates, if approved, to be in violation of applicable laws.</w:t>
      </w:r>
    </w:p>
    <w:p>
      <w:pPr>
        <w:spacing w:after="0" w:line="170"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192" w:lineRule="exact"/>
        <w:rPr>
          <w:sz w:val="20"/>
          <w:szCs w:val="20"/>
          <w:color w:val="auto"/>
        </w:rPr>
      </w:pPr>
    </w:p>
    <w:p>
      <w:pPr>
        <w:ind w:left="120" w:right="280" w:firstLine="881"/>
        <w:spacing w:after="0" w:line="253" w:lineRule="auto"/>
        <w:rPr>
          <w:sz w:val="20"/>
          <w:szCs w:val="20"/>
          <w:color w:val="auto"/>
        </w:rPr>
      </w:pPr>
      <w:r>
        <w:rPr>
          <w:rFonts w:ascii="Arial" w:cs="Arial" w:eastAsia="Arial" w:hAnsi="Arial"/>
          <w:sz w:val="18"/>
          <w:szCs w:val="18"/>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9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211"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7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49"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82"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184" w:lineRule="exact"/>
        <w:rPr>
          <w:sz w:val="20"/>
          <w:szCs w:val="20"/>
          <w:color w:val="auto"/>
        </w:rPr>
      </w:pPr>
    </w:p>
    <w:p>
      <w:pPr>
        <w:jc w:val="both"/>
        <w:ind w:left="120" w:right="140" w:firstLine="881"/>
        <w:spacing w:after="0" w:line="277" w:lineRule="auto"/>
        <w:rPr>
          <w:sz w:val="20"/>
          <w:szCs w:val="20"/>
          <w:color w:val="auto"/>
        </w:rPr>
      </w:pPr>
      <w:r>
        <w:rPr>
          <w:rFonts w:ascii="Arial" w:cs="Arial" w:eastAsia="Arial" w:hAnsi="Arial"/>
          <w:sz w:val="18"/>
          <w:szCs w:val="18"/>
          <w:color w:val="auto"/>
        </w:rPr>
        <w:t>Coverage and reimbursement by a third-party payor may depend upon a number of factors, including the third-party payor’s determination that use of a product is:</w:t>
      </w:r>
    </w:p>
    <w:p>
      <w:pPr>
        <w:spacing w:after="0" w:line="197" w:lineRule="exact"/>
        <w:rPr>
          <w:sz w:val="20"/>
          <w:szCs w:val="20"/>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66"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92"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84"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6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Furthermore, states are constantly adopting new laws or amending existing laws, requiring attention to frequently changing regulatory requirements. For example, California has enacted the California Consumer Privacy Act, or the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187"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 xml:space="preserve">International data protection laws, including the EU General Data Protection Regulation, or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 efforts to comply with the GDPR or other applicable EU laws and regulations are not successful, it could adversely affect our business.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In particular, on July 16, 2020, the Court of Justice of the European Union, in the case of </w:t>
      </w:r>
      <w:r>
        <w:rPr>
          <w:rFonts w:ascii="Arial" w:cs="Arial" w:eastAsia="Arial" w:hAnsi="Arial"/>
          <w:sz w:val="16"/>
          <w:szCs w:val="16"/>
          <w:i w:val="1"/>
          <w:iCs w:val="1"/>
          <w:color w:val="auto"/>
        </w:rPr>
        <w:t>Data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Protection Commissioner v. Facebook Ireland Limited, Maximillian Schrems </w:t>
      </w:r>
      <w:r>
        <w:rPr>
          <w:rFonts w:ascii="Arial" w:cs="Arial" w:eastAsia="Arial" w:hAnsi="Arial"/>
          <w:sz w:val="16"/>
          <w:szCs w:val="16"/>
          <w:color w:val="auto"/>
        </w:rPr>
        <w:t>(Case C-311/18), or</w:t>
      </w:r>
      <w:r>
        <w:rPr>
          <w:rFonts w:ascii="Arial" w:cs="Arial" w:eastAsia="Arial" w:hAnsi="Arial"/>
          <w:sz w:val="16"/>
          <w:szCs w:val="16"/>
          <w:i w:val="1"/>
          <w:iCs w:val="1"/>
          <w:color w:val="auto"/>
        </w:rPr>
        <w:t xml:space="preserve"> Schrems II</w:t>
      </w:r>
      <w:r>
        <w:rPr>
          <w:rFonts w:ascii="Arial" w:cs="Arial" w:eastAsia="Arial" w:hAnsi="Arial"/>
          <w:sz w:val="16"/>
          <w:szCs w:val="16"/>
          <w:color w:val="auto"/>
        </w:rPr>
        <w:t>, invalidated the EU-U.S. Privacy Shield</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for transfers of personal data from the EU to the United States, and added further uncertainty and complexity to the use of the Standard Contractual Clauses as a compliance mechanism for transfers of personal data outside the EU.</w:t>
      </w:r>
    </w:p>
    <w:p>
      <w:pPr>
        <w:spacing w:after="0" w:line="16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192"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46" w:lineRule="exact"/>
        <w:rPr>
          <w:sz w:val="20"/>
          <w:szCs w:val="20"/>
          <w:color w:val="auto"/>
        </w:rPr>
      </w:pPr>
    </w:p>
    <w:p>
      <w:pPr>
        <w:ind w:left="120" w:right="100"/>
        <w:spacing w:after="0" w:line="340" w:lineRule="auto"/>
        <w:rPr>
          <w:sz w:val="20"/>
          <w:szCs w:val="20"/>
          <w:color w:val="auto"/>
        </w:rPr>
      </w:pPr>
      <w:r>
        <w:rPr>
          <w:rFonts w:ascii="Arial" w:cs="Arial" w:eastAsia="Arial" w:hAnsi="Arial"/>
          <w:sz w:val="15"/>
          <w:szCs w:val="15"/>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3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8"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61"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VA, Federal Supply Schedule, or FSS, pricing program. Under this program, the manufacturer is obligated to make its innovator and single source products available for procurement on an FSS contract and charge a price to four federal agencies, U.S. Department of Veterans Affairs, U.S. Department of Defense, or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92"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 and to this Offering</w:t>
      </w:r>
    </w:p>
    <w:p>
      <w:pPr>
        <w:spacing w:after="0" w:line="22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46"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was determined through negotiations between the underwriters and us and may vary from the market price of our common stock following this offering. If you purchase shares of our common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11" w:lineRule="exact"/>
        <w:rPr>
          <w:sz w:val="20"/>
          <w:szCs w:val="20"/>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results from our ongoing clinical trials and future clinical trials with our current and future product candidates or of our competitors;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delays in the commencement, enrollment and the ultimate completion of clinical trials;</w:t>
      </w:r>
    </w:p>
    <w:p>
      <w:pPr>
        <w:spacing w:after="0" w:line="252" w:lineRule="exact"/>
        <w:rPr>
          <w:rFonts w:ascii="Arial" w:cs="Arial" w:eastAsia="Arial" w:hAnsi="Arial"/>
          <w:sz w:val="18"/>
          <w:szCs w:val="18"/>
          <w:color w:val="auto"/>
        </w:rPr>
      </w:pPr>
    </w:p>
    <w:p>
      <w:pPr>
        <w:ind w:left="1420" w:right="72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level of expenses related to future product candidates or clinical development programs;</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our failure to achieve product development or commercialization goals or regulatory approval milestones in the timeframe we announce;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changes in hospital or ECP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intellectual property or proprietary rights;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COVID-19;</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trading activity by a limited number of stockholders who together beneficially own a majority of our outstanding common stock;</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factors discussed in this prospectus.</w:t>
      </w:r>
    </w:p>
    <w:p>
      <w:pPr>
        <w:spacing w:after="0" w:line="157" w:lineRule="exact"/>
        <w:rPr>
          <w:rFonts w:ascii="Arial" w:cs="Arial" w:eastAsia="Arial" w:hAnsi="Arial"/>
          <w:sz w:val="18"/>
          <w:szCs w:val="18"/>
          <w:color w:val="auto"/>
        </w:rPr>
      </w:pPr>
    </w:p>
    <w:p>
      <w:pPr>
        <w:ind w:left="5540" w:hanging="111"/>
        <w:spacing w:after="0"/>
        <w:tabs>
          <w:tab w:leader="none" w:pos="5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0940"/>
          </w:cols>
          <w:pgMar w:left="320" w:top="459" w:right="6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experience substantial and immediate dilution.</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you purchase shares of our common stock in this offering, you will experience substantial and immediate dilution in the pro forma net tangible book value per share of $7.09 per share as of June 30, 2020, based on the initial public offering price of our common stock of $16.00 per share,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Participation in this offering by our existing stockholders and their affiliated entities may reduce the public float for our common stock.</w:t>
      </w:r>
    </w:p>
    <w:p>
      <w:pPr>
        <w:spacing w:after="0" w:line="23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(including through our reserved share program),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when lock-up periods end. If there are substantial sales of shares of our common stock, the price of our common stock could decline.</w:t>
      </w:r>
    </w:p>
    <w:p>
      <w:pPr>
        <w:spacing w:after="0" w:line="170"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After this offering, we will have 19,259,014 outstanding shares of our common stock, based on the number of shares outstanding as of June 30, 2020, including the conversion of the 2,857,079 shares of Series C preferred stock we issued in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September 2020, but excluding 67,316 shares that are issued but subject to a right of repurchase. All of the shares of common stock sold in this offering will be available for sale in the public market, unless purchased by our affiliates or existing stockholders. Substantially all of our outstanding shares of common stock are currently restricted from resale as a result of “lock-up” agreements (which may be waived by BofA Securities, Inc. and Jefferies LLC with or without notice), as more fully described in “Shares Eligible for Future Sale.” These shares will become available to be sold 181 days after the date of this prospectus. Shares held by directors, executive officers and other affiliates will be subject to volume limitations under Rule 144 under the Securities Act of 1933, as amended, or the Securities Act, and various vesting agreements.</w:t>
      </w:r>
    </w:p>
    <w:p>
      <w:pPr>
        <w:spacing w:after="0" w:line="178"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After our initial public offering, holders of an aggregate of 11,107,018 shares of our common stock, issued upon conversion of our preferred stock, will have rights under our registration rights agreement, subject to specified conditions, to require us to file registration statements covering their shares and to include their shares in registration statements that we may file for ourselves or for other stockholders, subject to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61"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4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70"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Based upon the 13,995,006 shares of common stock outstanding as of September 30, 2020 (after giving effect to the conversion of all our 11,107,018 outstanding shares of preferred stock as of that date, including 2,857,079 shares of Series C preferred stock issued in September 2020, into an aggregate of 11,107,018 shares of our common stock, immediately prior to completion of this offering, but excluding 179,375 shares of common stock, which were issued upon the early exercise of certain stock options, but are not outstanding as they are subject to a right of repurchase), prior to this offering, our executive officers, directors and the holders of more than 5% of our outstanding common stock, in the aggregate, beneficially owned approximately 92.9% of our common stock. Upon the completion of this offering, that same group, in the aggregate, will beneficially own approximately 68.1% of our common stock, assuming no purchases of shares in this offering by any members of this group, including pursuant to our reserved share program,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6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ind w:left="120" w:right="540" w:firstLine="881"/>
        <w:spacing w:after="0" w:line="308" w:lineRule="auto"/>
        <w:rPr>
          <w:sz w:val="20"/>
          <w:szCs w:val="20"/>
          <w:color w:val="auto"/>
        </w:rPr>
      </w:pPr>
      <w:r>
        <w:rPr>
          <w:rFonts w:ascii="Arial" w:cs="Arial" w:eastAsia="Arial" w:hAnsi="Arial"/>
          <w:sz w:val="17"/>
          <w:szCs w:val="17"/>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73" w:lineRule="exact"/>
        <w:rPr>
          <w:sz w:val="20"/>
          <w:szCs w:val="20"/>
          <w:color w:val="auto"/>
        </w:rPr>
      </w:pPr>
    </w:p>
    <w:p>
      <w:pPr>
        <w:jc w:val="both"/>
        <w:ind w:left="1420" w:hanging="319"/>
        <w:spacing w:after="0" w:line="342" w:lineRule="auto"/>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56" w:lineRule="exact"/>
        <w:rPr>
          <w:rFonts w:ascii="Arial" w:cs="Arial" w:eastAsia="Arial" w:hAnsi="Arial"/>
          <w:sz w:val="16"/>
          <w:szCs w:val="16"/>
          <w:color w:val="auto"/>
        </w:rPr>
      </w:pPr>
    </w:p>
    <w:p>
      <w:pPr>
        <w:ind w:left="5540" w:hanging="111"/>
        <w:spacing w:after="0"/>
        <w:tabs>
          <w:tab w:leader="none" w:pos="5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 Oxley Act;</w:t>
      </w:r>
    </w:p>
    <w:p>
      <w:pPr>
        <w:spacing w:after="0" w:line="252"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10" w:lineRule="exact"/>
        <w:rPr>
          <w:rFonts w:ascii="Arial" w:cs="Arial" w:eastAsia="Arial" w:hAnsi="Arial"/>
          <w:sz w:val="18"/>
          <w:szCs w:val="18"/>
          <w:color w:val="auto"/>
        </w:rPr>
      </w:pPr>
    </w:p>
    <w:p>
      <w:pPr>
        <w:ind w:left="1420" w:right="200" w:hanging="319"/>
        <w:spacing w:after="0" w:line="342" w:lineRule="auto"/>
        <w:tabs>
          <w:tab w:leader="none" w:pos="1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150" w:lineRule="exact"/>
        <w:rPr>
          <w:rFonts w:ascii="Arial" w:cs="Arial" w:eastAsia="Arial" w:hAnsi="Arial"/>
          <w:sz w:val="16"/>
          <w:szCs w:val="16"/>
          <w:color w:val="auto"/>
        </w:rPr>
      </w:pPr>
    </w:p>
    <w:p>
      <w:pPr>
        <w:ind w:left="1420" w:right="980" w:hanging="319"/>
        <w:spacing w:after="0" w:line="277" w:lineRule="auto"/>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w:t>
      </w:r>
    </w:p>
    <w:p>
      <w:pPr>
        <w:spacing w:after="0" w:line="170"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84"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7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70"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After the completion of this offering, we will be subject to the reporting requirements of the Securities Exchange Act of 1934, as amended, or the Exchange Act, or the other rules and regulations of the Securities and Exchange Commission, or the SEC, or any securities exchange relating to public companies. Compliance with the various reporting and other requirements applicable to public companies requires considerable time and attention of management and we will incur significant legal, accounting and other expenses that we did not incur as a private company. We cannot assure you that we will satisfy our obligations as a public company on a timely basis.</w:t>
      </w:r>
    </w:p>
    <w:p>
      <w:pPr>
        <w:spacing w:after="0" w:line="17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70"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After the completion of this offering, we will be subject to the reporting requirements of the Exchange Act, the Sarbanes-Oxley Act and the rules and regulations of the Nasdaq Global Select Market, or Nasdaq.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Sarbanes Oxley Act requires, among other things, that we maintain effective disclosure controls and procedures and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w:t>
      </w:r>
    </w:p>
    <w:p>
      <w:pPr>
        <w:spacing w:after="0" w:line="17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8"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cannot specify with any certainty the particular uses of the net proceeds that we will receive from this offering, but we currently expect such uses will include funding our development and regulatory approval of TP-03 for the treatment of Demodex blepharitis, and to develop our product pipeline, and other general corporate purposes, which may include the hiring of additional personnel, capital expenditures and the costs of operating as a public company. We will have broad discretion in the application of the net proceeds, including working capital and other general corporate purposes, and you and other stockholders may disagree with how we spend or invest these proceeds. The failure by our management to apply these funds effectively could adversely affect our business and financial condition. Pending their use, we may invest the net proceeds from our initial public offering in a manner that does not produce income or that loses value. These investments may not yield a favorable return to our investors.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4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70"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211" w:lineRule="exact"/>
        <w:rPr>
          <w:sz w:val="20"/>
          <w:szCs w:val="20"/>
          <w:color w:val="auto"/>
        </w:rPr>
      </w:pPr>
    </w:p>
    <w:p>
      <w:pPr>
        <w:ind w:left="1420" w:right="14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97" w:lineRule="exact"/>
        <w:rPr>
          <w:rFonts w:ascii="Arial" w:cs="Arial" w:eastAsia="Arial" w:hAnsi="Arial"/>
          <w:sz w:val="18"/>
          <w:szCs w:val="18"/>
          <w:color w:val="auto"/>
        </w:rPr>
      </w:pPr>
    </w:p>
    <w:p>
      <w:pPr>
        <w:ind w:left="1420" w:right="52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successfully recruit patients for preclinical studies and clinical trials, and any delays caused by difficulties in such recruitment efforts;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ability to obtain regulatory approval for our product candidates, and the timing and scope of any such approvals we may receive;</w:t>
      </w:r>
    </w:p>
    <w:p>
      <w:pPr>
        <w:spacing w:after="0" w:line="275" w:lineRule="exact"/>
        <w:rPr>
          <w:rFonts w:ascii="Arial" w:cs="Arial" w:eastAsia="Arial" w:hAnsi="Arial"/>
          <w:sz w:val="16"/>
          <w:szCs w:val="16"/>
          <w:color w:val="auto"/>
        </w:rPr>
      </w:pPr>
    </w:p>
    <w:p>
      <w:pPr>
        <w:ind w:left="1420" w:right="14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197"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 and the terms of our agreements with manufacturers;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approval, which may vary significantly;</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drugs that compete with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changing and volatile U.S., European and global economic environments, including impact of COVID-19;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381"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00"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Following the completion of this offering,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188" w:lineRule="exact"/>
        <w:rPr>
          <w:sz w:val="20"/>
          <w:szCs w:val="20"/>
          <w:color w:val="auto"/>
        </w:rPr>
      </w:pPr>
    </w:p>
    <w:p>
      <w:pPr>
        <w:ind w:left="1420" w:right="90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7"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10" w:lineRule="exact"/>
        <w:rPr>
          <w:rFonts w:ascii="Arial" w:cs="Arial" w:eastAsia="Arial" w:hAnsi="Arial"/>
          <w:sz w:val="18"/>
          <w:szCs w:val="18"/>
          <w:color w:val="auto"/>
        </w:rPr>
      </w:pPr>
    </w:p>
    <w:p>
      <w:pPr>
        <w:ind w:left="1420" w:hanging="319"/>
        <w:spacing w:after="0" w:line="342" w:lineRule="auto"/>
        <w:tabs>
          <w:tab w:leader="none" w:pos="1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50" w:lineRule="exact"/>
        <w:rPr>
          <w:rFonts w:ascii="Arial" w:cs="Arial" w:eastAsia="Arial" w:hAnsi="Arial"/>
          <w:sz w:val="16"/>
          <w:szCs w:val="16"/>
          <w:color w:val="auto"/>
        </w:rPr>
      </w:pPr>
    </w:p>
    <w:p>
      <w:pPr>
        <w:ind w:left="1420" w:right="10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7" w:lineRule="exact"/>
        <w:rPr>
          <w:rFonts w:ascii="Arial" w:cs="Arial" w:eastAsia="Arial" w:hAnsi="Arial"/>
          <w:sz w:val="18"/>
          <w:szCs w:val="18"/>
          <w:color w:val="auto"/>
        </w:rPr>
      </w:pPr>
    </w:p>
    <w:p>
      <w:pPr>
        <w:ind w:left="1420" w:right="440" w:hanging="319"/>
        <w:spacing w:after="0" w:line="263"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210"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213" w:lineRule="exact"/>
        <w:rPr>
          <w:rFonts w:ascii="Arial" w:cs="Arial" w:eastAsia="Arial" w:hAnsi="Arial"/>
          <w:sz w:val="18"/>
          <w:szCs w:val="18"/>
          <w:color w:val="auto"/>
        </w:rPr>
      </w:pPr>
    </w:p>
    <w:p>
      <w:pPr>
        <w:ind w:left="1420" w:right="20" w:hanging="319"/>
        <w:spacing w:after="0" w:line="286" w:lineRule="auto"/>
        <w:tabs>
          <w:tab w:leader="none" w:pos="14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6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71"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information regarding these and other provisions, see the section titled “Description of Capital Stock.”</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provide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187"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6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jc w:val="both"/>
        <w:ind w:left="120" w:right="140" w:firstLine="881"/>
        <w:spacing w:after="0" w:line="286" w:lineRule="auto"/>
        <w:rPr>
          <w:sz w:val="20"/>
          <w:szCs w:val="20"/>
          <w:color w:val="auto"/>
        </w:rPr>
      </w:pPr>
      <w:r>
        <w:rPr>
          <w:rFonts w:ascii="Arial" w:cs="Arial" w:eastAsia="Arial" w:hAnsi="Arial"/>
          <w:sz w:val="17"/>
          <w:szCs w:val="17"/>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prospectus include, but are not limited to, statements about:</w:t>
      </w:r>
    </w:p>
    <w:p>
      <w:pPr>
        <w:spacing w:after="0" w:line="192" w:lineRule="exact"/>
        <w:rPr>
          <w:sz w:val="20"/>
          <w:szCs w:val="20"/>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likelihood of our clinical trials demonstrating safety and efficacy of our product candidates, and other positive results;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timing and progress of our current clinical trials and timing of initiation of our future clinical trials, and the reporting of data from our current and future trials;</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current and future product candidates, including the size, number and disease areas to be evaluated;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prevalence of Demodex blepharitis and the size of the market opportunity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sales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of COVID-19 on our business and operations;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beneficial characteristics, safety, efficacy, therapeutic effects and potential advantages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 for our product candidates;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our product candidates to meet existing or future regulatory standards;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1020"/>
          </w:cols>
          <w:pgMar w:left="320" w:top="459"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197"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collaborations with third parties and our ability to attract collaborators with development, regulatory and commercialization expertise;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40" w:hanging="319"/>
        <w:spacing w:after="0" w:line="277" w:lineRule="auto"/>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need to hire additional personnel, in particular sales personnel, and our ability to attract and retain such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sufficiency of our existing capital resources to fund our future operating expenses and capital expenditure requirements;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anticipated use of our existing resources and the proceeds from this offering.</w:t>
      </w:r>
    </w:p>
    <w:p>
      <w:pPr>
        <w:spacing w:after="0" w:line="225" w:lineRule="exact"/>
        <w:rPr>
          <w:sz w:val="20"/>
          <w:szCs w:val="20"/>
          <w:color w:val="auto"/>
        </w:rPr>
      </w:pPr>
    </w:p>
    <w:p>
      <w:pPr>
        <w:ind w:left="120" w:right="180" w:firstLine="881"/>
        <w:spacing w:after="0" w:line="293"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the section titled “Risk Factors” elsewhere in this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6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92"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40"/>
          </w:cols>
          <w:pgMar w:left="320" w:top="459" w:right="5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net proceeds from this offering will be approximately $79.5 million, or approximately $91.7 million if the underwriters exercise their option to purchase additional shares in full, after deducting underwriting discounts and commissions and estimated offering expenses payable by us, based upon the initial public offering price of $16.00 per share.</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principal purposes of this offering are to increase our financial flexibility and create a public market for our common stock. We intend to use the net proceeds from this offering as follows:</w:t>
      </w:r>
    </w:p>
    <w:p>
      <w:pPr>
        <w:spacing w:after="0" w:line="197" w:lineRule="exact"/>
        <w:rPr>
          <w:sz w:val="20"/>
          <w:szCs w:val="20"/>
          <w:color w:val="auto"/>
        </w:rPr>
      </w:pPr>
    </w:p>
    <w:p>
      <w:pPr>
        <w:ind w:left="1420" w:right="80" w:hanging="319"/>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approximately $65.0 million to fund our development and regulatory approval of TP-03 for the treatment of Demodex blepharitis and to prepare for its commercial launch in the United States; and</w:t>
      </w:r>
    </w:p>
    <w:p>
      <w:pPr>
        <w:spacing w:after="0" w:line="197"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remaining proceeds to develop our product pipeline including TP-03 (for the treatment of MGD), TP-04, TP-05, and other general corporate purposes, which may include the hiring of additional personnel, capital expenditures and the costs of operating as a public company.</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w:t>
      </w:r>
    </w:p>
    <w:p>
      <w:pPr>
        <w:spacing w:after="0" w:line="18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We nonetheless expect that the net proceeds from this offering, in combination with our existing cash and cash equivalents, will be sufficient to achieve the following:</w:t>
      </w:r>
    </w:p>
    <w:p>
      <w:pPr>
        <w:spacing w:after="0" w:line="76" w:lineRule="exact"/>
        <w:rPr>
          <w:sz w:val="20"/>
          <w:szCs w:val="20"/>
          <w:color w:val="auto"/>
        </w:rPr>
      </w:pPr>
    </w:p>
    <w:p>
      <w:pPr>
        <w:ind w:left="1420" w:right="80" w:hanging="427"/>
        <w:spacing w:after="0" w:line="286" w:lineRule="auto"/>
        <w:tabs>
          <w:tab w:leader="none" w:pos="14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TP-03 for the treatment of Demodex blepharitis: Complete our Phase 2b/3 and Phase 3 clinical trials for TP-03 in the treatment of Demodex blepharitis and report corresponding top-line clinical results, then submit our NDA with the FDA for approval of TP-03 for the treatment of Demodex blepharitis and prepare for its commercialization in the United States;</w:t>
      </w:r>
    </w:p>
    <w:p>
      <w:pPr>
        <w:spacing w:after="0" w:line="70" w:lineRule="exact"/>
        <w:rPr>
          <w:rFonts w:ascii="Arial" w:cs="Arial" w:eastAsia="Arial" w:hAnsi="Arial"/>
          <w:sz w:val="17"/>
          <w:szCs w:val="17"/>
          <w:color w:val="auto"/>
        </w:rPr>
      </w:pPr>
    </w:p>
    <w:p>
      <w:pPr>
        <w:ind w:left="1420" w:hanging="427"/>
        <w:spacing w:after="0"/>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TP-03 for the treatment of MGD: Complete a Phase 2a study for TP-03 in the ocular treatment of MGD;</w:t>
      </w:r>
    </w:p>
    <w:p>
      <w:pPr>
        <w:spacing w:after="0" w:line="130" w:lineRule="exact"/>
        <w:rPr>
          <w:rFonts w:ascii="Arial" w:cs="Arial" w:eastAsia="Arial" w:hAnsi="Arial"/>
          <w:sz w:val="18"/>
          <w:szCs w:val="18"/>
          <w:color w:val="auto"/>
        </w:rPr>
      </w:pPr>
    </w:p>
    <w:p>
      <w:pPr>
        <w:ind w:left="1420" w:right="520" w:hanging="427"/>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TP-03 preservative-free formulation for the treatment of Demodex blepharitis: Complete preclinical bioequivalence studies and initiate registration-enabling chemistry, manufacturing and control activities;</w:t>
      </w:r>
    </w:p>
    <w:p>
      <w:pPr>
        <w:spacing w:after="0" w:line="75" w:lineRule="exact"/>
        <w:rPr>
          <w:rFonts w:ascii="Arial" w:cs="Arial" w:eastAsia="Arial" w:hAnsi="Arial"/>
          <w:sz w:val="18"/>
          <w:szCs w:val="18"/>
          <w:color w:val="auto"/>
        </w:rPr>
      </w:pPr>
    </w:p>
    <w:p>
      <w:pPr>
        <w:ind w:left="1420" w:right="600" w:hanging="427"/>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TP-04 for the potential treatment of rosacea: Initiate a Phase 1/2 trial, outside the United States, for the use of TP-04 in topical formulation in the potential treatment of rosacea;</w:t>
      </w:r>
    </w:p>
    <w:p>
      <w:pPr>
        <w:spacing w:after="0" w:line="75" w:lineRule="exact"/>
        <w:rPr>
          <w:rFonts w:ascii="Arial" w:cs="Arial" w:eastAsia="Arial" w:hAnsi="Arial"/>
          <w:sz w:val="18"/>
          <w:szCs w:val="18"/>
          <w:color w:val="auto"/>
        </w:rPr>
      </w:pPr>
    </w:p>
    <w:p>
      <w:pPr>
        <w:ind w:left="1420" w:right="200" w:hanging="427"/>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TP-05 for prophylaxis of Lyme disease: Submit an IND with the FDA for the use of TP-05 in an oral formulation for prophylaxis of Lyme disease and then initiate a Phase 1/2 trial; and</w:t>
      </w:r>
    </w:p>
    <w:p>
      <w:pPr>
        <w:spacing w:after="0" w:line="75" w:lineRule="exact"/>
        <w:rPr>
          <w:rFonts w:ascii="Arial" w:cs="Arial" w:eastAsia="Arial" w:hAnsi="Arial"/>
          <w:sz w:val="18"/>
          <w:szCs w:val="18"/>
          <w:color w:val="auto"/>
        </w:rPr>
      </w:pPr>
    </w:p>
    <w:p>
      <w:pPr>
        <w:ind w:left="1420" w:right="520" w:hanging="427"/>
        <w:spacing w:after="0" w:line="277" w:lineRule="auto"/>
        <w:tabs>
          <w:tab w:leader="none" w:pos="1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TP-05 for potential community malaria reduction: Initiate a Phase 1/2 trial for the use of TP-05 in oral formulation for potential community malaria reduction.</w:t>
      </w:r>
    </w:p>
    <w:p>
      <w:pPr>
        <w:spacing w:after="0" w:line="102" w:lineRule="exact"/>
        <w:rPr>
          <w:rFonts w:ascii="Arial" w:cs="Arial" w:eastAsia="Arial" w:hAnsi="Arial"/>
          <w:sz w:val="18"/>
          <w:szCs w:val="18"/>
          <w:color w:val="auto"/>
        </w:rPr>
      </w:pPr>
    </w:p>
    <w:p>
      <w:pPr>
        <w:ind w:left="5540" w:hanging="111"/>
        <w:spacing w:after="0"/>
        <w:tabs>
          <w:tab w:leader="none" w:pos="5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Our aggregate cash and cash equivalents (including the net proceeds from this offering) will not be sufficient to fund each of these product candidates through regulatory approval and commercial launch. Accordingly, we will need to raise additional capital in the future. We have based our estimates of capital requirements on assumptions that may prove to be incomplete or inaccurate and we also may modify or expand our drug development plans for TP-03, TP-04, and/or TP-05. Any of these factors could result in the accelerated use of our capital resources.</w:t>
      </w:r>
    </w:p>
    <w:p>
      <w:pPr>
        <w:spacing w:after="0" w:line="15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In the event that we use a portion of the net proceeds from this offering for the acquisition or in-license of other products, product candidates, businesses or technologies, our cash resources could be depleted earlier than we currently expect. However, we have no current agreements or commitments for these possible expenditures.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declare and pay dividends will be made at the discretion of our board of directors subject to applicable laws and will depend upon, among other factors, our results of operations, financial condition, business prospects, contractual restrictions, capital requirements and other factors our board of directors may deem relevant. Our future ability to pay cash dividends on our capital stock may also be limited by the terms of any future debt or preferred securities or any future credit facility.</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40"/>
          </w:cols>
          <w:pgMar w:left="320" w:top="459" w:right="5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our cash and cash equivalents and total capitalization as of June 30, 2020, as follows:</w:t>
      </w:r>
    </w:p>
    <w:p>
      <w:pPr>
        <w:spacing w:after="0" w:line="252" w:lineRule="exact"/>
        <w:rPr>
          <w:sz w:val="20"/>
          <w:szCs w:val="20"/>
          <w:color w:val="auto"/>
        </w:rPr>
      </w:pPr>
    </w:p>
    <w:p>
      <w:pPr>
        <w:ind w:left="1420" w:hanging="319"/>
        <w:spacing w:after="0"/>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a pro forma basis to give effect to: (i) the issuance of 2,857,079 shares of Series C preferred stock for net cash proceeds of $39.8 million in September 2020; (ii) the automatic conversion of all outstanding shares of our preferred stock, which includes our Series C preferred stock issued in September 2020, into an aggregate of 11,107,018 shares of common stock; and (iii) the filing and effectiveness of our amended and restated certificate of incorporation, each of which will occur immediately prior to the completion of this offering; and</w:t>
      </w:r>
    </w:p>
    <w:p>
      <w:pPr>
        <w:spacing w:after="0" w:line="214" w:lineRule="exact"/>
        <w:rPr>
          <w:rFonts w:ascii="Arial" w:cs="Arial" w:eastAsia="Arial" w:hAnsi="Arial"/>
          <w:sz w:val="18"/>
          <w:szCs w:val="18"/>
          <w:color w:val="auto"/>
        </w:rPr>
      </w:pPr>
    </w:p>
    <w:p>
      <w:pPr>
        <w:ind w:left="1420" w:right="320" w:hanging="319"/>
        <w:spacing w:after="0" w:line="311" w:lineRule="auto"/>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a pro forma as adjusted basis to give effect to (i) the pro forma adjustments set forth above and (ii) receipt of estimated net proceeds from the sale and issuance of 5,500,000 shares of our common stock in this offering, at the initial public offering price of $16.00 per share, and after deducting the underwriting discounts and commissions and estimated offering expenses payable by us.</w:t>
      </w:r>
    </w:p>
    <w:p>
      <w:pPr>
        <w:spacing w:after="0" w:line="14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This information should be read in conjunction with our financial statements and the related notes appearing elsewhere in this prospectus, as well as the sections of this prospectus titled “Selected Financial Data” and “Management’s Discussion and Analysis of Financial Condition and Results of Operations.”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9"/>
          </w:tcPr>
          <w:p>
            <w:pPr>
              <w:jc w:val="right"/>
              <w:ind w:right="760"/>
              <w:spacing w:after="0"/>
              <w:rPr>
                <w:sz w:val="20"/>
                <w:szCs w:val="20"/>
                <w:color w:val="auto"/>
              </w:rPr>
            </w:pPr>
            <w:r>
              <w:rPr>
                <w:rFonts w:ascii="Arial" w:cs="Arial" w:eastAsia="Arial" w:hAnsi="Arial"/>
                <w:sz w:val="14"/>
                <w:szCs w:val="14"/>
                <w:b w:val="1"/>
                <w:bCs w:val="1"/>
                <w:color w:val="auto"/>
              </w:rPr>
              <w:t>As of June 30, 2020 (unaudited)</w:t>
            </w:r>
          </w:p>
        </w:tc>
        <w:tc>
          <w:tcPr>
            <w:tcW w:w="0" w:type="dxa"/>
            <w:vAlign w:val="bottom"/>
          </w:tcPr>
          <w:p>
            <w:pPr>
              <w:spacing w:after="0"/>
              <w:rPr>
                <w:sz w:val="1"/>
                <w:szCs w:val="1"/>
                <w:color w:val="auto"/>
              </w:rPr>
            </w:pPr>
          </w:p>
        </w:tc>
      </w:tr>
      <w:tr>
        <w:trPr>
          <w:trHeight w:val="119"/>
        </w:trPr>
        <w:tc>
          <w:tcPr>
            <w:tcW w:w="7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Actual</w:t>
            </w: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Pro</w:t>
            </w: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Forma</w:t>
            </w:r>
          </w:p>
        </w:tc>
        <w:tc>
          <w:tcPr>
            <w:tcW w:w="12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96"/>
        </w:trPr>
        <w:tc>
          <w:tcPr>
            <w:tcW w:w="7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 thousands, except share and per share data)</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53,135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92,890</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172,341</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Series A preferred stock, $0.0001 par value per share; 1,575,030 shares authorized, issued and</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outstanding, actual; no shares authorized, issued or outstanding, pro forma and pro forma as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460" w:type="dxa"/>
            <w:vAlign w:val="bottom"/>
          </w:tcPr>
          <w:p>
            <w:pPr>
              <w:spacing w:after="0" w:line="201" w:lineRule="exact"/>
              <w:rPr>
                <w:sz w:val="20"/>
                <w:szCs w:val="20"/>
                <w:color w:val="auto"/>
              </w:rPr>
            </w:pPr>
            <w:r>
              <w:rPr>
                <w:rFonts w:ascii="Arial" w:cs="Arial" w:eastAsia="Arial" w:hAnsi="Arial"/>
                <w:sz w:val="18"/>
                <w:szCs w:val="18"/>
                <w:color w:val="auto"/>
                <w:w w:val="92"/>
              </w:rPr>
              <w:t>Series B preferred stock, $0.0001 par value; 6,731,649 authorized, 6,674,909 issued and 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180"/>
              <w:spacing w:after="0"/>
              <w:rPr>
                <w:sz w:val="20"/>
                <w:szCs w:val="20"/>
                <w:color w:val="auto"/>
              </w:rPr>
            </w:pPr>
            <w:r>
              <w:rPr>
                <w:rFonts w:ascii="Arial" w:cs="Arial" w:eastAsia="Arial" w:hAnsi="Arial"/>
                <w:sz w:val="18"/>
                <w:szCs w:val="18"/>
                <w:color w:val="auto"/>
                <w:w w:val="93"/>
              </w:rPr>
              <w:t>shares, actual; no shares authorized, issued or outstanding, pro forma and pro forma as adjusted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59,838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460" w:type="dxa"/>
            <w:vAlign w:val="bottom"/>
          </w:tcPr>
          <w:p>
            <w:pPr>
              <w:ind w:left="360"/>
              <w:spacing w:after="0" w:line="201" w:lineRule="exact"/>
              <w:rPr>
                <w:sz w:val="20"/>
                <w:szCs w:val="20"/>
                <w:color w:val="auto"/>
              </w:rPr>
            </w:pPr>
            <w:r>
              <w:rPr>
                <w:rFonts w:ascii="Arial" w:cs="Arial" w:eastAsia="Arial" w:hAnsi="Arial"/>
                <w:sz w:val="18"/>
                <w:szCs w:val="18"/>
                <w:color w:val="auto"/>
                <w:w w:val="92"/>
              </w:rPr>
              <w:t>Common stock, $0.0001 par value; 13,867,198 shares authorized, 2,719,312 shares issued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w w:val="94"/>
              </w:rPr>
              <w:t>2,651,996 shares outstanding, which excludes 67,316 shares subject to repurchase, 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w w:val="91"/>
              </w:rPr>
              <w:t>200,000,000 shares authorized, 13,826,330 shares issued and 13,759,014 shares outstanding,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rPr>
              <w:t>which excludes 67,316 shares subject to repurchase, pro forma; 200,000,000 shares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540"/>
              <w:spacing w:after="0"/>
              <w:rPr>
                <w:sz w:val="20"/>
                <w:szCs w:val="20"/>
                <w:color w:val="auto"/>
              </w:rPr>
            </w:pPr>
            <w:r>
              <w:rPr>
                <w:rFonts w:ascii="Arial" w:cs="Arial" w:eastAsia="Arial" w:hAnsi="Arial"/>
                <w:sz w:val="18"/>
                <w:szCs w:val="18"/>
                <w:color w:val="auto"/>
                <w:w w:val="95"/>
              </w:rPr>
              <w:t>authorized, 19,326,330 shares issued and 19,259,014 shares outstanding, which excludes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540"/>
              <w:spacing w:after="0"/>
              <w:rPr>
                <w:sz w:val="20"/>
                <w:szCs w:val="20"/>
                <w:color w:val="auto"/>
              </w:rPr>
            </w:pPr>
            <w:r>
              <w:rPr>
                <w:rFonts w:ascii="Arial" w:cs="Arial" w:eastAsia="Arial" w:hAnsi="Arial"/>
                <w:sz w:val="18"/>
                <w:szCs w:val="18"/>
                <w:color w:val="auto"/>
              </w:rPr>
              <w:t>67,316 shares subject to repurchase, pro forma as adjusted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103,362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182,812</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(11,241)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(11,241)</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(11,035)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92,122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171,573</w:t>
            </w:r>
          </w:p>
        </w:tc>
        <w:tc>
          <w:tcPr>
            <w:tcW w:w="0" w:type="dxa"/>
            <w:vAlign w:val="bottom"/>
          </w:tcPr>
          <w:p>
            <w:pPr>
              <w:spacing w:after="0"/>
              <w:rPr>
                <w:sz w:val="1"/>
                <w:szCs w:val="1"/>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b w:val="1"/>
                <w:bCs w:val="1"/>
                <w:color w:val="auto"/>
              </w:rPr>
              <w:t>Total capitalization</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52,367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92,122</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530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13,759,014 shares of our common stock outstanding as of June 30, 2020, assuming the conversion of all our 11,107,018 outstanding shares of preferred stock, including 2,857,079 shares of Series C preferred stock issued in September 2020, into an aggregate of 11,107,018 shares of our common stock immediately prior to the completion of this offering, and excludes the following:</w:t>
      </w:r>
    </w:p>
    <w:p>
      <w:pPr>
        <w:spacing w:after="0" w:line="214" w:lineRule="exact"/>
        <w:rPr>
          <w:sz w:val="20"/>
          <w:szCs w:val="20"/>
          <w:color w:val="auto"/>
        </w:rPr>
      </w:pPr>
    </w:p>
    <w:p>
      <w:pPr>
        <w:ind w:left="1420" w:right="24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1,230,701 shares of common stock issuable upon the exercise of options outstanding as of June 30, 2020, with a weighted-average exercise price of $1.60 per share;</w:t>
      </w:r>
    </w:p>
    <w:p>
      <w:pPr>
        <w:spacing w:after="0" w:line="197"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737,517 shares of common stock issuable upon the exercise of options granted after June 30, 2020, at a weighted-average exercise price of $7.08 per share (112,059 shares of which have been issued as of the date of this prospectus upon early exercise of stock options, but are not outstanding as they are subject to a right of repurchase);</w:t>
      </w:r>
    </w:p>
    <w:p>
      <w:pPr>
        <w:spacing w:after="0" w:line="210"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67,316 shares of common stock, issued as of June 30, 2020 upon the early exercise of certain stock options, but not outstanding as they are subject to a right of repurchase;</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1,148,915 shares of common stock reserved for future issuance under our 2016 Plan, as of June 30, 2020, which shares will be added to the shares to be reserved under our 2020 Plan upon its effectiveness;</w:t>
      </w:r>
    </w:p>
    <w:p>
      <w:pPr>
        <w:spacing w:after="0" w:line="197" w:lineRule="exact"/>
        <w:rPr>
          <w:rFonts w:ascii="Arial" w:cs="Arial" w:eastAsia="Arial" w:hAnsi="Arial"/>
          <w:sz w:val="18"/>
          <w:szCs w:val="18"/>
          <w:color w:val="auto"/>
        </w:rPr>
      </w:pPr>
    </w:p>
    <w:p>
      <w:pPr>
        <w:ind w:left="1420" w:hanging="319"/>
        <w:spacing w:after="0" w:line="286" w:lineRule="auto"/>
        <w:tabs>
          <w:tab w:leader="none" w:pos="1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9,000,000 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92" w:lineRule="exact"/>
        <w:rPr>
          <w:rFonts w:ascii="Arial" w:cs="Arial" w:eastAsia="Arial" w:hAnsi="Arial"/>
          <w:sz w:val="17"/>
          <w:szCs w:val="17"/>
          <w:color w:val="auto"/>
        </w:rPr>
      </w:pPr>
    </w:p>
    <w:p>
      <w:pPr>
        <w:ind w:left="1420" w:right="400" w:hanging="319"/>
        <w:spacing w:after="0" w:line="311" w:lineRule="auto"/>
        <w:tabs>
          <w:tab w:leader="none" w:pos="14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2,300,000 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175" w:lineRule="exact"/>
        <w:rPr>
          <w:rFonts w:ascii="Arial" w:cs="Arial" w:eastAsia="Arial" w:hAnsi="Arial"/>
          <w:sz w:val="16"/>
          <w:szCs w:val="16"/>
          <w:color w:val="auto"/>
        </w:rPr>
      </w:pPr>
    </w:p>
    <w:p>
      <w:pPr>
        <w:ind w:left="1420" w:hanging="319"/>
        <w:spacing w:after="0"/>
        <w:tabs>
          <w:tab w:leader="none" w:pos="1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222,460 shares of common stock issued to Elanco in September 2020 pursuant to the All Human Uses Elanco Agreement.</w:t>
      </w:r>
    </w:p>
    <w:p>
      <w:pPr>
        <w:spacing w:after="0" w:line="169" w:lineRule="exact"/>
        <w:rPr>
          <w:rFonts w:ascii="Arial" w:cs="Arial" w:eastAsia="Arial" w:hAnsi="Arial"/>
          <w:sz w:val="17"/>
          <w:szCs w:val="17"/>
          <w:color w:val="auto"/>
        </w:rPr>
      </w:pPr>
    </w:p>
    <w:p>
      <w:pPr>
        <w:ind w:left="5540" w:hanging="111"/>
        <w:spacing w:after="0"/>
        <w:tabs>
          <w:tab w:leader="none" w:pos="5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93 -</w:t>
      </w:r>
    </w:p>
    <w:p>
      <w:pPr>
        <w:sectPr>
          <w:pgSz w:w="11900" w:h="16838" w:orient="portrait"/>
          <w:cols w:equalWidth="0" w:num="1">
            <w:col w:w="11060"/>
          </w:cols>
          <w:pgMar w:left="320" w:top="459"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184"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Historical net tangible book value (deficit) per share represents our total tangible assets (which excludes deferred offering costs) less our liabilities and preferred stock that is not included in equity divided by the total number of shares of common stock outstanding. As of June 30, 2020, our historical net tangible book value (deficit) was approximately $(11.1) million, or $(4.20) per share of common stock, based on 2,651,996 shares of common stock outstanding as of June 30, 2020 (which excludes 67,316 shares subject to a right of repurchase).</w:t>
      </w:r>
    </w:p>
    <w:p>
      <w:pPr>
        <w:spacing w:after="0" w:line="171"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Our pro forma net tangible book value as of June 30, 2020, was approximately $92.0 million, or $6.69 per share of common stock. Our pro forma tangible book value per share represents the amount of our total tangible assets (which excludes deferred offering costs) reduced by the amount of our total liabilities and divided by the total number of shares of our common stock outstanding as of June 30, 2020, after giving effect to (i) the issuance of 2,857,079 shares of Series C preferred stock for net cash proceeds of $39.8 million in September 2020 and (ii) the conversion of all outstanding shares of our preferred stock into an aggregate of 11,107,018 shares of common stock, which includes our Series C preferred stock issued in September 2020, immediately prior to the completion of this offering.</w:t>
      </w:r>
    </w:p>
    <w:p>
      <w:pPr>
        <w:spacing w:after="0" w:line="178"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After giving effect to (i) the pro forma adjustments set forth above and (ii) our sale in this offering of 5,500,000 shares of common stock at the initial public offering price of $16.00 per share and after deducting underwriting discounts and commissions and estimated offering expenses, our pro forma as adjusted net tangible book value as of June 30, 2020 would have been approximately $171.6 million, or $8.91 per share of our common stock. This represents an immediate increase in pro forma as adjusted net tangible book value of $2.22 per share to our existing stockholders and an immediate dilution of $7.09 per share to investors purchasing common stock in this offering. Net tangible book value dilution per share to new investors participating in this offering represents the difference between the amount per share paid by purchaser of common stock in this offering and the pro forma as adjusted net tangible book value per share of common stock immediately after completion of this offering.</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640" w:type="dxa"/>
            <w:vAlign w:val="bottom"/>
          </w:tcPr>
          <w:p>
            <w:pPr>
              <w:ind w:left="880"/>
              <w:spacing w:after="0"/>
              <w:rPr>
                <w:sz w:val="20"/>
                <w:szCs w:val="20"/>
                <w:color w:val="auto"/>
              </w:rPr>
            </w:pPr>
            <w:r>
              <w:rPr>
                <w:rFonts w:ascii="Arial" w:cs="Arial" w:eastAsia="Arial" w:hAnsi="Arial"/>
                <w:sz w:val="18"/>
                <w:szCs w:val="18"/>
                <w:color w:val="auto"/>
              </w:rPr>
              <w:t>The following table illustrates this dilution to new investors on a per share basis:</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9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 per share</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16.00</w:t>
            </w: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June 30, 2020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historical net tangible book value per share attributable to conversion of our preferred stock</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10.89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40" w:type="dxa"/>
            <w:vAlign w:val="bottom"/>
          </w:tcPr>
          <w:p>
            <w:pPr>
              <w:ind w:left="360"/>
              <w:spacing w:after="0"/>
              <w:rPr>
                <w:sz w:val="20"/>
                <w:szCs w:val="20"/>
                <w:color w:val="auto"/>
              </w:rPr>
            </w:pPr>
            <w:r>
              <w:rPr>
                <w:rFonts w:ascii="Arial" w:cs="Arial" w:eastAsia="Arial" w:hAnsi="Arial"/>
                <w:sz w:val="18"/>
                <w:szCs w:val="18"/>
                <w:color w:val="auto"/>
              </w:rPr>
              <w:t>Pro forma net tangible book value (deficit) per share as of June 30, 2020</w:t>
            </w: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20"/>
                <w:szCs w:val="20"/>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r>
      <w:tr>
        <w:trPr>
          <w:trHeight w:val="20"/>
        </w:trPr>
        <w:tc>
          <w:tcPr>
            <w:tcW w:w="9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If the underwriters’ option to purchase additional shares in this offering is exercised in full, the pro forma as adjusted net tangible book value would be $9.15 per share, the increase in the pro forma net tangible book value per share for existing stockholders would be $0.24 per share and the dilution to new investors participating in this offering would be $6.85 per share.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table below summarizes, as of June 30, 2020, on a pro forma as adjusted basis, the number of shares of our common stock, the total consideration, and the average price per share (i) paid to us by our existing stockholders and (ii) to be paid by new investors participating in this offering at the initial public offering price of $16.00 per share, before deducting underwriting discounts and commissions and estimated offering expenses payable by 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7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vMerge w:val="restart"/>
          </w:tcPr>
          <w:p>
            <w:pPr>
              <w:jc w:val="right"/>
              <w:ind w:right="235"/>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63"/>
        </w:trPr>
        <w:tc>
          <w:tcPr>
            <w:tcW w:w="5760" w:type="dxa"/>
            <w:vAlign w:val="bottom"/>
          </w:tcPr>
          <w:p>
            <w:pPr>
              <w:spacing w:after="0"/>
              <w:rPr>
                <w:sz w:val="13"/>
                <w:szCs w:val="13"/>
                <w:color w:val="auto"/>
              </w:rPr>
            </w:pPr>
          </w:p>
        </w:tc>
        <w:tc>
          <w:tcPr>
            <w:tcW w:w="1700" w:type="dxa"/>
            <w:vAlign w:val="bottom"/>
            <w:tcBorders>
              <w:bottom w:val="single" w:sz="8" w:color="auto"/>
            </w:tcBorders>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Number</w:t>
            </w:r>
          </w:p>
        </w:tc>
        <w:tc>
          <w:tcPr>
            <w:tcW w:w="360" w:type="dxa"/>
            <w:vAlign w:val="bottom"/>
            <w:vMerge w:val="restart"/>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5"/>
              </w:rPr>
              <w:t>Percent</w:t>
            </w:r>
          </w:p>
        </w:tc>
        <w:tc>
          <w:tcPr>
            <w:tcW w:w="3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Amount</w:t>
            </w:r>
          </w:p>
        </w:tc>
        <w:tc>
          <w:tcPr>
            <w:tcW w:w="360" w:type="dxa"/>
            <w:vAlign w:val="bottom"/>
            <w:vMerge w:val="restart"/>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Percent</w:t>
            </w:r>
          </w:p>
        </w:tc>
        <w:tc>
          <w:tcPr>
            <w:tcW w:w="3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Price Per</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CCEEFF"/>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13,759,014</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$103,252,455</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New investors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5,500,000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28.6</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88,000,000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19,259,014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191,252,455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addition, if the underwriters’ option to purchase additional shares is exercised in full, the number of shares held by existing stockholders will be reduced to 68.5% of the total number of shares of common stock to be outstanding upon completion of this offering, and the number of shares of common stock held by new investors participating in this offering will be further increased to 31.5% of the total number of shares of common stock to be outstanding upon completion of the offering.</w:t>
      </w:r>
    </w:p>
    <w:p>
      <w:pPr>
        <w:spacing w:after="0" w:line="18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The number of shares of common stock to be outstanding after this offering is based on 13,759,014 shares of common stock outstanding as of June 30, 2020, assuming the conversion of all our 11,107,018 outstanding shares of preferred stock, including 2,857,079 shares of Series C preferred stock issued in September 2020, into an aggregate of 11,107,018 shares of our common stock immediately prior to the completion of this offering, and excludes the following:</w:t>
      </w:r>
    </w:p>
    <w:p>
      <w:pPr>
        <w:spacing w:after="0" w:line="214" w:lineRule="exact"/>
        <w:rPr>
          <w:sz w:val="20"/>
          <w:szCs w:val="20"/>
          <w:color w:val="auto"/>
        </w:rPr>
      </w:pPr>
    </w:p>
    <w:p>
      <w:pPr>
        <w:ind w:left="1420" w:right="38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1,230,701 shares of common stock issuable upon the exercise of options outstanding as of June 30, 2020 with a weighted-average exercise price of $1.60 per share;</w:t>
      </w:r>
    </w:p>
    <w:p>
      <w:pPr>
        <w:spacing w:after="0" w:line="197"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737,517 shares of common stock issuable upon the exercise of options granted after June 30, 2020 with a weighted-average exercise price of $7.08 per share (112,059 shares of which have been issued as of the date of this prospectus upon early exercise of stock options, but are not outstanding as they are subject to a right of repurchase);</w:t>
      </w:r>
    </w:p>
    <w:p>
      <w:pPr>
        <w:spacing w:after="0" w:line="210"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67,316 shares of common stock, issued as of June 30, 2020 upon the early exercise of certain stock options, but not outstanding as they are subject to a right of repurchase;</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1,148,915 shares of common stock reserved for future issuance under our 2016 Plan, as of June 30, 2020, which shares will be added to the shares to be reserved under our 2020 Plan upon its effectiveness;</w:t>
      </w:r>
    </w:p>
    <w:p>
      <w:pPr>
        <w:spacing w:after="0" w:line="197"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9,000,000 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92" w:lineRule="exact"/>
        <w:rPr>
          <w:rFonts w:ascii="Arial" w:cs="Arial" w:eastAsia="Arial" w:hAnsi="Arial"/>
          <w:sz w:val="17"/>
          <w:szCs w:val="17"/>
          <w:color w:val="auto"/>
        </w:rPr>
      </w:pPr>
    </w:p>
    <w:p>
      <w:pPr>
        <w:ind w:left="1420" w:right="480" w:hanging="319"/>
        <w:spacing w:after="0" w:line="311" w:lineRule="auto"/>
        <w:tabs>
          <w:tab w:leader="none" w:pos="1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2,300,000 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81" w:lineRule="exact"/>
        <w:rPr>
          <w:rFonts w:ascii="Arial" w:cs="Arial" w:eastAsia="Arial" w:hAnsi="Arial"/>
          <w:sz w:val="16"/>
          <w:szCs w:val="16"/>
          <w:color w:val="auto"/>
        </w:rPr>
      </w:pPr>
    </w:p>
    <w:p>
      <w:pPr>
        <w:ind w:left="5540" w:hanging="111"/>
        <w:spacing w:after="0"/>
        <w:tabs>
          <w:tab w:leader="none" w:pos="5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95 -</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222,460 shares of common stock issued in September 2020 to Elanco pursuant to the All Human Uses Elanco Agreement.</w:t>
      </w:r>
    </w:p>
    <w:p>
      <w:pPr>
        <w:spacing w:after="0" w:line="237"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To the extent that any outstanding options are exercised or new awards are granted under our equity compensation plans, new investors will experience further dilution.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59"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left="120" w:right="500" w:firstLine="881"/>
        <w:spacing w:after="0" w:line="342" w:lineRule="auto"/>
        <w:rPr>
          <w:sz w:val="20"/>
          <w:szCs w:val="20"/>
          <w:color w:val="auto"/>
        </w:rPr>
      </w:pPr>
      <w:r>
        <w:rPr>
          <w:rFonts w:ascii="Arial" w:cs="Arial" w:eastAsia="Arial" w:hAnsi="Arial"/>
          <w:sz w:val="16"/>
          <w:szCs w:val="16"/>
          <w:color w:val="auto"/>
        </w:rPr>
        <w:t>The following selected financial data should be read in conjunction with the section titled “Management’s Discussion and Analysis of Financial Condition and Results of Operations” and the financial statements and related notes included elsewhere in this prospectus.</w:t>
      </w:r>
    </w:p>
    <w:p>
      <w:pPr>
        <w:spacing w:after="0" w:line="12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statements of operations data for the years ended December 31, 2018 and 2019 and the balance sheet data as of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United States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the results to be expected in the future, and the results for the six months ended June 30, 2020, are not necessarily indicative of results that may be expected for the full year or any other period. The selected financial data in this section are not intended to replace our financial statements and the related notes and are qualified in their entirety by the financial statements and related notes included elsewhere in this prospectus.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8"/>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Loss from operations before other income (expense) and income taxes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convertible notes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(4,670)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(2,576)</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(0.75)</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(1.98)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8"/>
                <w:szCs w:val="18"/>
                <w:color w:val="auto"/>
              </w:rPr>
              <w:t>(1.15)</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75"/>
        </w:trPr>
        <w:tc>
          <w:tcPr>
            <w:tcW w:w="5820" w:type="dxa"/>
            <w:vAlign w:val="bottom"/>
          </w:tcPr>
          <w:p>
            <w:pPr>
              <w:ind w:left="180"/>
              <w:spacing w:after="0"/>
              <w:rPr>
                <w:sz w:val="20"/>
                <w:szCs w:val="20"/>
                <w:color w:val="auto"/>
              </w:rPr>
            </w:pPr>
            <w:r>
              <w:rPr>
                <w:rFonts w:ascii="Arial" w:cs="Arial" w:eastAsia="Arial" w:hAnsi="Arial"/>
                <w:sz w:val="15"/>
                <w:szCs w:val="15"/>
                <w:color w:val="auto"/>
              </w:rPr>
              <w:t>(1)</w:t>
            </w: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Weighted-average shares used in computing net loss per share attributable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to common stockholders, basic and diluted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1,759,495</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2,362,768</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2,238,793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2,650,843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 xml:space="preserve">and diluted (unaudited) </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Weighted-average shares used in computing pro forma net loss per share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attributable to common stockholders, basic and diluted (unaudited)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4,285,262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10,900,782</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3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60" w:hanging="424"/>
        <w:spacing w:after="0" w:line="253"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the calculation of our basic and diluted net loss per share, unaudited basic and diluted pro forma net loss per share and weighted-average number of shares used in the computation of the per share amounts, see Note 6 and Note 7 to our financial statements included elsewhere in this prospectus.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0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80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w w:val="89"/>
              </w:rPr>
              <w:t>$ 2,355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$57,952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53,135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2,204</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51,631</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2,389</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58,316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56,239</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179</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919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Preferred stock</w:t>
            </w:r>
          </w:p>
        </w:tc>
        <w:tc>
          <w:tcPr>
            <w:tcW w:w="800" w:type="dxa"/>
            <w:vAlign w:val="bottom"/>
          </w:tcPr>
          <w:p>
            <w:pPr>
              <w:jc w:val="right"/>
              <w:ind w:right="154"/>
              <w:spacing w:after="0"/>
              <w:rPr>
                <w:sz w:val="20"/>
                <w:szCs w:val="20"/>
                <w:color w:val="auto"/>
              </w:rPr>
            </w:pPr>
            <w:r>
              <w:rPr>
                <w:rFonts w:ascii="Arial" w:cs="Arial" w:eastAsia="Arial" w:hAnsi="Arial"/>
                <w:sz w:val="18"/>
                <w:szCs w:val="18"/>
                <w:color w:val="auto"/>
              </w:rPr>
              <w:t>3,564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63,402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63,402</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(1,364)</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(6,034)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(11,241)</w:t>
            </w: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(1,354)</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(6,005)</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 xml:space="preserve">We define working capital as current assets </w:t>
      </w:r>
      <w:r>
        <w:rPr>
          <w:rFonts w:ascii="Arial" w:cs="Arial" w:eastAsia="Arial" w:hAnsi="Arial"/>
          <w:sz w:val="14"/>
          <w:szCs w:val="14"/>
          <w:i w:val="1"/>
          <w:iCs w:val="1"/>
          <w:color w:val="auto"/>
        </w:rPr>
        <w:t>less</w:t>
      </w:r>
      <w:r>
        <w:rPr>
          <w:rFonts w:ascii="Arial" w:cs="Arial" w:eastAsia="Arial" w:hAnsi="Arial"/>
          <w:sz w:val="14"/>
          <w:szCs w:val="14"/>
          <w:color w:val="auto"/>
        </w:rPr>
        <w:t xml:space="preserve"> current liabilities as of the balance sheet date.</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September 2020, we issued and sold 2,857,079 shares of our Series C preferred stock and received net cash proceeds of $39.8 million.</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prospectus. See the section titled “Special Note Regarding Forward-Looking Statements” elsewhere in this prospectus.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our Business</w:t>
      </w:r>
    </w:p>
    <w:p>
      <w:pPr>
        <w:spacing w:after="0" w:line="229"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1" w:lineRule="exact"/>
        <w:rPr>
          <w:sz w:val="20"/>
          <w:szCs w:val="20"/>
          <w:color w:val="auto"/>
        </w:rPr>
      </w:pPr>
    </w:p>
    <w:p>
      <w:pPr>
        <w:ind w:left="120" w:right="180" w:firstLine="881"/>
        <w:spacing w:after="0" w:line="279" w:lineRule="auto"/>
        <w:rPr>
          <w:sz w:val="20"/>
          <w:szCs w:val="20"/>
          <w:color w:val="auto"/>
        </w:rPr>
      </w:pPr>
      <w:r>
        <w:rPr>
          <w:rFonts w:ascii="Arial" w:cs="Arial" w:eastAsia="Arial" w:hAnsi="Arial"/>
          <w:sz w:val="17"/>
          <w:szCs w:val="17"/>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and Financial Overview</w:t>
      </w:r>
    </w:p>
    <w:p>
      <w:pPr>
        <w:spacing w:after="0" w:line="229"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To date we have financed our operations through private placements of preferred stock and convertible promissory notes. From inception through June 30, 2020, we have raised net proceeds of approximately $61.0 million through private placements of preferred stock.</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incurred significant net operating losses in every year since our inception and expect to continue to incur significant operating expenses and increasing operating losses for the foreseeable future. Our net losses were $1.3 million and $4.7 million for the years ended December 31, 2018 and 2019, respectively. Our net losses were $2.6 million and $5.2 million for the six months ended June 30, 2019 and 2020, respectively. Our net losses may fluctuate significantly from quarter to quarter and year to year and could be substantial. As of December 31, 2019 and June 30, 2020, we had an accumulated deficit of $6.0 million and $11.2 million, respectively, from research and development and general and administrative activities since our inception. We anticipate that our operating expenses will increase significantly as we:</w:t>
      </w:r>
    </w:p>
    <w:p>
      <w:pPr>
        <w:spacing w:after="0" w:line="205" w:lineRule="exact"/>
        <w:rPr>
          <w:sz w:val="20"/>
          <w:szCs w:val="20"/>
          <w:color w:val="auto"/>
        </w:rPr>
      </w:pPr>
    </w:p>
    <w:p>
      <w:pPr>
        <w:ind w:left="1420" w:right="14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conduct additional clinical trials of our lead product candidate, TP-03, for the treatment of Demodex blepharitis including our Phase 2b/3 trial, Saturn-1, and our Phase 3 trial, Saturn-2;</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advance the clinical development of TP-03 for the treatment of MGD, TP-04 for the potential treatment of rosacea and TP-05 for potential Lyme prophylaxis and community malaria reduction;</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development, if 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establish our own salesforce in the United States to commercialize our products for which we obtain regulatory approval;</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engage with contract manufacturers to ensure a sufficient supply chain capacity to provide commercial quantities of any products for which we may obtain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marketing, operations, financial, and other support personnel, to execute our business plan; and</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add information systems and personnel to support our product development and potential future commercialization efforts, and to enable us to operate as a public company.</w:t>
      </w:r>
    </w:p>
    <w:p>
      <w:pPr>
        <w:spacing w:after="0" w:line="170" w:lineRule="exact"/>
        <w:rPr>
          <w:sz w:val="20"/>
          <w:szCs w:val="20"/>
          <w:color w:val="auto"/>
        </w:rPr>
      </w:pPr>
    </w:p>
    <w:p>
      <w:pPr>
        <w:ind w:left="120" w:right="40" w:firstLine="881"/>
        <w:spacing w:after="0" w:line="289" w:lineRule="auto"/>
        <w:rPr>
          <w:sz w:val="20"/>
          <w:szCs w:val="20"/>
          <w:color w:val="auto"/>
        </w:rPr>
      </w:pPr>
      <w:r>
        <w:rPr>
          <w:rFonts w:ascii="Arial" w:cs="Arial" w:eastAsia="Arial" w:hAnsi="Arial"/>
          <w:sz w:val="16"/>
          <w:szCs w:val="16"/>
          <w:color w:val="auto"/>
        </w:rPr>
        <w:t>We do not have any products approved for sale and we have not yet generated any revenue from product sales or other sources.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66"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7" w:lineRule="exact"/>
        <w:rPr>
          <w:sz w:val="20"/>
          <w:szCs w:val="20"/>
          <w:color w:val="auto"/>
        </w:rPr>
      </w:pPr>
    </w:p>
    <w:p>
      <w:pPr>
        <w:ind w:left="120" w:right="940" w:firstLine="881"/>
        <w:spacing w:after="0" w:line="277" w:lineRule="auto"/>
        <w:rPr>
          <w:sz w:val="20"/>
          <w:szCs w:val="20"/>
          <w:color w:val="auto"/>
        </w:rPr>
      </w:pPr>
      <w:r>
        <w:rPr>
          <w:rFonts w:ascii="Arial" w:cs="Arial" w:eastAsia="Arial" w:hAnsi="Arial"/>
          <w:sz w:val="18"/>
          <w:szCs w:val="18"/>
          <w:color w:val="auto"/>
        </w:rPr>
        <w:t>As of June 30, 2020, our aggregate cash and cash equivalents was $53.1 million. In September 2020, we received an additional $39.8 million in net cash proceeds by issuing an aggregate of 2,857,079 shares of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Series C preferred stock. We believe that the net proceeds from this offering together with our existing cash and cash equivalents will enable us to fund our operating expenses and capital expenditure requirements into the fourth quarter of 2022 – see “Liquidity and Capital Resources.”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 on our Operations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187"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However, the ultimate effect from this pandemic on our development timelines for TP-03 and our other product candidates is inherently uncertain.</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See “Risk Factors” for a further discussion of the potential adverse impact of COVID-19 on our business, results of operations and financial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condition.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In-License Agreements for Lotilaner</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In January 2019, we entered into the Eye and Derm Elanco Agreement with Elanco granting us a worldwide, sublicensable license for the development and marketing rights of lotilaner for the treatment or cure of any eye or skin disease or condition in humans. We plan to utilize these license rights in developing and marketing our TP-03 and TP-04 product candidates.</w:t>
      </w:r>
    </w:p>
    <w:p>
      <w:pPr>
        <w:spacing w:after="0" w:line="184"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We made an upfront cash payment at contract execution, which we recorded within “research and development” expense within our statements of operations for the year ended December 31, 2019 and six months ended June 30, 2019.</w:t>
      </w:r>
    </w:p>
    <w:p>
      <w:pPr>
        <w:spacing w:after="0" w:line="170" w:lineRule="exact"/>
        <w:rPr>
          <w:sz w:val="20"/>
          <w:szCs w:val="20"/>
          <w:color w:val="auto"/>
        </w:rPr>
      </w:pPr>
    </w:p>
    <w:p>
      <w:pPr>
        <w:ind w:left="120" w:right="280" w:firstLine="881"/>
        <w:spacing w:after="0" w:line="279" w:lineRule="auto"/>
        <w:rPr>
          <w:sz w:val="20"/>
          <w:szCs w:val="20"/>
          <w:color w:val="auto"/>
        </w:rPr>
      </w:pPr>
      <w:r>
        <w:rPr>
          <w:rFonts w:ascii="Arial" w:cs="Arial" w:eastAsia="Arial" w:hAnsi="Arial"/>
          <w:sz w:val="17"/>
          <w:szCs w:val="17"/>
          <w:color w:val="auto"/>
        </w:rPr>
        <w:t>The value of remaining clinical milestone payments that may become contractually due to Elanco for the Demodex blepharitis or MGD indications aggregate to $3.0 million, $1.0 million of which was paid in the third quarter of 2020; and aggregate to $3.0 million for the rosacea indication. We may also be required to pay Elanco up to an aggregate of $79.0 million for various commercialization and sales-threshold milestones. Also, we will be obligated to pay Elanco tiered single-digit royalties on our worldwide net sales of these products.</w:t>
      </w:r>
    </w:p>
    <w:p>
      <w:pPr>
        <w:spacing w:after="0" w:line="171"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7"/>
          <w:szCs w:val="17"/>
          <w:color w:val="auto"/>
        </w:rPr>
        <w:t>In September 2020, we entered into the All Human Uses Elanco Agreement with Elanco granting us a worldwide, sublicensable licenses for the development and marketing rights of lotilaner for all other applications in humans (i.e., in addition to the treatment or cure of any eye or skin disease or condition in humans). We plan to utilize these license rights in developing and marketing our TP-05 product candidates.</w:t>
      </w:r>
    </w:p>
    <w:p>
      <w:pPr>
        <w:spacing w:after="0" w:line="16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made an initial equity grant of approximately 0.2 million shares of our common stock to Elanco at contract execution. If the All Human Uses Elanco Agreement is not terminated, or if we have not provided notice to terminate the All Human Uses Elanco Agreement, within 18 months of its effective date, we will be required to issue Elanco additional shares of our common stock equating to $3.0 million of aggregate value in accordance with the terms of the All Human Uses Elanco Agreement.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The value of remaining clinical milestone payments that may become contractually due to Elanco for the treatment of malaria aggregate to $3.0 million; and aggregate to $1.5 million for the indications other than malaria. We may also be required to pay Elanco up to an aggregate of</w:t>
      </w:r>
    </w:p>
    <w:p>
      <w:pPr>
        <w:ind w:left="120" w:right="60"/>
        <w:spacing w:after="0" w:line="253" w:lineRule="auto"/>
        <w:rPr>
          <w:sz w:val="20"/>
          <w:szCs w:val="20"/>
          <w:color w:val="auto"/>
        </w:rPr>
      </w:pPr>
      <w:r>
        <w:rPr>
          <w:rFonts w:ascii="Arial" w:cs="Arial" w:eastAsia="Arial" w:hAnsi="Arial"/>
          <w:sz w:val="18"/>
          <w:szCs w:val="18"/>
          <w:color w:val="auto"/>
        </w:rPr>
        <w:t>$77.0 million for various commercialization and sales threshold milestones under the current terms of the All Human Uses Elanco Agreement. Also, we will be obligated under the terms of the All Human Uses Elanco Agreement to pay Elanco tiered single-digit royalties on net sales of these products including in the United States, Canada, the countries of the European Economic Area (which, for clarity, shall be deemed to include the United Kingdom), Australia, New Zealand and Japan.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operating expenses since inception have consisted solely of research and development expenses and general and administrative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research and development expenses consist of expenses incurred in connection with the development of our product candidates,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38" w:lineRule="exact"/>
        <w:rPr>
          <w:sz w:val="20"/>
          <w:szCs w:val="20"/>
          <w:color w:val="auto"/>
        </w:rPr>
      </w:pPr>
    </w:p>
    <w:p>
      <w:pPr>
        <w:ind w:left="1420" w:hanging="319"/>
        <w:spacing w:after="0"/>
        <w:tabs>
          <w:tab w:leader="none" w:pos="14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fees paid to third parties to conduct certain research and development activities on our behalf, including under agreements with CROs;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payments under licensing agreements, such as our upfront in-license fee for lotilaner;</w:t>
      </w:r>
    </w:p>
    <w:p>
      <w:pPr>
        <w:spacing w:after="0" w:line="252" w:lineRule="exact"/>
        <w:rPr>
          <w:rFonts w:ascii="Arial" w:cs="Arial" w:eastAsia="Arial" w:hAnsi="Arial"/>
          <w:sz w:val="18"/>
          <w:szCs w:val="18"/>
          <w:color w:val="auto"/>
        </w:rPr>
      </w:pPr>
    </w:p>
    <w:p>
      <w:pPr>
        <w:ind w:left="1420" w:right="240" w:hanging="319"/>
        <w:spacing w:after="0" w:line="277" w:lineRule="auto"/>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consulting costs and certain allocated payroll and employee-related expenses (including stock-based compensation and salaries) for personnel engaged in research and development functions;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related to compliance with clinical regulatory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costs of procuring drug products for use in our preclinical studies and clinical trials;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facilities expenses, which include direct and allocated expenses for rent of our laboratory.</w:t>
      </w:r>
    </w:p>
    <w:p>
      <w:pPr>
        <w:spacing w:after="0" w:line="225"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 to completion of specific tasks or patient dosing using information provided to us by our service providers.</w:t>
      </w:r>
    </w:p>
    <w:p>
      <w:pPr>
        <w:spacing w:after="0" w:line="14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 For the years ended December 31, 2018 and 2019 and for the six months ended June 30, 2019 and 2020, substantially all of our research and development expenses are attributable to our TP-03 program for Demodex blepharitis.</w:t>
      </w:r>
    </w:p>
    <w:p>
      <w:pPr>
        <w:spacing w:after="0" w:line="192"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such as TP-03, generally have higher development costs than those in earlier stages of clinical development, primarily due to the increased size and duration of later-stage clinical trials. We expect our research and development expenses to increase substantially following this offering and in the future, as we seek</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to initiate and progress additional clinical trials for our product candidates, including TP-03 for the potential treatment of MGD, TP-04 for the potential treatment of rosacea and TP-05 for potential Lyme prophylaxis and community malaria reduction, complete our clinical programs, pursue regulatory approval of our product candidates, and prepare for the possible commercialization of these product candidates. The successful development of our product candidates is highly uncertain. As this time, we cannot precisely estimate the aggregate costs required to complete significant portions of our clinical programs or additional costs associated with the validation of our contract manufacturers and suppliers as required by the FDA. See “Risk Factors” for a discussion of risks and uncertainties associated with our research and development projects.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65"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229"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Other income (expense), net consists primarily of interest expense on our convertible promissory notes, other expense from the change in fair value of the derivative liabilities associated with the promissory notes and losses recorded on the extinguishment of convertible promissory notes. Interest expense is comprised of coupon interest, amortization of debt issuance costs, and non-cash accretion of an estimated discount on the convertible promissory notes (as part of the separate recognition of an embedded derivative liability). Our recognized interest expense was partially offset by interest income earned on our cash and cash equivalents.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ind w:left="120" w:right="40" w:firstLine="881"/>
        <w:spacing w:after="0" w:line="284" w:lineRule="auto"/>
        <w:rPr>
          <w:sz w:val="20"/>
          <w:szCs w:val="20"/>
          <w:color w:val="auto"/>
        </w:rPr>
      </w:pPr>
      <w:r>
        <w:rPr>
          <w:rFonts w:ascii="Arial" w:cs="Arial" w:eastAsia="Arial" w:hAnsi="Arial"/>
          <w:sz w:val="16"/>
          <w:szCs w:val="16"/>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of December 31, 2019, we had deferred tax assets, including federal and state net operating loss carryforwards, of $1.4 million.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At December 31, 2019, we had federal and California research and development tax credits of</w:t>
      </w:r>
    </w:p>
    <w:p>
      <w:pPr>
        <w:spacing w:after="0" w:line="4" w:lineRule="exact"/>
        <w:rPr>
          <w:sz w:val="20"/>
          <w:szCs w:val="20"/>
          <w:color w:val="auto"/>
        </w:rPr>
      </w:pPr>
    </w:p>
    <w:p>
      <w:pPr>
        <w:ind w:left="120" w:right="700"/>
        <w:spacing w:after="0" w:line="260" w:lineRule="auto"/>
        <w:rPr>
          <w:sz w:val="20"/>
          <w:szCs w:val="20"/>
          <w:color w:val="auto"/>
        </w:rPr>
      </w:pPr>
      <w:r>
        <w:rPr>
          <w:rFonts w:ascii="Arial" w:cs="Arial" w:eastAsia="Arial" w:hAnsi="Arial"/>
          <w:sz w:val="18"/>
          <w:szCs w:val="18"/>
          <w:color w:val="auto"/>
        </w:rPr>
        <w:t>$0.1 million each. The federal research and development tax credits begin to expire in 2037 unless previously utilized, and the California credit carryforwards are available indefinitely.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780" w:type="dxa"/>
            <w:vAlign w:val="bottom"/>
            <w:gridSpan w:val="6"/>
          </w:tcPr>
          <w:p>
            <w:pPr>
              <w:jc w:val="right"/>
              <w:ind w:right="401"/>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78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rPr>
              <w:t>June 30,</w:t>
            </w:r>
          </w:p>
        </w:tc>
        <w:tc>
          <w:tcPr>
            <w:tcW w:w="68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10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$ 2,066</w:t>
            </w:r>
          </w:p>
        </w:tc>
        <w:tc>
          <w:tcPr>
            <w:tcW w:w="100" w:type="dxa"/>
            <w:vAlign w:val="bottom"/>
          </w:tcPr>
          <w:p>
            <w:pPr>
              <w:spacing w:after="0"/>
              <w:rPr>
                <w:sz w:val="18"/>
                <w:szCs w:val="18"/>
                <w:color w:val="auto"/>
              </w:rPr>
            </w:pPr>
          </w:p>
        </w:tc>
        <w:tc>
          <w:tcPr>
            <w:tcW w:w="1100" w:type="dxa"/>
            <w:vAlign w:val="bottom"/>
            <w:gridSpan w:val="3"/>
          </w:tcPr>
          <w:p>
            <w:pPr>
              <w:jc w:val="right"/>
              <w:ind w:right="241"/>
              <w:spacing w:after="0"/>
              <w:rPr>
                <w:sz w:val="20"/>
                <w:szCs w:val="20"/>
                <w:color w:val="auto"/>
              </w:rPr>
            </w:pPr>
            <w:r>
              <w:rPr>
                <w:rFonts w:ascii="Arial" w:cs="Arial" w:eastAsia="Arial" w:hAnsi="Arial"/>
                <w:sz w:val="18"/>
                <w:szCs w:val="18"/>
                <w:color w:val="auto"/>
              </w:rPr>
              <w:t>$ 3,249</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89"/>
              </w:rPr>
              <w:t>$ 1,183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514</w:t>
            </w:r>
          </w:p>
        </w:tc>
        <w:tc>
          <w:tcPr>
            <w:tcW w:w="11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2,132</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other income (expense) and income taxes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(2,580)</w:t>
            </w: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(5,381)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1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174</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Arial" w:cs="Arial" w:eastAsia="Arial" w:hAnsi="Arial"/>
                <w:sz w:val="18"/>
                <w:szCs w:val="18"/>
                <w:color w:val="auto"/>
              </w:rPr>
              <w:t>Total income (expense), net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(2,576</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(5,207</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(2,631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Research and development expenses increased by $1.2 million for the six months ended June 30, 2020. The increase was primarily due to</w:t>
      </w:r>
    </w:p>
    <w:p>
      <w:pPr>
        <w:spacing w:after="0" w:line="46" w:lineRule="exact"/>
        <w:rPr>
          <w:sz w:val="20"/>
          <w:szCs w:val="20"/>
          <w:color w:val="auto"/>
        </w:rPr>
      </w:pPr>
    </w:p>
    <w:p>
      <w:pPr>
        <w:ind w:left="120" w:right="180" w:hanging="4"/>
        <w:spacing w:after="0" w:line="255"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increased manufacturing and development activities of $0.8 million to support our clinical studies, and (ii) increased payroll and personnel-related expenses (including stock-based compensation) of $0.4 million due to additional clinical and formulation development employees to drive our product development initiatives.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General and administrative expenses increased by $1.6 million for the six months ended June 30, 2020. The increase was primarily due to $0.8 million increase in payroll and personnel-related expenses (including stock-based compensation) for employee additions and $0.7 million increase from market research activities and other professional services.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increase in interest income (expense), net of $0.2 million was primarily due to interest earned on our money market funds from the proceeds from the issuance of our Series B convertible preferred stock in December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for the years ended December 31, 2018 and 2019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21"/>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68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101"/>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3"/>
          </w:tcPr>
          <w:p>
            <w:pPr>
              <w:jc w:val="right"/>
              <w:ind w:right="120"/>
              <w:spacing w:after="0"/>
              <w:rPr>
                <w:sz w:val="20"/>
                <w:szCs w:val="20"/>
                <w:color w:val="auto"/>
              </w:rPr>
            </w:pPr>
            <w:r>
              <w:rPr>
                <w:rFonts w:ascii="Arial" w:cs="Arial" w:eastAsia="Arial" w:hAnsi="Arial"/>
                <w:sz w:val="18"/>
                <w:szCs w:val="18"/>
                <w:color w:val="auto"/>
              </w:rPr>
              <w:t>901</w:t>
            </w:r>
          </w:p>
        </w:tc>
        <w:tc>
          <w:tcPr>
            <w:tcW w:w="1100" w:type="dxa"/>
            <w:vAlign w:val="bottom"/>
            <w:gridSpan w:val="3"/>
          </w:tcPr>
          <w:p>
            <w:pPr>
              <w:jc w:val="right"/>
              <w:ind w:right="241"/>
              <w:spacing w:after="0"/>
              <w:rPr>
                <w:sz w:val="20"/>
                <w:szCs w:val="20"/>
                <w:color w:val="auto"/>
              </w:rPr>
            </w:pPr>
            <w:r>
              <w:rPr>
                <w:rFonts w:ascii="Arial" w:cs="Arial" w:eastAsia="Arial" w:hAnsi="Arial"/>
                <w:sz w:val="18"/>
                <w:szCs w:val="18"/>
                <w:color w:val="auto"/>
              </w:rPr>
              <w:t>$ 3,162</w:t>
            </w: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89"/>
              </w:rPr>
              <w:t>$ 2,261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100" w:type="dxa"/>
            <w:vAlign w:val="bottom"/>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1,136</w:t>
            </w: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other income (expense) and income taxes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(1,350)</w:t>
            </w: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(4,298)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Loss on extinguishment of convertible notes</w:t>
            </w: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81"/>
              <w:spacing w:after="0"/>
              <w:rPr>
                <w:sz w:val="20"/>
                <w:szCs w:val="20"/>
                <w:color w:val="auto"/>
              </w:rPr>
            </w:pPr>
            <w:r>
              <w:rPr>
                <w:rFonts w:ascii="Arial" w:cs="Arial" w:eastAsia="Arial" w:hAnsi="Arial"/>
                <w:sz w:val="18"/>
                <w:szCs w:val="18"/>
                <w:color w:val="auto"/>
              </w:rPr>
              <w:t>(255)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Arial" w:cs="Arial" w:eastAsia="Arial" w:hAnsi="Arial"/>
                <w:sz w:val="18"/>
                <w:szCs w:val="18"/>
                <w:color w:val="auto"/>
              </w:rPr>
              <w:t>Total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100" w:type="dxa"/>
            <w:vAlign w:val="bottom"/>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(1)</w:t>
            </w:r>
          </w:p>
        </w:tc>
        <w:tc>
          <w:tcPr>
            <w:tcW w:w="6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(1,319</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(4,670</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(3,351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Research and development expenses increased by $2.3 million for the year ended December 31, 2019. The increase was primarily due to</w:t>
      </w:r>
    </w:p>
    <w:p>
      <w:pPr>
        <w:spacing w:after="0" w:line="46" w:lineRule="exact"/>
        <w:rPr>
          <w:sz w:val="20"/>
          <w:szCs w:val="20"/>
          <w:color w:val="auto"/>
        </w:rPr>
      </w:pPr>
    </w:p>
    <w:p>
      <w:pPr>
        <w:ind w:left="120" w:right="660" w:hanging="4"/>
        <w:spacing w:after="0" w:line="255"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one-time upfront payment of $1.0 million for the Eye and Derm Elanco Agreement, (ii) increased payroll and personnel related expenses (including stock-based compensation) of $0.9 million due to additional clinical and formulation development employees to drive our product development initiatives, and (iii) increased clinical study site costs of $0.3 million.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General and administrative expenses increased by $0.7 million for the year ended December 31, 2019. The increase was primarily due to $0.5 million increase in payroll and personnel-related expenses (including stock-based compensation) for employee additions and $0.2 million increase primarily from legal service costs and market research activities.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225"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change in interest income (expense), net was primarily due to convertible promissory notes issued to our co-founders and certain other related parties, aggregating $2.0 million in principal value (see below). During the year ended December 31, 2019 interest expense recognized for these notes was $0.1 million and was partially offset by interest income on our cash and cash equivalents.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Derivative Liabilities</w:t>
      </w:r>
    </w:p>
    <w:p>
      <w:pPr>
        <w:spacing w:after="0" w:line="225"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During May, August, and October 2019, we issued convertible promissory notes to our co-founders and certain other related parties, aggregating $2.0 million in principal value. These notes contained stock-settled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redemption features that were required to be separately accounted for as derivative liabilities on the balance sheet until December 13, 2019 when we completed a qualified equity financing and these then-outstanding notes converted at the option of the holder into 2.0 million shares of Series B preferred stock. Change in fair value of derivative liabilities consists of non-cash changes in the fair value of these stock-settled redemption features. We classified the rights as a derivative liability on our balance sheet that was initially recorded at fair value and that we remeasured to fair value at December 13, 2019, and we recognized changes in the fair value of the derivative associated with the rights as a component of other income (expense) in our statement of operations.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on Extinguishment of Convertible Notes</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The loss on extinguishment of convertible notes was due to the extinguishment of convertible promissory notes issued to our co-founders and certain other related parties, aggregating $2.0 million in principal value (see below). On December 13, 2019 we completed the issuance of Series B preferred stock upon which the then-outstanding notes, along with accrued interest, converted into 2.0 million shares of Series B preferred stock.</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Since our inception in 2016 through June 30, 2020, our operations have been substantially financed by net cash proceeds of $61.0 million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private placements of Series A and Series B preferred stock. In September 2020, we issued 2,857,079 shares of our Series C preferred stock for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proceeds of $39.8 million. We will continue to be dependent upon equity, debt financing, and/or other forms of capital raises at least until we 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able to generate significant positive cash flows from our operations. As of June 30, 2020, we had cash and cash equivalents of $53.1 million, which does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 include the $39.8 million net cash proceeds we received in September 2020 from selling shares of our Series C preferred stock. We estimate that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had cash and cash equivalents of approximately $86.4 million as of September 30, 2020. This estimate was prepared by management in good faith 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upon internal reporting, is preliminary, and unaudited, and may be revised as a result of management’s further review of our results as of and for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three and nine months ended September 30, 2020. We have not yet completed our interim review procedures as of and for the period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2020. We have no ongoing material financing commitments, such as lines of credit or guarantees, that are expected to affect our liquidity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 the next five years.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Our primary use of cash is to fund operating expenditures, consisting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84"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believe that the net proceeds from this offering, in combination with our existing cash and cash equivalents, will enable us to fund our operating expenses and capital expenditure requirements into the fourth quarter of 2022. We have based these estimates on our current assumptions that may require future adjustments based on our ongoing business decisions. Accordingly, we may require additional capital resources earlier than we currently expect.</w:t>
      </w:r>
    </w:p>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To date, we have not generated any revenue.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clinical development programs and begin activities related to commercial launch readiness. We may encounter unforeseen expenses, difficulties, complications, delays and other currently unknown factors that could adversely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affect our business. Moreover, following the completion of this offering, we will incur material incremental costs in operating as a publicly traded company.</w:t>
      </w:r>
    </w:p>
    <w:p>
      <w:pPr>
        <w:spacing w:after="0" w:line="170" w:lineRule="exact"/>
        <w:rPr>
          <w:sz w:val="20"/>
          <w:szCs w:val="20"/>
          <w:color w:val="auto"/>
        </w:rPr>
      </w:pPr>
    </w:p>
    <w:p>
      <w:pPr>
        <w:ind w:left="120" w:right="160" w:firstLine="881"/>
        <w:spacing w:after="0" w:line="308" w:lineRule="auto"/>
        <w:rPr>
          <w:sz w:val="20"/>
          <w:szCs w:val="20"/>
          <w:color w:val="auto"/>
        </w:rPr>
      </w:pPr>
      <w:r>
        <w:rPr>
          <w:rFonts w:ascii="Arial" w:cs="Arial" w:eastAsia="Arial" w:hAnsi="Arial"/>
          <w:sz w:val="17"/>
          <w:szCs w:val="17"/>
          <w:color w:val="auto"/>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spacing w:after="0" w:line="173" w:lineRule="exact"/>
        <w:rPr>
          <w:sz w:val="20"/>
          <w:szCs w:val="20"/>
          <w:color w:val="auto"/>
        </w:rPr>
      </w:pPr>
    </w:p>
    <w:p>
      <w:pPr>
        <w:ind w:left="1420" w:right="26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amount of revenue, if any, received from commercial sales of our product candidates, should any of our product candidates receive marketing approval;</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any collaboration agreements we might have at such time;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52"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52" w:lineRule="exact"/>
        <w:rPr>
          <w:rFonts w:ascii="Arial" w:cs="Arial" w:eastAsia="Arial" w:hAnsi="Arial"/>
          <w:sz w:val="18"/>
          <w:szCs w:val="18"/>
          <w:color w:val="auto"/>
        </w:rPr>
      </w:pPr>
    </w:p>
    <w:p>
      <w:pPr>
        <w:ind w:left="1420" w:right="40" w:hanging="319"/>
        <w:spacing w:after="0" w:line="308" w:lineRule="auto"/>
        <w:tabs>
          <w:tab w:leader="none" w:pos="14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implementation of various computerized information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impact of COVID-19 on our clinical development or operations;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7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Adequate funding may not be available to us on acceptable terms or at all. Our potential inability to raise capital when needed could have a negative impact on our financial condition and our ability to pursue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prospectus titled “Risk Factors” for additional risks associated with our substantial capital requirements.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From May 2019 through October 2019, we issued convertible promissory notes with an aggregate principal amount of $2.0 million. These notes were fully converted into an aggregate of 268,056 shares of Series B preferred stock in December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primary sources and uses of cash, cash equivalents and restricted cash for each of the periods 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5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764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76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2"/>
                <w:szCs w:val="12"/>
                <w:color w:val="auto"/>
              </w:rPr>
            </w:pPr>
          </w:p>
        </w:tc>
        <w:tc>
          <w:tcPr>
            <w:tcW w:w="14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$(1,183)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 (3,673)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$(2,297)</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$(4,553)</w:t>
            </w: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3,564</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59,445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r>
      <w:tr>
        <w:trPr>
          <w:trHeight w:val="27"/>
        </w:trPr>
        <w:tc>
          <w:tcPr>
            <w:tcW w:w="7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$ 2,374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55,597</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(1,942)</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(4,817)</w:t>
            </w:r>
          </w:p>
        </w:tc>
      </w:tr>
      <w:tr>
        <w:trPr>
          <w:trHeight w:val="20"/>
        </w:trPr>
        <w:tc>
          <w:tcPr>
            <w:tcW w:w="7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Net cash used in operating activities was $1.2 million for the year ended December 31, 2018, which was primarily due to our net loss of $1.3 million, partially offset by an increase in accrued liabilities of $0.1 million associated with clinical and manufacturing activities.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Net cash used in operating activities was $3.7 million for the year ended December 31, 2019, which primarily consisted of our net loss of $4.7 million, partially offset by non-cash items totaling $0.5 million and a net increase in liabilities of $0.5 million associated with accounts payable and accrued bonuses.</w:t>
      </w:r>
    </w:p>
    <w:p>
      <w:pPr>
        <w:spacing w:after="0" w:line="184" w:lineRule="exact"/>
        <w:rPr>
          <w:sz w:val="20"/>
          <w:szCs w:val="20"/>
          <w:color w:val="auto"/>
        </w:rPr>
      </w:pPr>
    </w:p>
    <w:p>
      <w:pPr>
        <w:ind w:left="120" w:right="200" w:firstLine="881"/>
        <w:spacing w:after="0" w:line="308" w:lineRule="auto"/>
        <w:rPr>
          <w:sz w:val="20"/>
          <w:szCs w:val="20"/>
          <w:color w:val="auto"/>
        </w:rPr>
      </w:pPr>
      <w:r>
        <w:rPr>
          <w:rFonts w:ascii="Arial" w:cs="Arial" w:eastAsia="Arial" w:hAnsi="Arial"/>
          <w:sz w:val="17"/>
          <w:szCs w:val="17"/>
          <w:color w:val="auto"/>
        </w:rPr>
        <w:t>Net cash used in operating activities was $2.3 million for the six months ended June 30, 2019, which primarily consisted of our net loss of $2.6 million, partially offset by a net increase in liabilities of $0.2 million associated with accounts payable and other accrued liabilities.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Net cash used in operating activities was $4.6 million for the six months ended June 30, 2020, which primarily consisted of our net loss of $5.2 million, partially offset by non-cash items totaling $0.2 million and a net increase in liabilities of $0.4 million associated with accounts payable and other accrued liabilities.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cash used in investing activities was $7 thousand for the year ended December 31, 2018, which consisted of property and equipment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Net cash used in investing activities was $0.2 million for the year ended December 31, 2019, which consisted of property and equipment purchases and tenant improvements to our leased laboratory and administrative offices.</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Net cash used in investing activities was $0.1 million for the six months ended June 30, 2019, which consisted of property and equipment purchases and tenant improvements to our leased laboratory and administrative offices.</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Net cash used in investing activities was $0.4 million for the six months ended June 30, 2020, which consisted of property and equipment purchases and tenant improvements to our new leased laboratory and administrative offices.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Net cash provided by financing activities was $3.6 million for the year ended December 31, 2018 due to our issuance of Series A preferred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Net cash provided by financing activities was $59.4 million for the year ended December 31, 2019 due to our issuance of Series B preferred stock for net proceeds of $57.5 million and issuance of convertible promissory notes for proceeds of $2.0 million.</w:t>
      </w:r>
    </w:p>
    <w:p>
      <w:pPr>
        <w:spacing w:after="0" w:line="170"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Net cash provided by financing activities was $0.5 million for the six months ended June 30, 2019 due to our issuance of convertible promissory notes for proceeds of $0.5 million.</w:t>
      </w:r>
    </w:p>
    <w:p>
      <w:pPr>
        <w:spacing w:after="0" w:line="170"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Net cash provided by financing activities was $0.1 million for the six months ended June 30, 2020 due to proceeds from the early exercise of stock options of $0.1 million.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w w:val="94"/>
              </w:rPr>
              <w:t>Less</w:t>
            </w:r>
          </w:p>
        </w:tc>
        <w:tc>
          <w:tcPr>
            <w:tcW w:w="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More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than</w:t>
            </w:r>
          </w:p>
        </w:tc>
        <w:tc>
          <w:tcPr>
            <w:tcW w:w="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1 year</w:t>
            </w: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5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 xml:space="preserve">Contingent milestone obligations </w:t>
            </w:r>
            <w:r>
              <w:rPr>
                <w:rFonts w:ascii="Arial" w:cs="Arial" w:eastAsia="Arial" w:hAnsi="Arial"/>
                <w:sz w:val="15"/>
                <w:szCs w:val="15"/>
                <w:color w:val="auto"/>
              </w:rPr>
              <w:t>(2)</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2,000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85,000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6,106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66,000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85,183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operating lease obligations are related to the facility lease for our corporate headquarters and research and development facility in Irvine, California, expiring April 30, 2022.</w:t>
      </w:r>
    </w:p>
    <w:p>
      <w:pPr>
        <w:spacing w:after="0" w:line="242" w:lineRule="exact"/>
        <w:rPr>
          <w:rFonts w:ascii="Arial" w:cs="Arial" w:eastAsia="Arial" w:hAnsi="Arial"/>
          <w:sz w:val="13"/>
          <w:szCs w:val="13"/>
          <w:color w:val="auto"/>
        </w:rPr>
      </w:pPr>
    </w:p>
    <w:p>
      <w:pPr>
        <w:ind w:left="540" w:right="40" w:hanging="424"/>
        <w:spacing w:after="0" w:line="231"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enter into contracts in the normal course of business with (i) clinical research organizations and clinical sites, (ii) contract manufacturers for pre-clinical and clinical drug supply, (iii) regulatory consultants and (iv) various other vendors in operating our business. These contracts generally provide for termination provisions with notice, and therefore we believe that our non-cancelable obligations under these agreements were not material as of December 31, 2019.</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92"/>
              </w:rPr>
              <w:t>Payments Due by Period</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4"/>
              </w:rPr>
              <w:t>Less</w:t>
            </w:r>
          </w:p>
        </w:tc>
        <w:tc>
          <w:tcPr>
            <w:tcW w:w="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1 to 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3 to 5</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More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than</w:t>
            </w:r>
          </w:p>
        </w:tc>
        <w:tc>
          <w:tcPr>
            <w:tcW w:w="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1 year</w:t>
            </w:r>
          </w:p>
        </w:tc>
        <w:tc>
          <w:tcPr>
            <w:tcW w:w="6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5 years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 xml:space="preserve">Contingent milestone obligations </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88"/>
              </w:rPr>
              <w:t>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11,000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85,000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1,118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4"/>
              </w:rPr>
              <w:t>3,312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6,623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11,221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87,156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60" w:hanging="424"/>
        <w:spacing w:after="0" w:line="253"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operating lease obligations are related to the facility lease for our corporate headquarters and research and development facility in Irvine, California, expiring April 30, 2022 and January 31, 2024.</w:t>
      </w:r>
    </w:p>
    <w:p>
      <w:pPr>
        <w:spacing w:after="0" w:line="200" w:lineRule="exact"/>
        <w:rPr>
          <w:rFonts w:ascii="Arial" w:cs="Arial" w:eastAsia="Arial" w:hAnsi="Arial"/>
          <w:sz w:val="14"/>
          <w:szCs w:val="14"/>
          <w:color w:val="auto"/>
        </w:rPr>
      </w:pPr>
    </w:p>
    <w:p>
      <w:pPr>
        <w:ind w:left="540" w:right="40" w:hanging="424"/>
        <w:spacing w:after="0" w:line="231"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210" w:lineRule="exact"/>
        <w:rPr>
          <w:rFonts w:ascii="Arial" w:cs="Arial" w:eastAsia="Arial" w:hAnsi="Arial"/>
          <w:sz w:val="14"/>
          <w:szCs w:val="14"/>
          <w:color w:val="auto"/>
        </w:rPr>
      </w:pPr>
    </w:p>
    <w:p>
      <w:pPr>
        <w:ind w:left="540" w:right="180" w:hanging="424"/>
        <w:spacing w:after="0" w:line="233"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Purchase obligations represent the amount of open purchase orders and contractual commitments to vendors for products and services that have not been delivered or rendered, as of June 30, 2020. We enter contracts in the normal course of business with clinical research organizations and clinical sites and with contract manufacturers for pre-clinical and clinical drug supply, as well as with various other vendors in operating our business. These contracts generally provide for termination provisions with notice. The values in each column represent the obligations that are non-cancelable as of June 30, 2020.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60" w:firstLine="881"/>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financial statements, which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77" w:lineRule="exact"/>
        <w:rPr>
          <w:sz w:val="20"/>
          <w:szCs w:val="20"/>
          <w:color w:val="auto"/>
        </w:rPr>
      </w:pPr>
    </w:p>
    <w:p>
      <w:pPr>
        <w:ind w:left="120" w:right="22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the notes to our financial statements also included in this registration statement, we believe these critical accounting policies are the most important to understanding and evaluating our reported financial results.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71"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measure and recognize compensation expense for all options based on the estimated fair value of the award on the grant date. We use the Black-Scholes option-pricing model to estimate the fair value of awarded stock options. The fair value is recognized as expense on a straight-line or ratable basis over the requisite or implicit service period.</w:t>
      </w:r>
    </w:p>
    <w:p>
      <w:pPr>
        <w:spacing w:after="0" w:line="18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determination of the grant date fair value of options using an option pricing model is affected principally by our estimated fair value of shares of our common stock and requires management to make a number of other assumptions, including the (a) the fair value of Tarsus common stock on the date of the option grant, (b) the expected term of the stock option until its exercise by the recipient, (c) our stock price volatility over the expected term, (d) the prevailing risk-free interest rate over the expected term, and (e) our expected dividend payments over the expected term.</w:t>
      </w:r>
    </w:p>
    <w:p>
      <w:pPr>
        <w:spacing w:after="0" w:line="157"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The assumptions used in our Black-Scholes option-pricing model represent management’s best estimates at the time of measurement. These estimates are complex and involve several variables, uncertainties, and assumptions and the application of management’s judgment. If any assumptions change, our stock-based compensation expense could be materially different in the future.</w:t>
      </w:r>
    </w:p>
    <w:p>
      <w:pPr>
        <w:spacing w:after="0" w:line="184"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Subsequent to June 30, 2020, we granted options to purchase an aggregate of 737,517 shares of common stock to certain employees, consultants, and board members that have a weighted-average exercise price of $7.08 per share. We expect to record aggregate stock-based compensation of approximately $7.9 million related to these unvested stock options. This amount represents the combined July 13, 2020 and September 25, 2020 grant date fair value of the common stock underlying these options which are expected to be calculated using the price per share of our Series C preferred stock issued in September 2020 at $14.0003 per share in the Black-Scholes model as the fair value input. This expense will be recorded over a weighted-average period of 3.2 years beginning with our financial statements for the three and nine months ended September 30,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 xml:space="preserve">We are required to periodically estimate the fair value of our common stock in order properly apply the Black-Scholes option pricing model to value our issued stock options to employees, board members, and consultants. The fair value of our common stock is the most subjective input into this option pricing model. The fair value of our common stock underlying our stock-based awards at the time of issuance was derived with the assistance of an independent and qualified valuation expert. All options to purchase shares of our common stock are intended to be granted with an exercise price per share no less than the fair value per share of our common stock on the date of grant, based on the information known to us on the date of grant. In the absence of a public trading market for our common stock, the estimated fair value of our common stock has been determined by our board of directors, with input from management, taking into consideration our most recently available third-party valuations of our common stock at the time of the grants, as well as our board of directors’ assessment of additional objective and subjective factors that it believed were relevant and which may have changed from the date of the most recent valuation report through the date of the grant. Third-party valuations, or valuation reports, were performed in accordance with the guidance outlined in the American Institute of Certified Public Accountants’ </w:t>
      </w:r>
      <w:r>
        <w:rPr>
          <w:rFonts w:ascii="Arial" w:cs="Arial" w:eastAsia="Arial" w:hAnsi="Arial"/>
          <w:sz w:val="16"/>
          <w:szCs w:val="16"/>
          <w:i w:val="1"/>
          <w:iCs w:val="1"/>
          <w:color w:val="auto"/>
        </w:rPr>
        <w:t>Accounting and Valuation Guide, Valuation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Privately-Held-Company Equity Securities Issued as Compensation, or the Practice Aid</w:t>
      </w:r>
      <w:r>
        <w:rPr>
          <w:rFonts w:ascii="Arial" w:cs="Arial" w:eastAsia="Arial" w:hAnsi="Arial"/>
          <w:sz w:val="16"/>
          <w:szCs w:val="16"/>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881"/>
        <w:spacing w:after="0" w:line="308" w:lineRule="auto"/>
        <w:rPr>
          <w:sz w:val="20"/>
          <w:szCs w:val="20"/>
          <w:color w:val="auto"/>
        </w:rPr>
      </w:pPr>
      <w:r>
        <w:rPr>
          <w:rFonts w:ascii="Arial" w:cs="Arial" w:eastAsia="Arial" w:hAnsi="Arial"/>
          <w:sz w:val="17"/>
          <w:szCs w:val="17"/>
          <w:color w:val="auto"/>
        </w:rPr>
        <w:t>In addition to contemporaneous or most recently available third-party valuation reports, our board of directors also considered various objective and subjective factors, along with input from management, to determine the fair value of our common stock, including:</w:t>
      </w:r>
    </w:p>
    <w:p>
      <w:pPr>
        <w:spacing w:after="0" w:line="173" w:lineRule="exact"/>
        <w:rPr>
          <w:sz w:val="20"/>
          <w:szCs w:val="20"/>
          <w:color w:val="auto"/>
        </w:rPr>
      </w:pPr>
    </w:p>
    <w:p>
      <w:pPr>
        <w:ind w:left="1420" w:right="220" w:hanging="319"/>
        <w:spacing w:after="0" w:line="26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price of our Series A preferred stock, Series B preferred stock and Series C preferred stock sold to investors in arm’s length transactions and the rights, preferences and privileges of such preferred stock as compared to those of our common stock, including the liquidation preferences of such preferred stock;</w:t>
      </w:r>
    </w:p>
    <w:p>
      <w:pPr>
        <w:spacing w:after="0" w:line="210" w:lineRule="exact"/>
        <w:rPr>
          <w:rFonts w:ascii="Arial" w:cs="Arial" w:eastAsia="Arial" w:hAnsi="Arial"/>
          <w:sz w:val="18"/>
          <w:szCs w:val="18"/>
          <w:color w:val="auto"/>
        </w:rPr>
      </w:pPr>
    </w:p>
    <w:p>
      <w:pPr>
        <w:ind w:left="1420" w:right="80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results of operations, financial position and the status of research and development and clinical development efforts and achievement of enterprise milestones;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lack of liquidity of our common stock as a private company;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stage of development, business strategy and the material risks related to our business and industry;</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valuation of publicly-traded companies in the life sciences and biotechnology sectors, as well as recently completed mergers and acquisitions of peer companies;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IPO, or a sale of our company, given prevailing market conditions;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state of the IPO market for similarly situated privately held biotechnology companies.</w:t>
      </w:r>
    </w:p>
    <w:p>
      <w:pPr>
        <w:spacing w:after="0" w:line="225" w:lineRule="exact"/>
        <w:rPr>
          <w:sz w:val="20"/>
          <w:szCs w:val="20"/>
          <w:color w:val="auto"/>
        </w:rPr>
      </w:pPr>
    </w:p>
    <w:p>
      <w:pPr>
        <w:ind w:left="120" w:right="180" w:firstLine="881"/>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51" w:lineRule="exact"/>
        <w:rPr>
          <w:sz w:val="20"/>
          <w:szCs w:val="20"/>
          <w:color w:val="auto"/>
        </w:rPr>
      </w:pPr>
    </w:p>
    <w:p>
      <w:pPr>
        <w:ind w:left="1420" w:hanging="319"/>
        <w:spacing w:after="0" w:line="286" w:lineRule="auto"/>
        <w:tabs>
          <w:tab w:leader="none" w:pos="14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Hybrid Option Pricing Method. The hybrid option pricing method (“HOPM”) is a hybrid between the PWERM (as defined below) and the option pricing model, estimating the probability-weighted value across multiple scenarios but using the option pricing model to estimate the allocation of value within one or more of those scenarios. Under the HOPM, shares are valued by taking into account the preferred stockholders’ liquidation preferences, participation rights, dividend policy, and conversion rights to determine how proceeds from a liquidity event shall be distributed among the various ownership classes at a future date and also applies the PWERM. The HOPM considers the current value of equity and then allocates that equity value to the various interests considering their rights and preferences. The HOPM treats common stock and preferred stock as call options on the portfolio company’s equity value, with exercise prices based on the liquidation preferences of the preferred stock. Under this method, the common stock has value only if the funds available for distribution to shareholders exceed the value of the liquidation preferences at the time of a liquidity event (for example, a merger or sale), assuming the portfolio company has funds available to make a liquidation preference meaningful and collectible by the shareholders. The common stock is modeled as a call option that gives its owner the right, but not the obligation, to buy the underlying equity value at a predetermined or exercise price. In the model, the exercise price is based on a comparison with the equity value rather than, as in the case of a “regular” call option, a comparison with a per-share stock price. Thus, common stock is considered to be a call option with a claim on the equity at an exercise price equal to the remaining value immediately after the preferred stock is liquidated. The option pricing model has commonly used the Black-Scholes model to price the call option.</w:t>
      </w:r>
    </w:p>
    <w:p>
      <w:pPr>
        <w:spacing w:after="0" w:line="99" w:lineRule="exact"/>
        <w:rPr>
          <w:rFonts w:ascii="Arial" w:cs="Arial" w:eastAsia="Arial" w:hAnsi="Arial"/>
          <w:sz w:val="16"/>
          <w:szCs w:val="16"/>
          <w:color w:val="auto"/>
        </w:rPr>
      </w:pPr>
    </w:p>
    <w:p>
      <w:pPr>
        <w:ind w:left="5500" w:hanging="112"/>
        <w:spacing w:after="0"/>
        <w:tabs>
          <w:tab w:leader="none" w:pos="55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112 -</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40" w:hanging="319"/>
        <w:spacing w:after="0" w:line="311" w:lineRule="auto"/>
        <w:tabs>
          <w:tab w:leader="none" w:pos="14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Probability-Weighted Expected Return Method. 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4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Based on our early stage of development and other relevant factors, we determined that an HOPM was the most appropriate method for allocating our enterprise value to determine the estimated fair value of our common stock for the valuation performed on May 31, 2018. For the valuation performed after this date which valued our common stock as of March 19, 2020, we also used an HOPM method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7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84"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daily quoted market price of our common stock.</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A description of recent accounting pronouncements that may potentially impact our financial position, results of operations or cash flows is disclosed in the notes to which they relate within our financial statements also included in this registration statement.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2019 or June 30, 2020.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84"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following the fifth anniversary of the completion of this offering, (b) in which we have total annual gross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2020, we had cash and cash equivalents of $53.1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do not believe that inflation, interest rate changes, or exchange rate fluctuations had a significant impact on our results of operations for any periods presented herein.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showed statistically significant cure and eradication rates,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74" w:lineRule="exact"/>
        <w:rPr>
          <w:sz w:val="20"/>
          <w:szCs w:val="20"/>
          <w:color w:val="auto"/>
        </w:rPr>
      </w:pPr>
    </w:p>
    <w:p>
      <w:pPr>
        <w:ind w:left="120" w:right="180" w:firstLine="881"/>
        <w:spacing w:after="0" w:line="279" w:lineRule="auto"/>
        <w:rPr>
          <w:sz w:val="20"/>
          <w:szCs w:val="20"/>
          <w:color w:val="auto"/>
        </w:rPr>
      </w:pPr>
      <w:r>
        <w:rPr>
          <w:rFonts w:ascii="Arial" w:cs="Arial" w:eastAsia="Arial" w:hAnsi="Arial"/>
          <w:sz w:val="17"/>
          <w:szCs w:val="17"/>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pipeline chart presents our wholly-owned product candidates and clinical development status: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920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Anticipated milestones are subject to the impact of the ongoing COVID-19 pandemic on our business and those of our partners.</w:t>
      </w:r>
    </w:p>
    <w:p>
      <w:pPr>
        <w:spacing w:after="0" w:line="140" w:lineRule="exact"/>
        <w:rPr>
          <w:rFonts w:ascii="Arial" w:cs="Arial" w:eastAsia="Arial" w:hAnsi="Arial"/>
          <w:sz w:val="14"/>
          <w:szCs w:val="14"/>
          <w:color w:val="auto"/>
        </w:rPr>
      </w:pPr>
    </w:p>
    <w:p>
      <w:pPr>
        <w:ind w:left="5500" w:hanging="112"/>
        <w:spacing w:after="0"/>
        <w:tabs>
          <w:tab w:leader="none" w:pos="55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115 -</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40" w:hanging="424"/>
        <w:spacing w:after="0" w:line="230"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540" w:hanging="424"/>
        <w:spacing w:after="0"/>
        <w:tabs>
          <w:tab w:leader="none" w:pos="540" w:val="left"/>
        </w:tabs>
        <w:numPr>
          <w:ilvl w:val="0"/>
          <w:numId w:val="92"/>
        </w:numPr>
        <w:rPr>
          <w:rFonts w:ascii="Arial" w:cs="Arial" w:eastAsia="Arial" w:hAnsi="Arial"/>
          <w:sz w:val="13"/>
          <w:szCs w:val="13"/>
          <w:color w:val="auto"/>
        </w:rPr>
      </w:pPr>
      <w:r>
        <w:rPr>
          <w:rFonts w:ascii="Arial" w:cs="Arial" w:eastAsia="Arial" w:hAnsi="Arial"/>
          <w:sz w:val="13"/>
          <w:szCs w:val="13"/>
          <w:color w:val="auto"/>
        </w:rPr>
        <w:t xml:space="preserve">We intend to leverage all preclinical, Phase 2 and Phase 3 data from the TP-03 Demodex blepharitis program. We intend to conduct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or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bioequivalence studies with our</w:t>
      </w:r>
    </w:p>
    <w:p>
      <w:pPr>
        <w:ind w:left="540"/>
        <w:spacing w:after="0" w:line="221" w:lineRule="auto"/>
        <w:rPr>
          <w:sz w:val="20"/>
          <w:szCs w:val="20"/>
          <w:color w:val="auto"/>
        </w:rPr>
      </w:pPr>
      <w:r>
        <w:rPr>
          <w:rFonts w:ascii="Arial" w:cs="Arial" w:eastAsia="Arial" w:hAnsi="Arial"/>
          <w:sz w:val="14"/>
          <w:szCs w:val="14"/>
          <w:color w:val="auto"/>
        </w:rPr>
        <w:t>preservative-free formulation to compare it to the current preserved formulation of TP-03 in Demodex blepharitis after NDA submission and file a supplement.</w:t>
      </w:r>
    </w:p>
    <w:p>
      <w:pPr>
        <w:ind w:left="540" w:right="60" w:hanging="424"/>
        <w:spacing w:after="0" w:line="221"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 We have not conducted any preclinical studies in rosacea with TP-04 to date.</w:t>
      </w:r>
    </w:p>
    <w:p>
      <w:pPr>
        <w:spacing w:after="0" w:line="1" w:lineRule="exact"/>
        <w:rPr>
          <w:sz w:val="20"/>
          <w:szCs w:val="20"/>
          <w:color w:val="auto"/>
        </w:rPr>
      </w:pPr>
    </w:p>
    <w:p>
      <w:pPr>
        <w:ind w:left="540" w:hanging="424"/>
        <w:spacing w:after="0" w:line="226"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Subject to FDA feedback from our planned pre-IND meeting, we intend to conduct Phase 1/2 trials in these indications based on these preclinical studies. In relation to malaria, we may conduct our Phase 1/2 trial outside the United States. While we plan to discuss this approach for Lyme disease in a planned pre-IND meeting with the FDA, the FDA may reject our use of data from these preclinical studies and require us to conduct additional preclinical studies before advancing to clinical trials, which may delay our expected timelines for approval and increase costs.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Blepharitis: A Significant, Underserved and Underdiagnosed Market</w:t>
      </w:r>
    </w:p>
    <w:p>
      <w:pPr>
        <w:spacing w:after="0" w:line="229"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6"/>
          <w:szCs w:val="16"/>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In addition, there is growing awareness among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71" w:lineRule="exact"/>
        <w:rPr>
          <w:sz w:val="20"/>
          <w:szCs w:val="20"/>
          <w:color w:val="auto"/>
        </w:rPr>
      </w:pPr>
    </w:p>
    <w:p>
      <w:pPr>
        <w:ind w:left="120" w:right="180" w:firstLine="881"/>
        <w:spacing w:after="0" w:line="273" w:lineRule="auto"/>
        <w:rPr>
          <w:sz w:val="20"/>
          <w:szCs w:val="20"/>
          <w:color w:val="auto"/>
        </w:rPr>
      </w:pPr>
      <w:r>
        <w:rPr>
          <w:rFonts w:ascii="Arial" w:cs="Arial" w:eastAsia="Arial" w:hAnsi="Arial"/>
          <w:sz w:val="17"/>
          <w:szCs w:val="17"/>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78" w:lineRule="exact"/>
        <w:rPr>
          <w:sz w:val="20"/>
          <w:szCs w:val="20"/>
          <w:color w:val="auto"/>
        </w:rPr>
      </w:pPr>
    </w:p>
    <w:p>
      <w:pPr>
        <w:ind w:left="120" w:right="120" w:firstLine="881"/>
        <w:spacing w:after="0" w:line="254" w:lineRule="auto"/>
        <w:rPr>
          <w:sz w:val="20"/>
          <w:szCs w:val="20"/>
          <w:color w:val="auto"/>
        </w:rPr>
      </w:pPr>
      <w:r>
        <w:rPr>
          <w:rFonts w:ascii="Arial" w:cs="Arial" w:eastAsia="Arial" w:hAnsi="Arial"/>
          <w:sz w:val="18"/>
          <w:szCs w:val="18"/>
          <w:color w:val="auto"/>
        </w:rPr>
        <w:t>We have conducted epidemiology and market research on the prevalence of blepharitis and potential adoption of TP-03. Our research indicates approximately 58% of patients presenting to ECP offices have collarettes and, based on Gao (2005), all patients with collarettes were also found to have Demodex. This further validates the accessible opportunity to increase diagnosis rates among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See the section titled “Market Opportunity in Blepharitis—Our Market Research Studies and Surveys” for more information regarding our surveys. Further, patients continue to have underlying risk of</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7"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believe the blepharitis market has the potential to be analogous to other ophthalmic markets that grew significantly once there was a product to address the large, latent demand for an effective therapy, such as dry eye. For example, another ocular surface disease, dry eye, had no approved therapeutic for the condition until 2003. With the approval of a therapeutic to treat dry eye in 2003 and concurrent ECP and patient education, the diagnosis rate increased by approximately 12 times, growing from 500,000 annual diagnoses in 2003 to over six million annual diagnoses in 2015. Annual diagnoses rates have been maintained at similar levels since 2015. Blepharitis already has 2.1 million diagnoses per year with blepharitis classified per the ICD-10-CM, despite no approved therapies to help with market awareness, but we believe there is potential for significant market expansion. The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certain other factors. See “Risk Factors –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17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TP-03</w:t>
      </w:r>
    </w:p>
    <w:p>
      <w:pPr>
        <w:spacing w:after="0" w:line="229"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provides the characteristics of TP-03 in the Saturn-1 Phase 2b/3 clinical trial:</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2: Characteristics of TP-03 in the Saturn-1 Phase 2b/3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348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120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 xml:space="preserve">We have completed four Phase 2 clinical trials to date, along with one additional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and showed statistically significant cure and eradication rates in our two most recent trials, Io and Europa.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figure provides a summary of our completed and planned clinical investigations evaluating TP-03 for Demodex blepharitis:</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3: Our Completed and Planned Clinical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77790" cy="29832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777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540" w:right="200" w:hanging="424"/>
        <w:spacing w:after="0" w:line="268" w:lineRule="auto"/>
        <w:tabs>
          <w:tab w:leader="none" w:pos="5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w:t>
      </w:r>
    </w:p>
    <w:p>
      <w:pPr>
        <w:ind w:left="540"/>
        <w:spacing w:after="0" w:line="222" w:lineRule="auto"/>
        <w:rPr>
          <w:sz w:val="20"/>
          <w:szCs w:val="20"/>
          <w:color w:val="auto"/>
        </w:rPr>
      </w:pPr>
      <w:r>
        <w:rPr>
          <w:rFonts w:ascii="Arial" w:cs="Arial" w:eastAsia="Arial" w:hAnsi="Arial"/>
          <w:sz w:val="14"/>
          <w:szCs w:val="14"/>
          <w:color w:val="auto"/>
        </w:rPr>
        <w:t>from mite eradication. Mite density is translated into mite eradication, which is defined as zero mites per lash consistently throughout trials.</w:t>
      </w:r>
    </w:p>
    <w:p>
      <w:pPr>
        <w:ind w:left="540" w:hanging="424"/>
        <w:spacing w:after="0" w:line="221"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Primary endpoint in Io, Europa, Saturn-1 and intended in Saturn-2 is collarette cure rate based on collarette grade.</w:t>
      </w:r>
    </w:p>
    <w:p>
      <w:pPr>
        <w:ind w:left="540" w:hanging="424"/>
        <w:spacing w:after="0" w:line="222"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 connection with our IND application, a no-objection letter was received from the FDA regarding the trial design of the Saturn-1 trial.</w:t>
      </w:r>
    </w:p>
    <w:p>
      <w:pPr>
        <w:ind w:left="540" w:hanging="424"/>
        <w:spacing w:after="0"/>
        <w:tabs>
          <w:tab w:leader="none" w:pos="5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Saturn-2 design is highly comparable to that of Saturn-1 with respect to which the FDA raised “no-objection” and we expect to update the IND protocol prior to commencing Saturn-2.</w:t>
      </w:r>
    </w:p>
    <w:p>
      <w:pPr>
        <w:spacing w:after="0" w:line="207"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6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the estimated 34 million dry eye patient population. One species of Demodex mite, </w:t>
      </w:r>
      <w:r>
        <w:rPr>
          <w:rFonts w:ascii="Arial" w:cs="Arial" w:eastAsia="Arial" w:hAnsi="Arial"/>
          <w:sz w:val="18"/>
          <w:szCs w:val="18"/>
          <w:i w:val="1"/>
          <w:iCs w:val="1"/>
          <w:color w:val="auto"/>
        </w:rPr>
        <w:t>Demodex brevis</w:t>
      </w:r>
      <w:r>
        <w:rPr>
          <w:rFonts w:ascii="Arial" w:cs="Arial" w:eastAsia="Arial" w:hAnsi="Arial"/>
          <w:sz w:val="18"/>
          <w:szCs w:val="18"/>
          <w:color w:val="auto"/>
        </w:rPr>
        <w:t xml:space="preserve">, is known to infest the meibomian gland, and clinical signs of MGD have been shown to be correlated with infestation of </w:t>
      </w:r>
      <w:r>
        <w:rPr>
          <w:rFonts w:ascii="Arial" w:cs="Arial" w:eastAsia="Arial" w:hAnsi="Arial"/>
          <w:sz w:val="18"/>
          <w:szCs w:val="18"/>
          <w:i w:val="1"/>
          <w:iCs w:val="1"/>
          <w:color w:val="auto"/>
        </w:rPr>
        <w:t>Demodex</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i w:val="1"/>
          <w:iCs w:val="1"/>
          <w:color w:val="auto"/>
        </w:rPr>
        <w:t>brevis</w:t>
      </w:r>
      <w:r>
        <w:rPr>
          <w:rFonts w:ascii="Arial" w:cs="Arial" w:eastAsia="Arial" w:hAnsi="Arial"/>
          <w:sz w:val="18"/>
          <w:szCs w:val="18"/>
          <w:color w:val="auto"/>
        </w:rPr>
        <w:t>. While dry eye is a multi-factorial disease, TP-03 is designed to relieve some of the key elements of MGD by virtue of causing the death of the</w:t>
      </w:r>
      <w:r>
        <w:rPr>
          <w:rFonts w:ascii="Arial" w:cs="Arial" w:eastAsia="Arial" w:hAnsi="Arial"/>
          <w:sz w:val="18"/>
          <w:szCs w:val="18"/>
          <w:i w:val="1"/>
          <w:iCs w:val="1"/>
          <w:color w:val="auto"/>
        </w:rPr>
        <w:t xml:space="preserve"> Demodex brevis </w:t>
      </w:r>
      <w:r>
        <w:rPr>
          <w:rFonts w:ascii="Arial" w:cs="Arial" w:eastAsia="Arial" w:hAnsi="Arial"/>
          <w:sz w:val="18"/>
          <w:szCs w:val="18"/>
          <w:color w:val="auto"/>
        </w:rPr>
        <w:t>mites.</w:t>
      </w:r>
    </w:p>
    <w:p>
      <w:pPr>
        <w:spacing w:after="0" w:line="170" w:lineRule="exact"/>
        <w:rPr>
          <w:sz w:val="20"/>
          <w:szCs w:val="20"/>
          <w:color w:val="auto"/>
        </w:rPr>
      </w:pPr>
    </w:p>
    <w:p>
      <w:pPr>
        <w:jc w:val="both"/>
        <w:ind w:left="120" w:right="460" w:firstLine="881"/>
        <w:spacing w:after="0" w:line="263" w:lineRule="auto"/>
        <w:rPr>
          <w:sz w:val="20"/>
          <w:szCs w:val="20"/>
          <w:color w:val="auto"/>
        </w:rPr>
      </w:pPr>
      <w:r>
        <w:rPr>
          <w:rFonts w:ascii="Arial" w:cs="Arial" w:eastAsia="Arial" w:hAnsi="Arial"/>
          <w:sz w:val="18"/>
          <w:szCs w:val="18"/>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In anticipation of such trial, we intend to initiate preclinical studies in 2020 to select Phase 1/2 formulation for TP-04.</w:t>
      </w:r>
    </w:p>
    <w:p>
      <w:pPr>
        <w:spacing w:after="0" w:line="17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we believe TP-05 also has the potential to significantly reduce malaria transmission through reducing the lifespan of mosquitos that transmit malaria. This may in turn provide herd protection against the spread of malaria. TP-05 is not intended to treat the disease, but to limit its transmission. We plan to seek FDA feedback in a pre-IND meeting and submit an IND and initiate a Phase 1/2 trial of TP-05 for Lyme disease in 2021. For malaria, we may conduct the Phase 1/2 trial outside of the United States.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 and Differentiation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our company and our product candidates have the following key distinguishing characteristics:</w:t>
      </w:r>
    </w:p>
    <w:p>
      <w:pPr>
        <w:spacing w:after="0" w:line="248" w:lineRule="exact"/>
        <w:rPr>
          <w:sz w:val="20"/>
          <w:szCs w:val="20"/>
          <w:color w:val="auto"/>
        </w:rPr>
      </w:pPr>
    </w:p>
    <w:p>
      <w:pPr>
        <w:ind w:left="1420" w:right="20" w:hanging="319"/>
        <w:spacing w:after="0" w:line="269" w:lineRule="auto"/>
        <w:tabs>
          <w:tab w:leader="none" w:pos="142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TP-03 is currently in Phase 2b/3 and has met various endpoints for efficacy in Phase 2 trials. </w:t>
      </w:r>
      <w:r>
        <w:rPr>
          <w:rFonts w:ascii="Arial" w:cs="Arial" w:eastAsia="Arial" w:hAnsi="Arial"/>
          <w:sz w:val="17"/>
          <w:szCs w:val="17"/>
          <w:color w:val="auto"/>
        </w:rPr>
        <w:t>We have observed TP-03’s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205" w:lineRule="exact"/>
        <w:rPr>
          <w:rFonts w:ascii="Arial" w:cs="Arial" w:eastAsia="Arial" w:hAnsi="Arial"/>
          <w:sz w:val="17"/>
          <w:szCs w:val="17"/>
          <w:color w:val="auto"/>
        </w:rPr>
      </w:pPr>
    </w:p>
    <w:p>
      <w:pPr>
        <w:ind w:left="1420" w:right="40" w:hanging="319"/>
        <w:spacing w:after="0" w:line="314" w:lineRule="auto"/>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b w:val="1"/>
          <w:bCs w:val="1"/>
          <w:color w:val="auto"/>
        </w:rPr>
        <w:t xml:space="preserve">Large, underserved and underdiagnosed blepharitis market with a significant opportunity for growth. </w:t>
      </w:r>
      <w:r>
        <w:rPr>
          <w:rFonts w:ascii="Arial" w:cs="Arial" w:eastAsia="Arial" w:hAnsi="Arial"/>
          <w:sz w:val="16"/>
          <w:szCs w:val="16"/>
          <w:color w:val="auto"/>
        </w:rPr>
        <w:t>Although we believe</w:t>
      </w:r>
      <w:r>
        <w:rPr>
          <w:rFonts w:ascii="Arial" w:cs="Arial" w:eastAsia="Arial" w:hAnsi="Arial"/>
          <w:sz w:val="16"/>
          <w:szCs w:val="16"/>
          <w:b w:val="1"/>
          <w:bCs w:val="1"/>
          <w:color w:val="auto"/>
        </w:rPr>
        <w:t xml:space="preserve"> </w:t>
      </w:r>
      <w:r>
        <w:rPr>
          <w:rFonts w:ascii="Arial" w:cs="Arial" w:eastAsia="Arial" w:hAnsi="Arial"/>
          <w:sz w:val="16"/>
          <w:szCs w:val="16"/>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w:t>
      </w:r>
    </w:p>
    <w:p>
      <w:pPr>
        <w:spacing w:after="0" w:line="78" w:lineRule="exact"/>
        <w:rPr>
          <w:rFonts w:ascii="Arial" w:cs="Arial" w:eastAsia="Arial" w:hAnsi="Arial"/>
          <w:sz w:val="16"/>
          <w:szCs w:val="16"/>
          <w:color w:val="auto"/>
        </w:rPr>
      </w:pPr>
    </w:p>
    <w:p>
      <w:pPr>
        <w:ind w:left="5480" w:hanging="96"/>
        <w:spacing w:after="0"/>
        <w:tabs>
          <w:tab w:leader="none" w:pos="54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120 -</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60"/>
        <w:spacing w:after="0" w:line="257" w:lineRule="auto"/>
        <w:rPr>
          <w:sz w:val="20"/>
          <w:szCs w:val="20"/>
          <w:color w:val="auto"/>
        </w:rPr>
      </w:pPr>
      <w:r>
        <w:rPr>
          <w:rFonts w:ascii="Arial" w:cs="Arial" w:eastAsia="Arial" w:hAnsi="Arial"/>
          <w:sz w:val="18"/>
          <w:szCs w:val="18"/>
          <w:color w:val="auto"/>
        </w:rPr>
        <w:t>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211" w:lineRule="exact"/>
        <w:rPr>
          <w:sz w:val="20"/>
          <w:szCs w:val="20"/>
          <w:color w:val="auto"/>
        </w:rPr>
      </w:pPr>
    </w:p>
    <w:p>
      <w:pPr>
        <w:ind w:left="1420" w:right="120" w:hanging="319"/>
        <w:spacing w:after="0" w:line="281" w:lineRule="auto"/>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Novel chemistry developed for the first time in human medicine. </w:t>
      </w:r>
      <w:r>
        <w:rPr>
          <w:rFonts w:ascii="Arial" w:cs="Arial" w:eastAsia="Arial" w:hAnsi="Arial"/>
          <w:sz w:val="17"/>
          <w:szCs w:val="17"/>
          <w:color w:val="auto"/>
        </w:rPr>
        <w:t>Our current therapeutic strategy is focused on the clinical</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191" w:lineRule="exact"/>
        <w:rPr>
          <w:rFonts w:ascii="Arial" w:cs="Arial" w:eastAsia="Arial" w:hAnsi="Arial"/>
          <w:sz w:val="17"/>
          <w:szCs w:val="17"/>
          <w:color w:val="auto"/>
        </w:rPr>
      </w:pPr>
    </w:p>
    <w:p>
      <w:pPr>
        <w:ind w:left="1420" w:hanging="319"/>
        <w:spacing w:after="0" w:line="273" w:lineRule="auto"/>
        <w:tabs>
          <w:tab w:leader="none" w:pos="142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 xml:space="preserve">Additional opportunities beyond Demodex blepharitis. </w:t>
      </w:r>
      <w:r>
        <w:rPr>
          <w:rFonts w:ascii="Arial" w:cs="Arial" w:eastAsia="Arial" w:hAnsi="Arial"/>
          <w:sz w:val="17"/>
          <w:szCs w:val="17"/>
          <w:color w:val="auto"/>
        </w:rPr>
        <w:t>Like blepharitis, MGD may also be caused by Demodex infestation, and we</w:t>
      </w:r>
      <w:r>
        <w:rPr>
          <w:rFonts w:ascii="Arial" w:cs="Arial" w:eastAsia="Arial" w:hAnsi="Arial"/>
          <w:sz w:val="17"/>
          <w:szCs w:val="17"/>
          <w:b w:val="1"/>
          <w:bCs w:val="1"/>
          <w:color w:val="auto"/>
        </w:rPr>
        <w:t xml:space="preserve"> </w:t>
      </w:r>
      <w:r>
        <w:rPr>
          <w:rFonts w:ascii="Arial" w:cs="Arial" w:eastAsia="Arial" w:hAnsi="Arial"/>
          <w:sz w:val="17"/>
          <w:szCs w:val="17"/>
          <w:color w:val="auto"/>
        </w:rPr>
        <w:t>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198" w:lineRule="exact"/>
        <w:rPr>
          <w:rFonts w:ascii="Arial" w:cs="Arial" w:eastAsia="Arial" w:hAnsi="Arial"/>
          <w:sz w:val="17"/>
          <w:szCs w:val="17"/>
          <w:color w:val="auto"/>
        </w:rPr>
      </w:pPr>
    </w:p>
    <w:p>
      <w:pPr>
        <w:ind w:left="1420" w:right="20" w:hanging="319"/>
        <w:spacing w:after="0" w:line="258"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Experienced management team and board of directors supported by high quality investor base. </w:t>
      </w:r>
      <w:r>
        <w:rPr>
          <w:rFonts w:ascii="Arial" w:cs="Arial" w:eastAsia="Arial" w:hAnsi="Arial"/>
          <w:sz w:val="18"/>
          <w:szCs w:val="18"/>
          <w:color w:val="auto"/>
        </w:rPr>
        <w:t>We have built a leadership team</w:t>
      </w:r>
      <w:r>
        <w:rPr>
          <w:rFonts w:ascii="Arial" w:cs="Arial" w:eastAsia="Arial" w:hAnsi="Arial"/>
          <w:sz w:val="18"/>
          <w:szCs w:val="18"/>
          <w:b w:val="1"/>
          <w:bCs w:val="1"/>
          <w:color w:val="auto"/>
        </w:rPr>
        <w:t xml:space="preserve"> </w:t>
      </w:r>
      <w:r>
        <w:rPr>
          <w:rFonts w:ascii="Arial" w:cs="Arial" w:eastAsia="Arial" w:hAnsi="Arial"/>
          <w:sz w:val="18"/>
          <w:szCs w:val="18"/>
          <w:color w:val="auto"/>
        </w:rPr>
        <w:t>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207" w:lineRule="exact"/>
        <w:rPr>
          <w:sz w:val="20"/>
          <w:szCs w:val="20"/>
          <w:color w:val="auto"/>
        </w:rPr>
      </w:pPr>
    </w:p>
    <w:p>
      <w:pPr>
        <w:ind w:left="1420" w:right="40" w:hanging="319"/>
        <w:spacing w:after="0" w:line="256" w:lineRule="auto"/>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Advance TP-03 through clinical development and eventual approval for the treatment of Demodex blepharitis. </w:t>
      </w:r>
      <w:r>
        <w:rPr>
          <w:rFonts w:ascii="Arial" w:cs="Arial" w:eastAsia="Arial" w:hAnsi="Arial"/>
          <w:sz w:val="18"/>
          <w:szCs w:val="18"/>
          <w:color w:val="auto"/>
        </w:rPr>
        <w:t>We have</w:t>
      </w:r>
      <w:r>
        <w:rPr>
          <w:rFonts w:ascii="Arial" w:cs="Arial" w:eastAsia="Arial" w:hAnsi="Arial"/>
          <w:sz w:val="18"/>
          <w:szCs w:val="18"/>
          <w:b w:val="1"/>
          <w:bCs w:val="1"/>
          <w:color w:val="auto"/>
        </w:rPr>
        <w:t xml:space="preserve"> </w:t>
      </w:r>
      <w:r>
        <w:rPr>
          <w:rFonts w:ascii="Arial" w:cs="Arial" w:eastAsia="Arial" w:hAnsi="Arial"/>
          <w:sz w:val="18"/>
          <w:szCs w:val="18"/>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214" w:lineRule="exact"/>
        <w:rPr>
          <w:rFonts w:ascii="Arial" w:cs="Arial" w:eastAsia="Arial" w:hAnsi="Arial"/>
          <w:sz w:val="18"/>
          <w:szCs w:val="18"/>
          <w:color w:val="auto"/>
        </w:rPr>
      </w:pPr>
    </w:p>
    <w:p>
      <w:pPr>
        <w:ind w:left="1420" w:right="140" w:hanging="319"/>
        <w:spacing w:after="0" w:line="281" w:lineRule="auto"/>
        <w:tabs>
          <w:tab w:leader="none" w:pos="142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 xml:space="preserve">Educate ECPs and establish our own specialty sales organization to commercialize TP-03 in the United States. </w:t>
      </w:r>
      <w:r>
        <w:rPr>
          <w:rFonts w:ascii="Arial" w:cs="Arial" w:eastAsia="Arial" w:hAnsi="Arial"/>
          <w:sz w:val="17"/>
          <w:szCs w:val="17"/>
          <w:color w:val="auto"/>
        </w:rPr>
        <w:t>If approved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101" w:lineRule="exact"/>
        <w:rPr>
          <w:rFonts w:ascii="Arial" w:cs="Arial" w:eastAsia="Arial" w:hAnsi="Arial"/>
          <w:sz w:val="17"/>
          <w:szCs w:val="17"/>
          <w:color w:val="auto"/>
        </w:rPr>
      </w:pPr>
    </w:p>
    <w:p>
      <w:pPr>
        <w:ind w:left="5480" w:hanging="96"/>
        <w:spacing w:after="0"/>
        <w:tabs>
          <w:tab w:leader="none" w:pos="54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121 -</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20" w:right="640" w:hanging="319"/>
        <w:spacing w:after="0" w:line="282" w:lineRule="auto"/>
        <w:tabs>
          <w:tab w:leader="none" w:pos="142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Expand the label of TP-03 for other indications, including MGD. </w:t>
      </w:r>
      <w:r>
        <w:rPr>
          <w:rFonts w:ascii="Arial" w:cs="Arial" w:eastAsia="Arial" w:hAnsi="Arial"/>
          <w:sz w:val="18"/>
          <w:szCs w:val="18"/>
          <w:color w:val="auto"/>
        </w:rPr>
        <w:t>Like blepharitis, MGD may also be caused by Demodex</w:t>
      </w:r>
      <w:r>
        <w:rPr>
          <w:rFonts w:ascii="Arial" w:cs="Arial" w:eastAsia="Arial" w:hAnsi="Arial"/>
          <w:sz w:val="18"/>
          <w:szCs w:val="18"/>
          <w:b w:val="1"/>
          <w:bCs w:val="1"/>
          <w:color w:val="auto"/>
        </w:rPr>
        <w:t xml:space="preserve"> </w:t>
      </w:r>
      <w:r>
        <w:rPr>
          <w:rFonts w:ascii="Arial" w:cs="Arial" w:eastAsia="Arial" w:hAnsi="Arial"/>
          <w:sz w:val="18"/>
          <w:szCs w:val="18"/>
          <w:color w:val="auto"/>
        </w:rPr>
        <w:t>infestation, and we intend to explore the clinical potential for TP-03 in the indication.</w:t>
      </w:r>
    </w:p>
    <w:p>
      <w:pPr>
        <w:spacing w:after="0" w:line="188" w:lineRule="exact"/>
        <w:rPr>
          <w:rFonts w:ascii="Arial" w:cs="Arial" w:eastAsia="Arial" w:hAnsi="Arial"/>
          <w:sz w:val="18"/>
          <w:szCs w:val="18"/>
          <w:color w:val="auto"/>
        </w:rPr>
      </w:pPr>
    </w:p>
    <w:p>
      <w:pPr>
        <w:ind w:left="1420" w:right="20" w:hanging="319"/>
        <w:spacing w:after="0" w:line="294" w:lineRule="auto"/>
        <w:tabs>
          <w:tab w:leader="none" w:pos="1420" w:val="left"/>
        </w:tabs>
        <w:numPr>
          <w:ilvl w:val="0"/>
          <w:numId w:val="102"/>
        </w:numPr>
        <w:rPr>
          <w:rFonts w:ascii="Arial" w:cs="Arial" w:eastAsia="Arial" w:hAnsi="Arial"/>
          <w:sz w:val="16"/>
          <w:szCs w:val="16"/>
          <w:color w:val="auto"/>
        </w:rPr>
      </w:pPr>
      <w:r>
        <w:rPr>
          <w:rFonts w:ascii="Arial" w:cs="Arial" w:eastAsia="Arial" w:hAnsi="Arial"/>
          <w:sz w:val="16"/>
          <w:szCs w:val="16"/>
          <w:b w:val="1"/>
          <w:bCs w:val="1"/>
          <w:color w:val="auto"/>
        </w:rPr>
        <w:t>Develop our pipeline, bringing novel products utilizing lotilaner to unmet needs across human medicine, including rosacea, Lyme disease and malaria</w:t>
      </w:r>
      <w:r>
        <w:rPr>
          <w:rFonts w:ascii="Arial" w:cs="Arial" w:eastAsia="Arial" w:hAnsi="Arial"/>
          <w:sz w:val="16"/>
          <w:szCs w:val="16"/>
          <w:color w:val="auto"/>
        </w:rPr>
        <w:t>. We plan to expand our pipeline of novel, differentiated product candidates that target parasites to treat or</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186" w:lineRule="exact"/>
        <w:rPr>
          <w:rFonts w:ascii="Arial" w:cs="Arial" w:eastAsia="Arial" w:hAnsi="Arial"/>
          <w:sz w:val="16"/>
          <w:szCs w:val="16"/>
          <w:color w:val="auto"/>
        </w:rPr>
      </w:pPr>
    </w:p>
    <w:p>
      <w:pPr>
        <w:ind w:left="1420" w:right="80" w:hanging="319"/>
        <w:spacing w:after="0" w:line="274" w:lineRule="auto"/>
        <w:tabs>
          <w:tab w:leader="none" w:pos="142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 xml:space="preserve">Evaluate and selectively enter into strategic collaborations to maximize the potential of our pipeline and the scope of our eye care product offerings. </w:t>
      </w:r>
      <w:r>
        <w:rPr>
          <w:rFonts w:ascii="Arial" w:cs="Arial" w:eastAsia="Arial" w:hAnsi="Arial"/>
          <w:sz w:val="17"/>
          <w:szCs w:val="17"/>
          <w:color w:val="auto"/>
        </w:rPr>
        <w:t>We have retained our rights globally to all of our indications for use in humans, including our lead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candidate, TP-03, for the potential treatment of Demodex blepharitis and MGD, TP-04 for the potential treatment of rosacea and TP-05 for potential prophylaxis of Lyme and community malaria reduction. We are dependent on licenses from Elanco for the development and commercialization of these products. Given the potential to treat patients worldwide we may opportunistically enter into strategic collaborations around certain product candidates, disease or geographic regions.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Blepharitis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Blepharitis</w:t>
      </w:r>
    </w:p>
    <w:p>
      <w:pPr>
        <w:spacing w:after="0" w:line="225"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color w:val="auto"/>
        </w:rPr>
        <w:t>Ocular surface disease represents a broad category of disease that affects at least 35 million people in the United States. The ocular surface comprises the cornea, conjunctiva, eyelids and lacrimal glands and as such any diseases in these structures can be classified as ocular surface disease. Common ocular surface diseases include dry eye disease, ocular allergy, blepharitis and MGD. Almost all of the ocular surface diseases are associated with eye redness and ocular surface inflammation and in some cases conjunctival and/or lid edema. Patients often present with multiple ocular surface diseases and the symptoms have significant overlap, leading to frequent misdiagnosis of the various conditions.</w:t>
      </w:r>
    </w:p>
    <w:p>
      <w:pPr>
        <w:spacing w:after="0" w:line="161"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Blepharitis is a common chronic ophthalmic condition characterized by inflammation of the eyelid margin, redness and ocular irritation and is primarily diagnosed and treated by ECPs, including ophthalmologists and optometrists. Based on published studies, an estimated 20 million patients suffer from blepharitis in the United States. Typical signs and symptoms of blepharitis include debris on the eyelashes, redness of eye and eyelid, missing or misdirected eyelashes, blurring of vision, irritation, itchiness and ocular discomfort. It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Further, approximately 67% of cataract patients have Demodex infestation, which can increase the risk for both infection after cataract and refractive surgery. Therefore, treating Demodex blepharitis may improve patient satisfaction with cataract and refractive surgery. Additionally, the primary reason people stop wearing contact lenses is discomfort and blepharitis has been shown to cause contact lens intolerance. Therefore, treating Demodex blepharitis may reduce contact lens intolerance. We believe these benefits may lead to better vision and an improved quality of life for patients.</w:t>
      </w:r>
    </w:p>
    <w:p>
      <w:pPr>
        <w:spacing w:after="0" w:line="168"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Multiple factors can cause blepharitis, including infestation by Demodex mites, bacterial infection, clogging of the meibomian glands and seborrheic dermatitis.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image shows an eyelid with blepharitis:</w:t>
      </w:r>
    </w:p>
    <w:p>
      <w:pPr>
        <w:spacing w:after="0" w:line="2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4: Eyelid With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171450</wp:posOffset>
            </wp:positionV>
            <wp:extent cx="3103245" cy="2357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10324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Demodex Blepharitis</w:t>
      </w:r>
    </w:p>
    <w:p>
      <w:pPr>
        <w:spacing w:after="0" w:line="225"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 xml:space="preserve">Demodex infestation is a major cause of blepharitis, implicated in approximately 45% of blepharitis cases, or approximately nine million patients. We estimate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These blepharitis cases are referred to Demodex blepharitis. Demodex mites are the most common ectoparasite found on humans and are more likely to cause infestation and disease with aging. Demodex blepharitis typically presents bilaterally in patients with the condition. There are two species of Demodex, </w:t>
      </w:r>
      <w:r>
        <w:rPr>
          <w:rFonts w:ascii="Arial" w:cs="Arial" w:eastAsia="Arial" w:hAnsi="Arial"/>
          <w:sz w:val="16"/>
          <w:szCs w:val="16"/>
          <w:i w:val="1"/>
          <w:iCs w:val="1"/>
          <w:color w:val="auto"/>
        </w:rPr>
        <w:t>folliculorum</w:t>
      </w:r>
      <w:r>
        <w:rPr>
          <w:rFonts w:ascii="Arial" w:cs="Arial" w:eastAsia="Arial" w:hAnsi="Arial"/>
          <w:sz w:val="16"/>
          <w:szCs w:val="16"/>
          <w:color w:val="auto"/>
        </w:rPr>
        <w:t xml:space="preserve"> and </w:t>
      </w:r>
      <w:r>
        <w:rPr>
          <w:rFonts w:ascii="Arial" w:cs="Arial" w:eastAsia="Arial" w:hAnsi="Arial"/>
          <w:sz w:val="16"/>
          <w:szCs w:val="16"/>
          <w:i w:val="1"/>
          <w:iCs w:val="1"/>
          <w:color w:val="auto"/>
        </w:rPr>
        <w:t>brevis</w:t>
      </w:r>
      <w:r>
        <w:rPr>
          <w:rFonts w:ascii="Arial" w:cs="Arial" w:eastAsia="Arial" w:hAnsi="Arial"/>
          <w:sz w:val="16"/>
          <w:szCs w:val="16"/>
          <w:color w:val="auto"/>
        </w:rPr>
        <w:t xml:space="preserve">, that live on the skin of the face and eyelids. </w:t>
      </w:r>
      <w:r>
        <w:rPr>
          <w:rFonts w:ascii="Arial" w:cs="Arial" w:eastAsia="Arial" w:hAnsi="Arial"/>
          <w:sz w:val="16"/>
          <w:szCs w:val="16"/>
          <w:i w:val="1"/>
          <w:iCs w:val="1"/>
          <w:color w:val="auto"/>
        </w:rPr>
        <w:t>Demodex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folliculorum, </w:t>
      </w:r>
      <w:r>
        <w:rPr>
          <w:rFonts w:ascii="Arial" w:cs="Arial" w:eastAsia="Arial" w:hAnsi="Arial"/>
          <w:sz w:val="16"/>
          <w:szCs w:val="16"/>
          <w:color w:val="auto"/>
        </w:rPr>
        <w:t>which is commonly found in the follicle, is the more common sub-species of mite that causes Demodex blepharitis.</w:t>
      </w:r>
    </w:p>
    <w:p>
      <w:pPr>
        <w:spacing w:after="0" w:line="16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key clinical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condition.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40"/>
          </w:cols>
          <w:pgMar w:left="320" w:top="459" w:right="5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The following figures demonstrate how </w:t>
      </w:r>
      <w:r>
        <w:rPr>
          <w:rFonts w:ascii="Arial" w:cs="Arial" w:eastAsia="Arial" w:hAnsi="Arial"/>
          <w:sz w:val="18"/>
          <w:szCs w:val="18"/>
          <w:i w:val="1"/>
          <w:iCs w:val="1"/>
          <w:color w:val="auto"/>
        </w:rPr>
        <w:t>Demodex folliculorum</w:t>
      </w:r>
      <w:r>
        <w:rPr>
          <w:rFonts w:ascii="Arial" w:cs="Arial" w:eastAsia="Arial" w:hAnsi="Arial"/>
          <w:sz w:val="18"/>
          <w:szCs w:val="18"/>
          <w:color w:val="auto"/>
        </w:rPr>
        <w:t xml:space="preserve"> mites enter and reside in the eyelash follicles: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Figure 5: </w:t>
      </w:r>
      <w:r>
        <w:rPr>
          <w:rFonts w:ascii="Arial" w:cs="Arial" w:eastAsia="Arial" w:hAnsi="Arial"/>
          <w:sz w:val="18"/>
          <w:szCs w:val="18"/>
          <w:b w:val="1"/>
          <w:bCs w:val="1"/>
          <w:i w:val="1"/>
          <w:iCs w:val="1"/>
          <w:color w:val="auto"/>
        </w:rPr>
        <w:t>Demodex folliculorum</w:t>
      </w:r>
      <w:r>
        <w:rPr>
          <w:rFonts w:ascii="Arial" w:cs="Arial" w:eastAsia="Arial" w:hAnsi="Arial"/>
          <w:sz w:val="18"/>
          <w:szCs w:val="18"/>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3686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9493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Demodex infestation can lead to Demodex blepharitis in three main ways:</w:t>
      </w:r>
    </w:p>
    <w:p>
      <w:pPr>
        <w:spacing w:after="0" w:line="248" w:lineRule="exact"/>
        <w:rPr>
          <w:sz w:val="20"/>
          <w:szCs w:val="20"/>
          <w:color w:val="auto"/>
        </w:rPr>
      </w:pPr>
    </w:p>
    <w:p>
      <w:pPr>
        <w:ind w:left="1420" w:right="120" w:hanging="427"/>
        <w:spacing w:after="0" w:line="266"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Mechanical: </w:t>
      </w:r>
      <w:r>
        <w:rPr>
          <w:rFonts w:ascii="Arial" w:cs="Arial" w:eastAsia="Arial" w:hAnsi="Arial"/>
          <w:sz w:val="18"/>
          <w:szCs w:val="18"/>
          <w:color w:val="auto"/>
        </w:rPr>
        <w:t>Overcrowded mites scrape the epithelial cell lining of the eyelash follicles with their claws and lay eggs, causing</w:t>
      </w:r>
      <w:r>
        <w:rPr>
          <w:rFonts w:ascii="Arial" w:cs="Arial" w:eastAsia="Arial" w:hAnsi="Arial"/>
          <w:sz w:val="18"/>
          <w:szCs w:val="18"/>
          <w:b w:val="1"/>
          <w:bCs w:val="1"/>
          <w:color w:val="auto"/>
        </w:rPr>
        <w:t xml:space="preserve"> </w:t>
      </w:r>
      <w:r>
        <w:rPr>
          <w:rFonts w:ascii="Arial" w:cs="Arial" w:eastAsia="Arial" w:hAnsi="Arial"/>
          <w:sz w:val="18"/>
          <w:szCs w:val="18"/>
          <w:color w:val="auto"/>
        </w:rPr>
        <w:t>follicular distention, misdirected lashes, eyelash loss and irritation. Dead mites and collarettes also obstruct the hair follicle opening, leading to inflammation.</w:t>
      </w:r>
    </w:p>
    <w:p>
      <w:pPr>
        <w:spacing w:after="0" w:line="202" w:lineRule="exact"/>
        <w:rPr>
          <w:rFonts w:ascii="Arial" w:cs="Arial" w:eastAsia="Arial" w:hAnsi="Arial"/>
          <w:sz w:val="18"/>
          <w:szCs w:val="18"/>
          <w:color w:val="auto"/>
        </w:rPr>
      </w:pPr>
    </w:p>
    <w:p>
      <w:pPr>
        <w:ind w:left="1420" w:hanging="427"/>
        <w:spacing w:after="0" w:line="282"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Chemical: </w:t>
      </w:r>
      <w:r>
        <w:rPr>
          <w:rFonts w:ascii="Arial" w:cs="Arial" w:eastAsia="Arial" w:hAnsi="Arial"/>
          <w:sz w:val="18"/>
          <w:szCs w:val="18"/>
          <w:color w:val="auto"/>
        </w:rPr>
        <w:t>Mites excrete digestive enzymes as they feed and exude digestive waste when they die, resulting in inflammation, redness,</w:t>
      </w:r>
      <w:r>
        <w:rPr>
          <w:rFonts w:ascii="Arial" w:cs="Arial" w:eastAsia="Arial" w:hAnsi="Arial"/>
          <w:sz w:val="18"/>
          <w:szCs w:val="18"/>
          <w:b w:val="1"/>
          <w:bCs w:val="1"/>
          <w:color w:val="auto"/>
        </w:rPr>
        <w:t xml:space="preserve"> </w:t>
      </w:r>
      <w:r>
        <w:rPr>
          <w:rFonts w:ascii="Arial" w:cs="Arial" w:eastAsia="Arial" w:hAnsi="Arial"/>
          <w:sz w:val="18"/>
          <w:szCs w:val="18"/>
          <w:color w:val="auto"/>
        </w:rPr>
        <w:t>irritation and epithelial hyperplasia.</w:t>
      </w:r>
    </w:p>
    <w:p>
      <w:pPr>
        <w:spacing w:after="0" w:line="188" w:lineRule="exact"/>
        <w:rPr>
          <w:rFonts w:ascii="Arial" w:cs="Arial" w:eastAsia="Arial" w:hAnsi="Arial"/>
          <w:sz w:val="18"/>
          <w:szCs w:val="18"/>
          <w:color w:val="auto"/>
        </w:rPr>
      </w:pPr>
    </w:p>
    <w:p>
      <w:pPr>
        <w:ind w:left="1420" w:hanging="427"/>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Bacterial: </w:t>
      </w:r>
      <w:r>
        <w:rPr>
          <w:rFonts w:ascii="Arial" w:cs="Arial" w:eastAsia="Arial" w:hAnsi="Arial"/>
          <w:sz w:val="18"/>
          <w:szCs w:val="18"/>
          <w:color w:val="auto"/>
        </w:rPr>
        <w:t>Bacteria living on the mite surface or in its gut cause inflammation of the surrounding ocular tissues.</w:t>
      </w:r>
    </w:p>
    <w:p>
      <w:pPr>
        <w:spacing w:after="0" w:line="22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As mites scratch and feed on the skin, the partially digested epithelial cells, keratin, mite waste and eggs combine to form collarettes. These collarettes are typically found at the base of the lash but can migrate away as the hair shaft grows.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collarettes at the base of an eye lash:</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Figure 6: Collarettes Are the Pathognomonic Sign of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171450</wp:posOffset>
            </wp:positionV>
            <wp:extent cx="3420110" cy="18256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01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A study conducted by Gao et al. (Gao et al. (2005): High Prevalence of Demodex in Eyelashes with Cylindrical Dandruff. Invst Ophth and Vis Sci, September 2005, Vol. 46, No. 3089-3094.) confirmed the pathognomonic relationship of the collarette to Demodex infestation. The study included 55 patients seen at the Ocular Surface Center in Miami, Florida to determine the prevalence of Demodex in eyelashes with collarettes. All patients underwent a routine, complete eye examination and external photography. Patients were divided into three main groups: those with collarettes; those without collarettes and who had been using daily lid scrubs for a full year; and those without collarettes who were not performing the daily lid scrubs. As illustrated in the figure below, 100% (n=32)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 All 55 patients were seen at one location and may not be representative of the United States population.</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that 100% of patients with at least one collarette had Demodex infestation:</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Figure 7: 100% of Patients With at Least One Collarette Had Demodex Infestation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171450</wp:posOffset>
            </wp:positionV>
            <wp:extent cx="3008630" cy="1568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0863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Demodex blepharitis can be easily diagnosed by ECPs with the standard eye examination, the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40"/>
          </w:cols>
          <w:pgMar w:left="320" w:top="459" w:right="5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Opportunity in Blepharitis</w:t>
      </w:r>
    </w:p>
    <w:p>
      <w:pPr>
        <w:spacing w:after="0" w:line="229"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According to published studies, there are an estimated 20 million patients in the United States who suffer from blepharitis, with approximately 45%, or approximately nine million, of cases caused by Demodex infestation. Further, we estimate that the number of Demodex blepharitis cases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Market Research Studies and Surveys</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Our market research studies include an ECP survey of 50 ECPs, or the ECP Survey, that we commissioned and which was conducted in 2019 and 2020 to generally determine market awareness and current management of Demodex blepharitis and introduce a hypothetical TP-03 product profile. Twenty ECPs were interviewed in 2019 and 30 ECPs were interviewed in 2020. ECPs were chosen based on a random sample of ophthalmologists and optometrists nationwide that had sufficient exposure to blepharitis patients to provide a representative sample of ECPs who see and manage blepharitis patients, and would potentially be in a position to prescribe TP-03 if it were approved and available. The ECP Survey generally asked ECPs questions regarding their patient base and also introduced the TP-03 product profile to them. The ECP Survey showed that 44% of all diagnosed patients were over the age of 65, and 57% of diagnosed patients were female. Distribution of diagnoses across race and income metrics was approximately proportional to that of the United States population, implying little correlation of the condition with socioeconomic status. The ECP Survey also showed that in April through May of 2020, the number of blepharitis patients in the eye care clinic, which represented 60% of the total patients, was approaching the level of dry eye patients, which represented approximately 65% of the total patients. We believe this demonstrates that the market size for blepharitis may be similar to the market size of dry eye and that both are common in the eye care clinics, which informs us on the potential to increase diagnoses through ECP education. As the population of the United States continues to age, we believe this disease will become more prevalent. While we believe the ECP survey provides insight to the potential market size of Demodex patients, since it was a random sampling of ECPs nationwide that had sufficient exposure to blepharitis patients, the sample size of ECPs and corresponding potential patient population was relatively small and the number of blepharitis patients may not be comparable to the number of dry eye patients. The patients may have had overlapping diagnoses but the ECP Survey did not measure any such potential overlap.</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following figures show that according to the ECP Survey, the number of blepharitis diagnoses approached the number of dry eye diagnoses. This trend is also supported by independent epidemiology studies including one recently published research study that indicates that there is a significant overlap between Dry Eye and Demodex blepharitis with 69% of patients presenting with Demodex blepharitis (Cheng et al. Cornea, September 2020):</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Figures 8 and 9: Blepharitis Diagnoses Approaching Number of Dry Eye Diagnoses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171450</wp:posOffset>
            </wp:positionV>
            <wp:extent cx="5057775" cy="17570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57775" cy="175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Additionally, the ECP Survey obtained feedback on a hypothetical TP-03 product profile, based on the Mars and Jupiter clinical trial data. In the ECP Survey, a total of 25 ophthalmologists and 25 optometrists were educated on the pathognomonic relationship of collarettes to Demodex blepharitis and exposed to the Mars and Jupiter clinical trial data. After exposure, ECPs were asked their intent to prescribe TP-03 if it were available for their patients presenting with Demodex blepharitis as indicated by collarettes. In these studies, 48 of 50 (96%) ECPs indicated that they would prescribe TP-03 as first-line treatment, and 2 of 50 (4%) indicated that they would prescribe it as second-line treatment. No ECPs indicated that they would prescribe TP-03 as third line or not prescribe TP-03.</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that 96% of the surveyed ECPs indicated they would prescribe TP-03 as a first-line treatment: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10: 96% of Surveyed ECPs Indicated Prescribing Intention TP-03 as First-Line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171450</wp:posOffset>
            </wp:positionV>
            <wp:extent cx="2983230" cy="2322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9832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also sponsored a separate market research survey of 50 patients with blepharitis symptoms, where the presence of “eye crust” on eye lashes was noted as a primary symptom. These patients were randomly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selected nationwide and not chosen in connection with the identity of his or her ECP. The individuals with blepharitis symptoms were educated on collarettes and that Demodex mites cause collarettes, and provided with a description of a hypothetical product with the target profile of TP-03, which can potentially eradicate Demodex mites in the eyelid and eliminate collarettes in a majority of patients. After considering the target product profile, the individuals with blepharitis symptoms were asked how likely they were to visit a doctor and ask about whether a product such as TP-03 would be right for them (on a scale of 1-7). Forty-six of 50 (92%) of the individuals with blepharitis symptoms indicated a likelihood to visit a doctor and ask about a product with a target profile of TP-03, and 32 of 50 (64%) indicated a response of “definitely would.” Two of 50 (4%) of the individuals with blepharitis symptoms indicated that they “may or may not,” and two of 50 (4%) of the individuals with blepharitis symptoms indicated that they “definitely would not.”</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the results of this survey:</w:t>
      </w: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Figure 11: 92% of Individuals with Blepharitis Symptoms Indicated Likelihood To Inquire About a TP-03-Type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171450</wp:posOffset>
            </wp:positionV>
            <wp:extent cx="3360420" cy="2417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04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We believe that blepharitis is underdiagnosed due to the lack of an approved treatment and associated patient and physician education, and the lack of awareness of the role of Demodex mites in the disease process. The ECP Survey showed that only 10-15% of ECPs were aware that collarettes are highly correlated with Demodex infestation. Despite the current lack of awareness by ECPs, we believe that the ocular surface disease marketplace is highly responsive to education of both the ECP and the patient. For example, as a result of ECP and patient education, the dry eye market grew significantly once there was a product to address the large, latent demand for an effective therapy. Dry eye had no approved therapeutic until 2003. Once a therapeutic was approved, the diagnosis rate increased by approximately 12 times, growing from 500,000 annual diagnoses in 2003 to over</w:t>
      </w:r>
    </w:p>
    <w:p>
      <w:pPr>
        <w:spacing w:after="0" w:line="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six million annual diagnoses by 2015. Annual diagnoses rates have been maintained at similar levels since 2015. We believe the Demodex blepharitis and dry eye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other factors. See “Risk Factors—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The following figure shows the annual diagnoses of dry eye disease prior to and after and the launch of an approved therapy for dry eye, with the 2.1 million diagnoses for blepharitis in 2019 shown on the plot for reference:</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12: Dry Eye Diagnoses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171450</wp:posOffset>
            </wp:positionV>
            <wp:extent cx="4114800" cy="18262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11480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Demodex mites have been implicated in approximately 45% of all blepharitis cases in a meta-analysis of 11 studies consisting of an aggregate of 4,741 patients with blepharitis. The incidence of Demodex blepharitis increases progressively with aging, which is the main risk factor for the condition, with the majority of people over the age of 60 having been shown to have the disease.</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Our market research studies also included an epidemiological evaluation we conducted of 1,121 consecutive patients in eight ophthalmology and optometry practices conducted in 2020, or the Patient Epidemiology Survey, which showed that 58% of all patients entering the practices had collarettes and all patients entering practices with collarettes were also found to have Demodex blepharitis. By comparison, 20% of those same 1,121 patients were currently on a prescription therapeutic for dry eye disease (Restasis or Xiidra). Additionally, 13% of the 1,121 patients presented with collarettes and were also on a prescription therapeutic for dry eye at the same time. The clinics in the Patient Epidemiology Survey were geographically diverse and represented both high and low dry eye prescription rates. Each practice was required to enroll between 100 and 180 consecutive patients. The clinic with the lowest prevalence demonstrated 29% of consecutive patients had collarettes, and the clinic with the highest prevalence demonstrated 76% of consecutive patients had collarettes.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figure shows the prevalence of collarettes and prevalence distribution by clinic, from the Patient Epidemiology Survey:</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Figures 13 and 14: Prevalence of Collarettes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wp:posOffset>
            </wp:positionV>
            <wp:extent cx="4663440" cy="17748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663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We believe the data has demonstrated that there is a significant population for blepharitis, and for Demodex blepharitis more specifically, since the number of patients with collarettes exceeded by almost three times the number of patients on a prescription therapeutic for dry eye disease. While there is overlap between the number of patients with collarettes and the number of patients with dry eye and the number of patients with dry eye is most likely higher than the number of patients currently on a prescription for dry eye, and we believe the data shows a potential significant population for Demodex blepharitis. We also believe the data illustrates a significant opportunity to increase the diagnosis rate of Demodex blepharitis by educating ECPs on the high correlation of the presence of collarette to Demodex blepharitis in order for ECPs to incorporate the examination of the condition into standard practice.</w:t>
      </w:r>
    </w:p>
    <w:p>
      <w:pPr>
        <w:spacing w:after="0" w:line="195"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Over the past several years, an increasing number of clinical studies on Demodex have been published in the context of ocular surface disease, with more than half of these studies published in the last four years. We believe this shows an increased understanding of the importance of Demodex in the scientific ophthalmology community and represents an important step in educating ECPs about Demodex blepharitis.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Treatment Options and Their Limitations</w:t>
      </w:r>
    </w:p>
    <w:p>
      <w:pPr>
        <w:spacing w:after="0" w:line="229"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Despite the high prevalence of patients with Demodex blepharitis and growing awareness of the condition amongst ECPs, there are no FDA-approved therapeutics for the treatment of blepharitis or for Demodex blepharitis. Demodex blepharitis is currently treated with a variety of over the counter remedies such as tea tree oil, lid wipes and artificial tears, as well as off-label prescription products for dry eye.</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These approaches have significant limitations, including:</w:t>
      </w:r>
    </w:p>
    <w:p>
      <w:pPr>
        <w:spacing w:after="0" w:line="252" w:lineRule="exact"/>
        <w:rPr>
          <w:sz w:val="20"/>
          <w:szCs w:val="20"/>
          <w:color w:val="auto"/>
        </w:rPr>
      </w:pPr>
    </w:p>
    <w:p>
      <w:pPr>
        <w:ind w:left="1420" w:hanging="319"/>
        <w:spacing w:after="0"/>
        <w:tabs>
          <w:tab w:leader="none" w:pos="142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limited efficacy of over-the-counter and off-label treatments as well as device-based treatments administered in clinic by ECPs;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insufficient definitive knowledge of diagnostic criteria to guide treatment decisions;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prohibitive side effects (significant burning and stinging) from treatments that target Demodex mites (e.g. tea tree oil);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current treatments do not eradicate the Demodex mites, leading to a chronic and progressive condition.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Treating Demodex Mites, a Root Cause of Disease</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secondary and/or exploratory, endpoints, as applicable, in each of the four completed Phase 2 trials. TP-03 was generally well tolerated throughout these trials. As a result, we believe that TP-03 has the potential to be the first ever approved therapeutic for Demodex blepharitis.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summarizes the key advantages of TP-03:</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15: Summary of TP-03 Key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6149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 w:right="280" w:hanging="424"/>
        <w:spacing w:after="0" w:line="258" w:lineRule="auto"/>
        <w:tabs>
          <w:tab w:leader="none" w:pos="540" w:val="left"/>
        </w:tabs>
        <w:numPr>
          <w:ilvl w:val="0"/>
          <w:numId w:val="105"/>
        </w:numPr>
        <w:rPr>
          <w:rFonts w:ascii="Arial" w:cs="Arial" w:eastAsia="Arial" w:hAnsi="Arial"/>
          <w:sz w:val="14"/>
          <w:szCs w:val="14"/>
          <w:b w:val="1"/>
          <w:bCs w:val="1"/>
          <w:color w:val="auto"/>
        </w:rPr>
      </w:pPr>
      <w:r>
        <w:rPr>
          <w:rFonts w:ascii="Arial" w:cs="Arial" w:eastAsia="Arial" w:hAnsi="Arial"/>
          <w:sz w:val="14"/>
          <w:szCs w:val="14"/>
          <w:b w:val="1"/>
          <w:bCs w:val="1"/>
          <w:color w:val="auto"/>
        </w:rPr>
        <w:t>Blepharitis can increase the risk for both infection after cataract and refractive surgery and discomfort and can cause intolerance to contact lenses so treating Demodex blepharitis may improve tolerance to contact lenses and improve patient satisfaction with cataract and refractive surgery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 Strategy for Demodex Blepharitis Launch</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If approved, we plan to commercialize TP-03 in the United States with a focused, specialty sales force, direct-to-consumer, or DTC, campaign, and ECP education campaigns with key opinion leaders, and professional associations. In our work with key opinion leaders and various associations to increase Demodex blepharitis awareness and education, we plan to highlight prevalence, impact, and simplicity of diagnosis of Demodex blepharitis. Our goal is to educate ECPs about the prevalence of Demodex blepharitis and the safety and efficacy of our products. In addition to educating ECPs, we believe that patient awareness and identification is important and plan to increase awareness through education and marketing efforts directed toward patients. We also believe that TP-03 has potential for favorable reimbursement as we expect that a novel treatment for Demodex blepharitis will drive compelling pricing and modest discounts.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TP-03 Eye Drops – Mechanism of Action</w:t>
      </w:r>
    </w:p>
    <w:p>
      <w:pPr>
        <w:spacing w:after="0" w:line="256" w:lineRule="exact"/>
        <w:rPr>
          <w:sz w:val="20"/>
          <w:szCs w:val="20"/>
          <w:color w:val="auto"/>
        </w:rPr>
      </w:pPr>
    </w:p>
    <w:p>
      <w:pPr>
        <w:ind w:left="120" w:right="1160" w:firstLine="648"/>
        <w:spacing w:after="0" w:line="272" w:lineRule="auto"/>
        <w:rPr>
          <w:sz w:val="20"/>
          <w:szCs w:val="20"/>
          <w:color w:val="auto"/>
        </w:rPr>
      </w:pPr>
      <w:r>
        <w:rPr>
          <w:rFonts w:ascii="Arial" w:cs="Arial" w:eastAsia="Arial" w:hAnsi="Arial"/>
          <w:sz w:val="17"/>
          <w:szCs w:val="17"/>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-974725</wp:posOffset>
            </wp:positionV>
            <wp:extent cx="368300" cy="10890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8300" cy="1089025"/>
                    </a:xfrm>
                    <a:prstGeom prst="rect">
                      <a:avLst/>
                    </a:prstGeom>
                    <a:noFill/>
                  </pic:spPr>
                </pic:pic>
              </a:graphicData>
            </a:graphic>
          </wp:anchor>
        </w:drawing>
      </w:r>
    </w:p>
    <w:p>
      <w:pPr>
        <w:spacing w:after="0" w:line="2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figures show the intended paralysis of mites in the hair follicle by TP-03 administration:</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16: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24174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Program</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 xml:space="preserve">We have completed four Phase 2 clinical trials to date, along with one additional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study. The table below summarizes completed and planned clinical investigations evaluating TP-03 for Demodex blepharitis. We plan to evaluate TP-03 in two pivotal registration trials, referred to as Saturn-1 and Saturn-2. Saturn-1 is a Phase 2b/3, randomized, controlled, double-blind trial to evaluate the safety and efficacy of TP-03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 results to support the potential submission of an NDA for TP-03 for the treatment of Demodex blepharitis.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our completed and planned investigations evaluating TP-03 for Demodex blepharitis:</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17: Completed and Planned Investigations Evaluating TP-03 for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77790" cy="29832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777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hanging="4"/>
        <w:spacing w:after="0" w:line="227" w:lineRule="auto"/>
        <w:tabs>
          <w:tab w:leader="none" w:pos="228"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120"/>
        <w:spacing w:after="0" w:line="221" w:lineRule="auto"/>
        <w:rPr>
          <w:rFonts w:ascii="Arial" w:cs="Arial" w:eastAsia="Arial" w:hAnsi="Arial"/>
          <w:sz w:val="14"/>
          <w:szCs w:val="14"/>
          <w:color w:val="auto"/>
        </w:rPr>
      </w:pPr>
      <w:r>
        <w:rPr>
          <w:rFonts w:ascii="Arial" w:cs="Arial" w:eastAsia="Arial" w:hAnsi="Arial"/>
          <w:sz w:val="14"/>
          <w:szCs w:val="14"/>
          <w:color w:val="auto"/>
        </w:rPr>
        <w:t>** Primary endpoint in Io, Europa, Saturn-1 and intended in Saturn-2 is collarette cure rate based on collarette grade.</w:t>
      </w:r>
    </w:p>
    <w:p>
      <w:pPr>
        <w:ind w:left="120"/>
        <w:spacing w:after="0" w:line="221" w:lineRule="auto"/>
        <w:rPr>
          <w:rFonts w:ascii="Arial" w:cs="Arial" w:eastAsia="Arial" w:hAnsi="Arial"/>
          <w:sz w:val="14"/>
          <w:szCs w:val="14"/>
          <w:color w:val="auto"/>
        </w:rPr>
      </w:pPr>
      <w:r>
        <w:rPr>
          <w:rFonts w:ascii="Arial" w:cs="Arial" w:eastAsia="Arial" w:hAnsi="Arial"/>
          <w:sz w:val="14"/>
          <w:szCs w:val="14"/>
          <w:color w:val="auto"/>
        </w:rPr>
        <w:t>† In connection with our IND application, a no-objection letter was received from the FDA regarding the trial design of the Saturn-1 trial.</w:t>
      </w:r>
    </w:p>
    <w:p>
      <w:pPr>
        <w:ind w:left="120"/>
        <w:spacing w:after="0"/>
        <w:rPr>
          <w:rFonts w:ascii="Arial" w:cs="Arial" w:eastAsia="Arial" w:hAnsi="Arial"/>
          <w:sz w:val="14"/>
          <w:szCs w:val="14"/>
          <w:color w:val="auto"/>
        </w:rPr>
      </w:pPr>
      <w:r>
        <w:rPr>
          <w:rFonts w:ascii="Arial" w:cs="Arial" w:eastAsia="Arial" w:hAnsi="Arial"/>
          <w:sz w:val="13"/>
          <w:szCs w:val="13"/>
          <w:color w:val="auto"/>
        </w:rPr>
        <w:t>†† Saturn-2 design is highly comparable to that of Saturn-1 with respect to which the FDA raised “no-objection” and we expect to update the IND protocol prior to commencing Saturn-2.</w:t>
      </w:r>
    </w:p>
    <w:p>
      <w:pPr>
        <w:spacing w:after="0" w:line="207"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TP-03 is a presentation of lotilaner, the API, formulated into a topical eye drop formulation. Only one dose strength of TP-03, 0.25% lotilaner solution was used across all clinical trials and studies.</w:t>
      </w:r>
    </w:p>
    <w:p>
      <w:pPr>
        <w:spacing w:after="0" w:line="170" w:lineRule="exact"/>
        <w:rPr>
          <w:sz w:val="20"/>
          <w:szCs w:val="20"/>
          <w:color w:val="auto"/>
        </w:rPr>
      </w:pPr>
    </w:p>
    <w:p>
      <w:pPr>
        <w:jc w:val="both"/>
        <w:ind w:left="120" w:right="300" w:firstLine="881"/>
        <w:spacing w:after="0" w:line="263" w:lineRule="auto"/>
        <w:rPr>
          <w:sz w:val="20"/>
          <w:szCs w:val="20"/>
          <w:color w:val="auto"/>
        </w:rPr>
      </w:pPr>
      <w:r>
        <w:rPr>
          <w:rFonts w:ascii="Arial" w:cs="Arial" w:eastAsia="Arial" w:hAnsi="Arial"/>
          <w:sz w:val="18"/>
          <w:szCs w:val="18"/>
          <w:color w:val="auto"/>
        </w:rPr>
        <w:t>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Mercury Study</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 xml:space="preserve">The Mercury preclinical study was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study of the efficacy of TP-03 in causing the paralysis and death of Demodex mites performed at a single center in the United States in 2019 through 2020. Mites were collected following lash plucking at a single center in the United States. Mites were placed in small wells and submersed in a drop of either TP-03 (pilot formulation) or a vehicle control (formulation with no active ingredient). The </w:t>
      </w:r>
      <w:r>
        <w:rPr>
          <w:rFonts w:ascii="Arial" w:cs="Arial" w:eastAsia="Arial" w:hAnsi="Arial"/>
          <w:sz w:val="17"/>
          <w:szCs w:val="17"/>
          <w:i w:val="1"/>
          <w:iCs w:val="1"/>
          <w:color w:val="auto"/>
        </w:rPr>
        <w:t xml:space="preserve">ex vivo </w:t>
      </w:r>
      <w:r>
        <w:rPr>
          <w:rFonts w:ascii="Arial" w:cs="Arial" w:eastAsia="Arial" w:hAnsi="Arial"/>
          <w:sz w:val="17"/>
          <w:szCs w:val="17"/>
          <w:color w:val="auto"/>
        </w:rPr>
        <w:t>efficacy results of the Mercury study show that 100% of mites subjected to the pilot formulation of TP-03 were dead within 24 hours and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70% of mites subjected to the formulation with no active ingredient were still viable after four days of observation.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following figure presents the efficacy results on Demodex mite survival probability over time, with the shaded regions representing the 95% confidence interval for each of the two groups:</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Figure 18: Mercury Study </w:t>
      </w:r>
      <w:r>
        <w:rPr>
          <w:rFonts w:ascii="Arial" w:cs="Arial" w:eastAsia="Arial" w:hAnsi="Arial"/>
          <w:sz w:val="18"/>
          <w:szCs w:val="18"/>
          <w:b w:val="1"/>
          <w:bCs w:val="1"/>
          <w:i w:val="1"/>
          <w:iCs w:val="1"/>
          <w:color w:val="auto"/>
        </w:rPr>
        <w:t>Ex Vivo</w:t>
      </w:r>
      <w:r>
        <w:rPr>
          <w:rFonts w:ascii="Arial" w:cs="Arial" w:eastAsia="Arial" w:hAnsi="Arial"/>
          <w:sz w:val="18"/>
          <w:szCs w:val="18"/>
          <w:b w:val="1"/>
          <w:bCs w:val="1"/>
          <w:color w:val="auto"/>
        </w:rPr>
        <w:t xml:space="preserve"> Efficacy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171450</wp:posOffset>
            </wp:positionV>
            <wp:extent cx="3060065" cy="23920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60065"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Mars Phase 2a Single-Arm Clinical Trial</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Mars was a Phase 2a single-arm clinical trial which evaluated the safety and efficacy of TP-03 for the treatment of Demodex blepharitis completed in 2019 in Mexico City, Mexico at a well-established site for ocular therapy trials. Subjects were treated with TP-03 (pilot formulation) BID for 28 days and followed to 90 days (62 days post-treatment). A total of 18 subjects were enrolled in the trial, with 15 patients receiving treatment beyond Day 1. Fourteen of the 15 subjects who received treatment completed the trial through Day 28. Twelve of the 15 subjects continued through 90 days (62 days post-treatment) and three subjects did not continue the trial after Day 28. In data described below, one subject was lost to follow-up after Day 2, one subject missed the Day 7 visit and one subject missed the Day 14 visit.</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Exploratory endpoints included collarette grading score and mite density, as assessed by microscopic evaluation of plucked lashes. As this was an exploratory Phase 2a trial, no primary or secondary endpoints were pre-specified. We utilized the data from the exploratory endpoints to determine collarette cure and mite eradication rates. We defined collarette cure as collarette count of 10 or fewer, consistent with prior studies in the field. We defined mite eradication as zero mites per lash.</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40"/>
          </w:cols>
          <w:pgMar w:left="32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The following figure illustrates representative photos of two Mars subjects at baseline and Day 28 who exhibited a collarette cure:</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19: Two Mars Trial Subjects at Baseline and Day 28 Who Exhibited a Collarette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171450</wp:posOffset>
            </wp:positionV>
            <wp:extent cx="3360420" cy="27260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04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proportion of subjects who exhibited a collarette cure was statistically significant compared to baseline by Day 14 with 54% of subjects (7 of 13 subjects, p &lt; 0.05) exhibiting a cure, at Day 28 with 86% of subjects (12 of 14 subjects, p &lt; 0.05) exhibiting a cure, and post-treatment at Day 60 with 83% of subjects (10 of 12 subjects, p &lt; 0.05) exhibiting a cure and at Day 90 with 83% of subjects (10 of 12 subjects, p &lt; 0.05) exhibiting a cure.</w:t>
      </w:r>
    </w:p>
    <w:p>
      <w:pPr>
        <w:spacing w:after="0" w:line="187"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proportion of subjects who exhibited mite eradication was statistically significant compared to baseline at Day 14 with 31% of subjects (4 of 13 subjects, p &lt; 0.05) exhibiting eradication, at Day 28 with 57% of subjects (8 of 14 subjects, p &lt; 0.05) exhibiting eradication, and post-treatment at Day 60 with 50% of subjects (6 of 12 subjects, p &lt; 0.05) exhibiting eradication and Day 90 with 83% of subjects (10 of 12 subjects, p &lt; 0.05) exhibiting eradication.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the data for each visit day:</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Figures 20 and 21: Mars Phase 2a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513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20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adverse events reported and TP-03 was well tolerated. No subjects discontinued the trial due to adverse events.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Jupiter Phase 2b Trial</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Jupiter was a Phase 2b randomized, controlled, double-blind trial which evaluated the safety and efficacy of TP-03 for the treatment of Demodex blepharitis completed in 2019 in Mexico City, Mexico at a well-established site for ocular therapy trials. Subjects were treated with either TP-03 (pilot formulation) or with a vehicle control BID for 28 days. Subjects were followed to 90 days (62 days post-treatment) to evaluate post-treatment duration of effect. The primary endpoint was mite density for the treatment group as compared to the mite density for the vehicle control group at Day 28 and the secondary endpoint was collarette grade as compared to the collarette grade for the vehicle control group at Day 28. We utilized the collarette grading and mite density data to determine collarette cure and mite eradication rates. The definitions of collarette cure and mite eradication in the Jupiter trial were consistent with those used in the Mars trial. A total of 60 subjects were enrolled in the trial, with 51 subjects receiving treatment through Day 28 and 49 subjects completing the trial through Day 90.</w:t>
      </w:r>
    </w:p>
    <w:p>
      <w:pPr>
        <w:spacing w:after="0" w:line="17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proportion of subjects who exhibited a collarette cure was statistically significant for TP-03 compared to vehicle control at Day 14 (78% vs. 44% subjects, p = 0.020), Day 28 (88% vs. 22%, p &lt; 0.001) and post-treatment at Day 60 (95% vs. 26%, p &lt; 0.001) and Day 90 (96% vs. 15%, p &lt; 0.001).</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proportion of subjects who exhibited mite eradication was statistically significant for TP-03 compared to vehicle control at Day 14 (35% vs. 4% subjects, p = 0.009), Day 28 (67% vs. 26%, p = 0.005) and post-treatment at Day 60 (85% vs. 7%, p &lt; 0.001) and Day 90 (68% vs. 19%, p = 0.001).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Figures 22 and 23: Jupiter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0916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There were no serious adverse events reported and TP-03 was well tolerated. Any adverse events were not related to treatment and no subjects discontinued the trial due to adverse events.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Trials With Updated Protocol and Formulation Designed to Support Pivotal Trials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Io Phase 2a Trial</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Io was a Phase 2a single-arm trial which evaluated the safety and efficacy of TP-03 for the treatment of Demodex blepharitis completed in 2020 in Mexico City, Mexico at a well-established site for ocular therapy trials. The design of the Io trial took into account feedback from the FDA, and accordingly we subsequently defined collarette cure rate as a more stringent standard of less than or equal to two collarettes on the eyelid. The definition of mite eradication, defined as zero mites per lash, remained consistent with that of the Mars and Jupiter trials. In the Io trial we also utilized for the first time in clinical trials the formulation of TP-03 which is expected to support our NDA submission for Demodex blepharitis. The Io trial design, as well as the formulation of TP-03 utilized, are consistent with the design and formulation to be utilized in our Saturn-1 Phase 2b/3 trial. The primary efficacy endpoint was the proportion of patients experiencing a cure based on collarette grade, or collarette cure, at Day 42. The secondary endpoint was the mite eradication rate at Day 42. A total of 18 subjects were enrolled in the trial, all of whom were crossed over from the vehicle control group of the Jupiter trial. In data described below, three subjects missed the Day 7 visit, one subject missed the Day 14 visit and one subject missed the Day 28 visit.</w:t>
      </w:r>
    </w:p>
    <w:p>
      <w:pPr>
        <w:spacing w:after="0" w:line="166"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proportion of subjects who exhibited a collarette cure was statistically significant for TP-03 compared to baseline by Day 14 with 29% of subjects (5 of 17 subjects, p &lt; 0.05), at Day 28 with 71% of subjects (12 of 17 subjects, p &lt; 0.05) and at Day 42 with 72% of subjects (13 of 18 subjects, p &lt; 0.05).</w:t>
      </w:r>
    </w:p>
    <w:p>
      <w:pPr>
        <w:spacing w:after="0" w:line="184"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proportion of subjects who exhibited mite eradication was statistically significant for TP-03 compared to baseline by Day 14 with 47% of subjects (8 of 17 subjects, p &lt; 0.05), at Day 28 with 59% of subjects (10 of 17 subjects, p &lt; 0.05) and at Day 42 with 78% of subjects (14 of 18 subjects, p &lt; 0.05).</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figures present the collarette cure and mite eradication rates for each visit day:</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Figures 24 and 25: Io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171450</wp:posOffset>
            </wp:positionV>
            <wp:extent cx="5134610" cy="18173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3461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All 18 subjects completed the trial through Day 42 of dosing. There were no serious adverse events reported and TP-03 was well tolerated. No subjects discontinued the trial due to adverse events. The most common adverse event included mild transient burning after administration for less than 10 seconds.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provides a summary of treatment emergent adverse events for the trial:</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26: Summary of Treatment Emergent Adverse Events</w:t>
      </w:r>
    </w:p>
    <w:p>
      <w:pPr>
        <w:spacing w:after="0" w:line="235"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0"/>
              </w:rPr>
              <w:t>Adverse Event</w:t>
            </w:r>
          </w:p>
        </w:tc>
        <w:tc>
          <w:tcPr>
            <w:tcW w:w="2460" w:type="dxa"/>
            <w:vAlign w:val="bottom"/>
            <w:vMerge w:val="restart"/>
          </w:tcPr>
          <w:p>
            <w:pPr>
              <w:spacing w:after="0"/>
              <w:rPr>
                <w:sz w:val="14"/>
                <w:szCs w:val="14"/>
                <w:color w:val="auto"/>
              </w:rPr>
            </w:pPr>
          </w:p>
        </w:tc>
        <w:tc>
          <w:tcPr>
            <w:tcW w:w="820" w:type="dxa"/>
            <w:vAlign w:val="bottom"/>
            <w:gridSpan w:val="2"/>
          </w:tcPr>
          <w:p>
            <w:pPr>
              <w:ind w:left="180"/>
              <w:spacing w:after="0"/>
              <w:rPr>
                <w:sz w:val="20"/>
                <w:szCs w:val="20"/>
                <w:color w:val="auto"/>
              </w:rPr>
            </w:pPr>
            <w:r>
              <w:rPr>
                <w:rFonts w:ascii="Arial" w:cs="Arial" w:eastAsia="Arial" w:hAnsi="Arial"/>
                <w:sz w:val="14"/>
                <w:szCs w:val="14"/>
                <w:b w:val="1"/>
                <w:bCs w:val="1"/>
                <w:color w:val="auto"/>
              </w:rPr>
              <w:t>N=18</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8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n (%)</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Transient burning</w:t>
            </w: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8"/>
              </w:rPr>
              <w:t>4 (22%)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Transient blurriness</w:t>
            </w:r>
          </w:p>
        </w:tc>
        <w:tc>
          <w:tcPr>
            <w:tcW w:w="740" w:type="dxa"/>
            <w:vAlign w:val="bottom"/>
          </w:tcPr>
          <w:p>
            <w:pPr>
              <w:ind w:left="160"/>
              <w:spacing w:after="0"/>
              <w:rPr>
                <w:sz w:val="20"/>
                <w:szCs w:val="20"/>
                <w:color w:val="auto"/>
              </w:rPr>
            </w:pPr>
            <w:r>
              <w:rPr>
                <w:rFonts w:ascii="Arial" w:cs="Arial" w:eastAsia="Arial" w:hAnsi="Arial"/>
                <w:sz w:val="18"/>
                <w:szCs w:val="18"/>
                <w:color w:val="auto"/>
              </w:rPr>
              <w:t>1 (6%)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Europa Phase 2b Trial</w:t>
      </w:r>
    </w:p>
    <w:p>
      <w:pPr>
        <w:spacing w:after="0" w:line="225"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Europa was a Phase 2b randomized, controlled, double-blind trial, which evaluated the safety and efficacy of TP-03 for the treatment of Demodex blepharitis completed in 2020 in Mexico City, Mexico at a well-established site for ocular therapy trials. Like the Io trial, the Europa trial was designed with the same protocols and formulation as will be utilized in our Saturn-1 Phase 2b/3 trial. Subjects were treated with either TP-03 or with a vehicle control BID for 42 days. A total of 54 subjects were enrolled in the trial with 34 subjects completing the trial through Day 42.</w:t>
      </w:r>
    </w:p>
    <w:p>
      <w:pPr>
        <w:spacing w:after="0" w:line="15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primary efficacy endpoint was the proportion of patients experiencing a cure based on collarette grade of two or fewer collarettes on the eyelid, or collarette cure, as compared to the vehicle control, at Day 42. Secondary efficacy endpoints included (1) mite eradication compared to vehicle control (defined as zero mites per lash) at Day 42, and (2) a composite cure rate of collarette cure and zero lid erythema (redness) compared to vehicle control. Subjects were also asked to rate the comfort of the trial eye drop at Day 42.</w:t>
      </w:r>
    </w:p>
    <w:p>
      <w:pPr>
        <w:spacing w:after="0" w:line="187"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The proportion of subjects who exhibited a collarette cure was statistically significant for TP-03 compared to vehicle control at Day 28 (72% vs 11% subjects, p &lt; 0.001) and Day 42 (80% vs. 16%, p &lt; 0.001).</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proportion of subjects who exhibited a mite eradication was statistically significant for TP-03 compared to vehicle control at Day 28 (56% vs 11% subjects, p = 0.006) and Day 42 (73% vs. 21%, p = 0.003).</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Figures 27 and 28: Europa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171450</wp:posOffset>
            </wp:positionV>
            <wp:extent cx="4680585" cy="18942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8058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As provided in the figures below, the proportion of subjects who exhibited composite cure rate of zero lid erythema combined with collarette cure was statistically significant for TP-03 compared to vehicle control at Day 28 (67% vs 11% subjects, p &lt; 0.001) and Day 42 (73% vs. 11%, p &lt; 0.001).</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data for each visit day:</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Figure 29: Composite Cure Rate was Statistically Significant for TP-03 Compared to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171450</wp:posOffset>
            </wp:positionV>
            <wp:extent cx="2828925" cy="21259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2892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The figure below shows how subjects rated drop comfort at each visit in each of the active and vehicle control groups. The bars shows the percentage of patients who rated the drop as either “very comfortable,” “slightly comfortable” or “neither comfortable or uncomfortable” in both the active and vehicle control groups for each visit day. There was only one subject, in the vehicle group, that rated the drop as “very uncomfortable” and only at Days 14 and 28. All other subjects that did not rate the drop as “very comfortable”, “slightly comfortable” or “neither comfortable or uncomfortable” rated the drop as “slightly uncomfortable.” At Day 7, the drop was rated as “slightly uncomfortable” by 6/22 (27.3%) in the active group, 2/20 (10.0%) in the vehicle control group and 8/42 (19.0%) overall.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 shows the drop comfort ratings at each visit day:</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Figure 30: Comfort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171450</wp:posOffset>
            </wp:positionV>
            <wp:extent cx="2828925" cy="20148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2892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No subjects discontinued the trial due to an adverse event and TP-03 was well tolerated. All adverse events were mild in severity.</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provides a summary of treatment related or possibly related adverse events for the trial:</w:t>
      </w:r>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Figure 31: No Subjects Discontinued Europa Trial Due to Adverse Event</w:t>
      </w:r>
    </w:p>
    <w:p>
      <w:pPr>
        <w:spacing w:after="0" w:line="235"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Active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Vehicle</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0"/>
              </w:rPr>
              <w:t>Adverse Event</w:t>
            </w:r>
          </w:p>
        </w:tc>
        <w:tc>
          <w:tcPr>
            <w:tcW w:w="3340" w:type="dxa"/>
            <w:vAlign w:val="bottom"/>
            <w:vMerge w:val="restart"/>
          </w:tcPr>
          <w:p>
            <w:pPr>
              <w:spacing w:after="0"/>
              <w:rPr>
                <w:sz w:val="12"/>
                <w:szCs w:val="12"/>
                <w:color w:val="auto"/>
              </w:rPr>
            </w:pPr>
          </w:p>
        </w:tc>
        <w:tc>
          <w:tcPr>
            <w:tcW w:w="114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N=23</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N=20</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140" w:type="dxa"/>
            <w:vAlign w:val="bottom"/>
            <w:gridSpan w:val="2"/>
          </w:tcPr>
          <w:p>
            <w:pPr>
              <w:ind w:left="240"/>
              <w:spacing w:after="0" w:line="158" w:lineRule="exact"/>
              <w:rPr>
                <w:sz w:val="20"/>
                <w:szCs w:val="20"/>
                <w:color w:val="auto"/>
              </w:rPr>
            </w:pPr>
            <w:r>
              <w:rPr>
                <w:rFonts w:ascii="Arial" w:cs="Arial" w:eastAsia="Arial" w:hAnsi="Arial"/>
                <w:sz w:val="14"/>
                <w:szCs w:val="14"/>
                <w:b w:val="1"/>
                <w:bCs w:val="1"/>
                <w:color w:val="auto"/>
              </w:rPr>
              <w:t>n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n (%)</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Transient burning</w:t>
            </w: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3 (13%)</w:t>
            </w: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 (4%)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Transient eye redness</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1 (4%)</w:t>
            </w:r>
          </w:p>
        </w:tc>
        <w:tc>
          <w:tcPr>
            <w:tcW w:w="3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Transient blurriness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 (4%)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Dysgeusia</w:t>
            </w:r>
          </w:p>
        </w:tc>
        <w:tc>
          <w:tcPr>
            <w:tcW w:w="840" w:type="dxa"/>
            <w:vAlign w:val="bottom"/>
          </w:tcPr>
          <w:p>
            <w:pPr>
              <w:jc w:val="center"/>
              <w:spacing w:after="0"/>
              <w:rPr>
                <w:sz w:val="20"/>
                <w:szCs w:val="20"/>
                <w:color w:val="auto"/>
              </w:rPr>
            </w:pPr>
            <w:r>
              <w:rPr>
                <w:rFonts w:ascii="Arial" w:cs="Arial" w:eastAsia="Arial" w:hAnsi="Arial"/>
                <w:sz w:val="18"/>
                <w:szCs w:val="18"/>
                <w:color w:val="auto"/>
                <w:w w:val="94"/>
              </w:rPr>
              <w:t>1 (4%)</w:t>
            </w:r>
          </w:p>
        </w:tc>
        <w:tc>
          <w:tcPr>
            <w:tcW w:w="3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TP-03 Safety Profile From Phase 2 Clinical Trials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or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177" w:lineRule="exact"/>
        <w:rPr>
          <w:sz w:val="20"/>
          <w:szCs w:val="20"/>
          <w:color w:val="auto"/>
        </w:rPr>
      </w:pPr>
    </w:p>
    <w:p>
      <w:pPr>
        <w:jc w:val="both"/>
        <w:ind w:left="120" w:right="120" w:firstLine="881"/>
        <w:spacing w:after="0" w:line="342" w:lineRule="auto"/>
        <w:rPr>
          <w:sz w:val="20"/>
          <w:szCs w:val="20"/>
          <w:color w:val="auto"/>
        </w:rPr>
      </w:pPr>
      <w:r>
        <w:rPr>
          <w:rFonts w:ascii="Arial" w:cs="Arial" w:eastAsia="Arial" w:hAnsi="Arial"/>
          <w:sz w:val="16"/>
          <w:szCs w:val="16"/>
          <w:color w:val="auto"/>
        </w:rPr>
        <w:t>Adverse events deemed unrelated to treatment occurred in five subjects treated with TP-03, with diarrhea reported in two subjects (2.4%), hypertension reported in one subject (1.2%), cataract operation reported in one subject (1.2%), and pharyngotonsillitis reported in one subject (1.2%).</w:t>
      </w:r>
    </w:p>
    <w:p>
      <w:pPr>
        <w:spacing w:after="0" w:line="12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subjects treated with the vehicle control, the six subjects reported adverse events unrelated to treatment, which consisted of diarrhea in three subjects (5.7%) and viral upper respiratory tract infection in three subjects (5.7%).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59" w:right="5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Furthermore, there was little or no change in mean corrected distance visual acuity across all four trials, and only one subject treated with TP-03 showed a worsening of 0.22 logMAR from baseline to Day 28 in the left eye. This subject did not return for their follow-up visit on Day 42. Intraocular pressure was recorded in the Mars, Jupiter and Europa trials, and there were only minor reported changes observed in both the active and the vehicle control. The most common clinically significant slit lamp examination finding was an increase from baseline in corneal staining. The increases in staining were typically transient, occurring at only a single visit, and, in the controlled trials, occurred more often in subjects treated with the vehicle control versus subjects treated with TP-03. The only other slit lamp examination finding was conjunctival hyperemia in one subject receiving TP-03 at Day seven and one subject receiving the vehicle control at Day 14.</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Disease Recurrence Following End of Treatment Course</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Subjects from the Mars and active arm of the Jupiter trials were followed for one year after enrollment. Combined interim data for recurrence of clinical grade Demodex blepharitis was defined as a collarette score of two or more meaning more than 10 collarettes on the lid,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Based on this data, we believe that subsequent to initial treatment TP-03 may be utilized by patients and ECPs for intermittent re-treatment based on the disease recurrence observed.</w:t>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figures below present the collarette and mite recurrence for each visit day.</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Figures 31 and 32: Collarette and Mite Recurrence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171450</wp:posOffset>
            </wp:positionV>
            <wp:extent cx="5014595" cy="2143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1459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Ongoing and Planned Pivotal Trials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Saturn-1 and Saturn-2 Trials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Saturn-1 is a randomized, controlled, double-blind Phase 2b/3 trial. In September 2020, we have commenced the trial to evaluate the safety and efficacy of TP-03 for the treatment of Demodex blepharitis in multiple centers in the United States. Target enrollment for the trial is at least 350 subjects, enrolled 1:1 between a BID dose of TP-03 and a vehicle control. Saturn-1 is designed for subjects to receive treatment for 42 days and be subsequently followed for safety under a separate protocol for one year. The primary efficacy endpoint is proportion of subjects with cure based on a collarette grade of zero (£ 2) at Day 43. The two secondary endpoints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are (1) proportion of subjects with Demodex eradication (zero mites per lash) at Day 43 and (2) proportion of subjects with a composite of collarette and erythema cure at Day 43 (collarette grade of zero combined with erythema score of zero). Top-line data for Saturn-1 is anticipated in 2021, subject to the impact of the ongoing COVID-19 pandemic.</w:t>
      </w:r>
    </w:p>
    <w:p>
      <w:pPr>
        <w:spacing w:after="0" w:line="184" w:lineRule="exact"/>
        <w:rPr>
          <w:sz w:val="20"/>
          <w:szCs w:val="20"/>
          <w:color w:val="auto"/>
        </w:rPr>
      </w:pPr>
    </w:p>
    <w:p>
      <w:pPr>
        <w:ind w:left="120" w:right="200" w:firstLine="881"/>
        <w:spacing w:after="0" w:line="291" w:lineRule="auto"/>
        <w:rPr>
          <w:sz w:val="20"/>
          <w:szCs w:val="20"/>
          <w:color w:val="auto"/>
        </w:rPr>
      </w:pPr>
      <w:r>
        <w:rPr>
          <w:rFonts w:ascii="Arial" w:cs="Arial" w:eastAsia="Arial" w:hAnsi="Arial"/>
          <w:sz w:val="16"/>
          <w:szCs w:val="16"/>
          <w:color w:val="auto"/>
        </w:rPr>
        <w:t>Saturn-2 is designed to be a confirmatory Phase 3 trial that we plan to initiate promptly after completing enrollment in Saturn-1. It is a randomized, controlled, double-blind trial to evaluate the safety and efficacy of TP-03 for the treatment of Demodex blepharitis in multiple centers in the Unites States. Target enrollment for the trial is approximately 350 subjects, enrolled 1:1 between a BID dose TP-03 arm and a vehicle control. Saturn-2 is designed for subjects to be followed for 43 days and receive treatment for 42 days. The primary efficacy endpoint is proportion of subjects with cure based on a collarette grade of zero at Day 43. The two secondary endpoints are (1) proportion of subjects with Demodex eradication (zero mites per lash) at Day 43 and (2) proportion of subjects with a composite of collarette and erythema cure at Day 43 (collarette grade of zero combined with erythema score of zero). Enrollment of Saturn-2 is expected to begin in 2021, subject to the impact of the ongoing COVID-19 pandemic.</w:t>
      </w:r>
    </w:p>
    <w:p>
      <w:pPr>
        <w:spacing w:after="0" w:line="16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protocol, including the subject inclusion and exclusion criteria and endpoints, and formulation are designed to be consistent with those of our Io and Europa Phase 2 trials. We have received a “no-objection” letter from the FDA regarding the trial design for Saturn-1 and Saturn-2 has a highly comparable design to that of Saturn-1. We expect that the data form the Saturn-1 and Saturn-2 trials will support our NDA filing for TP-03 in Demodex blepharitis. Prior to submitting an NDA, we plan to perform a clinical pharmacokinetic study for TP-03 to support our NDA submission for Demodex blepharitis, and the FDA is recommending we perform carcinogenicity testing as well as embryofetal development studies in a second species. While we have factored these recommendations into our timeline and expenses, any adverse results, or any additional or similar requirements or recommendations from the FDA could cause delay in obtaining regulatory approval and increased costs.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TP-03 for Meibomian Gland Disease</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 xml:space="preserve">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United States, MGD prevalence has been found to be approximately two-thirds of the estimated 34 million dry eye patient population. One species of Demodex mite, </w:t>
      </w:r>
      <w:r>
        <w:rPr>
          <w:rFonts w:ascii="Arial" w:cs="Arial" w:eastAsia="Arial" w:hAnsi="Arial"/>
          <w:sz w:val="17"/>
          <w:szCs w:val="17"/>
          <w:i w:val="1"/>
          <w:iCs w:val="1"/>
          <w:color w:val="auto"/>
        </w:rPr>
        <w:t>Demodex brevis</w:t>
      </w:r>
      <w:r>
        <w:rPr>
          <w:rFonts w:ascii="Arial" w:cs="Arial" w:eastAsia="Arial" w:hAnsi="Arial"/>
          <w:sz w:val="17"/>
          <w:szCs w:val="17"/>
          <w:color w:val="auto"/>
        </w:rPr>
        <w:t xml:space="preserve">, is known to infest the meibomian gland, and clinical signs of MGD have been shown to be correlated with </w:t>
      </w:r>
      <w:r>
        <w:rPr>
          <w:rFonts w:ascii="Arial" w:cs="Arial" w:eastAsia="Arial" w:hAnsi="Arial"/>
          <w:sz w:val="17"/>
          <w:szCs w:val="17"/>
          <w:i w:val="1"/>
          <w:iCs w:val="1"/>
          <w:color w:val="auto"/>
        </w:rPr>
        <w:t>Demodex brevis</w:t>
      </w:r>
      <w:r>
        <w:rPr>
          <w:rFonts w:ascii="Arial" w:cs="Arial" w:eastAsia="Arial" w:hAnsi="Arial"/>
          <w:sz w:val="17"/>
          <w:szCs w:val="17"/>
          <w:color w:val="auto"/>
        </w:rPr>
        <w:t xml:space="preserve"> infestation. While dry eye is a multi-factorial disease, TP-03 is designed to relieve some of the key elements associated with MGD by virtue of causing the death of the </w:t>
      </w:r>
      <w:r>
        <w:rPr>
          <w:rFonts w:ascii="Arial" w:cs="Arial" w:eastAsia="Arial" w:hAnsi="Arial"/>
          <w:sz w:val="17"/>
          <w:szCs w:val="17"/>
          <w:i w:val="1"/>
          <w:iCs w:val="1"/>
          <w:color w:val="auto"/>
        </w:rPr>
        <w:t>Demodex brevis</w:t>
      </w:r>
      <w:r>
        <w:rPr>
          <w:rFonts w:ascii="Arial" w:cs="Arial" w:eastAsia="Arial" w:hAnsi="Arial"/>
          <w:sz w:val="17"/>
          <w:szCs w:val="17"/>
          <w:color w:val="auto"/>
        </w:rPr>
        <w:t xml:space="preserve"> mites.</w:t>
      </w:r>
    </w:p>
    <w:p>
      <w:pPr>
        <w:spacing w:after="0" w:line="17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There are no FDA-approved therapeutics for MGD. MGD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figures show a representation of Demodex mites infesting the meibomian gland:</w:t>
      </w: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33: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4771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60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Additional Product Candidates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TP-04 Topical Formulation for the Treatment of Rosacea</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Rosacea</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There are two phenotypes for rosacea: patients who present with papulopustular rosacea, or PPR, and patients who do not (non-PPR), with approximately 55% of patients presenting with the PPR phenotype and 45% presenting with the non-PPR phenotype. According to primary research we conducted of dermatologists, of patients who are being treated with topicals for rosacea, an estimated 18% of overall rosacea patients are seeking treatments, with PPR patients generally more likely to seek treatment given the noticeable symptoms.</w:t>
      </w:r>
    </w:p>
    <w:p>
      <w:pPr>
        <w:spacing w:after="0" w:line="177"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in their digestive tracts, suggesting that Demodex may contribute to rosacea by being a transporter for the bacteria that causes the disease. Furthering that point, there is evidence to suggest that </w:t>
      </w:r>
      <w:r>
        <w:rPr>
          <w:rFonts w:ascii="Arial" w:cs="Arial" w:eastAsia="Arial" w:hAnsi="Arial"/>
          <w:sz w:val="16"/>
          <w:szCs w:val="16"/>
          <w:i w:val="1"/>
          <w:iCs w:val="1"/>
          <w:color w:val="auto"/>
        </w:rPr>
        <w:t>bacillus oleronius</w:t>
      </w:r>
      <w:r>
        <w:rPr>
          <w:rFonts w:ascii="Arial" w:cs="Arial" w:eastAsia="Arial" w:hAnsi="Arial"/>
          <w:sz w:val="16"/>
          <w:szCs w:val="16"/>
          <w:color w:val="auto"/>
        </w:rPr>
        <w:t xml:space="preserve"> forms a symbiotic relationship with Demodex, and that both species must be present in order to cause the signs and symptoms of rosacea. Other bacteria such as </w:t>
      </w:r>
      <w:r>
        <w:rPr>
          <w:rFonts w:ascii="Arial" w:cs="Arial" w:eastAsia="Arial" w:hAnsi="Arial"/>
          <w:sz w:val="16"/>
          <w:szCs w:val="16"/>
          <w:i w:val="1"/>
          <w:iCs w:val="1"/>
          <w:color w:val="auto"/>
        </w:rPr>
        <w:t>staphylococcus epidermidis</w:t>
      </w:r>
      <w:r>
        <w:rPr>
          <w:rFonts w:ascii="Arial" w:cs="Arial" w:eastAsia="Arial" w:hAnsi="Arial"/>
          <w:sz w:val="16"/>
          <w:szCs w:val="16"/>
          <w:color w:val="auto"/>
        </w:rPr>
        <w:t>,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Treatment Options and Their Limitations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Rosacea is currently treated through topical anti-parasitic creams like ivermectin and other topicals including azelaic acid, and antibiotics like metronidazole, as well as other mechanisms such as alpha agonists. An estimated 50% of rosacea patients are on at least one prescription topical treatment. The current standard of care, Soolantra, is a branded anti-parasitic drug composed of 1% ivermectin cream, which targets Demodex mites but is only modestly effective, takes 8 to 12 weeks to show efficacy and is expensive at around approximately $500 wholesale acquisition cost, or WAC, for a 30-day supply.</w:t>
      </w:r>
    </w:p>
    <w:p>
      <w:pPr>
        <w:spacing w:after="0" w:line="188"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Other treatments in development include Sol-Gel’s Epsolay, a topical cream containing 5% encapsulated benzoyl peroxide, and Foamix’s FMX103, a topical foam containing 1.5% minocycline, for the treatment of Subtype II rosacea, characterized by small, dome-shaped erythematous papules that resemble acne but are associated with burning and stinging sensations.</w:t>
      </w:r>
    </w:p>
    <w:p>
      <w:pPr>
        <w:spacing w:after="0" w:line="18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 TP-04 Topical Formulation for Rosacea</w:t>
      </w:r>
    </w:p>
    <w:p>
      <w:pPr>
        <w:spacing w:after="0" w:line="22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condition. We believe we can improve upon existing treatments in the market, like Soolantra, with an API that is more effective (longer half-life, more lipophilic, greater therapeutic window). We believe a longer half-life is expected to lead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178"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 xml:space="preserve">We have not conducted any preclinical studies for TP-04 to date. We intend to leverage systemic preclinical data from our TP-03 program (such as embryofetal development studies, genotoxicity studies and safety pharmacology studies, and augment with additional dermal preclinical studies such as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skin permeation and penetration studies, dermal toxicology and dermal pharmacodynamics testing we intend to conduct) to identify a lead formulation that maximizes dermal levels of TP-04 and which we believe can compare favorably to Soolantra. We may need to address this approach with the FDA if we were to conduct a clinical trial in the United States and if the FDA rejected our use of data from these preclinical studies, it could cause delay in any trial we conduct in the United States for TP-04. We plan to evaluate whether TP-04 is safe and effective at treating the symptoms of PPR in a Phase 1/2 trial outside the United States, which is expected to begin enrollment in 2021. Prior to commencing clinical trials in the United States for TP-04, we will need to obtain an IND from the FDA.</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TP-05 Oral Formulation for the Prophylactic Protection against Lyme Disease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Lyme Disease</w:t>
      </w:r>
    </w:p>
    <w:p>
      <w:pPr>
        <w:spacing w:after="0" w:line="225"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7"/>
          <w:szCs w:val="17"/>
          <w:color w:val="auto"/>
        </w:rPr>
        <w:t>Lyme disease is the most common vector-borne disease in the United States, caused by infection of Borrelia bacteria following bite by a tick vector, predominantly ticks of the Ixodes genus (namely Ixodes scapularis in the United States). Estimates of annual cases of Lyme disease in the United States range from approximately 300,000 to 400,000, with many cases being misdiagnosed or diagnosed late. According to 2018</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data from the U.S. Centers for Disease Control, or CDC, in 2018, over 30 million people in the United States are at risk of contracting Lyme disease, with over 20 million of those people residing in states that have a “high incidence” of Lyme disease per the CDC; and the geographic footprint of Lyme disease carrying ticks is expanding. Lyme disease occurs most commonly in geographical areas where the Ixodes scapularis tick is prevalent, namely in the Northeast of the United States. Lyme disease also occurs in certain parts of Europe, typically resulting from a different Ixodes species vector.</w:t>
      </w:r>
    </w:p>
    <w:p>
      <w:pPr>
        <w:spacing w:after="0" w:line="157"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The mechanism of Lyme disease infection is well understood. Borrelia bacteria colonizes the salivary glands of the ticks, and the infected saliva is transmitted to the human host when a tick attaches to a person for feeding. The probability of Borrelia transmission, and therefore the risk of Lyme disease, increases with the duration of the tick’s attachment. Borrelia is rarely transferred during the first or even second day of feeding but transfers quite efficiently during and after the third day of feeding. This window from the time of bite to the time of transmission offers an opportunity for intervention to prevent Lyme disease.</w:t>
      </w:r>
    </w:p>
    <w:p>
      <w:pPr>
        <w:spacing w:after="0" w:line="18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Lyme disease can be a serious condition that may affect multiple bodily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Lyme Prophylaxis Options and Their Limitations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184" w:lineRule="exact"/>
        <w:rPr>
          <w:sz w:val="20"/>
          <w:szCs w:val="20"/>
          <w:color w:val="auto"/>
        </w:rPr>
      </w:pPr>
    </w:p>
    <w:p>
      <w:pPr>
        <w:jc w:val="both"/>
        <w:ind w:left="120" w:right="180" w:firstLine="881"/>
        <w:spacing w:after="0" w:line="259" w:lineRule="auto"/>
        <w:rPr>
          <w:sz w:val="20"/>
          <w:szCs w:val="20"/>
          <w:color w:val="auto"/>
        </w:rPr>
      </w:pPr>
      <w:r>
        <w:rPr>
          <w:rFonts w:ascii="Arial" w:cs="Arial" w:eastAsia="Arial" w:hAnsi="Arial"/>
          <w:sz w:val="18"/>
          <w:szCs w:val="18"/>
          <w:color w:val="auto"/>
        </w:rPr>
        <w:t>Moreover, there are currently no FDA-approved therapeutics for the prevention of Lyme disease. A vaccine for Lyme disease, LYMERix, was developed and launched by SmithKline Beecham in 1999. Approximately 1.5 million doses of the vaccine were sold in 1999, but the product was quickly pulled from the market following negative press and class action litigation claiming a dangerous side effect profile. We are aware of a second vaccine currently under development by Valneva for Lyme disease, VLA-15.</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is significant unmet need for a safe, effective and easy to use prophylactic for at-risk individuals in Lyme disease.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 TP-05 Oral Formulation for the Prophylactic Protection against Lyme Disease</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Since Borrelia is usually transferred during the second or third day following a tick bite, our approach is to eradicate the tick before it can transmit the bacteria. To do this, we are developing TP-05 as an oral formulation of lotilaner. We are targeting 30 days of prophylactic protection against Lyme disease with a single oral dose of TP-05. Given that lotilaner was developed specifically, in part, to eradicate ticks with systemic administration to companion animals, the pharmacology of lotilaner in Lyme prophylaxis is well understood. Similar to its mechanism against Demodex, lotilaner is a potent non-competitive antagonist of tick GABA-Cl channels. Antagonism of these channels in ticks induces paralysis and eventual death. The high preference for insect and arachnid GABA-Cl channels over mammalian channels promotes the safety profile of the molecule. Extensive preclinical systemic toxicology and safety pharmacology studies have been performed by third parties to date and support advancing TP-05 into clinical development. Lotilaner has a long, approximate 30-day systemic half-life in dogs, which we believe could provide for a convenient monthly administration.</w:t>
      </w:r>
    </w:p>
    <w:p>
      <w:pPr>
        <w:spacing w:after="0" w:line="196"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have identified a lead formulation of TP-05 for Phase 1/2 trials. For TP-05 and its use in Lyme prophylaxis, we intend to leverage oral systemic preclinical data from our TP-03 program (embryofetal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TP-05 is a presentation of lotilaner, which is the same as the Elanco API but formulated into a tablet. We obtained rights to these studies through the All Human Uses Elanco Agreement and we will not conduct any additional preclinical studies to support our Phase 1/2 clinical trial. While we plan to discuss this approach in a planned pre-IND meeting with the FDA, the FDA may reject our use of data from these preclinical studies and require us to conduct additional preclinical studies before advancing to clinical trials, which may delay our expected timelines for approval and increase costs. Subject to feedback from the FDA on this approach from our planned pre-IND meeting, we intend to evaluate whether TP-05 is safe and effective at eradicating ticks in a planned Phase 1/2 trial, which is expected to begin enrollment in 2021. Prior to commencing clinical trials in the United States for TP-05 for the potential Lyme prophylaxis, we will need to submit an IND with the FDA.</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Malaria</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Malaria is one of the world’s highest unmet public health needs, with approximately 228 million cases and more than 400,000 deaths caused by malaria worldwide in 2018 alone. The disease is caused by several species of plasmodium, a parasite transmitted to humans by a mosquito vector. Symptoms and outcomes include fever, vomiting, fatigue, seizure, coma and death. The disease is widespread in tropical and subtropical regions near the equator, with sub-Saharan Africa, parts of Asia and parts of Latin America impacted the most. The majority of deaths occur in Africa.</w:t>
      </w:r>
    </w:p>
    <w:p>
      <w:pPr>
        <w:spacing w:after="0" w:line="157" w:lineRule="exact"/>
        <w:rPr>
          <w:sz w:val="20"/>
          <w:szCs w:val="20"/>
          <w:color w:val="auto"/>
        </w:rPr>
      </w:pPr>
    </w:p>
    <w:p>
      <w:pPr>
        <w:jc w:val="both"/>
        <w:ind w:left="120" w:right="140" w:firstLine="881"/>
        <w:spacing w:after="0" w:line="259" w:lineRule="auto"/>
        <w:rPr>
          <w:sz w:val="20"/>
          <w:szCs w:val="20"/>
          <w:color w:val="auto"/>
        </w:rPr>
      </w:pPr>
      <w:r>
        <w:rPr>
          <w:rFonts w:ascii="Arial" w:cs="Arial" w:eastAsia="Arial" w:hAnsi="Arial"/>
          <w:sz w:val="18"/>
          <w:szCs w:val="18"/>
          <w:color w:val="auto"/>
        </w:rPr>
        <w:t>There has been a massive years-long effort to combat malaria using a variety of techniques, including administration of multiple types of prophylactic and therapeutic drugs, insecticide spraying and mosquito nets. While worldwide rates of malaria have dropped over the last two decades, meaningful reduction in malaria rates has stalled since approximately 2015. It is widely hoped that new vector control and prophylactic modalities will play an important role in further reducing the burden of the disease.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Approach, TP-05 Oral Formulation, Long-acting Endectocide for Community Malaria Reduction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malaria community, including, the World Health Organization, Medicines for Malaria Venture, Bill and Melinda Gates Foundation and others, has called for the development of a long-acting endectocide, or antiparasitic drug active against endoparasites such as plasmodium, for the control and reduction of malaria in endemic regions. An endectocide for malaria is a drug taken by a person that causes the death or incapacity of a mosquito before it can infect another person. Field studies and modeling have shown that reducing the lifespan of the mosquitos may significantly reduce malaria transmission. With mass drug administration, which is a common approach for other anti-malarial medications, a community could attain herd protection against spread of malaria using an endectocide. For instance, the PNAS Study on mosquito populations showed that mass administration of an isoxazoline endectocide could reduce community malaria rates by as much as 66% with administration to just 30% of a community’s population.</w:t>
      </w:r>
    </w:p>
    <w:p>
      <w:pPr>
        <w:spacing w:after="0" w:line="166"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The pharmacology of isoxazoline endectocide in malaria control is well understood. Similar to its mechanism against Demodex and ticks, the isoxazoline endectocides are potent non-competitive antagonists of GABA-Cl channels in mosquitos. Furthermore, according to the PNAS Study, the isoxazoline endectocides showed significant ability to cause the death of various disease carrying mosquito vectors that were fed drug-supplemented human blood in a membrane feeding assay. Additional transmission modeling in the PNAS Study of these isoxazolines on malaria incidence, which assumed a 90-day efficacy period, translated to survival of less than 1% of mosquitos. We believe our treatment concept of the oral administration of TP-05 to a human population may likewise lead to the death of blood-fed insect vectors and a decline in disease transmission. This is based on the relatively long half-life of lotilaner, an isoxazoline endectocide, which has been demonstrated in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preclinical studies. However, modeling studies may not be accurate representations of malaria transmission in human populations and the efficacy of lotilaner or TP-05 to cause the death of mosquitos and reduced transmission rates has not been tested in human populations.</w:t>
      </w:r>
    </w:p>
    <w:p>
      <w:pPr>
        <w:spacing w:after="0" w:line="14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For TP-05 and its use in malaria community reduction,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We obtained rights to these studies through the All Human Uses Elanco Agreement and we will not conduct any additional preclinical studies to support our Phase 1/2 clinical trial. We intend to evaluate whether TP-05 is safe and effective at eradicating mosquitos in a planned Phase 1/2 trial, which may be conducted outside the United States, and which is expected to begin enrollment in 2021.</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Chemistry, Manufacturing and Controls</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We do not currently own or operate and currently have no plans to establish facilities for manufacturing, storing, distributing or testing our product candidates. We rely and expect to continue to rely for the foreseeable future on CMOs to manufacture and supply our preclinical and clinical materials to be used during the development of our product candidates. We have assembled a team of employees and consultants to oversee our technical quality and CMOs.</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product candidate TP-03 is a presentation of lotilaner, the API, formulated into a topical eye drop formulation. Only one dose strength of TP-03 is currently being developed, 0.25% lotilaner solution. Since TP-03 is an anti-infective, only one strength, the maximum formulatable (0.25%), is required to be evaluated clinically.</w:t>
      </w:r>
    </w:p>
    <w:p>
      <w:pPr>
        <w:spacing w:after="0" w:line="184"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We believe that our supply of TP-03 is sufficient to complete Saturn-1, and that our supply of cGMP lotilaner is sufficient to complete Saturn-2. We believe that the existing capacity of our current API supplier will be sufficient to support commercial scale-up, validation and commercial launch activities if TP-03 is approved. Our current supplier currently manufactures cGMP lotilaner at multiple geographically distinct facilities.</w:t>
      </w:r>
    </w:p>
    <w:p>
      <w:pPr>
        <w:spacing w:after="0" w:line="149" w:lineRule="exact"/>
        <w:rPr>
          <w:sz w:val="20"/>
          <w:szCs w:val="20"/>
          <w:color w:val="auto"/>
        </w:rPr>
      </w:pPr>
    </w:p>
    <w:p>
      <w:pPr>
        <w:jc w:val="both"/>
        <w:ind w:left="120" w:firstLine="881"/>
        <w:spacing w:after="0" w:line="296" w:lineRule="auto"/>
        <w:rPr>
          <w:sz w:val="20"/>
          <w:szCs w:val="20"/>
          <w:color w:val="auto"/>
        </w:rPr>
      </w:pPr>
      <w:r>
        <w:rPr>
          <w:rFonts w:ascii="Arial" w:cs="Arial" w:eastAsia="Arial" w:hAnsi="Arial"/>
          <w:sz w:val="16"/>
          <w:szCs w:val="16"/>
          <w:color w:val="auto"/>
        </w:rPr>
        <w:t>Although we have relied on a single supplier for both non-clinical and clinical supply for lotilaner under cGMP protocols and a single CMO to manufacture TP-03 and to perform analytical testing services, it is our 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 We are evaluating a supplier for TP-04 topical formulation for rosacea and have identified a supplier for TP-05 oral formulation for Phase 1/2 trials for Lyme disease and malaria.</w:t>
      </w:r>
    </w:p>
    <w:p>
      <w:pPr>
        <w:spacing w:after="0" w:line="161" w:lineRule="exact"/>
        <w:rPr>
          <w:sz w:val="20"/>
          <w:szCs w:val="20"/>
          <w:color w:val="auto"/>
        </w:rPr>
      </w:pPr>
    </w:p>
    <w:p>
      <w:pPr>
        <w:ind w:left="120" w:right="220" w:firstLine="881"/>
        <w:spacing w:after="0" w:line="289" w:lineRule="auto"/>
        <w:rPr>
          <w:sz w:val="20"/>
          <w:szCs w:val="20"/>
          <w:color w:val="auto"/>
        </w:rPr>
      </w:pPr>
      <w:r>
        <w:rPr>
          <w:rFonts w:ascii="Arial" w:cs="Arial" w:eastAsia="Arial" w:hAnsi="Arial"/>
          <w:sz w:val="16"/>
          <w:szCs w:val="16"/>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178"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and off-label remedies such as tea tree oil, lid wipes and artificial tears. We are aware of other companies developing prescription therapies for blepharitis, including Azura Ophthalmics, Aperta Biosciences, LLC, Eyevance Pharmaceuticals, Formosa Pharmaceuticals, Inc., Hovione Scientia, Nicox SA, Novaliq GmbH, Premark Pharma and Quorum Innovations. To our knowledge, Aperta Biosciences, LLC is the only company currently focused on Demodex blepharitis and Nicox SA and Premark Pharma are the only companies with blepharitis programs that have completed Phase 2 trials.</w:t>
      </w:r>
    </w:p>
    <w:p>
      <w:pPr>
        <w:spacing w:after="0" w:line="17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light of our stage of development, we have not yet established a commercial organization or distribution capabilities. If TP-03 receives marketing approval, we plan to commercialize TP-03 in the United States by developing our own sales organization targeting a subset of the approximately 25,000 prescribing ECPs in the United States. Throughout our commercialization efforts, we intend to educate ECPs on Demodex blepharitis and how to diagnose it with a simple slit lamp examination. Given the importance of increasing awareness and educating patients with blepharitis, we also anticipate deploying focused DTC marketing campaigns for TP-03. We expect to conduct most of the buildout of this organization following NDA submission and approval of TP-03, if obtained. Outside the United States, we intend to establish commercialization strategies for TP-03 as we approach possible commercial approval in each market, which may include collaborations with other companies.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protect our intellectual property rights and proprietary technology with a combination of patent rights that we own or license in certain fields of use, trademark rights, confidentiality procedures and contractual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161"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 term of individual patents varies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restore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78"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 technologies. Some of our issued patents and patent applications are exclusively licensed to us in therapeutic fields of use from Elanco. The patents and patent applications owned by or licensed to us worldwide include approximately 36 issued patents and approximately 23 pending patent applications.</w:t>
      </w:r>
    </w:p>
    <w:p>
      <w:pPr>
        <w:spacing w:after="0" w:line="176" w:lineRule="exact"/>
        <w:rPr>
          <w:sz w:val="20"/>
          <w:szCs w:val="20"/>
          <w:color w:val="auto"/>
        </w:rPr>
      </w:pPr>
    </w:p>
    <w:p>
      <w:pPr>
        <w:ind w:left="120" w:right="200" w:firstLine="881"/>
        <w:spacing w:after="0" w:line="296" w:lineRule="auto"/>
        <w:rPr>
          <w:sz w:val="20"/>
          <w:szCs w:val="20"/>
          <w:color w:val="auto"/>
        </w:rPr>
      </w:pPr>
      <w:r>
        <w:rPr>
          <w:rFonts w:ascii="Arial" w:cs="Arial" w:eastAsia="Arial" w:hAnsi="Arial"/>
          <w:sz w:val="16"/>
          <w:szCs w:val="16"/>
          <w:color w:val="auto"/>
        </w:rPr>
        <w:t>We in-license certain of such patents and patent applications from Elanco. These patents and patent applications relate to lotilaner and are issued or pending in, for example, the United States, Australia, Brazil, Canada, Chile, China, several European territories, India, Japan, Mexico, New Zealand, the Russian Federation, and Taiwan. The licensed-in portfolio includes approximately 36 issued patents and approximately 4 pending patent applications; the issued patents and at least some of the pending patent applications include composition of matter claims. The estimated natural expiration date of the issued in-licensed patents is approximately 2029 with a potential extension until 2032.</w:t>
      </w:r>
    </w:p>
    <w:p>
      <w:pPr>
        <w:spacing w:after="0" w:line="161"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Approximately 16 of our owned pending patent applications include treatment and composition of matter claims which relate to our TP-03 product candidate with respect to our lead indication (e.g., isoxazoline parasiticides for the treatment of Demodex blepharitis), as well as other conditions. These pending patent applications include applications in the United States, Australia, Brazil, Canada, China, Europe, Israel, India, Japan, South Korea, Mexico, New Zealand, the Russian Federation, South Africa, and the Patent Cooperation Treaty (PCT). We received a Notice of Allowance on one of our owned pending patent applications with treatment claims, U.S. App. No. 16/221,390, on September 22, 2020. If patents issue on these pending applications of ours, the estimated natural expiration dates are between approximately 2038 and 2040.</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While estimated expiration dates and descriptions of patents and patent applications are listed above, the actual protection afforded by a patent varies on a product-by-product basis, from country-to-country, and depends upon many factors, including the type of patent, the scope of its coverage, patent term adjustments, the availability of regulatory-related extensions, disclaimers, the availability of legal remedies in a particular country, and the validity and enforceability of the patent.</w:t>
      </w:r>
    </w:p>
    <w:p>
      <w:pPr>
        <w:spacing w:after="0" w:line="187" w:lineRule="exact"/>
        <w:rPr>
          <w:sz w:val="20"/>
          <w:szCs w:val="20"/>
          <w:color w:val="auto"/>
        </w:rPr>
      </w:pPr>
    </w:p>
    <w:p>
      <w:pPr>
        <w:jc w:val="both"/>
        <w:ind w:left="120" w:right="100" w:firstLine="881"/>
        <w:spacing w:after="0" w:line="311" w:lineRule="auto"/>
        <w:rPr>
          <w:sz w:val="20"/>
          <w:szCs w:val="20"/>
          <w:color w:val="auto"/>
        </w:rPr>
      </w:pPr>
      <w:r>
        <w:rPr>
          <w:rFonts w:ascii="Arial" w:cs="Arial" w:eastAsia="Arial" w:hAnsi="Arial"/>
          <w:sz w:val="16"/>
          <w:szCs w:val="16"/>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maintain such trade secrets and other proprietary information, we rely in part on confidentiality agreements with our employees, consultants, contractors, outside scientific collaborators and other advisors.</w:t>
      </w:r>
    </w:p>
    <w:p>
      <w:pPr>
        <w:spacing w:after="0" w:line="170"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We also protect our brand through trademark rights. We are the registered owner of two U.S. pending trademark applications for the trademarks TARSUS and TARSUS PHARMACEUTICALS. In order to supplement the protection of our brand, we also own at least one registered internet domain name.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Eye and Derm Elanco Agreement</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In January 2019, we entered into the Eye and Derm Elanco Agreement granting us an exclusive, worldwide, sublicensable license to certain intellectual property for the development, marketing, and commercialization of lotilaner for the treatment, palliation, prevention or cure of any eye or skin disease or condition in humans.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 consent, additional third parties.</w:t>
      </w:r>
    </w:p>
    <w:p>
      <w:pPr>
        <w:spacing w:after="0" w:line="195" w:lineRule="exact"/>
        <w:rPr>
          <w:sz w:val="20"/>
          <w:szCs w:val="20"/>
          <w:color w:val="auto"/>
        </w:rPr>
      </w:pPr>
    </w:p>
    <w:p>
      <w:pPr>
        <w:ind w:left="120" w:right="60" w:firstLine="881"/>
        <w:spacing w:after="0" w:line="284" w:lineRule="auto"/>
        <w:rPr>
          <w:sz w:val="20"/>
          <w:szCs w:val="20"/>
          <w:color w:val="auto"/>
        </w:rPr>
      </w:pPr>
      <w:r>
        <w:rPr>
          <w:rFonts w:ascii="Arial" w:cs="Arial" w:eastAsia="Arial" w:hAnsi="Arial"/>
          <w:sz w:val="16"/>
          <w:szCs w:val="16"/>
          <w:color w:val="auto"/>
        </w:rPr>
        <w:t>We made an upfront payment of $1.0 million to Elanco at contract execution, which we recorded within “research and development” expense within our statements of operations for the year ended December 31, 2019. In accordance with the terms of the Eye and Derm Elanco Agreement, we are obligated to make further payments to Elanco upon our achievement of various clinical milestones up to an aggregate maximum of $6.0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w:t>
      </w:r>
    </w:p>
    <w:p>
      <w:pPr>
        <w:spacing w:after="0" w:line="1" w:lineRule="exact"/>
        <w:rPr>
          <w:sz w:val="20"/>
          <w:szCs w:val="20"/>
          <w:color w:val="auto"/>
        </w:rPr>
      </w:pPr>
    </w:p>
    <w:p>
      <w:pPr>
        <w:ind w:left="120" w:hanging="4"/>
        <w:spacing w:after="0" w:line="252" w:lineRule="auto"/>
        <w:tabs>
          <w:tab w:leader="none" w:pos="33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 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194"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178"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Under the terms of the Eye and Derm Elanco Agreement, we grant to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192"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 Human Uses Elanco Agreement</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In September 2020, we entered into the All Human Uses Elanco Agreement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 consent, additional third parties.</w:t>
      </w:r>
    </w:p>
    <w:p>
      <w:pPr>
        <w:spacing w:after="0" w:line="177" w:lineRule="exact"/>
        <w:rPr>
          <w:sz w:val="20"/>
          <w:szCs w:val="20"/>
          <w:color w:val="auto"/>
        </w:rPr>
      </w:pPr>
    </w:p>
    <w:p>
      <w:pPr>
        <w:ind w:left="120" w:firstLine="881"/>
        <w:spacing w:after="0" w:line="283" w:lineRule="auto"/>
        <w:rPr>
          <w:sz w:val="20"/>
          <w:szCs w:val="20"/>
          <w:color w:val="auto"/>
        </w:rPr>
      </w:pPr>
      <w:r>
        <w:rPr>
          <w:rFonts w:ascii="Arial" w:cs="Arial" w:eastAsia="Arial" w:hAnsi="Arial"/>
          <w:sz w:val="16"/>
          <w:szCs w:val="16"/>
          <w:color w:val="auto"/>
        </w:rPr>
        <w:t>Pursuant to the terms of the All Human Uses Elanco Agreement, we issued 222,460 shares of our common stock to Elanco, which we expect to record within “research and development” expense within our statements of operations for the year ended December 31, 2020. In accordance with the terms of the All Human Uses Elanco Agreement, we are obligated to make further payments to Elanco upon our achievement of various clinical milestones up to an aggregate maximum of $4.5 million and various sales milestones up to an aggregate maximum of $77.0 million. We may owe further sales milestone payments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w:t>
      </w:r>
    </w:p>
    <w:p>
      <w:pPr>
        <w:spacing w:after="0" w:line="5" w:lineRule="exact"/>
        <w:rPr>
          <w:sz w:val="20"/>
          <w:szCs w:val="20"/>
          <w:color w:val="auto"/>
        </w:rPr>
      </w:pPr>
    </w:p>
    <w:p>
      <w:pPr>
        <w:ind w:left="120" w:right="120" w:hanging="4"/>
        <w:spacing w:after="0" w:line="253" w:lineRule="auto"/>
        <w:tabs>
          <w:tab w:leader="none" w:pos="36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spacing w:after="0" w:line="125" w:lineRule="exact"/>
        <w:rPr>
          <w:rFonts w:ascii="Arial" w:cs="Arial" w:eastAsia="Arial" w:hAnsi="Arial"/>
          <w:sz w:val="18"/>
          <w:szCs w:val="18"/>
          <w:color w:val="auto"/>
        </w:rPr>
      </w:pPr>
    </w:p>
    <w:p>
      <w:pPr>
        <w:ind w:left="5480" w:hanging="96"/>
        <w:spacing w:after="0"/>
        <w:tabs>
          <w:tab w:leader="none" w:pos="54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151 -</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168" w:lineRule="exact"/>
        <w:rPr>
          <w:sz w:val="20"/>
          <w:szCs w:val="20"/>
          <w:color w:val="auto"/>
        </w:rPr>
      </w:pPr>
    </w:p>
    <w:p>
      <w:pPr>
        <w:ind w:left="120" w:right="400" w:firstLine="881"/>
        <w:spacing w:after="0" w:line="273" w:lineRule="auto"/>
        <w:rPr>
          <w:sz w:val="20"/>
          <w:szCs w:val="20"/>
          <w:color w:val="auto"/>
        </w:rPr>
      </w:pPr>
      <w:r>
        <w:rPr>
          <w:rFonts w:ascii="Arial" w:cs="Arial" w:eastAsia="Arial" w:hAnsi="Arial"/>
          <w:sz w:val="17"/>
          <w:szCs w:val="17"/>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178" w:lineRule="exact"/>
        <w:rPr>
          <w:sz w:val="20"/>
          <w:szCs w:val="20"/>
          <w:color w:val="auto"/>
        </w:rPr>
      </w:pPr>
    </w:p>
    <w:p>
      <w:pPr>
        <w:ind w:left="120" w:right="360" w:firstLine="881"/>
        <w:spacing w:after="0" w:line="342" w:lineRule="auto"/>
        <w:rPr>
          <w:sz w:val="20"/>
          <w:szCs w:val="20"/>
          <w:color w:val="auto"/>
        </w:rPr>
      </w:pPr>
      <w:r>
        <w:rPr>
          <w:rFonts w:ascii="Arial" w:cs="Arial" w:eastAsia="Arial" w:hAnsi="Arial"/>
          <w:sz w:val="16"/>
          <w:szCs w:val="16"/>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Drug Regulation</w:t>
      </w:r>
    </w:p>
    <w:p>
      <w:pPr>
        <w:spacing w:after="0" w:line="225"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In the United States, we are subject to extensive regulation by the FDA, which regulates drugs under the Federal Food, Drug, and Cosmetic Act, or the FDCA, and its implementing regulations. FDA approval is required before any new unapproved drug or dosage form, including a new use of a previously approved drug, can be marketed in the United States. Drugs also are subject to other federal, state and local statutes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17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197" w:lineRule="exact"/>
        <w:rPr>
          <w:sz w:val="20"/>
          <w:szCs w:val="20"/>
          <w:color w:val="auto"/>
        </w:rPr>
      </w:pPr>
    </w:p>
    <w:p>
      <w:pPr>
        <w:ind w:left="1420" w:right="6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 in the United States and must be updated annually or when significant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approval by an independent IRB or independent ethics committee at each clinical trial site before each trial may be initiated;</w:t>
      </w:r>
    </w:p>
    <w:p>
      <w:pPr>
        <w:spacing w:after="0" w:line="263" w:lineRule="exact"/>
        <w:rPr>
          <w:rFonts w:ascii="Arial" w:cs="Arial" w:eastAsia="Arial" w:hAnsi="Arial"/>
          <w:sz w:val="17"/>
          <w:szCs w:val="17"/>
          <w:color w:val="auto"/>
        </w:rPr>
      </w:pPr>
    </w:p>
    <w:p>
      <w:pPr>
        <w:jc w:val="both"/>
        <w:ind w:left="1420" w:right="60" w:hanging="319"/>
        <w:spacing w:after="0" w:line="263"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submission to the FDA of an NDA;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submission for review;</w:t>
      </w:r>
    </w:p>
    <w:p>
      <w:pPr>
        <w:spacing w:after="0" w:line="252" w:lineRule="exact"/>
        <w:rPr>
          <w:rFonts w:ascii="Arial" w:cs="Arial" w:eastAsia="Arial" w:hAnsi="Arial"/>
          <w:sz w:val="18"/>
          <w:szCs w:val="18"/>
          <w:color w:val="auto"/>
        </w:rPr>
      </w:pPr>
    </w:p>
    <w:p>
      <w:pPr>
        <w:ind w:left="1420" w:right="80" w:hanging="319"/>
        <w:spacing w:after="0" w:line="342" w:lineRule="auto"/>
        <w:tabs>
          <w:tab w:leader="none" w:pos="14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where the drug will be produced to assess compliance with cGMP requirements, and of selected clinical investigational sites to assess compliance with GCD;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potential FDA audit of the preclinical study and/or clinical trial sites that generated the data in support of the NDA filing;</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payment of user fees for FDA review of the NDA;</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 and</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REMS and the potential requirement to conduct post-approval studies.</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 and IND Submission</w:t>
      </w:r>
    </w:p>
    <w:p>
      <w:pPr>
        <w:spacing w:after="0" w:line="225" w:lineRule="exact"/>
        <w:rPr>
          <w:sz w:val="20"/>
          <w:szCs w:val="20"/>
          <w:color w:val="auto"/>
        </w:rPr>
      </w:pPr>
    </w:p>
    <w:p>
      <w:pPr>
        <w:ind w:left="120" w:right="280" w:firstLine="881"/>
        <w:spacing w:after="0" w:line="296" w:lineRule="auto"/>
        <w:rPr>
          <w:sz w:val="20"/>
          <w:szCs w:val="20"/>
          <w:color w:val="auto"/>
        </w:rPr>
      </w:pPr>
      <w:r>
        <w:rPr>
          <w:rFonts w:ascii="Arial" w:cs="Arial" w:eastAsia="Arial" w:hAnsi="Arial"/>
          <w:sz w:val="16"/>
          <w:szCs w:val="16"/>
          <w:color w:val="auto"/>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United States.</w:t>
      </w:r>
    </w:p>
    <w:p>
      <w:pPr>
        <w:spacing w:after="0" w:line="161"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left="120" w:right="80" w:firstLine="881"/>
        <w:spacing w:after="0" w:line="288"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16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88"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Clinical trials in the United States generally are conducted in three sequential phases, known as Phase 1, Phase 2 and Phase 3. Although the phases are usually conducted sequentially, they may overlap or be combined.</w:t>
      </w:r>
    </w:p>
    <w:p>
      <w:pPr>
        <w:spacing w:after="0" w:line="197" w:lineRule="exact"/>
        <w:rPr>
          <w:sz w:val="20"/>
          <w:szCs w:val="20"/>
          <w:color w:val="auto"/>
        </w:rPr>
      </w:pPr>
    </w:p>
    <w:p>
      <w:pPr>
        <w:ind w:left="1420" w:hanging="319"/>
        <w:spacing w:after="0" w:line="263" w:lineRule="auto"/>
        <w:tabs>
          <w:tab w:leader="none" w:pos="14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w:t>
      </w:r>
    </w:p>
    <w:p>
      <w:pPr>
        <w:spacing w:after="0" w:line="116" w:lineRule="exact"/>
        <w:rPr>
          <w:rFonts w:ascii="Arial" w:cs="Arial" w:eastAsia="Arial" w:hAnsi="Arial"/>
          <w:sz w:val="18"/>
          <w:szCs w:val="18"/>
          <w:color w:val="auto"/>
        </w:rPr>
      </w:pPr>
    </w:p>
    <w:p>
      <w:pPr>
        <w:ind w:left="5480" w:hanging="96"/>
        <w:spacing w:after="0"/>
        <w:tabs>
          <w:tab w:leader="none" w:pos="54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154 -</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40"/>
        <w:spacing w:after="0" w:line="277" w:lineRule="auto"/>
        <w:rPr>
          <w:sz w:val="20"/>
          <w:szCs w:val="20"/>
          <w:color w:val="auto"/>
        </w:rPr>
      </w:pPr>
      <w:r>
        <w:rPr>
          <w:rFonts w:ascii="Arial" w:cs="Arial" w:eastAsia="Arial" w:hAnsi="Arial"/>
          <w:sz w:val="18"/>
          <w:szCs w:val="18"/>
          <w:color w:val="auto"/>
        </w:rPr>
        <w:t>tolerability and safety of the drug in humans, the side effects associated with increasing doses, and if possible, to gain early evidence on effectiveness.</w:t>
      </w:r>
    </w:p>
    <w:p>
      <w:pPr>
        <w:spacing w:after="0" w:line="197" w:lineRule="exact"/>
        <w:rPr>
          <w:sz w:val="20"/>
          <w:szCs w:val="20"/>
          <w:color w:val="auto"/>
        </w:rPr>
      </w:pPr>
    </w:p>
    <w:p>
      <w:pPr>
        <w:ind w:left="1420" w:right="280" w:hanging="319"/>
        <w:spacing w:after="0" w:line="311" w:lineRule="auto"/>
        <w:tabs>
          <w:tab w:leader="none" w:pos="14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175" w:lineRule="exact"/>
        <w:rPr>
          <w:rFonts w:ascii="Arial" w:cs="Arial" w:eastAsia="Arial" w:hAnsi="Arial"/>
          <w:sz w:val="16"/>
          <w:szCs w:val="16"/>
          <w:color w:val="auto"/>
        </w:rPr>
      </w:pPr>
    </w:p>
    <w:p>
      <w:pPr>
        <w:ind w:left="1420" w:right="120" w:hanging="319"/>
        <w:spacing w:after="0" w:line="301" w:lineRule="auto"/>
        <w:tabs>
          <w:tab w:leader="none" w:pos="142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184" w:lineRule="exact"/>
        <w:rPr>
          <w:rFonts w:ascii="Arial" w:cs="Arial" w:eastAsia="Arial" w:hAnsi="Arial"/>
          <w:sz w:val="16"/>
          <w:szCs w:val="16"/>
          <w:color w:val="auto"/>
        </w:rPr>
      </w:pPr>
    </w:p>
    <w:p>
      <w:pPr>
        <w:jc w:val="both"/>
        <w:ind w:left="1420" w:right="140" w:hanging="319"/>
        <w:spacing w:after="0" w:line="263" w:lineRule="auto"/>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210" w:lineRule="exact"/>
        <w:rPr>
          <w:rFonts w:ascii="Arial" w:cs="Arial" w:eastAsia="Arial" w:hAnsi="Arial"/>
          <w:sz w:val="18"/>
          <w:szCs w:val="18"/>
          <w:color w:val="auto"/>
        </w:rPr>
      </w:pPr>
    </w:p>
    <w:p>
      <w:pPr>
        <w:ind w:left="1420" w:right="60" w:hanging="319"/>
        <w:spacing w:after="0" w:line="308" w:lineRule="auto"/>
        <w:tabs>
          <w:tab w:leader="none" w:pos="142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Phase 2b/3 clinical trial has elements of a late Phase 2 trial and a Phase 3 trial. We have designated Saturn-1 as a Phase 2b/3 trial as it is both our first multi-center trial based in the United States, and also a pivotal trial for the United States.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84"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57" w:lineRule="exact"/>
        <w:rPr>
          <w:sz w:val="20"/>
          <w:szCs w:val="20"/>
          <w:color w:val="auto"/>
        </w:rPr>
      </w:pPr>
    </w:p>
    <w:p>
      <w:pPr>
        <w:jc w:val="both"/>
        <w:ind w:left="120" w:firstLine="881"/>
        <w:spacing w:after="0" w:line="301" w:lineRule="auto"/>
        <w:rPr>
          <w:sz w:val="20"/>
          <w:szCs w:val="20"/>
          <w:color w:val="auto"/>
        </w:rPr>
      </w:pPr>
      <w:r>
        <w:rPr>
          <w:rFonts w:ascii="Arial" w:cs="Arial" w:eastAsia="Arial" w:hAnsi="Arial"/>
          <w:sz w:val="16"/>
          <w:szCs w:val="16"/>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Marketing Approval</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spacing w:after="0" w:line="342" w:lineRule="auto"/>
        <w:rPr>
          <w:sz w:val="20"/>
          <w:szCs w:val="20"/>
          <w:color w:val="auto"/>
        </w:rPr>
      </w:pPr>
      <w:r>
        <w:rPr>
          <w:rFonts w:ascii="Arial" w:cs="Arial" w:eastAsia="Arial" w:hAnsi="Arial"/>
          <w:sz w:val="16"/>
          <w:szCs w:val="16"/>
          <w:color w:val="auto"/>
        </w:rPr>
        <w:t>investigators. To support marketing approval, the data submitted must be sufficient in quality and quantity to establish the safety and efficacy of the investigational product to the satisfaction of FDA. FDA approval of an NDA must be obtained before a drug may be marketed in the United States.</w:t>
      </w:r>
    </w:p>
    <w:p>
      <w:pPr>
        <w:spacing w:after="0" w:line="124"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Under the Prescription Drug User Fee Act, or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88" w:lineRule="exact"/>
        <w:rPr>
          <w:sz w:val="20"/>
          <w:szCs w:val="20"/>
          <w:color w:val="auto"/>
        </w:rPr>
      </w:pPr>
    </w:p>
    <w:p>
      <w:pPr>
        <w:jc w:val="both"/>
        <w:ind w:left="120" w:firstLine="881"/>
        <w:spacing w:after="0" w:line="286" w:lineRule="auto"/>
        <w:rPr>
          <w:sz w:val="20"/>
          <w:szCs w:val="20"/>
          <w:color w:val="auto"/>
        </w:rPr>
      </w:pPr>
      <w:r>
        <w:rPr>
          <w:rFonts w:ascii="Arial" w:cs="Arial" w:eastAsia="Arial" w:hAnsi="Arial"/>
          <w:sz w:val="16"/>
          <w:szCs w:val="16"/>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 receipt. Once the submission is accepted for filing, the FDA begins an in-depth review of the NDA. Under PDUFA, the FDA has agreed to certain performance goals in the review of NDAs through a two-tiered classification system, standard review and priority review.</w:t>
      </w:r>
    </w:p>
    <w:p>
      <w:pPr>
        <w:spacing w:after="0" w:line="1"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93"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8"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88"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spacing w:after="0" w:line="187"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considers the inspection to be necessary, the FDA is able to validate the data through an on-site inspection or other appropriate means.</w:t>
      </w:r>
    </w:p>
    <w:p>
      <w:pPr>
        <w:spacing w:after="0" w:line="22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176"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Although physicians may prescribe legally available drugs for off-label uses, manufacturers may not market or promote such uses.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Prescription drug promotional materials must be submitted to the FDA in conjunction with their first use or first publication.</w:t>
      </w:r>
    </w:p>
    <w:p>
      <w:pPr>
        <w:spacing w:after="0" w:line="211"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57"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78"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19" w:lineRule="exact"/>
        <w:rPr>
          <w:sz w:val="20"/>
          <w:szCs w:val="20"/>
          <w:color w:val="auto"/>
        </w:rPr>
      </w:pPr>
    </w:p>
    <w:p>
      <w:pPr>
        <w:ind w:left="1420" w:right="220" w:hanging="319"/>
        <w:spacing w:after="0" w:line="277" w:lineRule="auto"/>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suspension of the approval, complete withdrawal of the product from the market, or product recalls;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suspension or revocation of product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9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211" w:lineRule="exact"/>
        <w:rPr>
          <w:sz w:val="20"/>
          <w:szCs w:val="20"/>
          <w:color w:val="auto"/>
        </w:rPr>
      </w:pPr>
    </w:p>
    <w:p>
      <w:pPr>
        <w:ind w:left="1420" w:right="60" w:hanging="319"/>
        <w:spacing w:after="0" w:line="273" w:lineRule="auto"/>
        <w:tabs>
          <w:tab w:leader="none" w:pos="14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110" w:lineRule="exact"/>
        <w:rPr>
          <w:rFonts w:ascii="Arial" w:cs="Arial" w:eastAsia="Arial" w:hAnsi="Arial"/>
          <w:sz w:val="17"/>
          <w:szCs w:val="17"/>
          <w:color w:val="auto"/>
        </w:rPr>
      </w:pPr>
    </w:p>
    <w:p>
      <w:pPr>
        <w:ind w:left="5480" w:hanging="96"/>
        <w:spacing w:after="0"/>
        <w:tabs>
          <w:tab w:leader="none" w:pos="54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158 -</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 w:hanging="319"/>
        <w:spacing w:after="0" w:line="25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214" w:lineRule="exact"/>
        <w:rPr>
          <w:rFonts w:ascii="Arial" w:cs="Arial" w:eastAsia="Arial" w:hAnsi="Arial"/>
          <w:sz w:val="18"/>
          <w:szCs w:val="18"/>
          <w:color w:val="auto"/>
        </w:rPr>
      </w:pPr>
    </w:p>
    <w:p>
      <w:pPr>
        <w:ind w:left="1420" w:right="380" w:hanging="319"/>
        <w:spacing w:after="0" w:line="259"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213"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 including off-label or pre-approval promotion;</w:t>
      </w:r>
    </w:p>
    <w:p>
      <w:pPr>
        <w:spacing w:after="0" w:line="197" w:lineRule="exact"/>
        <w:rPr>
          <w:rFonts w:ascii="Arial" w:cs="Arial" w:eastAsia="Arial" w:hAnsi="Arial"/>
          <w:sz w:val="18"/>
          <w:szCs w:val="18"/>
          <w:color w:val="auto"/>
        </w:rPr>
      </w:pPr>
    </w:p>
    <w:p>
      <w:pPr>
        <w:ind w:left="1420" w:right="20" w:hanging="319"/>
        <w:spacing w:after="0" w:line="275" w:lineRule="auto"/>
        <w:tabs>
          <w:tab w:leader="none" w:pos="142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203" w:lineRule="exact"/>
        <w:rPr>
          <w:rFonts w:ascii="Arial" w:cs="Arial" w:eastAsia="Arial" w:hAnsi="Arial"/>
          <w:sz w:val="17"/>
          <w:szCs w:val="17"/>
          <w:color w:val="auto"/>
        </w:rPr>
      </w:pPr>
    </w:p>
    <w:p>
      <w:pPr>
        <w:ind w:left="1420" w:right="160" w:hanging="319"/>
        <w:spacing w:after="0" w:line="290" w:lineRule="auto"/>
        <w:tabs>
          <w:tab w:leader="none" w:pos="1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 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Additionally, California recently enacted legislation that has been dubbed the first “GDPR-like” law in the United States.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881"/>
        <w:spacing w:after="0" w:line="342" w:lineRule="auto"/>
        <w:rPr>
          <w:sz w:val="20"/>
          <w:szCs w:val="20"/>
          <w:color w:val="auto"/>
        </w:rPr>
      </w:pPr>
      <w:r>
        <w:rPr>
          <w:rFonts w:ascii="Arial" w:cs="Arial" w:eastAsia="Arial" w:hAnsi="Arial"/>
          <w:sz w:val="16"/>
          <w:szCs w:val="16"/>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24"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We may also be subject to state laws that require pharmaceutical companies to comply with the pharmaceutical industry’s voluntary compliance guidelines and the relevant compliance guidance promulgated by the federal government, as well as state laws that require drug manufacturers to report information related to payments and other transfers of value to physicians and other healthcare providers, marketing expenditures or drug pricing. In addition, we may be subject to state and local laws that require the registration of pharmaceutical sales representatives.</w:t>
      </w:r>
    </w:p>
    <w:p>
      <w:pPr>
        <w:spacing w:after="0" w:line="15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Equivalent, and similarly detailed, obligations will apply to the conduct of clinical trials in third countries including the EU.</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States Patent-Term Restoration and Marketing Exclusivity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25"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Similar to the United States,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Under the current regime all suspected unexpected serious adverse reactions to the investigated drug that occur during the clinical trial have to be reported to the NCA and ECs of the Member State where they occurred.</w:t>
      </w:r>
    </w:p>
    <w:p>
      <w:pPr>
        <w:spacing w:after="0" w:line="166"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2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Clinical Trial Approval</w:t>
      </w:r>
    </w:p>
    <w:p>
      <w:pPr>
        <w:spacing w:after="0" w:line="225" w:lineRule="exact"/>
        <w:rPr>
          <w:sz w:val="20"/>
          <w:szCs w:val="20"/>
          <w:color w:val="auto"/>
        </w:rPr>
      </w:pPr>
    </w:p>
    <w:p>
      <w:pPr>
        <w:ind w:left="120" w:right="200" w:firstLine="881"/>
        <w:spacing w:after="0" w:line="291" w:lineRule="auto"/>
        <w:rPr>
          <w:sz w:val="20"/>
          <w:szCs w:val="20"/>
          <w:color w:val="auto"/>
        </w:rPr>
      </w:pPr>
      <w:r>
        <w:rPr>
          <w:rFonts w:ascii="Arial" w:cs="Arial" w:eastAsia="Arial" w:hAnsi="Arial"/>
          <w:sz w:val="16"/>
          <w:szCs w:val="16"/>
          <w:color w:val="auto"/>
        </w:rPr>
        <w:t>Pursuant to the currently applicable Clinical Trials Directive 2001/20/EC and the Directive 2005/28/EC on GCP, in order to undertake a clinical trial in a European Union member state, an applicant must obtain approval from the competent national authority of the European Union member state in which the clinical trial is to be conducted, or in multiple member states if the clinical trial is to be conducted in a number of member states. The EEA is comprised of the 27 Member States of the European Union and the three members of the EFTA pillar of the EEA, Iceland, Liechtenstein and Norway. Furthermore, the applicant may only start a clinical trial at a specific site after the competent ethics committee has issued a favorable opinion. The clinical trial application must be accompanied by an IMP dossier with supporting information prescribed by Directive 2001/20/EC and Directive 2005/28/EC and corresponding national laws of the member states and further detailed in applicable guidance documents.</w:t>
      </w:r>
    </w:p>
    <w:p>
      <w:pPr>
        <w:spacing w:after="0" w:line="166"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In April 2014, the European Union adopted a new Clinical Trials Regulation (EU) No 536/2014, but it is not yet applicable in the European Union. The new legislation, which will be directly applicable in all European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Union member states, aims to streamline the approval of clinical trials in the European Union by applying consistent rules and harmonizing the approvals process throughout the European Union. For instance, the new Clinical Trials Regulation provides for a streamlined application procedure via a single-entry point facilitating a harmonized assessment across multiple member states. The timing of implementation of the new Clinical Trials Regulation will be dependent on the development and launch of a fully functional clinical trials portal and database, which would be confirmed by an independent audit. The new legislation will come into effect six months after the European Commission publishes a confirmation of full functionality of the clinical trials information system. The website indicated that the audit was expected to commence in December 2020.</w:t>
      </w:r>
    </w:p>
    <w:p>
      <w:pPr>
        <w:spacing w:after="0" w:line="178"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Parties conducting certain clinical trials in the European Union must, as in the United States, post clinical trial information at the EudraCT website: https://eudract.ema.europa.eu.</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Marketing Authorization</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the EEA, medicinal products can only be commercialized after obtaining a Marketing Authorization, or MA. There are a number of types of marketing authorizations.</w:t>
      </w:r>
    </w:p>
    <w:p>
      <w:pPr>
        <w:spacing w:after="0" w:line="197" w:lineRule="exact"/>
        <w:rPr>
          <w:sz w:val="20"/>
          <w:szCs w:val="20"/>
          <w:color w:val="auto"/>
        </w:rPr>
      </w:pPr>
    </w:p>
    <w:p>
      <w:pPr>
        <w:ind w:left="1420" w:hanging="319"/>
        <w:spacing w:after="0" w:line="253" w:lineRule="auto"/>
        <w:tabs>
          <w:tab w:leader="none" w:pos="1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Community MA is adopted by the European Commission in the form of a decision through the Centralized Procedure. The decision, which is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196" w:lineRule="exact"/>
        <w:rPr>
          <w:rFonts w:ascii="Arial" w:cs="Arial" w:eastAsia="Arial" w:hAnsi="Arial"/>
          <w:sz w:val="18"/>
          <w:szCs w:val="18"/>
          <w:color w:val="auto"/>
        </w:rPr>
      </w:pPr>
    </w:p>
    <w:p>
      <w:pPr>
        <w:ind w:left="1440" w:right="40"/>
        <w:spacing w:after="0" w:line="291" w:lineRule="auto"/>
        <w:rPr>
          <w:rFonts w:ascii="Arial" w:cs="Arial" w:eastAsia="Arial" w:hAnsi="Arial"/>
          <w:sz w:val="18"/>
          <w:szCs w:val="18"/>
          <w:color w:val="auto"/>
        </w:rPr>
      </w:pPr>
      <w:r>
        <w:rPr>
          <w:rFonts w:ascii="Arial" w:cs="Arial" w:eastAsia="Arial" w:hAnsi="Arial"/>
          <w:sz w:val="16"/>
          <w:szCs w:val="16"/>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193" w:lineRule="exact"/>
        <w:rPr>
          <w:rFonts w:ascii="Arial" w:cs="Arial" w:eastAsia="Arial" w:hAnsi="Arial"/>
          <w:sz w:val="18"/>
          <w:szCs w:val="18"/>
          <w:color w:val="auto"/>
        </w:rPr>
      </w:pPr>
    </w:p>
    <w:p>
      <w:pPr>
        <w:ind w:left="1420" w:hanging="319"/>
        <w:spacing w:after="0" w:line="289" w:lineRule="auto"/>
        <w:tabs>
          <w:tab w:leader="none" w:pos="14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w:t>
      </w:r>
    </w:p>
    <w:p>
      <w:pPr>
        <w:spacing w:after="0" w:line="98" w:lineRule="exact"/>
        <w:rPr>
          <w:rFonts w:ascii="Arial" w:cs="Arial" w:eastAsia="Arial" w:hAnsi="Arial"/>
          <w:sz w:val="16"/>
          <w:szCs w:val="16"/>
          <w:color w:val="auto"/>
        </w:rPr>
      </w:pPr>
    </w:p>
    <w:p>
      <w:pPr>
        <w:ind w:left="5480" w:hanging="96"/>
        <w:spacing w:after="0"/>
        <w:tabs>
          <w:tab w:leader="none" w:pos="548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162 -</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20"/>
        <w:spacing w:after="0" w:line="277" w:lineRule="auto"/>
        <w:rPr>
          <w:sz w:val="20"/>
          <w:szCs w:val="20"/>
          <w:color w:val="auto"/>
        </w:rPr>
      </w:pPr>
      <w:r>
        <w:rPr>
          <w:rFonts w:ascii="Arial" w:cs="Arial" w:eastAsia="Arial" w:hAnsi="Arial"/>
          <w:sz w:val="18"/>
          <w:szCs w:val="18"/>
          <w:color w:val="auto"/>
        </w:rPr>
        <w:t>the Reference Member State, the product is subsequently granted a national MA in all the Member States (i.e., in the Reference Member State and the Concerned Member States).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or by Medicare’s contractors and drug plans. These entities decide whether and to what extent a new product will be covered and reimbursed under Medicare, and private third-party payors often follow their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66"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78"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8"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61" w:lineRule="exact"/>
        <w:rPr>
          <w:sz w:val="20"/>
          <w:szCs w:val="20"/>
          <w:color w:val="auto"/>
        </w:rPr>
      </w:pPr>
    </w:p>
    <w:p>
      <w:pPr>
        <w:ind w:left="120" w:right="140" w:firstLine="881"/>
        <w:spacing w:after="0" w:line="272" w:lineRule="auto"/>
        <w:rPr>
          <w:sz w:val="20"/>
          <w:szCs w:val="20"/>
          <w:color w:val="auto"/>
        </w:rPr>
      </w:pPr>
      <w:r>
        <w:rPr>
          <w:rFonts w:ascii="Arial" w:cs="Arial" w:eastAsia="Arial" w:hAnsi="Arial"/>
          <w:sz w:val="17"/>
          <w:szCs w:val="17"/>
          <w:color w:val="auto"/>
        </w:rPr>
        <w:t>In addition, in order to be eligible to have its products paid for with federal funds under the Medicaid and Medicare Part B programs and purchased by certain federal agencies and grantees, a manufacturer also must participate in the VA FSS pricing program. Under this program, the manufacturer is obligated to make its innovator and single source products available for procurement on an FSS contract and charge a price to four federal agencies, U.S. Department of Veterans Affairs, U.S.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77"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requirements under the Medicaid, 340B, FSS, and TRICARE programs could reduce the revenue we may generate from any products that are commercialized in the future and could adversely affect our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84"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 Effective April 1, 2022, Medicaid rebate liability will be expanded to include the territories of the United States as well.</w:t>
      </w:r>
    </w:p>
    <w:p>
      <w:pPr>
        <w:spacing w:after="0" w:line="172"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There have been judicial challenges to certain aspects of the Affordable Care Act, as well as efforts by Congress to repeal or replace, and by the Trump administration to alter the implementation of, certain aspects of the Affordable Care Act. For example, on December 22, 2017, President Trump signed into law new federal tax legislation commonly referred to as the Tax Cuts and Jobs Act (the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in mid-2021. Additionally, the Further Consolidated Appropriations Act of 2020, Pub. L. No. 116-94, permanently eliminated, effective January 1, 2020, the Affordable Care Act-mandated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manufacturers who participate in Medicare Part D and to close the coverage gap in most Medicare drug plans, commonly referred to as the “donut hole.”</w:t>
      </w:r>
    </w:p>
    <w:p>
      <w:pPr>
        <w:spacing w:after="0" w:line="248" w:lineRule="exact"/>
        <w:rPr>
          <w:sz w:val="20"/>
          <w:szCs w:val="20"/>
          <w:color w:val="auto"/>
        </w:rPr>
      </w:pPr>
    </w:p>
    <w:p>
      <w:pPr>
        <w:ind w:left="120" w:right="100" w:firstLine="881"/>
        <w:spacing w:after="0" w:line="270" w:lineRule="auto"/>
        <w:rPr>
          <w:sz w:val="20"/>
          <w:szCs w:val="20"/>
          <w:color w:val="auto"/>
        </w:rPr>
      </w:pPr>
      <w:r>
        <w:rPr>
          <w:rFonts w:ascii="Arial" w:cs="Arial" w:eastAsia="Arial" w:hAnsi="Arial"/>
          <w:sz w:val="17"/>
          <w:szCs w:val="17"/>
          <w:color w:val="auto"/>
        </w:rPr>
        <w:t>Other legislative changes have been proposed and adopted in the United States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December 31, 2020, pursuant to the CARES Act signed into law in March 2020 and designed to provide financial support and resources to individuals and businesses affected by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181"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On October 9, 2019, HHS, OIG and CMS issued two proposed rules that set forth modifications to the Federal Anti-Kickback Statute, Civil Monetary Penalties Law and Physician Self-Referral Law (or the Stark Law) regulations to promote value-based and coordinated care arrangements.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500" w:firstLine="881"/>
        <w:spacing w:after="0" w:line="342" w:lineRule="auto"/>
        <w:rPr>
          <w:sz w:val="20"/>
          <w:szCs w:val="20"/>
          <w:color w:val="auto"/>
        </w:rPr>
      </w:pPr>
      <w:r>
        <w:rPr>
          <w:rFonts w:ascii="Arial" w:cs="Arial" w:eastAsia="Arial" w:hAnsi="Arial"/>
          <w:sz w:val="16"/>
          <w:szCs w:val="16"/>
          <w:color w:val="auto"/>
        </w:rPr>
        <w:t>As of June 30, 2020, we had 12 employees, all of whom were full-time employees, and seven of whom were engaged in research and development activities. None of our employees are represented by a labor union or covered under a collective bargaining agreement.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340" w:firstLine="881"/>
        <w:spacing w:after="0" w:line="263" w:lineRule="auto"/>
        <w:rPr>
          <w:sz w:val="20"/>
          <w:szCs w:val="20"/>
          <w:color w:val="auto"/>
        </w:rPr>
      </w:pPr>
      <w:r>
        <w:rPr>
          <w:rFonts w:ascii="Arial" w:cs="Arial" w:eastAsia="Arial" w:hAnsi="Arial"/>
          <w:sz w:val="18"/>
          <w:szCs w:val="18"/>
          <w:color w:val="auto"/>
        </w:rPr>
        <w:t>We currently lease 10,879 square feet of office and laboratory space in Irvine, California under a lease that expires in January 2024. We believe that this space is sufficient to meet our needs for the foreseeable future and that any additional space we may require will be available on commercially reasonable terms.</w:t>
      </w:r>
    </w:p>
    <w:p>
      <w:pPr>
        <w:spacing w:after="0" w:line="184"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We also lease 3,290 square feet of office and laboratory space in Irvine, California under an existing lease that expires in April 2022. We plan to sublease this space.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September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80" w:type="dxa"/>
            <w:vAlign w:val="bottom"/>
          </w:tcPr>
          <w:p>
            <w:pPr>
              <w:spacing w:after="0"/>
              <w:rPr>
                <w:sz w:val="14"/>
                <w:szCs w:val="14"/>
                <w:color w:val="auto"/>
              </w:rPr>
            </w:pPr>
          </w:p>
        </w:tc>
        <w:tc>
          <w:tcPr>
            <w:tcW w:w="350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5"/>
        </w:trPr>
        <w:tc>
          <w:tcPr>
            <w:tcW w:w="37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Bobak Azamian, M.D., Ph.D.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Leo M. Greenstein</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Seshadri Neervannan, Ph.D.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Chief Operating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Aziz Mottiwala</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Chief Commercial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Mark Holdbrook</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Vice President, Clinical Affairs</w:t>
            </w:r>
          </w:p>
        </w:tc>
      </w:tr>
      <w:tr>
        <w:trPr>
          <w:trHeight w:val="31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Michael Ackermann, Ph.D.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Chairperson of the Board (2)(3)</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Bhaskar Chaudhuri, Ph.D.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Director (1)</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Andrew Goldberg, M.D.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Director (2)(3)</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William J. Link, Ph.D.</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Director (1)(2)(3)</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Jason Tester</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3500" w:type="dxa"/>
            <w:vAlign w:val="bottom"/>
            <w:gridSpan w:val="3"/>
          </w:tcPr>
          <w:p>
            <w:pPr>
              <w:ind w:left="80"/>
              <w:spacing w:after="0"/>
              <w:rPr>
                <w:sz w:val="20"/>
                <w:szCs w:val="20"/>
                <w:color w:val="auto"/>
              </w:rPr>
            </w:pPr>
            <w:r>
              <w:rPr>
                <w:rFonts w:ascii="Arial" w:cs="Arial" w:eastAsia="Arial" w:hAnsi="Arial"/>
                <w:sz w:val="18"/>
                <w:szCs w:val="18"/>
                <w:color w:val="auto"/>
              </w:rPr>
              <w:t>Director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Audit Committee Member</w:t>
      </w:r>
    </w:p>
    <w:p>
      <w:pPr>
        <w:spacing w:after="0" w:line="230" w:lineRule="exact"/>
        <w:rPr>
          <w:rFonts w:ascii="Arial" w:cs="Arial" w:eastAsia="Arial" w:hAnsi="Arial"/>
          <w:sz w:val="14"/>
          <w:szCs w:val="14"/>
          <w:color w:val="auto"/>
        </w:rPr>
      </w:pPr>
    </w:p>
    <w:p>
      <w:pPr>
        <w:ind w:left="540" w:hanging="424"/>
        <w:spacing w:after="0"/>
        <w:tabs>
          <w:tab w:leader="none" w:pos="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Compensation Committee Member</w:t>
      </w:r>
    </w:p>
    <w:p>
      <w:pPr>
        <w:spacing w:after="0" w:line="230" w:lineRule="exact"/>
        <w:rPr>
          <w:rFonts w:ascii="Arial" w:cs="Arial" w:eastAsia="Arial" w:hAnsi="Arial"/>
          <w:sz w:val="14"/>
          <w:szCs w:val="14"/>
          <w:color w:val="auto"/>
        </w:rPr>
      </w:pPr>
    </w:p>
    <w:p>
      <w:pPr>
        <w:ind w:left="540" w:hanging="424"/>
        <w:spacing w:after="0"/>
        <w:tabs>
          <w:tab w:leader="none" w:pos="5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Nominating and Corporate Governance Committee Member</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180" w:firstLine="881"/>
        <w:spacing w:after="0" w:line="287" w:lineRule="auto"/>
        <w:rPr>
          <w:sz w:val="20"/>
          <w:szCs w:val="20"/>
          <w:color w:val="auto"/>
        </w:rPr>
      </w:pPr>
      <w:r>
        <w:rPr>
          <w:rFonts w:ascii="Arial" w:cs="Arial" w:eastAsia="Arial" w:hAnsi="Arial"/>
          <w:sz w:val="16"/>
          <w:szCs w:val="16"/>
          <w:b w:val="1"/>
          <w:bCs w:val="1"/>
          <w:i w:val="1"/>
          <w:iCs w:val="1"/>
          <w:color w:val="auto"/>
        </w:rPr>
        <w:t>Bobak Azamian, M.D., Ph.D.</w:t>
      </w:r>
      <w:r>
        <w:rPr>
          <w:rFonts w:ascii="Arial" w:cs="Arial" w:eastAsia="Arial" w:hAnsi="Arial"/>
          <w:sz w:val="16"/>
          <w:szCs w:val="16"/>
          <w:color w:val="auto"/>
        </w:rPr>
        <w:t>, is our co-founder and has served as our President since our inception, as our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co-Chairman and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He also completed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7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b w:val="1"/>
          <w:bCs w:val="1"/>
          <w:i w:val="1"/>
          <w:iCs w:val="1"/>
          <w:color w:val="auto"/>
        </w:rPr>
        <w:t xml:space="preserve">Leo M. Greenstein </w:t>
      </w:r>
      <w:r>
        <w:rPr>
          <w:rFonts w:ascii="Arial" w:cs="Arial" w:eastAsia="Arial" w:hAnsi="Arial"/>
          <w:sz w:val="18"/>
          <w:szCs w:val="18"/>
          <w:color w:val="auto"/>
        </w:rPr>
        <w:t>has served as our Chief Financial Officer since April 2020. Mr. Greenstein previously served as Senior Vice President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Finance and Corporate Controller at Spectrum Pharmaceuticals, Inc., a publicly-traded oncology pharmaceutical company from September 2013 until April 2020. Prior to Spectrum Pharmaceuticals, Mr. Greenstein served as Vice President of Finance and Corporate Controller at Endologix, Inc., a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59" w:lineRule="auto"/>
        <w:rPr>
          <w:sz w:val="20"/>
          <w:szCs w:val="20"/>
          <w:color w:val="auto"/>
        </w:rPr>
      </w:pPr>
      <w:r>
        <w:rPr>
          <w:rFonts w:ascii="Arial" w:cs="Arial" w:eastAsia="Arial" w:hAnsi="Arial"/>
          <w:sz w:val="18"/>
          <w:szCs w:val="18"/>
          <w:color w:val="auto"/>
        </w:rPr>
        <w:t>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an active attorney and member of the State Bar of California and is an active Certified Public Accountant in California.</w:t>
      </w:r>
    </w:p>
    <w:p>
      <w:pPr>
        <w:spacing w:after="0" w:line="187"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b w:val="1"/>
          <w:bCs w:val="1"/>
          <w:i w:val="1"/>
          <w:iCs w:val="1"/>
          <w:color w:val="auto"/>
        </w:rPr>
        <w:t xml:space="preserve">Seshadri Neervannan, Ph.D. </w:t>
      </w:r>
      <w:r>
        <w:rPr>
          <w:rFonts w:ascii="Arial" w:cs="Arial" w:eastAsia="Arial" w:hAnsi="Arial"/>
          <w:sz w:val="16"/>
          <w:szCs w:val="16"/>
          <w:color w:val="auto"/>
        </w:rPr>
        <w:t>has served as our Chief Operating Officer since July 2020. Dr. Neervannan previously served as Senior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Global Pharmaceutical Development, from March 2015 to July 2020 at Allergan, and Vice President, Pharmaceutical Development, from January 2007 to February 2015 at Allergan Inc.,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64"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b w:val="1"/>
          <w:bCs w:val="1"/>
          <w:i w:val="1"/>
          <w:iCs w:val="1"/>
          <w:color w:val="auto"/>
        </w:rPr>
        <w:t xml:space="preserve">Aziz Mottiwala </w:t>
      </w:r>
      <w:r>
        <w:rPr>
          <w:rFonts w:ascii="Arial" w:cs="Arial" w:eastAsia="Arial" w:hAnsi="Arial"/>
          <w:sz w:val="16"/>
          <w:szCs w:val="16"/>
          <w:color w:val="auto"/>
        </w:rPr>
        <w:t>has served as our Chief Commercial Officer since August 2020. Mr. Mottiwala has served on the board of directors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OneOC, a non-profit organization based in Orange County, California since March 2018. Mr. Mottiwala previously served as Chief Commercial Officer of Opiant Pharmaceutical, Inc., or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or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 portfolio from January 2014 to July 2017.</w:t>
      </w:r>
    </w:p>
    <w:p>
      <w:pPr>
        <w:spacing w:after="0" w:line="2"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Mr. Mottiwala holds a Bachelor of Science degree in Biochemistry from the University of California San Diego and an MBA in Marketing and Finance from the Marshall School of Business at the University of Southern California.</w:t>
      </w:r>
    </w:p>
    <w:p>
      <w:pPr>
        <w:spacing w:after="0" w:line="18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b w:val="1"/>
          <w:bCs w:val="1"/>
          <w:i w:val="1"/>
          <w:iCs w:val="1"/>
          <w:color w:val="auto"/>
        </w:rPr>
        <w:t xml:space="preserve">Michael Holdbrook </w:t>
      </w:r>
      <w:r>
        <w:rPr>
          <w:rFonts w:ascii="Arial" w:cs="Arial" w:eastAsia="Arial" w:hAnsi="Arial"/>
          <w:sz w:val="18"/>
          <w:szCs w:val="18"/>
          <w:color w:val="auto"/>
        </w:rPr>
        <w:t>has served as our Vice President of Clinical Affairs since November 2018. Prior to this Mr. Holdbrook was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consultant from October 2017 to November 2018 and served as Senior/Executive Director for Oculeve, which was acquired by Allergan, from May 2014 to October 2017. Mr. Holdbrook received a B.A. from the University of California at San Diego.</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b w:val="1"/>
          <w:bCs w:val="1"/>
          <w:i w:val="1"/>
          <w:iCs w:val="1"/>
          <w:color w:val="auto"/>
        </w:rPr>
        <w:t xml:space="preserve">Michael Ackermann, Ph.D. </w:t>
      </w:r>
      <w:r>
        <w:rPr>
          <w:rFonts w:ascii="Arial" w:cs="Arial" w:eastAsia="Arial" w:hAnsi="Arial"/>
          <w:sz w:val="16"/>
          <w:szCs w:val="16"/>
          <w:color w:val="auto"/>
        </w:rPr>
        <w:t>has served as a member of our board of directors and as chairperson of our board of directors since July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Ackermann has been the Chief Executive Officer of Presidio Medical, Inc. since September 2017. From October 2017 until October 2020,</w:t>
      </w:r>
    </w:p>
    <w:p>
      <w:pPr>
        <w:ind w:left="120" w:right="100"/>
        <w:spacing w:after="0" w:line="253" w:lineRule="auto"/>
        <w:rPr>
          <w:sz w:val="20"/>
          <w:szCs w:val="20"/>
          <w:color w:val="auto"/>
        </w:rPr>
      </w:pPr>
      <w:r>
        <w:rPr>
          <w:rFonts w:ascii="Arial" w:cs="Arial" w:eastAsia="Arial" w:hAnsi="Arial"/>
          <w:sz w:val="18"/>
          <w:szCs w:val="18"/>
          <w:color w:val="auto"/>
        </w:rPr>
        <w:t>Mr. Ackermann served as the chairman of the board of Oyster Point Pharma. Prior to that, he was Vice President, Neurostimulation for Allergan from August 2015 to June 2017 after serving as Chief Executive Officer of Oculeve, which was acquired by Allergan, from June 2012 to August 2015. Dr. Ackermann received a B.E. in biomedical engineering 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91"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b w:val="1"/>
          <w:bCs w:val="1"/>
          <w:i w:val="1"/>
          <w:iCs w:val="1"/>
          <w:color w:val="auto"/>
        </w:rPr>
        <w:t xml:space="preserve">Bhaskar Chaudhuri, Ph.D. </w:t>
      </w:r>
      <w:r>
        <w:rPr>
          <w:rFonts w:ascii="Arial" w:cs="Arial" w:eastAsia="Arial" w:hAnsi="Arial"/>
          <w:sz w:val="18"/>
          <w:szCs w:val="18"/>
          <w:color w:val="auto"/>
        </w:rPr>
        <w:t>has served as a member of our board of directors since December 2019. Dr. Chaudhuri has more than 20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in pharmaceutical management, research and development. Since June 2011, he has been the Operating Partner at Frazier Healthcare Ventures. Prior to that time, Dr. Chaudhuri served as President of Valeant Pharmaceuticals International, Inc. from January 2009 to September 2010. Prior to joining Valeant, Dr. Chaudhuri served for seven years as President and Chief Executive Officer of Dow Pharmaceutical Sciences, Inc. and as a member of its board of directors from 2003 to 2008, at which time Dow was acquired by Valeant. Prior to that, Dr. Chaudhuri served as Executive Vice President of</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Scientific Affairs at Bertek Pharmaceuticals, Inc., a subsidiary of Mylan N.V.,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Teligent Pharmaceuticals, Inc. since November 2010 and Vyome Biosciences, Ltd. since June 2015. He also serves on the Advisory Board of the Berman Institute of John Hopkins University. Dr. Chaudhuri holds a Bachelor of Science degree in Pharmacy and an M.S. in Industrial Pharmacy from Jadavpur University and a Ph.D. in Pharmaceutics form the University of Louisiana. We believe Dr. Chaudhuri’s qualifications to serve on the Board of Directors include his many years of experience in the pharmaceutical industry, including his prior positions in senior executive roles at major pharmaceutical companies.</w:t>
      </w:r>
    </w:p>
    <w:p>
      <w:pPr>
        <w:spacing w:after="0" w:line="165" w:lineRule="exact"/>
        <w:rPr>
          <w:sz w:val="20"/>
          <w:szCs w:val="20"/>
          <w:color w:val="auto"/>
        </w:rPr>
      </w:pPr>
    </w:p>
    <w:p>
      <w:pPr>
        <w:ind w:left="120" w:right="480" w:firstLine="881"/>
        <w:spacing w:after="0" w:line="291" w:lineRule="auto"/>
        <w:rPr>
          <w:sz w:val="20"/>
          <w:szCs w:val="20"/>
          <w:color w:val="auto"/>
        </w:rPr>
      </w:pPr>
      <w:r>
        <w:rPr>
          <w:rFonts w:ascii="Arial" w:cs="Arial" w:eastAsia="Arial" w:hAnsi="Arial"/>
          <w:sz w:val="16"/>
          <w:szCs w:val="16"/>
          <w:b w:val="1"/>
          <w:bCs w:val="1"/>
          <w:i w:val="1"/>
          <w:iCs w:val="1"/>
          <w:color w:val="auto"/>
        </w:rPr>
        <w:t xml:space="preserve">Andrew Goldberg, M.D. </w:t>
      </w:r>
      <w:r>
        <w:rPr>
          <w:rFonts w:ascii="Arial" w:cs="Arial" w:eastAsia="Arial" w:hAnsi="Arial"/>
          <w:sz w:val="16"/>
          <w:szCs w:val="16"/>
          <w:color w:val="auto"/>
        </w:rPr>
        <w:t>has served as a member of our board of directors since August 2020. Since February 2016, Dr. Goldberg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principal of Vivo Capital, a global healthcare investment firm that focuses exclusively on the life sciences industry. Prior to this,</w:t>
      </w:r>
    </w:p>
    <w:p>
      <w:pPr>
        <w:ind w:left="120" w:right="100"/>
        <w:spacing w:after="0" w:line="285" w:lineRule="auto"/>
        <w:rPr>
          <w:sz w:val="20"/>
          <w:szCs w:val="20"/>
          <w:color w:val="auto"/>
        </w:rPr>
      </w:pPr>
      <w:r>
        <w:rPr>
          <w:rFonts w:ascii="Arial" w:cs="Arial" w:eastAsia="Arial" w:hAnsi="Arial"/>
          <w:sz w:val="16"/>
          <w:szCs w:val="16"/>
          <w:color w:val="auto"/>
        </w:rPr>
        <w:t>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JAMA,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the Board of Directors include his many years of experience in strategy and product development in the pharmaceutical industry, and his experience investing in pharmaceutical companies.</w:t>
      </w:r>
    </w:p>
    <w:p>
      <w:pPr>
        <w:spacing w:after="0" w:line="172"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b w:val="1"/>
          <w:bCs w:val="1"/>
          <w:i w:val="1"/>
          <w:iCs w:val="1"/>
          <w:color w:val="auto"/>
        </w:rPr>
        <w:t xml:space="preserve">William J. Link, Ph.D. </w:t>
      </w:r>
      <w:r>
        <w:rPr>
          <w:rFonts w:ascii="Arial" w:cs="Arial" w:eastAsia="Arial" w:hAnsi="Arial"/>
          <w:sz w:val="16"/>
          <w:szCs w:val="16"/>
          <w:color w:val="auto"/>
        </w:rPr>
        <w:t>has served as a member of our board of directors since January 2017. Dr. Link is a managing director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co-founder of 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He also founded and served as President of American Medical Optics (acquired by Allergan). Dr. Link served as a director of Advanced Medical Optics (acquired by Abbott) from 2002 to 2009 and Inogen from 2003 to February 2014. Before entering the healthcare industry, Dr. Link was an assistant professor in the Department of Surgery at the Indiana University School of Medicine. He has been a member of the board of directors of Edwards Lifesciences Corporation since May 2009, Second Sight Medical Products from 2003 to May 31, 2020, Glaukos Corporation since 2001, and Oyster Point Pharma since July 2015.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172"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b w:val="1"/>
          <w:bCs w:val="1"/>
          <w:i w:val="1"/>
          <w:iCs w:val="1"/>
          <w:color w:val="auto"/>
        </w:rPr>
        <w:t xml:space="preserve">Jason Tester </w:t>
      </w:r>
      <w:r>
        <w:rPr>
          <w:rFonts w:ascii="Arial" w:cs="Arial" w:eastAsia="Arial" w:hAnsi="Arial"/>
          <w:sz w:val="16"/>
          <w:szCs w:val="16"/>
          <w:color w:val="auto"/>
        </w:rPr>
        <w:t>has served as a member of our board of directors since March 2018. Since September 2017 Mr. Tester has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the Horowitz Group. From September 2008 to August 2017 Mr. Tester was Chief Financial Officer of AcuFocus, an ophthalmic medical device company. From July 2007 to May 2008, Mr. Tester was Vice President of Jefferies &amp; Company, a healthcare investment bank. Mr. Tester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holds an MBA in finance from the Emory University Goizueta Business School, a Master of Accountancy with a specialization in taxation and a Bachelor of Business Administration from the University of Georgia. We believe that Mr. Tester is qualified to serve on our board of directors because of his financial and accounting expertise and his experience in the life science industry.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Our board of directors is currently authorized to have six members and currently consists of six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84"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4"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accordance with the terms of our amended and restated certificate of incorporation and amended and restated bylaws that will be in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198" w:lineRule="exact"/>
        <w:rPr>
          <w:sz w:val="20"/>
          <w:szCs w:val="20"/>
          <w:color w:val="auto"/>
        </w:rPr>
      </w:pPr>
    </w:p>
    <w:p>
      <w:pPr>
        <w:ind w:left="1420" w:right="240" w:hanging="319"/>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Class I directors will be William J. Link and Jason Tester and their terms will expire at the annual meeting of stockholders to be held in 2021;</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Class II directors will be Michael Ackermann and Bobak Azamian and their terms will expire at the annual meeting of stockholders to be held in 2022; and</w:t>
      </w:r>
    </w:p>
    <w:p>
      <w:pPr>
        <w:spacing w:after="0" w:line="197"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Class III directors will be Bhaskar Chaudhuri and Andrew Goldberg and their terms will expire at the annual meeting of stockholders to be held in 2023.</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w:t>
      </w:r>
    </w:p>
    <w:p>
      <w:pPr>
        <w:spacing w:after="0" w:line="187"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the section titled “Description of Capital Stock — Anti-Takeover Provisions — Certificate of Incorporation and Bylaw Provisions” elsewhere in this prospectus.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Upon the completion of this offering, we anticipate that our common stock will be listed on Nasdaq. Under the rules of Nasdaq, independent directors must comprise a majority of a listed company’s board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directors within one year of the completion of this offering. In addition, the rules of Nasdaq require that, subject to specified exceptions and phase-in periods, each member of a listed company’s audit, compensation and nominating and corporate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8" w:lineRule="exact"/>
        <w:rPr>
          <w:sz w:val="20"/>
          <w:szCs w:val="20"/>
          <w:color w:val="auto"/>
        </w:rPr>
      </w:pPr>
    </w:p>
    <w:p>
      <w:pPr>
        <w:ind w:left="120" w:right="60" w:firstLine="881"/>
        <w:spacing w:after="0" w:line="253" w:lineRule="auto"/>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none of our directors other than Dr. Azamian have a relationship that would interfere with the exercise of independent judgment in carrying out the responsibilities of a director and that each of these directors is “independent” as that term is defined under the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Dr. Azamian is not an independent director because he is our President and Chief Executive Officer.</w:t>
      </w:r>
    </w:p>
    <w:p>
      <w:pPr>
        <w:spacing w:after="0" w:line="196"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his or her independence, including the beneficial ownership of our capital stock by each non-employee director, and the transactions involving them described in the section titled “Certain Relationships and Related Party Transactions” elsewhere in this prospectus. There are no family relationships among any of our directors or executive officers.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board of directors will establish an audit committee, a compensation committee and a nominating and corporate governance committee prior to the completion of this offering. Our board of directors may establish other committees to facilitate the management of our business. Our board of directors and its committees will set schedules for meeting throughout the year and can also hold special meetings and act by written consent from time to time, as appropriate. Our board of directors expects to delegate various responsibilities and authority to committees as generally described below. The committees will regularly report on their activities and actions to the full board of directors. Each member of each committee of our board of directors will qualify as an independent director in accordance with the listing standards of Nasdaq. Each committee of our board of directors will have a written charter approved by our board of directors. Upon the completion of this offering, copies of each charter will be posted on our website at www.tarsusrx.com under the For Investors section. The inclusion of our website address in this prospectus does not include or incorporate by reference the information on our website into this prospectus. Members will serve on these committees until their resignation or until otherwise determined by our board of directors.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Effective immediately after the effectiveness of the registration statement of which this prospectus forms a part, the members of our audit committee will be Dr. Chaudhuri, Dr. Link and Mr. Tester, each of whom can read and understand fundamental financial statements. Each member of our audit committee is independent under the rules and regulations of the SEC and the listing standards of Nasdaq applicable to audit committee members. Mr. Tester will be the chair of the audit committee. Our board of directors has determined that each of Dr. Link and Mr. Tester qualify as an audit committee financial expert within the meaning of SEC regulations and each member meets the financial sophistication requirements of Nasdaq.</w:t>
      </w:r>
    </w:p>
    <w:p>
      <w:pPr>
        <w:spacing w:after="0" w:line="161"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87" w:lineRule="exact"/>
        <w:rPr>
          <w:sz w:val="20"/>
          <w:szCs w:val="20"/>
          <w:color w:val="auto"/>
        </w:rPr>
      </w:pPr>
    </w:p>
    <w:p>
      <w:pPr>
        <w:jc w:val="both"/>
        <w:ind w:left="120" w:right="140" w:firstLine="881"/>
        <w:spacing w:after="0" w:line="342" w:lineRule="auto"/>
        <w:rPr>
          <w:sz w:val="20"/>
          <w:szCs w:val="20"/>
          <w:color w:val="auto"/>
        </w:rPr>
      </w:pPr>
      <w:r>
        <w:rPr>
          <w:rFonts w:ascii="Arial" w:cs="Arial" w:eastAsia="Arial" w:hAnsi="Arial"/>
          <w:sz w:val="16"/>
          <w:szCs w:val="16"/>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Upon the effectiveness of the registration statement of which this prospectus forms a part, the members of our compensation committee will be Dr. Ackermann, Dr. Goldberg and Dr. Link. Dr. Ackermann will be the chair of the compensation committee. Each member of our compensation committee is independent under the rules and regulations of the SEC and the listing standards of Nasdaq applicable to compensation committee members. Our compensation committee will assist our board of directors with its oversight of the forms and amount of compensation for our executive officers (including officers reporting under Section 16 of the Exchange Act),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78"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color w:val="auto"/>
        </w:rPr>
        <w:t>Upon the effectiveness of the registration statement of which this prospectus forms a part, the members of our nominating and corporate governance committee will be Dr. Ackermann, Dr. Goldberg and Dr. Link. Each member of our nominating and governance committee is independent under the rules and regulations of the SEC and the listing standards of Nasdaq, applicable to nominating and governance committee members.</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Dr. Ackermann will be the chair of the nominating and corporate governance committee.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7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Our nominating and corporate governance committee will operate under a written charter that satisfies the applicable rules of the SEC and the listing standards of Nasdaq. We believe that the composition of our nominating and corporate governance committee will meet the requirements for independence under current Nasdaq and SEC rules and regulations.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Our board of directors will adopt a Code of Conduct, or the Conduct Code, prior to the completion of this offering. The Conduct Code will apply to all of our employees, officers, directors, contractors, consultants, suppliers and agents. Upon the completion of this offering, the full text of the Conduct Code will be posted on our website at www.tarsusrx.com under the For Investors section. We intend to disclose future amendments to, or waivers of, the Conduct Code,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20" w:firstLine="881"/>
        <w:spacing w:after="0" w:line="311" w:lineRule="auto"/>
        <w:rPr>
          <w:sz w:val="20"/>
          <w:szCs w:val="20"/>
          <w:color w:val="auto"/>
        </w:rPr>
      </w:pPr>
      <w:r>
        <w:rPr>
          <w:rFonts w:ascii="Arial" w:cs="Arial" w:eastAsia="Arial" w:hAnsi="Arial"/>
          <w:sz w:val="16"/>
          <w:szCs w:val="16"/>
          <w:color w:val="auto"/>
        </w:rPr>
        <w:t>Prior to this offering, we did not have a formal policy with respect to compensation payable to our non-employee directors. Other than as set forth in the table and described more fully below, we did not pay any compensation, including equity awards, to any of our non-employee directors in 2019. We have a policy of reimbursing our directors for expenses associated with attending meetings of our board of directors and its committees.</w:t>
      </w:r>
    </w:p>
    <w:p>
      <w:pPr>
        <w:spacing w:after="0" w:line="149"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The following table presents the total compensation that we paid to Michael Ackermann, our only non-employee director who received compensation during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Fees Earned</w:t>
            </w:r>
          </w:p>
        </w:tc>
        <w:tc>
          <w:tcPr>
            <w:tcW w:w="13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0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or Paid in</w:t>
            </w:r>
          </w:p>
        </w:tc>
        <w:tc>
          <w:tcPr>
            <w:tcW w:w="13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140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4"/>
              </w:rPr>
              <w:t>Cash ($)</w:t>
            </w:r>
          </w:p>
        </w:tc>
        <w:tc>
          <w:tcPr>
            <w:tcW w:w="13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6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Ackermann</w:t>
            </w:r>
          </w:p>
        </w:tc>
        <w:tc>
          <w:tcPr>
            <w:tcW w:w="2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7"/>
              </w:rPr>
              <w:t>$ 100,000</w:t>
            </w: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have approved a compensation program for our non-employee directors to become effective following our initial public offering.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this program, non-employee directors will receive the following cash compensation:</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6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Annual Retainer</w:t>
            </w:r>
          </w:p>
        </w:tc>
      </w:tr>
      <w:tr>
        <w:trPr>
          <w:trHeight w:val="203"/>
        </w:trPr>
        <w:tc>
          <w:tcPr>
            <w:tcW w:w="7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Board Member</w:t>
            </w:r>
          </w:p>
        </w:tc>
        <w:tc>
          <w:tcPr>
            <w:tcW w:w="28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i w:val="1"/>
                <w:iCs w:val="1"/>
                <w:color w:val="auto"/>
              </w:rPr>
              <w:t>plus (as applicable):</w:t>
            </w:r>
          </w:p>
        </w:tc>
        <w:tc>
          <w:tcPr>
            <w:tcW w:w="2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Chair</w:t>
            </w:r>
          </w:p>
        </w:tc>
        <w:tc>
          <w:tcPr>
            <w:tcW w:w="312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312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312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312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312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312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312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will continue to reimburse our non-employee directors for their reasonable expenses incurred in connection with attending board of directors and committee meetings.</w:t>
      </w:r>
    </w:p>
    <w:p>
      <w:pPr>
        <w:spacing w:after="0" w:line="170"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In addition, the compensation program for our non-employee directors will include both an initial equity award upon joining our board of directors and an annual equity award in connection with each annual meeting of our stockholders.</w:t>
      </w:r>
    </w:p>
    <w:p>
      <w:pPr>
        <w:spacing w:after="0" w:line="76" w:lineRule="exact"/>
        <w:rPr>
          <w:sz w:val="20"/>
          <w:szCs w:val="20"/>
          <w:color w:val="auto"/>
        </w:rPr>
      </w:pPr>
    </w:p>
    <w:p>
      <w:pPr>
        <w:ind w:left="1420" w:hanging="319"/>
        <w:spacing w:after="0" w:line="263"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Initial Equity Award – Each new non-employee director joining our board of directors will receive an option grant for 20,000 shares of our common stock under our 2020 Equity Incentive Plan. The option will vest in three equal annual installments on each anniversary of the date of grant, subject to the non-employee director’s continuous service.</w:t>
      </w:r>
    </w:p>
    <w:p>
      <w:pPr>
        <w:spacing w:after="0" w:line="116" w:lineRule="exact"/>
        <w:rPr>
          <w:rFonts w:ascii="Arial" w:cs="Arial" w:eastAsia="Arial" w:hAnsi="Arial"/>
          <w:sz w:val="18"/>
          <w:szCs w:val="18"/>
          <w:color w:val="auto"/>
        </w:rPr>
      </w:pPr>
    </w:p>
    <w:p>
      <w:pPr>
        <w:ind w:left="5480" w:hanging="96"/>
        <w:spacing w:after="0"/>
        <w:tabs>
          <w:tab w:leader="none" w:pos="54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174 -</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Annual Equity Award</w:t>
      </w:r>
    </w:p>
    <w:p>
      <w:pPr>
        <w:spacing w:after="0" w:line="130" w:lineRule="exact"/>
        <w:rPr>
          <w:rFonts w:ascii="Arial" w:cs="Arial" w:eastAsia="Arial" w:hAnsi="Arial"/>
          <w:sz w:val="18"/>
          <w:szCs w:val="18"/>
          <w:color w:val="auto"/>
        </w:rPr>
      </w:pPr>
    </w:p>
    <w:p>
      <w:pPr>
        <w:ind w:left="1740" w:hanging="315"/>
        <w:spacing w:after="0" w:line="289" w:lineRule="auto"/>
        <w:tabs>
          <w:tab w:leader="none" w:pos="174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Board Service – Following the conclusion of each regular annual meeting of stockholders, each continuing non-employee director will receive an option grant for 10,000 shares of our common stock under our 2020 Equity Incentive Plan (and in the case of a non-employee director who was elected or appointed to the board of directors since the prior annual meeting, the number of shares subject to the option grant will be prorated based on the number of full months of service provided since the prior annual meeting of stockholders). The option will vest in full on the one year anniversary of the date of grant, subject to the non-employee director’s continuous service. For non-employee directors serving on the board of directors upon the effectiveness of our initial public offering and who continue to serve as a member of the board of directors at the conclusion of the first annual meeting of stockholders, such non-employee directors will receive an additional option at the conclusion of the first regular annual meeting of stockholders for 10,000 shares of our common stock, which will be fully vested as of the date of grant.</w:t>
      </w:r>
    </w:p>
    <w:p>
      <w:pPr>
        <w:spacing w:after="0" w:line="71" w:lineRule="exact"/>
        <w:rPr>
          <w:rFonts w:ascii="Arial" w:cs="Arial" w:eastAsia="Arial" w:hAnsi="Arial"/>
          <w:sz w:val="16"/>
          <w:szCs w:val="16"/>
          <w:color w:val="auto"/>
        </w:rPr>
      </w:pPr>
    </w:p>
    <w:p>
      <w:pPr>
        <w:ind w:left="1740" w:right="20" w:hanging="315"/>
        <w:spacing w:after="0" w:line="271" w:lineRule="auto"/>
        <w:tabs>
          <w:tab w:leader="none" w:pos="17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Service as Board Chair – Following the conclusion of each regular annual meeting of stockholders, each non-employee director who continues to serve as a member of the board of directors and as the Chair of the board of directors will receive a grant of 10,000 restricted stock units under the 2020 Equity Incentive Plan. The restricted stock units will vest in full on the one year anniversary of the date of grant, subject to the non-employee director’s continuous service. For the non-employee director serving as Chair of the board of directors upon the effectiveness of our initial public offering and who continues to serve as a member of the board of directors at the conclusion of the first annual meeting of stockholders, such non-employee director will receive an additional award of 10,000 restricted stock units at the conclusion of the first regular annual meeting of stockholders, which will be fully vested as of the date of grant.</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awards will also vest in full in the event of a “change in control” (as defined in our 2020 Equity Incentive Plan).</w:t>
      </w:r>
    </w:p>
    <w:p>
      <w:pPr>
        <w:spacing w:after="0" w:line="225" w:lineRule="exact"/>
        <w:rPr>
          <w:sz w:val="20"/>
          <w:szCs w:val="20"/>
          <w:color w:val="auto"/>
        </w:rPr>
      </w:pPr>
    </w:p>
    <w:p>
      <w:pPr>
        <w:ind w:left="120" w:right="380" w:firstLine="881"/>
        <w:spacing w:after="0" w:line="342" w:lineRule="auto"/>
        <w:rPr>
          <w:sz w:val="20"/>
          <w:szCs w:val="20"/>
          <w:color w:val="auto"/>
        </w:rPr>
      </w:pPr>
      <w:r>
        <w:rPr>
          <w:rFonts w:ascii="Arial" w:cs="Arial" w:eastAsia="Arial" w:hAnsi="Arial"/>
          <w:sz w:val="16"/>
          <w:szCs w:val="16"/>
          <w:color w:val="auto"/>
        </w:rPr>
        <w:t>Directors who are also our employees or officers receive no additional compensation for their service as directors. See the section titled “Executive Compensation” elsewhere in this prospectus for additional information about the compensation of our employee directors.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20" w:right="1000" w:firstLine="881"/>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w:t>
      </w:r>
      <w:r>
        <w:rPr>
          <w:rFonts w:ascii="Arial" w:cs="Arial" w:eastAsia="Arial" w:hAnsi="Arial"/>
          <w:sz w:val="15"/>
          <w:szCs w:val="15"/>
          <w:color w:val="auto"/>
        </w:rPr>
        <w:t>(1)</w:t>
      </w:r>
      <w:r>
        <w:rPr>
          <w:rFonts w:ascii="Arial" w:cs="Arial" w:eastAsia="Arial" w:hAnsi="Arial"/>
          <w:sz w:val="18"/>
          <w:szCs w:val="18"/>
          <w:color w:val="auto"/>
        </w:rPr>
        <w:t xml:space="preserve"> for the fiscal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6060" w:type="dxa"/>
            <w:vAlign w:val="bottom"/>
            <w:vMerge w:val="restart"/>
          </w:tcPr>
          <w:p>
            <w:pPr>
              <w:spacing w:after="0"/>
              <w:rPr>
                <w:sz w:val="14"/>
                <w:szCs w:val="14"/>
                <w:color w:val="auto"/>
              </w:rPr>
            </w:pPr>
          </w:p>
        </w:tc>
        <w:tc>
          <w:tcPr>
            <w:tcW w:w="6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Salary</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Bonus</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1760" w:type="dxa"/>
            <w:vAlign w:val="bottom"/>
            <w:vMerge w:val="continue"/>
          </w:tcPr>
          <w:p>
            <w:pPr>
              <w:spacing w:after="0"/>
              <w:rPr>
                <w:sz w:val="14"/>
                <w:szCs w:val="14"/>
                <w:color w:val="auto"/>
              </w:rPr>
            </w:pPr>
          </w:p>
        </w:tc>
        <w:tc>
          <w:tcPr>
            <w:tcW w:w="606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40" w:type="dxa"/>
            <w:vAlign w:val="bottom"/>
          </w:tcPr>
          <w:p>
            <w:pPr>
              <w:jc w:val="right"/>
              <w:ind w:right="59"/>
              <w:spacing w:after="0"/>
              <w:rPr>
                <w:sz w:val="20"/>
                <w:szCs w:val="20"/>
                <w:color w:val="auto"/>
              </w:rPr>
            </w:pPr>
            <w:r>
              <w:rPr>
                <w:rFonts w:ascii="Arial" w:cs="Arial" w:eastAsia="Arial" w:hAnsi="Arial"/>
                <w:sz w:val="14"/>
                <w:szCs w:val="14"/>
                <w:b w:val="1"/>
                <w:bCs w:val="1"/>
                <w:color w:val="auto"/>
              </w:rPr>
              <w:t>($)(2)</w:t>
            </w:r>
          </w:p>
        </w:tc>
        <w:tc>
          <w:tcPr>
            <w:tcW w:w="24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Bobak Azamian, MD, PhD</w:t>
            </w:r>
          </w:p>
        </w:tc>
        <w:tc>
          <w:tcPr>
            <w:tcW w:w="6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116,137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416,137</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7820" w:type="dxa"/>
            <w:vAlign w:val="bottom"/>
            <w:gridSpan w:val="2"/>
          </w:tcPr>
          <w:p>
            <w:pPr>
              <w:spacing w:after="0"/>
              <w:rPr>
                <w:sz w:val="20"/>
                <w:szCs w:val="20"/>
                <w:color w:val="auto"/>
              </w:rPr>
            </w:pPr>
            <w:r>
              <w:rPr>
                <w:rFonts w:ascii="Arial" w:cs="Arial" w:eastAsia="Arial" w:hAnsi="Arial"/>
                <w:sz w:val="18"/>
                <w:szCs w:val="18"/>
                <w:color w:val="auto"/>
              </w:rPr>
              <w:t>Mark Holdbrook</w:t>
            </w:r>
          </w:p>
        </w:tc>
        <w:tc>
          <w:tcPr>
            <w:tcW w:w="680" w:type="dxa"/>
            <w:vAlign w:val="bottom"/>
            <w:gridSpan w:val="3"/>
          </w:tcPr>
          <w:p>
            <w:pPr>
              <w:ind w:left="180"/>
              <w:spacing w:after="0"/>
              <w:rPr>
                <w:sz w:val="20"/>
                <w:szCs w:val="20"/>
                <w:color w:val="auto"/>
              </w:rPr>
            </w:pPr>
            <w:r>
              <w:rPr>
                <w:rFonts w:ascii="Arial" w:cs="Arial" w:eastAsia="Arial" w:hAnsi="Arial"/>
                <w:sz w:val="18"/>
                <w:szCs w:val="18"/>
                <w:color w:val="auto"/>
              </w:rPr>
              <w:t>2019</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250,000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58,219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308,219</w:t>
            </w:r>
          </w:p>
        </w:tc>
        <w:tc>
          <w:tcPr>
            <w:tcW w:w="0" w:type="dxa"/>
            <w:vAlign w:val="bottom"/>
          </w:tcPr>
          <w:p>
            <w:pPr>
              <w:spacing w:after="0"/>
              <w:rPr>
                <w:sz w:val="1"/>
                <w:szCs w:val="1"/>
                <w:color w:val="auto"/>
              </w:rPr>
            </w:pPr>
          </w:p>
        </w:tc>
      </w:tr>
      <w:tr>
        <w:trPr>
          <w:trHeight w:val="230"/>
        </w:trPr>
        <w:tc>
          <w:tcPr>
            <w:tcW w:w="7820" w:type="dxa"/>
            <w:vAlign w:val="bottom"/>
            <w:gridSpan w:val="2"/>
          </w:tcPr>
          <w:p>
            <w:pPr>
              <w:ind w:left="180"/>
              <w:spacing w:after="0"/>
              <w:rPr>
                <w:sz w:val="20"/>
                <w:szCs w:val="20"/>
                <w:color w:val="auto"/>
              </w:rPr>
            </w:pPr>
            <w:r>
              <w:rPr>
                <w:rFonts w:ascii="Arial" w:cs="Arial" w:eastAsia="Arial" w:hAnsi="Arial"/>
                <w:sz w:val="18"/>
                <w:szCs w:val="18"/>
                <w:i w:val="1"/>
                <w:iCs w:val="1"/>
                <w:color w:val="auto"/>
              </w:rPr>
              <w:t>Vice President, Clinical Affairs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340" w:hanging="424"/>
        <w:spacing w:after="0" w:line="253" w:lineRule="auto"/>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Leo Greenstein, Sesha Neervannan and Aziz Mottiwala were not executive officers prior to 2020 and, accordingly, are not named executive officers with respect to our fiscal year ended December 31, 2019.</w:t>
      </w:r>
    </w:p>
    <w:p>
      <w:pPr>
        <w:spacing w:after="0" w:line="200" w:lineRule="exact"/>
        <w:rPr>
          <w:rFonts w:ascii="Arial" w:cs="Arial" w:eastAsia="Arial" w:hAnsi="Arial"/>
          <w:sz w:val="14"/>
          <w:szCs w:val="14"/>
          <w:color w:val="auto"/>
        </w:rPr>
      </w:pPr>
    </w:p>
    <w:p>
      <w:pPr>
        <w:ind w:left="540" w:hanging="424"/>
        <w:spacing w:after="0"/>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Represents a cash performance award earned with respect to prior fiscal year but paid in fiscal year 2020.</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Explanation of Compensation Arrangements with our Named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Salaries and Annual Incentive Opportunities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base salaries of all of our named executive officers are reviewed from time to time and adjusted when our board of directors or compensation committee determines an adjustment is appropriate. For our 2019 fiscal year, the base salary was $300,000 for Dr. Azamian and $250,000 for Mr. Holdbrook.</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board of directors. During our fiscal year ended December 31, 2019, our named executive officers were eligible to earn cash incentive bonuses based on a combination of corporate and individual goals. We require that participants continue to be employed through the payment date to receive a bonus. For our 2019 fiscal year, the target bonus rate (as a percentage of base salary) was 30% for Dr. Azamian and 20% for Mr. Holdbrook.</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225"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Generally, our stock options granted to new hires have vested as to 25% of the total number of option shares on the first anniversary of the award and in equal monthly installments over the following 36 months.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Benefits.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We entered into offer letters with each of our named executive officers setting forth the initial terms of the officer’s employment with us and providing that the officer’s employment will be “at will” and may be terminated at any time.</w:t>
      </w:r>
    </w:p>
    <w:p>
      <w:pPr>
        <w:spacing w:after="0" w:line="170"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On October 8, 2020, we entered into an amended employment letter agreement with Bobak Azamian, or the Azamian Letter Agreement, which will become effective upon our initial public offering, to continuing serving as our Chief Executive Officer and pursuant to which Dr. Azamian is entitled to receive an annual base salary of $532,000 and an annual incentive bonus with a target equal to 50% of his annual base salary. Dr. Azamian is eligible to receive severance benefits pursuant to the Azamian Letter Agreement, as described in “Severance and Change in Control Benefits” below.</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229" w:lineRule="exact"/>
        <w:rPr>
          <w:sz w:val="20"/>
          <w:szCs w:val="20"/>
          <w:color w:val="auto"/>
        </w:rPr>
      </w:pPr>
    </w:p>
    <w:p>
      <w:pPr>
        <w:ind w:left="120" w:right="920" w:firstLine="881"/>
        <w:spacing w:after="0" w:line="277" w:lineRule="auto"/>
        <w:rPr>
          <w:sz w:val="20"/>
          <w:szCs w:val="20"/>
          <w:color w:val="auto"/>
        </w:rPr>
      </w:pPr>
      <w:r>
        <w:rPr>
          <w:rFonts w:ascii="Arial" w:cs="Arial" w:eastAsia="Arial" w:hAnsi="Arial"/>
          <w:sz w:val="18"/>
          <w:szCs w:val="18"/>
          <w:color w:val="auto"/>
        </w:rPr>
        <w:t>The following table sets forth information regarding each unexercised option held by each of our named executive officers as of December 31, 2019. All of these awards were made pursuant to our 2016 Stock Plan.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vesting schedule applicable to each outstanding award is described in the footnotes to the table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Number of</w:t>
            </w:r>
          </w:p>
        </w:tc>
        <w:tc>
          <w:tcPr>
            <w:tcW w:w="144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vMerge w:val="restart"/>
          </w:tcPr>
          <w:p>
            <w:pPr>
              <w:ind w:left="2720"/>
              <w:spacing w:after="0"/>
              <w:rPr>
                <w:sz w:val="20"/>
                <w:szCs w:val="20"/>
                <w:color w:val="auto"/>
              </w:rPr>
            </w:pPr>
            <w:r>
              <w:rPr>
                <w:rFonts w:ascii="Arial" w:cs="Arial" w:eastAsia="Arial" w:hAnsi="Arial"/>
                <w:sz w:val="14"/>
                <w:szCs w:val="14"/>
                <w:b w:val="1"/>
                <w:bCs w:val="1"/>
                <w:color w:val="auto"/>
              </w:rPr>
              <w:t>Name</w:t>
            </w:r>
          </w:p>
        </w:tc>
        <w:tc>
          <w:tcPr>
            <w:tcW w:w="380" w:type="dxa"/>
            <w:vAlign w:val="bottom"/>
            <w:vMerge w:val="restart"/>
          </w:tcPr>
          <w:p>
            <w:pPr>
              <w:spacing w:after="0"/>
              <w:rPr>
                <w:sz w:val="12"/>
                <w:szCs w:val="12"/>
                <w:color w:val="auto"/>
              </w:rPr>
            </w:pPr>
          </w:p>
        </w:tc>
        <w:tc>
          <w:tcPr>
            <w:tcW w:w="14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Options</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Options</w:t>
            </w: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582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6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Unvested (#)</w:t>
            </w:r>
          </w:p>
        </w:tc>
        <w:tc>
          <w:tcPr>
            <w:tcW w:w="6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Bobak Azamian</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35,904(1)</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78,990(1)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  0.45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10/26/2028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spacing w:after="0"/>
              <w:rPr>
                <w:sz w:val="20"/>
                <w:szCs w:val="20"/>
                <w:color w:val="auto"/>
              </w:rPr>
            </w:pPr>
            <w:r>
              <w:rPr>
                <w:rFonts w:ascii="Arial" w:cs="Arial" w:eastAsia="Arial" w:hAnsi="Arial"/>
                <w:sz w:val="18"/>
                <w:szCs w:val="18"/>
                <w:color w:val="auto"/>
              </w:rPr>
              <w:t>Mark Holdbrook</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58,200(2)</w:t>
            </w: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25,609(2)</w:t>
            </w: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$0.0007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11/28/2027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right="40" w:hanging="424"/>
        <w:spacing w:after="0" w:line="253"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 vests in 48 substantially equal monthly installments beginning on September 15, 2018 provided Dr. Azamian remains in continuous service through each such vesting date. The option will also become fully vested on an accelerated basis if Dr. Azamian remains in continuous service through a change in control.</w:t>
      </w:r>
    </w:p>
    <w:p>
      <w:pPr>
        <w:spacing w:after="0" w:line="200" w:lineRule="exact"/>
        <w:rPr>
          <w:rFonts w:ascii="Arial" w:cs="Arial" w:eastAsia="Arial" w:hAnsi="Arial"/>
          <w:sz w:val="14"/>
          <w:szCs w:val="14"/>
          <w:color w:val="auto"/>
        </w:rPr>
      </w:pPr>
    </w:p>
    <w:p>
      <w:pPr>
        <w:ind w:left="540" w:right="200" w:hanging="424"/>
        <w:spacing w:after="0" w:line="253" w:lineRule="auto"/>
        <w:tabs>
          <w:tab w:leader="none" w:pos="5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Option vests in 36 substantially equal monthly installments beginning on November 1, 2017, provided Mr. Holdbrook remains in continuous service through each such vesting date. The option will also become fully vested on an accelerated basis if Mr. Holdbrook remains in continuous service through a change in control.</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in Control Benefits</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options to purchase shares of our Common Stock held by Dr. Azamian and Mr. Holdbrook fully vest in the event we are subject to a change in control. Change in control means our consummation of a merger or consolidation with or into another entity or our dissolution, liquidation or winding up. The foregoing notwithstanding, our merger or consolidation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who were our stockholders immediately prior to the merger or consolidation in substantially the same proportions as their ownership of the voting power of our capital stock immediately prior to the merger or consolidation.</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Pursuant to the Azamian Letter Agreement, Dr. Azamian is eligible for severance benefits upon an involuntary termination of his employment. If the involuntary termination is prior to or more than 12 months after a change in control, he is eligible to receive severance consisting of 12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lump sum bonus payment equal to (i) a prorated portion of his target bonus for the year in which his termination occurs and (ii) 150% of such target bonus.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board of directors and stockholders adopted and approved our 2020 Plan on October 8, 2020. While our 2020 Plan became effective immediately on adoption and approval, no awards will be made under it until the effective date of the registration statement of which this prospectus is a part. Our 2020 Plan is intended to replace our 2016 Plan. However, awards outstanding under our 2016 Plan will continue to be governed by their existing terms. Our 2020 Plan has the features described below.</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number of shares of our common stock available for issuance under our 2020 Plan will equal the sum of 9,000,000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plus up to 2,433,395 shares remaining available for issuance under our 2016 Plan, or issued pursuant to or subject to awards granted under, our 2016 Plan. The number of shares reserved for issuance under our 2020 Plan will be increased automatically on the first business day of each of our fiscal years, commencing in 2021 and ending in 2030, by a number equal to the lesser of:</w:t>
      </w:r>
    </w:p>
    <w:p>
      <w:pPr>
        <w:spacing w:after="0" w:line="214" w:lineRule="exact"/>
        <w:rPr>
          <w:sz w:val="20"/>
          <w:szCs w:val="20"/>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4% of the shares of common stock outstanding on the last business day of the prior fiscal year;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225"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In general, to the extent that any awards under our 2020 Plan are forfeited, terminate, expire or lapse without the issuance of shares, or if we reacquire the shares subject to awards granted under our 2020 Plan, those shares will again become available for issuance under our 2020 Plan, as will shares applied to pay the exercise or purchase price of an award or to satisfy tax withholding obligations related to any award.</w:t>
      </w:r>
    </w:p>
    <w:p>
      <w:pPr>
        <w:spacing w:after="0" w:line="165" w:lineRule="exact"/>
        <w:rPr>
          <w:sz w:val="20"/>
          <w:szCs w:val="20"/>
          <w:color w:val="auto"/>
        </w:rPr>
      </w:pPr>
    </w:p>
    <w:p>
      <w:pPr>
        <w:jc w:val="both"/>
        <w:ind w:left="120" w:right="260" w:firstLine="881"/>
        <w:spacing w:after="0" w:line="34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compensation committee of our board of directors will administer our 2020 Plan. The compensation committee will</w:t>
      </w:r>
      <w:r>
        <w:rPr>
          <w:rFonts w:ascii="Arial" w:cs="Arial" w:eastAsia="Arial" w:hAnsi="Arial"/>
          <w:sz w:val="16"/>
          <w:szCs w:val="16"/>
          <w:i w:val="1"/>
          <w:iCs w:val="1"/>
          <w:color w:val="auto"/>
        </w:rPr>
        <w:t xml:space="preserve"> </w:t>
      </w:r>
      <w:r>
        <w:rPr>
          <w:rFonts w:ascii="Arial" w:cs="Arial" w:eastAsia="Arial" w:hAnsi="Arial"/>
          <w:sz w:val="16"/>
          <w:szCs w:val="16"/>
          <w:color w:val="auto"/>
        </w:rPr>
        <w:t>have complete discretion to make all decisions relating to our 2020 Plan and outstanding awards, with the exception of repricing outstanding options.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non-employee directors, consultants and advisors will be eligible to participate in our 2020 Plan.</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Under our 2020 Plan, the aggregate grant date fair value of awards granted to our non-employee directors may not exceed $800,000 in any one fiscal year, except that the grant date fair value of awards granted to newly appointed non-employee directors may not exceed $1,200,000 in the fiscal year in which such non-employee director is initially appointed to our board of directors.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Our 2020 Plan provides for the following types of awards:</w:t>
      </w:r>
    </w:p>
    <w:p>
      <w:pPr>
        <w:spacing w:after="0" w:line="252" w:lineRule="exact"/>
        <w:rPr>
          <w:sz w:val="20"/>
          <w:szCs w:val="20"/>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incentive and nonstatutory stock options;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restricted shares;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225"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granted under our 2020 Plan may not be less than 100%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of our common stock on the grant date. Optionees will be permitted to pay the exercise price in cash or, with the consent of the compensation committee:</w:t>
      </w:r>
    </w:p>
    <w:p>
      <w:pPr>
        <w:spacing w:after="0" w:line="211" w:lineRule="exact"/>
        <w:rPr>
          <w:sz w:val="20"/>
          <w:szCs w:val="20"/>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 shares of common stock that the optionee already owns;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an immediate sale of shares through a broker approved by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by instructing us to withhold a number of shares having an aggregate fair market value that does not exceed the exercise price; or</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84"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6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i w:val="1"/>
          <w:iCs w:val="1"/>
          <w:color w:val="auto"/>
        </w:rPr>
        <w:t xml:space="preserve">Restricted Shares and Stock Units. </w:t>
      </w:r>
      <w:r>
        <w:rPr>
          <w:rFonts w:ascii="Arial" w:cs="Arial" w:eastAsia="Arial" w:hAnsi="Arial"/>
          <w:sz w:val="18"/>
          <w:szCs w:val="18"/>
          <w:color w:val="auto"/>
        </w:rPr>
        <w:t>Restricted shares and stock units may be awarded under our 2020 Plan in return for any lawful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87"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we are a party to a merger, consolidation or certain change in control transactions, outstanding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our 2020 Plan, and all shares acquired under our 2020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214" w:lineRule="exact"/>
        <w:rPr>
          <w:sz w:val="20"/>
          <w:szCs w:val="20"/>
          <w:color w:val="auto"/>
        </w:rPr>
      </w:pPr>
    </w:p>
    <w:p>
      <w:pPr>
        <w:ind w:left="1420" w:hanging="319"/>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a surviving entity or its parent;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cancellation of an award without payment of any consideration, provided that the optionee shall be notified of such treatment;</w:t>
      </w:r>
    </w:p>
    <w:p>
      <w:pPr>
        <w:spacing w:after="0" w:line="263" w:lineRule="exact"/>
        <w:rPr>
          <w:rFonts w:ascii="Arial" w:cs="Arial" w:eastAsia="Arial" w:hAnsi="Arial"/>
          <w:sz w:val="17"/>
          <w:szCs w:val="17"/>
          <w:color w:val="auto"/>
        </w:rPr>
      </w:pPr>
    </w:p>
    <w:p>
      <w:pPr>
        <w:ind w:left="1420" w:right="180" w:hanging="319"/>
        <w:spacing w:after="0" w:line="286"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192" w:lineRule="exact"/>
        <w:rPr>
          <w:rFonts w:ascii="Arial" w:cs="Arial" w:eastAsia="Arial" w:hAnsi="Arial"/>
          <w:sz w:val="17"/>
          <w:szCs w:val="17"/>
          <w:color w:val="auto"/>
        </w:rPr>
      </w:pPr>
    </w:p>
    <w:p>
      <w:pPr>
        <w:ind w:left="1420" w:right="60" w:hanging="319"/>
        <w:spacing w:after="0" w:line="308" w:lineRule="auto"/>
        <w:tabs>
          <w:tab w:leader="none" w:pos="142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with respect to an award of restricted shares to the surviving entity or its parent (with proportionate adjustments made to the price per share to be paid upon exercise of such rights).</w:t>
      </w:r>
    </w:p>
    <w:p>
      <w:pPr>
        <w:spacing w:after="0" w:line="78" w:lineRule="exact"/>
        <w:rPr>
          <w:rFonts w:ascii="Arial" w:cs="Arial" w:eastAsia="Arial" w:hAnsi="Arial"/>
          <w:sz w:val="17"/>
          <w:szCs w:val="17"/>
          <w:color w:val="auto"/>
        </w:rPr>
      </w:pPr>
    </w:p>
    <w:p>
      <w:pPr>
        <w:ind w:left="5480" w:hanging="96"/>
        <w:spacing w:after="0"/>
        <w:tabs>
          <w:tab w:leader="none" w:pos="548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179 -</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compensation committee is not required to treat all awards, or portions thereof, in the same manner.</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Unless determined otherwise by the administrator at the time of grant of an award, all outstanding awards held by current service providers at the time of occurrence of a change in control will fully accelerate and vest if they are not continued, assume or substituted by the acquirer. Notwithstanding the foregoing, 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change in control includes:</w:t>
      </w:r>
    </w:p>
    <w:p>
      <w:pPr>
        <w:spacing w:after="0" w:line="252" w:lineRule="exact"/>
        <w:rPr>
          <w:sz w:val="20"/>
          <w:szCs w:val="20"/>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person acquiring beneficial ownership of more than 50% of our total voting power;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our assets; or</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our merger or consolidation after which our voting securities represent 50% or less of the total voting power of the surviving or acquiring entity.</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changes in our capital structure without our receipt of consideration, such as a stock split,</w:t>
      </w:r>
      <w:r>
        <w:rPr>
          <w:rFonts w:ascii="Arial" w:cs="Arial" w:eastAsia="Arial" w:hAnsi="Arial"/>
          <w:sz w:val="18"/>
          <w:szCs w:val="18"/>
          <w:i w:val="1"/>
          <w:iCs w:val="1"/>
          <w:color w:val="auto"/>
        </w:rPr>
        <w:t xml:space="preserve"> </w:t>
      </w:r>
      <w:r>
        <w:rPr>
          <w:rFonts w:ascii="Arial" w:cs="Arial" w:eastAsia="Arial" w:hAnsi="Arial"/>
          <w:sz w:val="18"/>
          <w:szCs w:val="18"/>
          <w:color w:val="auto"/>
        </w:rPr>
        <w:t>reverse stock split or dividend paid in common stock, proportionate adjustments will automatically be made to:</w:t>
      </w:r>
    </w:p>
    <w:p>
      <w:pPr>
        <w:spacing w:after="0" w:line="197" w:lineRule="exact"/>
        <w:rPr>
          <w:sz w:val="20"/>
          <w:szCs w:val="20"/>
          <w:color w:val="auto"/>
        </w:rPr>
      </w:pPr>
    </w:p>
    <w:p>
      <w:pPr>
        <w:ind w:left="1420" w:right="340" w:hanging="319"/>
        <w:spacing w:after="0" w:line="277"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maximum number and kind of shares available for issuance under our 2020 Plan, including the maximum number and kind of shares that may be issued upon the exercise of incentive stock options;</w:t>
      </w:r>
    </w:p>
    <w:p>
      <w:pPr>
        <w:spacing w:after="0" w:line="197" w:lineRule="exact"/>
        <w:rPr>
          <w:rFonts w:ascii="Arial" w:cs="Arial" w:eastAsia="Arial" w:hAnsi="Arial"/>
          <w:sz w:val="18"/>
          <w:szCs w:val="18"/>
          <w:color w:val="auto"/>
        </w:rPr>
      </w:pPr>
    </w:p>
    <w:p>
      <w:pPr>
        <w:ind w:left="1420" w:right="540" w:hanging="319"/>
        <w:spacing w:after="0" w:line="277"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maximum number and kind of shares covered by, and exercise price, base price or purchase price, if any, applicable to each outstanding stock award;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maximum number and kind of shares by which the share reserve may increase automatically each year.</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84"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may amend, suspend or terminate our 2020 Plan at any time. If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amends our 2020 Plan, it does not need stockholder approval of the amendment unless required by applicable law, regulation or rules. Our 2020 Plan will terminate automatically 10 years after the later of the date when our board of directors adopted our 2020 Plan or approved the latest share increase that was also approved by our stockholders.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Stock Plan</w:t>
      </w:r>
    </w:p>
    <w:p>
      <w:pPr>
        <w:spacing w:after="0" w:line="225"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Our board of directors adopted our 2016 Plan in December 2016, and it was approved by our stockholders on January 17, 2017. No further awards will be made under our 2016 Plan after this offering; however, awards outstanding under our 2016 Plan will continue to be governed by their existing terms.</w:t>
      </w:r>
    </w:p>
    <w:p>
      <w:pPr>
        <w:spacing w:after="0" w:line="184"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As of June 30, 2020 we have reserved 2,670,151 shares of our common stock, for issuance under our 2016 Plan,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may be issued as incentive stock options. As of December 31, 2019, options to purchase 297,142 shares of our common stock, at exercise prices ranging from $0.0007 to $0.45 per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share, or a weighted-average exercise price of $0.32 per share were outstanding under our 2016 Plan, and 2,150,867 shares of our common stock remained available for future issuance. As of June 30, 2020, options to purchase 1,230,701 shares of our common stock, at exercise prices ranging from $0.0007 to $2.01 per share, or a weighted-average exercise price of $1.61 per share were outstanding under our 2016 Plan, and 1,148,915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2016 Plan or, following consummation of this offering, under our 2020 Plan.</w:t>
      </w:r>
    </w:p>
    <w:p>
      <w:pPr>
        <w:spacing w:after="0" w:line="178"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has administered our 2016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our 2016 Plan. The administrator has complete discretion to make all decisions relating to our 2016 Plan and outstanding awards.</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Employees, non-employee members of our board of directors and consultants are eligible to participate in our 2016 Plan.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only employees are eligible to receive incentive stock options.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Our 2016 Plan provides for the following types of awards granted with respect to shares of our common stock:</w:t>
      </w:r>
    </w:p>
    <w:p>
      <w:pPr>
        <w:spacing w:after="0" w:line="252" w:lineRule="exact"/>
        <w:rPr>
          <w:sz w:val="20"/>
          <w:szCs w:val="20"/>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for options granted under our 2016 Plan is determined by our board of directors, but may not be less than 100%</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market value of our common stock on the grant date. Optionees may pay the exercise price in cash or cash equivalents or by one, or any combination of, the following forms of payment, as permitted by the administrator in its sole discretion:</w:t>
      </w:r>
    </w:p>
    <w:p>
      <w:pPr>
        <w:spacing w:after="0" w:line="211" w:lineRule="exact"/>
        <w:rPr>
          <w:sz w:val="20"/>
          <w:szCs w:val="20"/>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Surrender of shares of common stock that the optionee already owns;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Delivery of a full-recourse promissory note, with the option shares pledged as security against the principal and accrued interest on the note;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An immediate sale of the option shares through a company-approved broker, if the shares of our common stock are publicly traded;</w:t>
      </w:r>
    </w:p>
    <w:p>
      <w:pPr>
        <w:spacing w:after="0" w:line="275" w:lineRule="exact"/>
        <w:rPr>
          <w:rFonts w:ascii="Arial" w:cs="Arial" w:eastAsia="Arial" w:hAnsi="Arial"/>
          <w:sz w:val="16"/>
          <w:szCs w:val="16"/>
          <w:color w:val="auto"/>
        </w:rPr>
      </w:pPr>
    </w:p>
    <w:p>
      <w:pPr>
        <w:ind w:left="1420" w:right="40" w:hanging="31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 or</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methods permitted by the Delaware General Corporation Law, as amended.</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8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i w:val="1"/>
          <w:iCs w:val="1"/>
          <w:color w:val="auto"/>
        </w:rPr>
        <w:t>Restricted Shares</w:t>
      </w:r>
      <w:r>
        <w:rPr>
          <w:rFonts w:ascii="Arial" w:cs="Arial" w:eastAsia="Arial" w:hAnsi="Arial"/>
          <w:sz w:val="18"/>
          <w:szCs w:val="18"/>
          <w:color w:val="auto"/>
        </w:rPr>
        <w:t>. Restricted shares may be awarded or sold under our 2016 Plan in return for cash or cash equivalents or, as permitted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in its sole discretion, in exchange for services rendered to us, by delivery of a full-recourse promissory note or through any other means permitted by applicable law. Restricted shares vest as determined by the administrator.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or in the event of a sale of all or substantially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assets, awards granted under our 2016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214" w:lineRule="exact"/>
        <w:rPr>
          <w:sz w:val="20"/>
          <w:szCs w:val="20"/>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Cancellation of the award without payment of any consideration;</w:t>
      </w:r>
    </w:p>
    <w:p>
      <w:pPr>
        <w:spacing w:after="0" w:line="252" w:lineRule="exact"/>
        <w:rPr>
          <w:rFonts w:ascii="Arial" w:cs="Arial" w:eastAsia="Arial" w:hAnsi="Arial"/>
          <w:sz w:val="18"/>
          <w:szCs w:val="18"/>
          <w:color w:val="auto"/>
        </w:rPr>
      </w:pPr>
    </w:p>
    <w:p>
      <w:pPr>
        <w:ind w:left="1420" w:right="180" w:hanging="319"/>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Suspension of the optionee’s right to exercise the option during a limited period of time preceding the completion of the transaction;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Termination of any right the optionee has to exercise the option prior to vesting in the shares subject to the option.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2016 Plan will vest on an accelerated basis in connection with a corporate transaction or to amend or modify an award so long as such amendment or modification is not inconsistent with the terms of the 2016 Plan or would not result in the impairment of a participant’s rights without the participant’s consent.</w:t>
      </w:r>
    </w:p>
    <w:p>
      <w:pPr>
        <w:spacing w:after="0" w:line="187"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i w:val="1"/>
          <w:iCs w:val="1"/>
          <w:color w:val="auto"/>
        </w:rPr>
        <w:t xml:space="preserve">Changes in Capitalization. </w:t>
      </w:r>
      <w:r>
        <w:rPr>
          <w:rFonts w:ascii="Arial" w:cs="Arial" w:eastAsia="Arial" w:hAnsi="Arial"/>
          <w:sz w:val="17"/>
          <w:szCs w:val="17"/>
          <w:color w:val="auto"/>
        </w:rPr>
        <w:t>In the event of certain specified changes in the capital structure of our common stock, such as a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stock dividend, reclassification or any other increase or decrease in the number of issued shares of stock effective without receipt of consideration by us, proportionate adjustments will automatically be made in (i) each of the number and kind of shares available for future grants under our 2016 Plan, (ii) the number and kind of shares covered by each outstanding option and all restricted shares, (iii) the exercise price per share subject to each outstanding option and (iv) any repurchase price applicable to shares granted under our 2016 Plan. In the event of an extraordinary cash divided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177"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Amendments or Termination</w:t>
      </w:r>
      <w:r>
        <w:rPr>
          <w:rFonts w:ascii="Arial" w:cs="Arial" w:eastAsia="Arial" w:hAnsi="Arial"/>
          <w:sz w:val="16"/>
          <w:szCs w:val="16"/>
          <w:color w:val="auto"/>
        </w:rPr>
        <w:t>. The administrator may at any time amend, suspend or terminate our 2016 Plan, subject to stockholder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in the case of an amendment if the amendment increases the number of shares available for issuance or materially changes the class of persons eligible to receive incentive stock options. Our 2016 Plan will terminate automatically ten years after the later of the date when our board of directors adopted the plan or the date when our board of directors most recently approved an increase in the number of shares reserved thereunder which was also approved by our stockholders, provided, however, that in any event, it will terminate upon the completion of this offering, but as noted above, awards outstanding under our 2016 Plan will remain outstanding and will continue to be governed by their existing terms.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and stockholders adopted and approved our 2020 ESPP on October 8, 2020. Our 2020 ESPP will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as of the effective date of the registration statement of which this prospectus is a part. Our 2020 ESPP is intended to qualify under Section 423 of the Internal Revenue Code. Our 2020 ESPP has the features described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2,300,000 shares of our common stock have been reserved for issuance under our 2020 ESPP. The number of shares reserved</w:t>
      </w:r>
      <w:r>
        <w:rPr>
          <w:rFonts w:ascii="Arial" w:cs="Arial" w:eastAsia="Arial" w:hAnsi="Arial"/>
          <w:sz w:val="18"/>
          <w:szCs w:val="18"/>
          <w:i w:val="1"/>
          <w:iCs w:val="1"/>
          <w:color w:val="auto"/>
        </w:rPr>
        <w:t xml:space="preserve"> </w:t>
      </w:r>
      <w:r>
        <w:rPr>
          <w:rFonts w:ascii="Arial" w:cs="Arial" w:eastAsia="Arial" w:hAnsi="Arial"/>
          <w:sz w:val="18"/>
          <w:szCs w:val="18"/>
          <w:color w:val="auto"/>
        </w:rPr>
        <w:t>for issuance under our 2020 ESPP will automatically be increased on the first business day of each of our fiscal years, commencing in 2021 and ending in 2040, by a number equal to the least of:</w:t>
      </w:r>
    </w:p>
    <w:p>
      <w:pPr>
        <w:spacing w:after="0" w:line="211" w:lineRule="exact"/>
        <w:rPr>
          <w:sz w:val="20"/>
          <w:szCs w:val="20"/>
          <w:color w:val="auto"/>
        </w:rPr>
      </w:pPr>
    </w:p>
    <w:p>
      <w:pPr>
        <w:ind w:left="1420" w:hanging="319"/>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2,300,000 shares;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1% of the shares of common stock issued and outstanding on the last business day of the prior fiscal year;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22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number of shares reserved under our 2020 ESPP will automatically be adjusted in the event of a stock split, stock dividend or a reverse stock split (including an adjustment to the per-purchase period share limit).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will administer our 2020 ESPP.</w:t>
      </w:r>
    </w:p>
    <w:p>
      <w:pPr>
        <w:spacing w:after="0" w:line="225"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of our employees will be eligible to participate in our ESPP, although the administrator may exclude certain categories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from an offering period, as permitted by applicable law, including employees employed for less than two years, working less than 20 hours per week, who are employed less than five months per year, or are highly compensated employees. Eligible employees may begin participating in our 2020 ESPP at the start of any offering period.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Each offering period will last a number of months determined by the compensation committee, not to exceed 27 months.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new offering period will begin periodically, as determined by the compensation committee. Offering periods may overlap or may be consecutive.</w:t>
      </w:r>
    </w:p>
    <w:p>
      <w:pPr>
        <w:spacing w:after="0" w:line="222"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i w:val="1"/>
          <w:iCs w:val="1"/>
          <w:color w:val="auto"/>
        </w:rPr>
        <w:t xml:space="preserve">Amount of Contributions. </w:t>
      </w:r>
      <w:r>
        <w:rPr>
          <w:rFonts w:ascii="Arial" w:cs="Arial" w:eastAsia="Arial" w:hAnsi="Arial"/>
          <w:sz w:val="17"/>
          <w:szCs w:val="17"/>
          <w:color w:val="auto"/>
        </w:rPr>
        <w:t>Our 2020 ESPP will permit each eligible employee to purchase common stock through payroll deductions. Each</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payroll deductions may not exceed 50% of the employee’s cash compensation. Each participant may purchase up to the number of shares determined by our board of directors on any purchase date, not to exceed 3,000 shares. The value of the shares purchased in any calendar year may not exceed $25,000. Participants may withdraw their contributions at any time before stock is purchased.</w:t>
      </w:r>
    </w:p>
    <w:p>
      <w:pPr>
        <w:spacing w:after="0" w:line="17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The price of each share of common stock purchased under our 2020 ESPP will not be less than 85% of the lower of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market value per share of common stock on the first day of the applicable offering period or the fair market value per share of common stock on the purchase date.</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Employees may end their participation in our 2020 ESPP at any time. Participation ends automatically upon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employment with us. If we experience a change in control, our 2020 ESPP will end and shares will be purchased with the payroll deductions accumulated to date by participating employees, unless the rights to purchase our common stock under the 2020 ESPP for an offering period then in progress are continued, assumed or substituted by the surviving entity. Our board of directors or our compensation committee may amend or terminate our 2020 ESPP at any time.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The following is a description of transactions since January 1, 2017 to which we have been a party in which the amount involved exceeded $120,000 and in which any of our executive officers, directors or beneficial holders of more than 5% of our capital stock (or any immediate family member of, or person sharing the household with, any of these individuals or entities), which we collectively refer to as a related person, had or will have a direct or indirect material interest, other than compensation arrangements which are described in “Management — Director Compensation” and “Executive Compensation.” We believe that all of these transactions were on terms as favorable as could have been obtained from unrelated third parties.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of Common Stock</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From January 2017 to March 2018, we issued and sold an aggregate of 2,677,846 shares of our common stock at a cash purchase price of $0.0007 per share for an aggregate purchase price of approximately $1,989.00.</w:t>
      </w:r>
    </w:p>
    <w:p>
      <w:pPr>
        <w:spacing w:after="0" w:line="170"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sets forth the number of shares of our common stock sold to our directors, executive officers and holders of more than 5% of our capital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Affiliated</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22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4680" w:type="dxa"/>
            <w:vAlign w:val="bottom"/>
            <w:gridSpan w:val="3"/>
          </w:tcPr>
          <w:p>
            <w:pPr>
              <w:jc w:val="center"/>
              <w:ind w:left="2635"/>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340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Officer(s)</w:t>
            </w:r>
          </w:p>
        </w:tc>
        <w:tc>
          <w:tcPr>
            <w:tcW w:w="36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Bobak Azamian</w:t>
            </w:r>
          </w:p>
        </w:tc>
        <w:tc>
          <w:tcPr>
            <w:tcW w:w="4680" w:type="dxa"/>
            <w:vAlign w:val="bottom"/>
            <w:gridSpan w:val="3"/>
            <w:shd w:val="clear" w:color="auto" w:fill="CCEEFF"/>
          </w:tcPr>
          <w:p>
            <w:pPr>
              <w:jc w:val="center"/>
              <w:ind w:left="2635"/>
              <w:spacing w:after="0"/>
              <w:rPr>
                <w:sz w:val="20"/>
                <w:szCs w:val="20"/>
                <w:color w:val="auto"/>
              </w:rPr>
            </w:pPr>
            <w:r>
              <w:rPr>
                <w:rFonts w:ascii="Arial" w:cs="Arial" w:eastAsia="Arial" w:hAnsi="Arial"/>
                <w:sz w:val="18"/>
                <w:szCs w:val="18"/>
                <w:color w:val="auto"/>
                <w:w w:val="91"/>
              </w:rPr>
              <w:t>Bobak Azamian</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1,211,696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Michael Ackermann</w:t>
            </w:r>
          </w:p>
        </w:tc>
        <w:tc>
          <w:tcPr>
            <w:tcW w:w="4680" w:type="dxa"/>
            <w:vAlign w:val="bottom"/>
            <w:gridSpan w:val="3"/>
          </w:tcPr>
          <w:p>
            <w:pPr>
              <w:jc w:val="center"/>
              <w:ind w:left="2615"/>
              <w:spacing w:after="0"/>
              <w:rPr>
                <w:sz w:val="20"/>
                <w:szCs w:val="20"/>
                <w:color w:val="auto"/>
              </w:rPr>
            </w:pPr>
            <w:r>
              <w:rPr>
                <w:rFonts w:ascii="Arial" w:cs="Arial" w:eastAsia="Arial" w:hAnsi="Arial"/>
                <w:sz w:val="18"/>
                <w:szCs w:val="18"/>
                <w:color w:val="auto"/>
                <w:w w:val="92"/>
              </w:rPr>
              <w:t>Michael Ackermann</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1,211,696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ind w:lef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Link</w:t>
            </w:r>
          </w:p>
        </w:tc>
        <w:tc>
          <w:tcPr>
            <w:tcW w:w="4680" w:type="dxa"/>
            <w:vAlign w:val="bottom"/>
            <w:gridSpan w:val="3"/>
            <w:shd w:val="clear" w:color="auto" w:fill="CCEEFF"/>
          </w:tcPr>
          <w:p>
            <w:pPr>
              <w:jc w:val="center"/>
              <w:ind w:left="2635"/>
              <w:spacing w:after="0"/>
              <w:rPr>
                <w:sz w:val="20"/>
                <w:szCs w:val="20"/>
                <w:color w:val="auto"/>
              </w:rPr>
            </w:pPr>
            <w:r>
              <w:rPr>
                <w:rFonts w:ascii="Arial" w:cs="Arial" w:eastAsia="Arial" w:hAnsi="Arial"/>
                <w:sz w:val="18"/>
                <w:szCs w:val="18"/>
                <w:color w:val="auto"/>
                <w:w w:val="97"/>
              </w:rPr>
              <w:t>William J. Link</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134,632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 March and May 2018, we issued and sold an aggregate of 1,575,030 shares of our Series A preferred stock at a cash purchase price of $2.3174 per share for an aggregate purchase price of approximately $3.6 million. These shares of Series A preferred stock will convert into an aggregate of 1,575,030 shares of Common Stock upon the completion of this offering.</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summarizes purchases of shares of our Series A preferred stock by our executive officers, directors and holders of more than 5% of our capital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6"/>
              </w:rPr>
              <w:t>Affiliated</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Shares of</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Series A</w:t>
            </w:r>
          </w:p>
        </w:tc>
        <w:tc>
          <w:tcPr>
            <w:tcW w:w="220" w:type="dxa"/>
            <w:vAlign w:val="bottom"/>
          </w:tcPr>
          <w:p>
            <w:pPr>
              <w:spacing w:after="0"/>
              <w:rPr>
                <w:sz w:val="12"/>
                <w:szCs w:val="12"/>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3"/>
              </w:rPr>
              <w:t>Total Purchase</w:t>
            </w:r>
          </w:p>
        </w:tc>
        <w:tc>
          <w:tcPr>
            <w:tcW w:w="0" w:type="dxa"/>
            <w:vAlign w:val="bottom"/>
          </w:tcPr>
          <w:p>
            <w:pPr>
              <w:spacing w:after="0"/>
              <w:rPr>
                <w:sz w:val="1"/>
                <w:szCs w:val="1"/>
                <w:color w:val="auto"/>
              </w:rPr>
            </w:pPr>
          </w:p>
        </w:tc>
      </w:tr>
      <w:tr>
        <w:trPr>
          <w:trHeight w:val="149"/>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2880" w:type="dxa"/>
            <w:vAlign w:val="bottom"/>
            <w:gridSpan w:val="3"/>
          </w:tcPr>
          <w:p>
            <w:pPr>
              <w:jc w:val="center"/>
              <w:ind w:left="874"/>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80" w:type="dxa"/>
            <w:vAlign w:val="bottom"/>
            <w:gridSpan w:val="2"/>
            <w:vMerge w:val="continue"/>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Officer(s)</w:t>
            </w:r>
          </w:p>
        </w:tc>
        <w:tc>
          <w:tcPr>
            <w:tcW w:w="11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Horowitz Limited Partnership VIII </w:t>
            </w:r>
            <w:r>
              <w:rPr>
                <w:rFonts w:ascii="Arial" w:cs="Arial" w:eastAsia="Arial" w:hAnsi="Arial"/>
                <w:sz w:val="15"/>
                <w:szCs w:val="15"/>
                <w:color w:val="auto"/>
              </w:rPr>
              <w:t>(1)</w:t>
            </w:r>
          </w:p>
        </w:tc>
        <w:tc>
          <w:tcPr>
            <w:tcW w:w="2880" w:type="dxa"/>
            <w:vAlign w:val="bottom"/>
            <w:gridSpan w:val="3"/>
            <w:shd w:val="clear" w:color="auto" w:fill="CCEEFF"/>
          </w:tcPr>
          <w:p>
            <w:pPr>
              <w:jc w:val="center"/>
              <w:ind w:left="874"/>
              <w:spacing w:after="0"/>
              <w:rPr>
                <w:sz w:val="20"/>
                <w:szCs w:val="20"/>
                <w:color w:val="auto"/>
              </w:rPr>
            </w:pPr>
            <w:r>
              <w:rPr>
                <w:rFonts w:ascii="Arial" w:cs="Arial" w:eastAsia="Arial" w:hAnsi="Arial"/>
                <w:sz w:val="18"/>
                <w:szCs w:val="18"/>
                <w:color w:val="auto"/>
                <w:w w:val="84"/>
              </w:rPr>
              <w:t>Jason Tester</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1,477,941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3,424,999.66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Jason Tester </w:t>
            </w:r>
            <w:r>
              <w:rPr>
                <w:rFonts w:ascii="Arial" w:cs="Arial" w:eastAsia="Arial" w:hAnsi="Arial"/>
                <w:sz w:val="15"/>
                <w:szCs w:val="15"/>
                <w:color w:val="auto"/>
              </w:rPr>
              <w:t>(2)</w:t>
            </w:r>
          </w:p>
        </w:tc>
        <w:tc>
          <w:tcPr>
            <w:tcW w:w="2880" w:type="dxa"/>
            <w:vAlign w:val="bottom"/>
            <w:gridSpan w:val="3"/>
          </w:tcPr>
          <w:p>
            <w:pPr>
              <w:jc w:val="center"/>
              <w:ind w:left="874"/>
              <w:spacing w:after="0"/>
              <w:rPr>
                <w:sz w:val="20"/>
                <w:szCs w:val="20"/>
                <w:color w:val="auto"/>
              </w:rPr>
            </w:pPr>
            <w:r>
              <w:rPr>
                <w:rFonts w:ascii="Arial" w:cs="Arial" w:eastAsia="Arial" w:hAnsi="Arial"/>
                <w:sz w:val="18"/>
                <w:szCs w:val="18"/>
                <w:color w:val="auto"/>
                <w:w w:val="84"/>
              </w:rPr>
              <w:t>Jason Tester</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21,575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49,999.97</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Ackermann</w:t>
            </w:r>
          </w:p>
        </w:tc>
        <w:tc>
          <w:tcPr>
            <w:tcW w:w="2880" w:type="dxa"/>
            <w:vAlign w:val="bottom"/>
            <w:gridSpan w:val="3"/>
            <w:shd w:val="clear" w:color="auto" w:fill="CCEEFF"/>
          </w:tcPr>
          <w:p>
            <w:pPr>
              <w:jc w:val="center"/>
              <w:ind w:left="894"/>
              <w:spacing w:after="0"/>
              <w:rPr>
                <w:sz w:val="20"/>
                <w:szCs w:val="20"/>
                <w:color w:val="auto"/>
              </w:rPr>
            </w:pPr>
            <w:r>
              <w:rPr>
                <w:rFonts w:ascii="Arial" w:cs="Arial" w:eastAsia="Arial" w:hAnsi="Arial"/>
                <w:sz w:val="18"/>
                <w:szCs w:val="18"/>
                <w:color w:val="auto"/>
                <w:w w:val="92"/>
              </w:rPr>
              <w:t>Michael Ackermann</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53,939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125,000.00</w:t>
            </w: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Bobak Azamian</w:t>
            </w:r>
          </w:p>
        </w:tc>
        <w:tc>
          <w:tcPr>
            <w:tcW w:w="2880" w:type="dxa"/>
            <w:vAlign w:val="bottom"/>
            <w:gridSpan w:val="3"/>
          </w:tcPr>
          <w:p>
            <w:pPr>
              <w:jc w:val="center"/>
              <w:ind w:left="874"/>
              <w:spacing w:after="0"/>
              <w:rPr>
                <w:sz w:val="20"/>
                <w:szCs w:val="20"/>
                <w:color w:val="auto"/>
              </w:rPr>
            </w:pPr>
            <w:r>
              <w:rPr>
                <w:rFonts w:ascii="Arial" w:cs="Arial" w:eastAsia="Arial" w:hAnsi="Arial"/>
                <w:sz w:val="18"/>
                <w:szCs w:val="18"/>
                <w:color w:val="auto"/>
                <w:w w:val="91"/>
              </w:rPr>
              <w:t>Bobak Azamian</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21,575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49,999.87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460" w:hanging="424"/>
        <w:spacing w:after="0" w:line="230" w:lineRule="auto"/>
        <w:tabs>
          <w:tab w:leader="none" w:pos="5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Entities affiliated with the Horowitz Limited Partnership VIII, who purchased shares of Series A preferred stock include the Horowitz Limited Partnership VIII and the Adam S Horowitz Revocable Trust. Jason Tester is an affiliate of Horowitz Limited Partnership VIII.</w:t>
      </w:r>
    </w:p>
    <w:p>
      <w:pPr>
        <w:ind w:left="540" w:hanging="424"/>
        <w:spacing w:after="0"/>
        <w:tabs>
          <w:tab w:leader="none" w:pos="5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Entities affiliated with Jason Tester who purchased shares of Series A preferred stock includes the Tester Living Trust.</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Convertible Notes</w:t>
      </w:r>
    </w:p>
    <w:p>
      <w:pPr>
        <w:spacing w:after="0" w:line="22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Throughout 2019, we issued various convertible notes with an aggregate principle amount of $2.0 million, or the 2019 Notes. All principal and interest accrued under the 2019 Notes was converted at various discounts into shares of Series B preferred stock in connection with the closing of our Series B preferred stock financing in December 2019.</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The following table sets forth the aggregate principal amount plus accrued interest of the 2019 Notes that was converted, the number of shares of Series B preferred stock issued upon conversion of such notes to our executive officers, directors and holders of more than 5% of our capital stock, and their respective affiliates upon conversion of such notes and the aggregate purchase price for such notes: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Series B</w:t>
            </w:r>
          </w:p>
        </w:tc>
        <w:tc>
          <w:tcPr>
            <w:tcW w:w="9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6"/>
              </w:rPr>
              <w:t>Affiliated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Promissory Note</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Series B</w:t>
            </w:r>
          </w:p>
        </w:tc>
        <w:tc>
          <w:tcPr>
            <w:tcW w:w="0" w:type="dxa"/>
            <w:vAlign w:val="bottom"/>
          </w:tcPr>
          <w:p>
            <w:pPr>
              <w:spacing w:after="0"/>
              <w:rPr>
                <w:sz w:val="1"/>
                <w:szCs w:val="1"/>
                <w:color w:val="auto"/>
              </w:rPr>
            </w:pPr>
          </w:p>
        </w:tc>
      </w:tr>
      <w:tr>
        <w:trPr>
          <w:trHeight w:val="148"/>
        </w:trPr>
        <w:tc>
          <w:tcPr>
            <w:tcW w:w="5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2860" w:type="dxa"/>
            <w:vAlign w:val="bottom"/>
            <w:gridSpan w:val="3"/>
          </w:tcPr>
          <w:p>
            <w:pPr>
              <w:jc w:val="center"/>
              <w:ind w:left="1094"/>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240" w:type="dxa"/>
            <w:vAlign w:val="bottom"/>
          </w:tcPr>
          <w:p>
            <w:pPr>
              <w:spacing w:after="0"/>
              <w:rPr>
                <w:sz w:val="12"/>
                <w:szCs w:val="12"/>
                <w:color w:val="auto"/>
              </w:rPr>
            </w:pPr>
          </w:p>
        </w:tc>
        <w:tc>
          <w:tcPr>
            <w:tcW w:w="13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1"/>
        </w:trPr>
        <w:tc>
          <w:tcPr>
            <w:tcW w:w="568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11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Officer(s)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and Interest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Horowitz Limited Partnership VIII </w:t>
            </w:r>
            <w:r>
              <w:rPr>
                <w:rFonts w:ascii="Arial" w:cs="Arial" w:eastAsia="Arial" w:hAnsi="Arial"/>
                <w:sz w:val="15"/>
                <w:szCs w:val="15"/>
                <w:color w:val="auto"/>
              </w:rPr>
              <w:t>(1)</w:t>
            </w:r>
          </w:p>
        </w:tc>
        <w:tc>
          <w:tcPr>
            <w:tcW w:w="2860" w:type="dxa"/>
            <w:vAlign w:val="bottom"/>
            <w:gridSpan w:val="3"/>
            <w:shd w:val="clear" w:color="auto" w:fill="CCEEFF"/>
          </w:tcPr>
          <w:p>
            <w:pPr>
              <w:jc w:val="center"/>
              <w:ind w:left="1094"/>
              <w:spacing w:after="0"/>
              <w:rPr>
                <w:sz w:val="20"/>
                <w:szCs w:val="20"/>
                <w:color w:val="auto"/>
              </w:rPr>
            </w:pPr>
            <w:r>
              <w:rPr>
                <w:rFonts w:ascii="Arial" w:cs="Arial" w:eastAsia="Arial" w:hAnsi="Arial"/>
                <w:sz w:val="18"/>
                <w:szCs w:val="18"/>
                <w:color w:val="auto"/>
                <w:w w:val="84"/>
              </w:rPr>
              <w:t>Jason Tester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1,930,070.20</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253,362</w:t>
            </w: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Jason Tester </w:t>
            </w:r>
            <w:r>
              <w:rPr>
                <w:rFonts w:ascii="Arial" w:cs="Arial" w:eastAsia="Arial" w:hAnsi="Arial"/>
                <w:sz w:val="15"/>
                <w:szCs w:val="15"/>
                <w:color w:val="auto"/>
              </w:rPr>
              <w:t>(2)</w:t>
            </w:r>
          </w:p>
        </w:tc>
        <w:tc>
          <w:tcPr>
            <w:tcW w:w="2860" w:type="dxa"/>
            <w:vAlign w:val="bottom"/>
            <w:gridSpan w:val="3"/>
          </w:tcPr>
          <w:p>
            <w:pPr>
              <w:jc w:val="center"/>
              <w:ind w:left="1094"/>
              <w:spacing w:after="0"/>
              <w:rPr>
                <w:sz w:val="20"/>
                <w:szCs w:val="20"/>
                <w:color w:val="auto"/>
              </w:rPr>
            </w:pPr>
            <w:r>
              <w:rPr>
                <w:rFonts w:ascii="Arial" w:cs="Arial" w:eastAsia="Arial" w:hAnsi="Arial"/>
                <w:sz w:val="18"/>
                <w:szCs w:val="18"/>
                <w:color w:val="auto"/>
                <w:w w:val="84"/>
              </w:rPr>
              <w:t>Jason Tester</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28,176.15</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Bobak Azamian</w:t>
            </w:r>
          </w:p>
        </w:tc>
        <w:tc>
          <w:tcPr>
            <w:tcW w:w="2860" w:type="dxa"/>
            <w:vAlign w:val="bottom"/>
            <w:gridSpan w:val="3"/>
            <w:shd w:val="clear" w:color="auto" w:fill="CCEEFF"/>
          </w:tcPr>
          <w:p>
            <w:pPr>
              <w:jc w:val="center"/>
              <w:ind w:left="1074"/>
              <w:spacing w:after="0"/>
              <w:rPr>
                <w:sz w:val="20"/>
                <w:szCs w:val="20"/>
                <w:color w:val="auto"/>
              </w:rPr>
            </w:pPr>
            <w:r>
              <w:rPr>
                <w:rFonts w:ascii="Arial" w:cs="Arial" w:eastAsia="Arial" w:hAnsi="Arial"/>
                <w:sz w:val="18"/>
                <w:szCs w:val="18"/>
                <w:color w:val="auto"/>
                <w:w w:val="90"/>
              </w:rPr>
              <w:t>Bobak Azamian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14,162.48</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Michael Ackermann</w:t>
            </w:r>
          </w:p>
        </w:tc>
        <w:tc>
          <w:tcPr>
            <w:tcW w:w="2860" w:type="dxa"/>
            <w:vAlign w:val="bottom"/>
            <w:gridSpan w:val="3"/>
          </w:tcPr>
          <w:p>
            <w:pPr>
              <w:jc w:val="center"/>
              <w:ind w:left="1074"/>
              <w:spacing w:after="0"/>
              <w:rPr>
                <w:sz w:val="20"/>
                <w:szCs w:val="20"/>
                <w:color w:val="auto"/>
              </w:rPr>
            </w:pPr>
            <w:r>
              <w:rPr>
                <w:rFonts w:ascii="Arial" w:cs="Arial" w:eastAsia="Arial" w:hAnsi="Arial"/>
                <w:sz w:val="18"/>
                <w:szCs w:val="18"/>
                <w:color w:val="auto"/>
                <w:w w:val="92"/>
              </w:rPr>
              <w:t>Michael Ackermann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70,440.52</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9,246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340" w:hanging="424"/>
        <w:spacing w:after="0" w:line="230" w:lineRule="auto"/>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Entities affiliated with Horowitz Limited Partnership VIII whose convertible promissory notes converted into shares of our Series B preferred stock include the Horowitz Limited Partnership VIII and the Adam S Horowitz Revocable Trust. Mr. Tester is an affiliate of Horowitz Limited Partnership VIII.</w:t>
      </w:r>
    </w:p>
    <w:p>
      <w:pPr>
        <w:ind w:left="540" w:hanging="424"/>
        <w:spacing w:after="0"/>
        <w:tabs>
          <w:tab w:leader="none" w:pos="5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Entities affiliated with Mr. Tester whose convertible promissory notes converted into shares of our Series B preferred stock include the Tester Living Trust.</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225"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In December 2019, we issued and sold an aggregate of 6,406,853 shares of our Series B preferred stock (exclusive of 268,056 shares issued upon the conversion of the 2019 Notes) at a cash purchase price of $8.9904 per share for an aggregate purchase price of approximately $57.6 million. These shares of Series B preferred stock, together with the shares issued upon conversion of the 2019 Notes, will convert into an aggregate of 6,674,909 shares of common stock upon the completion of this offering. The table below sets forth the number of shares of Series B preferred stock sold to our directors, executive officers and holders of more than 5% of our capital stock (not including the 268,056 shares of Series B preferred stock issued upon the conversion of the 2019 Notes):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340" w:type="dxa"/>
            <w:vAlign w:val="bottom"/>
            <w:gridSpan w:val="3"/>
            <w:vMerge w:val="restart"/>
          </w:tcPr>
          <w:p>
            <w:pPr>
              <w:jc w:val="center"/>
              <w:ind w:left="1119"/>
              <w:spacing w:after="0"/>
              <w:rPr>
                <w:sz w:val="20"/>
                <w:szCs w:val="20"/>
                <w:color w:val="auto"/>
              </w:rPr>
            </w:pPr>
            <w:r>
              <w:rPr>
                <w:rFonts w:ascii="Arial" w:cs="Arial" w:eastAsia="Arial" w:hAnsi="Arial"/>
                <w:sz w:val="14"/>
                <w:szCs w:val="14"/>
                <w:b w:val="1"/>
                <w:bCs w:val="1"/>
                <w:color w:val="auto"/>
                <w:w w:val="96"/>
              </w:rPr>
              <w:t>Affiliated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340" w:type="dxa"/>
            <w:vAlign w:val="bottom"/>
            <w:gridSpan w:val="3"/>
            <w:vMerge w:val="continue"/>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Series B</w:t>
            </w:r>
          </w:p>
        </w:tc>
        <w:tc>
          <w:tcPr>
            <w:tcW w:w="240" w:type="dxa"/>
            <w:vAlign w:val="bottom"/>
          </w:tcPr>
          <w:p>
            <w:pPr>
              <w:spacing w:after="0"/>
              <w:rPr>
                <w:sz w:val="12"/>
                <w:szCs w:val="12"/>
                <w:color w:val="auto"/>
              </w:rPr>
            </w:pPr>
          </w:p>
        </w:tc>
        <w:tc>
          <w:tcPr>
            <w:tcW w:w="13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5"/>
              </w:rPr>
              <w:t>Total Purchase</w:t>
            </w:r>
          </w:p>
        </w:tc>
        <w:tc>
          <w:tcPr>
            <w:tcW w:w="0" w:type="dxa"/>
            <w:vAlign w:val="bottom"/>
          </w:tcPr>
          <w:p>
            <w:pPr>
              <w:spacing w:after="0"/>
              <w:rPr>
                <w:sz w:val="1"/>
                <w:szCs w:val="1"/>
                <w:color w:val="auto"/>
              </w:rPr>
            </w:pPr>
          </w:p>
        </w:tc>
      </w:tr>
      <w:tr>
        <w:trPr>
          <w:trHeight w:val="14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3340" w:type="dxa"/>
            <w:vAlign w:val="bottom"/>
            <w:gridSpan w:val="3"/>
          </w:tcPr>
          <w:p>
            <w:pPr>
              <w:jc w:val="center"/>
              <w:ind w:left="1099"/>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3340" w:type="dxa"/>
            <w:vAlign w:val="bottom"/>
            <w:gridSpan w:val="3"/>
          </w:tcPr>
          <w:p>
            <w:pPr>
              <w:jc w:val="center"/>
              <w:ind w:left="1119"/>
              <w:spacing w:after="0"/>
              <w:rPr>
                <w:sz w:val="20"/>
                <w:szCs w:val="20"/>
                <w:color w:val="auto"/>
              </w:rPr>
            </w:pPr>
            <w:r>
              <w:rPr>
                <w:rFonts w:ascii="Arial" w:cs="Arial" w:eastAsia="Arial" w:hAnsi="Arial"/>
                <w:sz w:val="14"/>
                <w:szCs w:val="14"/>
                <w:b w:val="1"/>
                <w:bCs w:val="1"/>
                <w:color w:val="auto"/>
                <w:w w:val="93"/>
              </w:rPr>
              <w:t>Officer(s)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Capital Fund IX, L.P.</w:t>
            </w:r>
          </w:p>
        </w:tc>
        <w:tc>
          <w:tcPr>
            <w:tcW w:w="3340" w:type="dxa"/>
            <w:vAlign w:val="bottom"/>
            <w:gridSpan w:val="3"/>
            <w:shd w:val="clear" w:color="auto" w:fill="CCEEFF"/>
          </w:tcPr>
          <w:p>
            <w:pPr>
              <w:jc w:val="center"/>
              <w:ind w:left="1099"/>
              <w:spacing w:after="0"/>
              <w:rPr>
                <w:sz w:val="20"/>
                <w:szCs w:val="20"/>
                <w:color w:val="auto"/>
              </w:rPr>
            </w:pPr>
            <w:r>
              <w:rPr>
                <w:rFonts w:ascii="Arial" w:cs="Arial" w:eastAsia="Arial" w:hAnsi="Arial"/>
                <w:sz w:val="18"/>
                <w:szCs w:val="18"/>
                <w:color w:val="auto"/>
                <w:w w:val="92"/>
              </w:rPr>
              <w:t xml:space="preserve">Andrew Goldberg </w:t>
            </w:r>
            <w:r>
              <w:rPr>
                <w:rFonts w:ascii="Arial" w:cs="Arial" w:eastAsia="Arial" w:hAnsi="Arial"/>
                <w:sz w:val="15"/>
                <w:szCs w:val="15"/>
                <w:color w:val="auto"/>
                <w:w w:val="92"/>
              </w:rPr>
              <w:t>(1)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2,780,754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24,999,999.83</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Frazier Life Sciences IX, L.P.</w:t>
            </w:r>
          </w:p>
        </w:tc>
        <w:tc>
          <w:tcPr>
            <w:tcW w:w="3340" w:type="dxa"/>
            <w:vAlign w:val="bottom"/>
            <w:gridSpan w:val="3"/>
          </w:tcPr>
          <w:p>
            <w:pPr>
              <w:jc w:val="center"/>
              <w:ind w:left="1119"/>
              <w:spacing w:after="0"/>
              <w:rPr>
                <w:sz w:val="20"/>
                <w:szCs w:val="20"/>
                <w:color w:val="auto"/>
              </w:rPr>
            </w:pPr>
            <w:r>
              <w:rPr>
                <w:rFonts w:ascii="Arial" w:cs="Arial" w:eastAsia="Arial" w:hAnsi="Arial"/>
                <w:sz w:val="18"/>
                <w:szCs w:val="18"/>
                <w:color w:val="auto"/>
                <w:w w:val="91"/>
              </w:rPr>
              <w:t xml:space="preserve">Bhaskar Chaudhuri </w:t>
            </w:r>
            <w:r>
              <w:rPr>
                <w:rFonts w:ascii="Arial" w:cs="Arial" w:eastAsia="Arial" w:hAnsi="Arial"/>
                <w:sz w:val="15"/>
                <w:szCs w:val="15"/>
                <w:color w:val="auto"/>
                <w:w w:val="91"/>
              </w:rPr>
              <w:t>(2)</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1,390,376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12,499,999.31</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Flying L Investments XI, LLC</w:t>
            </w:r>
          </w:p>
        </w:tc>
        <w:tc>
          <w:tcPr>
            <w:tcW w:w="3340" w:type="dxa"/>
            <w:vAlign w:val="bottom"/>
            <w:gridSpan w:val="3"/>
            <w:shd w:val="clear" w:color="auto" w:fill="CCEEFF"/>
          </w:tcPr>
          <w:p>
            <w:pPr>
              <w:jc w:val="center"/>
              <w:ind w:left="1099"/>
              <w:spacing w:after="0"/>
              <w:rPr>
                <w:sz w:val="20"/>
                <w:szCs w:val="20"/>
                <w:color w:val="auto"/>
              </w:rPr>
            </w:pPr>
            <w:r>
              <w:rPr>
                <w:rFonts w:ascii="Arial" w:cs="Arial" w:eastAsia="Arial" w:hAnsi="Arial"/>
                <w:sz w:val="18"/>
                <w:szCs w:val="18"/>
                <w:color w:val="auto"/>
                <w:w w:val="97"/>
              </w:rPr>
              <w:t>William J. Link</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1,112,301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9,999,999.21</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Visionary Venture Fund </w:t>
            </w:r>
            <w:r>
              <w:rPr>
                <w:rFonts w:ascii="Arial" w:cs="Arial" w:eastAsia="Arial" w:hAnsi="Arial"/>
                <w:sz w:val="15"/>
                <w:szCs w:val="15"/>
                <w:color w:val="auto"/>
              </w:rPr>
              <w:t>(3)</w:t>
            </w:r>
          </w:p>
        </w:tc>
        <w:tc>
          <w:tcPr>
            <w:tcW w:w="1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834,225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7,499,999.11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Mr. Goldberg was designated by Vivo Capital Fund IX, L.P. but does not have any voting or investment control over the shares held by Vivo Capital Fund IX, L.P.</w:t>
      </w:r>
    </w:p>
    <w:p>
      <w:pPr>
        <w:ind w:left="540" w:hanging="424"/>
        <w:spacing w:after="0" w:line="221" w:lineRule="auto"/>
        <w:tabs>
          <w:tab w:leader="none" w:pos="5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Dr. Chaudhuri was designated by Frazier Life Sciences IX, L.P. but does not have any voting or investment control over the shares held by Frazier Life Sciences IX, L.P.</w:t>
      </w:r>
    </w:p>
    <w:p>
      <w:pPr>
        <w:ind w:left="540" w:right="340" w:hanging="424"/>
        <w:spacing w:after="0" w:line="237" w:lineRule="auto"/>
        <w:tabs>
          <w:tab w:leader="none" w:pos="54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Entities affiliated with Visionary Venture Fund holding shares of our Series B preferred stock which are aggregated for purposes of reporting share ownership information include Visionary Venture Fund II, LP and Visionary Venture Fund II (QP), LP.</w:t>
      </w:r>
    </w:p>
    <w:p>
      <w:pPr>
        <w:spacing w:after="0" w:line="119" w:lineRule="exact"/>
        <w:rPr>
          <w:rFonts w:ascii="Arial" w:cs="Arial" w:eastAsia="Arial" w:hAnsi="Arial"/>
          <w:sz w:val="14"/>
          <w:szCs w:val="14"/>
          <w:color w:val="auto"/>
        </w:rPr>
      </w:pPr>
    </w:p>
    <w:p>
      <w:pPr>
        <w:ind w:left="5480" w:hanging="96"/>
        <w:spacing w:after="0"/>
        <w:tabs>
          <w:tab w:leader="none" w:pos="54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185 -</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In September 2020, we issued and sold an aggregate of 2,857,079 shares of our Series C preferred stock at a cash purchase price of $14.0003 per share of Series C preferred Stock for an aggregate purchase price of approximately $40.0 million. These shares of Series C preferred stock will convert into an aggregate of 2,857,079 shares of common stock upon the completion of this offering. The table below sets forth the number of shares of Series C preferred stock sold to our directors, executive officers and holders of more than 5% of our capital stock:</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180" w:type="dxa"/>
            <w:vAlign w:val="bottom"/>
            <w:gridSpan w:val="3"/>
            <w:vMerge w:val="restart"/>
          </w:tcPr>
          <w:p>
            <w:pPr>
              <w:jc w:val="center"/>
              <w:ind w:left="959"/>
              <w:spacing w:after="0"/>
              <w:rPr>
                <w:sz w:val="20"/>
                <w:szCs w:val="20"/>
                <w:color w:val="auto"/>
              </w:rPr>
            </w:pPr>
            <w:r>
              <w:rPr>
                <w:rFonts w:ascii="Arial" w:cs="Arial" w:eastAsia="Arial" w:hAnsi="Arial"/>
                <w:sz w:val="14"/>
                <w:szCs w:val="14"/>
                <w:b w:val="1"/>
                <w:bCs w:val="1"/>
                <w:color w:val="auto"/>
                <w:w w:val="96"/>
              </w:rPr>
              <w:t>Affiliated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180" w:type="dxa"/>
            <w:vAlign w:val="bottom"/>
            <w:gridSpan w:val="3"/>
            <w:vMerge w:val="continue"/>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Series C</w:t>
            </w:r>
          </w:p>
        </w:tc>
        <w:tc>
          <w:tcPr>
            <w:tcW w:w="240" w:type="dxa"/>
            <w:vAlign w:val="bottom"/>
          </w:tcPr>
          <w:p>
            <w:pPr>
              <w:spacing w:after="0"/>
              <w:rPr>
                <w:sz w:val="12"/>
                <w:szCs w:val="12"/>
                <w:color w:val="auto"/>
              </w:rPr>
            </w:pPr>
          </w:p>
        </w:tc>
        <w:tc>
          <w:tcPr>
            <w:tcW w:w="13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5"/>
              </w:rPr>
              <w:t>Total Purchase</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Investor</w:t>
            </w:r>
          </w:p>
        </w:tc>
        <w:tc>
          <w:tcPr>
            <w:tcW w:w="3180" w:type="dxa"/>
            <w:vAlign w:val="bottom"/>
            <w:gridSpan w:val="3"/>
          </w:tcPr>
          <w:p>
            <w:pPr>
              <w:jc w:val="center"/>
              <w:ind w:left="939"/>
              <w:spacing w:after="0" w:line="149" w:lineRule="exact"/>
              <w:rPr>
                <w:sz w:val="20"/>
                <w:szCs w:val="20"/>
                <w:color w:val="auto"/>
              </w:rPr>
            </w:pPr>
            <w:r>
              <w:rPr>
                <w:rFonts w:ascii="Arial" w:cs="Arial" w:eastAsia="Arial" w:hAnsi="Arial"/>
                <w:sz w:val="14"/>
                <w:szCs w:val="14"/>
                <w:b w:val="1"/>
                <w:bCs w:val="1"/>
                <w:color w:val="auto"/>
                <w:w w:val="94"/>
              </w:rPr>
              <w:t>Director(s) or</w:t>
            </w:r>
          </w:p>
        </w:tc>
        <w:tc>
          <w:tcPr>
            <w:tcW w:w="11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2"/>
            <w:vMerge w:val="continue"/>
          </w:tcPr>
          <w:p>
            <w:pPr>
              <w:spacing w:after="0"/>
              <w:rPr>
                <w:sz w:val="14"/>
                <w:szCs w:val="14"/>
                <w:color w:val="auto"/>
              </w:rPr>
            </w:pPr>
          </w:p>
        </w:tc>
        <w:tc>
          <w:tcPr>
            <w:tcW w:w="3180" w:type="dxa"/>
            <w:vAlign w:val="bottom"/>
            <w:gridSpan w:val="3"/>
          </w:tcPr>
          <w:p>
            <w:pPr>
              <w:jc w:val="center"/>
              <w:ind w:left="959"/>
              <w:spacing w:after="0"/>
              <w:rPr>
                <w:sz w:val="20"/>
                <w:szCs w:val="20"/>
                <w:color w:val="auto"/>
              </w:rPr>
            </w:pPr>
            <w:r>
              <w:rPr>
                <w:rFonts w:ascii="Arial" w:cs="Arial" w:eastAsia="Arial" w:hAnsi="Arial"/>
                <w:sz w:val="14"/>
                <w:szCs w:val="14"/>
                <w:b w:val="1"/>
                <w:bCs w:val="1"/>
                <w:color w:val="auto"/>
                <w:w w:val="93"/>
              </w:rPr>
              <w:t>Officer(s)</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Vivo Capital Fund IX, L.P.</w:t>
            </w:r>
          </w:p>
        </w:tc>
        <w:tc>
          <w:tcPr>
            <w:tcW w:w="3180" w:type="dxa"/>
            <w:vAlign w:val="bottom"/>
            <w:gridSpan w:val="3"/>
            <w:shd w:val="clear" w:color="auto" w:fill="CCEEFF"/>
          </w:tcPr>
          <w:p>
            <w:pPr>
              <w:jc w:val="center"/>
              <w:ind w:left="939"/>
              <w:spacing w:after="0"/>
              <w:rPr>
                <w:sz w:val="20"/>
                <w:szCs w:val="20"/>
                <w:color w:val="auto"/>
              </w:rPr>
            </w:pPr>
            <w:r>
              <w:rPr>
                <w:rFonts w:ascii="Arial" w:cs="Arial" w:eastAsia="Arial" w:hAnsi="Arial"/>
                <w:sz w:val="18"/>
                <w:szCs w:val="18"/>
                <w:color w:val="auto"/>
                <w:w w:val="92"/>
              </w:rPr>
              <w:t xml:space="preserve">Andrew Goldberg </w:t>
            </w:r>
            <w:r>
              <w:rPr>
                <w:rFonts w:ascii="Arial" w:cs="Arial" w:eastAsia="Arial" w:hAnsi="Arial"/>
                <w:sz w:val="15"/>
                <w:szCs w:val="15"/>
                <w:color w:val="auto"/>
                <w:w w:val="92"/>
              </w:rPr>
              <w:t>(1)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214,281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2,999,999.31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Frazier Life Sciences IX, L.P.</w:t>
            </w:r>
          </w:p>
        </w:tc>
        <w:tc>
          <w:tcPr>
            <w:tcW w:w="3180" w:type="dxa"/>
            <w:vAlign w:val="bottom"/>
            <w:gridSpan w:val="3"/>
          </w:tcPr>
          <w:p>
            <w:pPr>
              <w:jc w:val="center"/>
              <w:ind w:left="959"/>
              <w:spacing w:after="0"/>
              <w:rPr>
                <w:sz w:val="20"/>
                <w:szCs w:val="20"/>
                <w:color w:val="auto"/>
              </w:rPr>
            </w:pPr>
            <w:r>
              <w:rPr>
                <w:rFonts w:ascii="Arial" w:cs="Arial" w:eastAsia="Arial" w:hAnsi="Arial"/>
                <w:sz w:val="18"/>
                <w:szCs w:val="18"/>
                <w:color w:val="auto"/>
                <w:w w:val="91"/>
              </w:rPr>
              <w:t xml:space="preserve">Bhaskar Chaudhuri </w:t>
            </w:r>
            <w:r>
              <w:rPr>
                <w:rFonts w:ascii="Arial" w:cs="Arial" w:eastAsia="Arial" w:hAnsi="Arial"/>
                <w:sz w:val="15"/>
                <w:szCs w:val="15"/>
                <w:color w:val="auto"/>
                <w:w w:val="91"/>
              </w:rPr>
              <w:t>(2)</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214,281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2,999,999.31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Horowitz Limited Partnership VIII</w:t>
            </w:r>
          </w:p>
        </w:tc>
        <w:tc>
          <w:tcPr>
            <w:tcW w:w="3180" w:type="dxa"/>
            <w:vAlign w:val="bottom"/>
            <w:gridSpan w:val="3"/>
            <w:shd w:val="clear" w:color="auto" w:fill="CCEEFF"/>
          </w:tcPr>
          <w:p>
            <w:pPr>
              <w:jc w:val="center"/>
              <w:ind w:left="939"/>
              <w:spacing w:after="0"/>
              <w:rPr>
                <w:sz w:val="20"/>
                <w:szCs w:val="20"/>
                <w:color w:val="auto"/>
              </w:rPr>
            </w:pPr>
            <w:r>
              <w:rPr>
                <w:rFonts w:ascii="Arial" w:cs="Arial" w:eastAsia="Arial" w:hAnsi="Arial"/>
                <w:sz w:val="18"/>
                <w:szCs w:val="18"/>
                <w:color w:val="auto"/>
                <w:w w:val="84"/>
              </w:rPr>
              <w:t>Jason Tester</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71,427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999,999.77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RTW Investments, LP </w:t>
            </w:r>
            <w:r>
              <w:rPr>
                <w:rFonts w:ascii="Arial" w:cs="Arial" w:eastAsia="Arial" w:hAnsi="Arial"/>
                <w:sz w:val="15"/>
                <w:szCs w:val="15"/>
                <w:color w:val="auto"/>
              </w:rPr>
              <w:t>(3)</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1,071,406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14,999,998.40</w:t>
            </w:r>
          </w:p>
        </w:tc>
        <w:tc>
          <w:tcPr>
            <w:tcW w:w="0" w:type="dxa"/>
            <w:vAlign w:val="bottom"/>
          </w:tcPr>
          <w:p>
            <w:pPr>
              <w:spacing w:after="0"/>
              <w:rPr>
                <w:sz w:val="1"/>
                <w:szCs w:val="1"/>
                <w:color w:val="auto"/>
              </w:rPr>
            </w:pPr>
          </w:p>
        </w:tc>
      </w:tr>
      <w:tr>
        <w:trPr>
          <w:trHeight w:val="202"/>
        </w:trPr>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Cormorant Asset Management,</w:t>
            </w:r>
          </w:p>
        </w:tc>
        <w:tc>
          <w:tcPr>
            <w:tcW w:w="1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LP </w:t>
            </w:r>
            <w:r>
              <w:rPr>
                <w:rFonts w:ascii="Arial" w:cs="Arial" w:eastAsia="Arial" w:hAnsi="Arial"/>
                <w:sz w:val="15"/>
                <w:szCs w:val="15"/>
                <w:color w:val="auto"/>
              </w:rPr>
              <w:t>(4)</w:t>
            </w:r>
          </w:p>
        </w:tc>
        <w:tc>
          <w:tcPr>
            <w:tcW w:w="1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714,268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9,999,995.81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Mr. Goldberg was designated by Vivo Capital Fund IX, L.P. but does not have any voting or investment control over the shares held by Vivo Capital Fund IX, L.P.</w:t>
      </w:r>
    </w:p>
    <w:p>
      <w:pPr>
        <w:ind w:left="540" w:hanging="424"/>
        <w:spacing w:after="0" w:line="221" w:lineRule="auto"/>
        <w:tabs>
          <w:tab w:leader="none" w:pos="5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Dr. Chaudhuri was designated by Frazier Life Sciences IX, L.P. but does not have any voting or investment control over the shares held by Frazier Life Sciences IX, L.P.</w:t>
      </w:r>
    </w:p>
    <w:p>
      <w:pPr>
        <w:ind w:left="540" w:right="80" w:hanging="424"/>
        <w:spacing w:after="0" w:line="221" w:lineRule="auto"/>
        <w:tabs>
          <w:tab w:leader="none" w:pos="54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Entities affiliated with RTW Investments, LP holding shares of our Series C preferred stock which are aggregated for purposes of reporting share ownership information include RTW Master Fund, Ltd., RTW Innovation Master Fund, Ltd. and RTW Venture Fund Limited.</w:t>
      </w:r>
    </w:p>
    <w:p>
      <w:pPr>
        <w:ind w:left="540" w:right="160" w:hanging="424"/>
        <w:spacing w:after="0" w:line="271" w:lineRule="auto"/>
        <w:tabs>
          <w:tab w:leader="none" w:pos="54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Entities affiliated with Cormorant Asset Management, LP holding shares of our Series C preferred stock which are aggregated for purposes of reporting share ownership information include Cormorant Private Healthcare Fund III, LP, Cormorant Private Healthcare Fund II, LP, Cormorant Global Healthcare Master Fund, LP and CRMA SPV, L.P.</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Stockholders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225" w:lineRule="exact"/>
        <w:rPr>
          <w:sz w:val="20"/>
          <w:szCs w:val="20"/>
          <w:color w:val="auto"/>
        </w:rPr>
      </w:pPr>
    </w:p>
    <w:p>
      <w:pPr>
        <w:ind w:left="120" w:right="80" w:firstLine="881"/>
        <w:spacing w:after="0" w:line="271" w:lineRule="auto"/>
        <w:rPr>
          <w:sz w:val="20"/>
          <w:szCs w:val="20"/>
          <w:color w:val="auto"/>
        </w:rPr>
      </w:pPr>
      <w:r>
        <w:rPr>
          <w:rFonts w:ascii="Arial" w:cs="Arial" w:eastAsia="Arial" w:hAnsi="Arial"/>
          <w:sz w:val="17"/>
          <w:szCs w:val="17"/>
          <w:color w:val="auto"/>
        </w:rPr>
        <w:t>We are party to an amended and restated investors’ rights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ind w:left="120" w:right="140" w:hanging="4"/>
        <w:spacing w:after="0" w:line="253" w:lineRule="auto"/>
        <w:tabs>
          <w:tab w:leader="none" w:pos="52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Dr. Ackermann and (ix) Dr. Azamian.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 Registration Rights” elsewhere in this prospectus for additional information regarding these registration rights.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225" w:lineRule="exact"/>
        <w:rPr>
          <w:sz w:val="20"/>
          <w:szCs w:val="20"/>
          <w:color w:val="auto"/>
        </w:rPr>
      </w:pPr>
    </w:p>
    <w:p>
      <w:pPr>
        <w:ind w:left="120" w:right="420" w:firstLine="881"/>
        <w:spacing w:after="0" w:line="271" w:lineRule="auto"/>
        <w:rPr>
          <w:sz w:val="20"/>
          <w:szCs w:val="20"/>
          <w:color w:val="auto"/>
        </w:rPr>
      </w:pPr>
      <w:r>
        <w:rPr>
          <w:rFonts w:ascii="Arial" w:cs="Arial" w:eastAsia="Arial" w:hAnsi="Arial"/>
          <w:sz w:val="17"/>
          <w:szCs w:val="17"/>
          <w:color w:val="auto"/>
        </w:rPr>
        <w:t>We are party to an amended and restated voting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ind w:left="120" w:right="300" w:hanging="4"/>
        <w:spacing w:after="0" w:line="253" w:lineRule="auto"/>
        <w:tabs>
          <w:tab w:leader="none" w:pos="52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Dr. Ackermann, (ix) Dr. Azamian, (x) Mr. Greenstein and (xi) Dr. Neervannan.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25" w:lineRule="exact"/>
        <w:rPr>
          <w:rFonts w:ascii="Arial" w:cs="Arial" w:eastAsia="Arial" w:hAnsi="Arial"/>
          <w:sz w:val="18"/>
          <w:szCs w:val="18"/>
          <w:color w:val="auto"/>
        </w:rPr>
      </w:pPr>
    </w:p>
    <w:p>
      <w:pPr>
        <w:ind w:left="5480" w:hanging="96"/>
        <w:spacing w:after="0"/>
        <w:tabs>
          <w:tab w:leader="none" w:pos="5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186 -</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225" w:lineRule="exact"/>
        <w:rPr>
          <w:sz w:val="20"/>
          <w:szCs w:val="20"/>
          <w:color w:val="auto"/>
        </w:rPr>
      </w:pPr>
    </w:p>
    <w:p>
      <w:pPr>
        <w:ind w:left="120" w:right="240" w:firstLine="881"/>
        <w:spacing w:after="0" w:line="287" w:lineRule="auto"/>
        <w:rPr>
          <w:sz w:val="20"/>
          <w:szCs w:val="20"/>
          <w:color w:val="auto"/>
        </w:rPr>
      </w:pPr>
      <w:r>
        <w:rPr>
          <w:rFonts w:ascii="Arial" w:cs="Arial" w:eastAsia="Arial" w:hAnsi="Arial"/>
          <w:sz w:val="16"/>
          <w:szCs w:val="16"/>
          <w:color w:val="auto"/>
        </w:rPr>
        <w:t>We are party to an amended and restated first refusal and co-sale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2" w:lineRule="exact"/>
        <w:rPr>
          <w:sz w:val="20"/>
          <w:szCs w:val="20"/>
          <w:color w:val="auto"/>
        </w:rPr>
      </w:pPr>
    </w:p>
    <w:p>
      <w:pPr>
        <w:ind w:left="120" w:hanging="4"/>
        <w:spacing w:after="0" w:line="255" w:lineRule="auto"/>
        <w:tabs>
          <w:tab w:leader="none" w:pos="5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Dr. Ackermann, (ix) Dr. Azamian, (x) Mr. Greenstein and (xi) Dr. Neervannan.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We have entered, and intend to continue to enter, into separate indemnification agreements with each of our directors and executive officers, in addition to the indemnification provided for in our restated certificate of incorporation and amended and restated bylaws. The indemnification agreements and our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 — Limitation of Liability and Indemnification” elsewhere in this prospectus for additional information.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Arrangements with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Leo Greenstein Offer Letter</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On March 15, 2020 we entered into an Offer Letter with Leo Greenstein to serve as our Chief Financial Officer pursuant to which</w:t>
      </w:r>
    </w:p>
    <w:p>
      <w:pPr>
        <w:spacing w:after="0" w:line="35"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color w:val="auto"/>
        </w:rPr>
        <w:t>Mr. Greenstein is entitled to receive an annual base salary of $360,000, an annual incentive bonus with a target equal to 35% of his annual base salary, a signing bonus of $40,000 and an option to purchase 140,163 shares of our common stock. Effective upon our initial public offering, Mr. Greenstein’s annual base salary will be increased to $378,000, and his annual incentive bonus target will be increased to 40% of his annual base salary. Pursuant to his Offer Letter, Mr. Greenstein is eligible to receive severance benefits upon an involuntary termination of his employment. If the involuntary termination is prior to or more than 12 months after a change in control, he is eligible to receive severance consisting of six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bonus payment equal to (i) a prorated portion of his target bonus for the year in which his termination occurs and (ii) 150% of such target bonus.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Seshadri Neervannan Offer Letter</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On June 4, 2020 we entered into an Offer Letter with Seshadri Neervannan to serve as our Chief Operating Officer pursuant to which</w:t>
      </w:r>
    </w:p>
    <w:p>
      <w:pPr>
        <w:spacing w:after="0" w:line="35"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Mr. Neervannan is entitled to receive an annual base salary of $400,000, an annual incentive bonus with a target equal to 35% of his annual base salary, a signing bonus of $75,000 (50% of which will be paid on January 31, 2021 and 50% of which will be paid on July 31, 2021) and an option to purchase 233,605 shares of our common stock. Effective upon our initial public offering, Mr. Neervannan’s annual base salary will be increased to $420,000, and his annual incentive bonus target will be increased to 40% of his annual base salary. Pursuant to his Offer Letter, Mr. Neervannan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Aziz Mottiwala Offer Letter</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On June 22, 2020 we entered into an Offer Letter with Aziz Mottiwala to serve as our Chief Commercial Officer pursuant to which</w:t>
      </w:r>
    </w:p>
    <w:p>
      <w:pPr>
        <w:spacing w:after="0" w:line="3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Mr. Mottiwala is entitled to receive an annual base salary of $360,000, an annual incentive bonus with a target equal to 35% of his annual base salary, a signing bonus of $100,000 (50% of which was paid on August 25, 2020 and 50% of which will be paid on February 10, 2021) and an option to purchase 104,788 shares of our common stock. Effective upon our initial public offering, Mr. Mottiwala’s annual base salary will be increased to $378,000, and his annual incentive bonus target will be increased to 40% of his annual base salary. Pursuant to his Offer Letter, Mr. Mottiwala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229" w:lineRule="exact"/>
        <w:rPr>
          <w:sz w:val="20"/>
          <w:szCs w:val="20"/>
          <w:color w:val="auto"/>
        </w:rPr>
      </w:pPr>
    </w:p>
    <w:p>
      <w:pPr>
        <w:ind w:left="120" w:right="100" w:firstLine="881"/>
        <w:spacing w:after="0" w:line="272" w:lineRule="auto"/>
        <w:rPr>
          <w:sz w:val="20"/>
          <w:szCs w:val="20"/>
          <w:color w:val="auto"/>
        </w:rPr>
      </w:pPr>
      <w:r>
        <w:rPr>
          <w:rFonts w:ascii="Arial" w:cs="Arial" w:eastAsia="Arial" w:hAnsi="Arial"/>
          <w:sz w:val="17"/>
          <w:szCs w:val="17"/>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7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September 30, 2020 and as adjusted to reflect the sale of common stock offered by us in this offering, for:</w:t>
      </w:r>
    </w:p>
    <w:p>
      <w:pPr>
        <w:spacing w:after="0" w:line="197" w:lineRule="exact"/>
        <w:rPr>
          <w:sz w:val="20"/>
          <w:szCs w:val="20"/>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left="120" w:right="180" w:firstLine="881"/>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65" w:lineRule="exact"/>
        <w:rPr>
          <w:sz w:val="20"/>
          <w:szCs w:val="20"/>
          <w:color w:val="auto"/>
        </w:rPr>
      </w:pPr>
    </w:p>
    <w:p>
      <w:pPr>
        <w:ind w:left="120" w:right="100" w:firstLine="881"/>
        <w:spacing w:after="0" w:line="285" w:lineRule="auto"/>
        <w:rPr>
          <w:sz w:val="20"/>
          <w:szCs w:val="20"/>
          <w:color w:val="auto"/>
        </w:rPr>
      </w:pPr>
      <w:r>
        <w:rPr>
          <w:rFonts w:ascii="Arial" w:cs="Arial" w:eastAsia="Arial" w:hAnsi="Arial"/>
          <w:sz w:val="16"/>
          <w:szCs w:val="16"/>
          <w:color w:val="auto"/>
        </w:rPr>
        <w:t>Applicable percentage ownership is based on 13,995,006 shares of common stock outstanding as of September 30, 2020, after giving effect to the conversion of all 11,107,018 outstanding shares of preferred stock as of that date, into an aggregate of 11,107,018 shares of our common stock, but excluding 179,375 shares of common stock, which were issued upon the early exercise of certain stock options, but are not outstanding as they are subject to a right to repurchase. For purposes of computing percentage ownership after this offering, we have assumed that (i) 5,500,000 shares of common stock will be issued by us in this offering; (ii) the underwriters will not exercise their option to purchase up to 825,000 additional shares and</w:t>
      </w:r>
    </w:p>
    <w:p>
      <w:pPr>
        <w:spacing w:after="0" w:line="2" w:lineRule="exact"/>
        <w:rPr>
          <w:sz w:val="20"/>
          <w:szCs w:val="20"/>
          <w:color w:val="auto"/>
        </w:rPr>
      </w:pPr>
    </w:p>
    <w:p>
      <w:pPr>
        <w:ind w:left="120" w:right="20" w:hanging="4"/>
        <w:spacing w:after="0" w:line="268" w:lineRule="auto"/>
        <w:tabs>
          <w:tab w:leader="none" w:pos="43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none of our executive officers, directors, stockholders who beneficially own more than five percent of our common stock or affiliates of the foregoing will participate in this offering, including pursuant to our reserved share program. If any shares of our common stock are purchased in the offering by our officers, directors, stockholders who beneficially own more than five percent of our common stock or affiliates of the foregoing, the number and percentage of shares of our common stock beneficially owned by such entities after this offering will differ from the amounts set forth in the below table. In computing the number of shares of common stock beneficially owned by a person or entity and the percentage ownership of that person or entity, we deemed to be outstanding all shares of common stock subject to options held by that person or entity that are currently exercisable or that will become exercisable within 60 days of September 30, 2020. We did not deem these shares outstanding, however, such shares were included for the purpose of computing the percentage ownership of any other person or entity.</w:t>
      </w:r>
    </w:p>
    <w:p>
      <w:pPr>
        <w:spacing w:after="0" w:line="183"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Tarsus Pharmaceuticals, Inc., 15440 Laguna Canyon Road, Suite 160, Irvine, California 92618.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180" w:type="dxa"/>
            <w:vAlign w:val="bottom"/>
            <w:gridSpan w:val="6"/>
            <w:vMerge w:val="restart"/>
          </w:tcPr>
          <w:p>
            <w:pPr>
              <w:jc w:val="right"/>
              <w:ind w:right="460"/>
              <w:spacing w:after="0"/>
              <w:rPr>
                <w:sz w:val="20"/>
                <w:szCs w:val="20"/>
                <w:color w:val="auto"/>
              </w:rPr>
            </w:pPr>
            <w:r>
              <w:rPr>
                <w:rFonts w:ascii="Arial" w:cs="Arial" w:eastAsia="Arial" w:hAnsi="Arial"/>
                <w:sz w:val="14"/>
                <w:szCs w:val="14"/>
                <w:b w:val="1"/>
                <w:bCs w:val="1"/>
                <w:color w:val="auto"/>
              </w:rPr>
              <w:t>Shares Beneficially Owned</w:t>
            </w:r>
          </w:p>
        </w:tc>
        <w:tc>
          <w:tcPr>
            <w:tcW w:w="200" w:type="dxa"/>
            <w:vAlign w:val="bottom"/>
          </w:tcPr>
          <w:p>
            <w:pPr>
              <w:spacing w:after="0"/>
              <w:rPr>
                <w:sz w:val="14"/>
                <w:szCs w:val="14"/>
                <w:color w:val="auto"/>
              </w:rPr>
            </w:pPr>
          </w:p>
        </w:tc>
        <w:tc>
          <w:tcPr>
            <w:tcW w:w="17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6"/>
              </w:rPr>
              <w:t>Shares Beneficially</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18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4"/>
          </w:tcPr>
          <w:p>
            <w:pPr>
              <w:jc w:val="right"/>
              <w:ind w:right="680"/>
              <w:spacing w:after="0" w:line="145" w:lineRule="exact"/>
              <w:rPr>
                <w:sz w:val="20"/>
                <w:szCs w:val="20"/>
                <w:color w:val="auto"/>
              </w:rPr>
            </w:pPr>
            <w:r>
              <w:rPr>
                <w:rFonts w:ascii="Arial" w:cs="Arial" w:eastAsia="Arial" w:hAnsi="Arial"/>
                <w:sz w:val="14"/>
                <w:szCs w:val="14"/>
                <w:b w:val="1"/>
                <w:bCs w:val="1"/>
                <w:color w:val="auto"/>
              </w:rPr>
              <w:t>Owned After</w:t>
            </w:r>
          </w:p>
        </w:tc>
        <w:tc>
          <w:tcPr>
            <w:tcW w:w="0" w:type="dxa"/>
            <w:vAlign w:val="bottom"/>
          </w:tcPr>
          <w:p>
            <w:pPr>
              <w:spacing w:after="0"/>
              <w:rPr>
                <w:sz w:val="1"/>
                <w:szCs w:val="1"/>
                <w:color w:val="auto"/>
              </w:rPr>
            </w:pPr>
          </w:p>
        </w:tc>
      </w:tr>
      <w:tr>
        <w:trPr>
          <w:trHeight w:val="18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260" w:type="dxa"/>
            <w:vAlign w:val="bottom"/>
            <w:vMerge w:val="restart"/>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7"/>
              </w:rPr>
              <w:t>Prior to this Offering</w:t>
            </w:r>
          </w:p>
        </w:tc>
        <w:tc>
          <w:tcPr>
            <w:tcW w:w="200" w:type="dxa"/>
            <w:vAlign w:val="bottom"/>
          </w:tcPr>
          <w:p>
            <w:pPr>
              <w:spacing w:after="0"/>
              <w:rPr>
                <w:sz w:val="15"/>
                <w:szCs w:val="15"/>
                <w:color w:val="auto"/>
              </w:rPr>
            </w:pPr>
          </w:p>
        </w:tc>
        <w:tc>
          <w:tcPr>
            <w:tcW w:w="17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this Offering</w:t>
            </w:r>
          </w:p>
        </w:tc>
        <w:tc>
          <w:tcPr>
            <w:tcW w:w="0" w:type="dxa"/>
            <w:vAlign w:val="bottom"/>
          </w:tcPr>
          <w:p>
            <w:pPr>
              <w:spacing w:after="0"/>
              <w:rPr>
                <w:sz w:val="1"/>
                <w:szCs w:val="1"/>
                <w:color w:val="auto"/>
              </w:rPr>
            </w:pPr>
          </w:p>
        </w:tc>
      </w:tr>
      <w:tr>
        <w:trPr>
          <w:trHeight w:val="136"/>
        </w:trPr>
        <w:tc>
          <w:tcPr>
            <w:tcW w:w="1620" w:type="dxa"/>
            <w:vAlign w:val="bottom"/>
            <w:vMerge w:val="continue"/>
          </w:tcPr>
          <w:p>
            <w:pPr>
              <w:spacing w:after="0"/>
              <w:rPr>
                <w:sz w:val="11"/>
                <w:szCs w:val="11"/>
                <w:color w:val="auto"/>
              </w:rPr>
            </w:pPr>
          </w:p>
        </w:tc>
        <w:tc>
          <w:tcPr>
            <w:tcW w:w="3260" w:type="dxa"/>
            <w:vAlign w:val="bottom"/>
            <w:vMerge w:val="continue"/>
          </w:tcPr>
          <w:p>
            <w:pPr>
              <w:spacing w:after="0"/>
              <w:rPr>
                <w:sz w:val="11"/>
                <w:szCs w:val="11"/>
                <w:color w:val="auto"/>
              </w:rPr>
            </w:pPr>
          </w:p>
        </w:tc>
        <w:tc>
          <w:tcPr>
            <w:tcW w:w="2080" w:type="dxa"/>
            <w:vAlign w:val="bottom"/>
          </w:tcPr>
          <w:p>
            <w:pPr>
              <w:spacing w:after="0"/>
              <w:rPr>
                <w:sz w:val="11"/>
                <w:szCs w:val="11"/>
                <w:color w:val="auto"/>
              </w:rPr>
            </w:pPr>
          </w:p>
        </w:tc>
        <w:tc>
          <w:tcPr>
            <w:tcW w:w="1000" w:type="dxa"/>
            <w:vAlign w:val="bottom"/>
            <w:tcBorders>
              <w:top w:val="single" w:sz="8" w:color="auto"/>
            </w:tcBorders>
            <w:gridSpan w:val="3"/>
          </w:tcPr>
          <w:p>
            <w:pPr>
              <w:jc w:val="right"/>
              <w:ind w:right="460"/>
              <w:spacing w:after="0" w:line="13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2"/>
              </w:rPr>
              <w:t>Percentage</w:t>
            </w:r>
          </w:p>
        </w:tc>
        <w:tc>
          <w:tcPr>
            <w:tcW w:w="42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460"/>
              <w:spacing w:after="0" w:line="135"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Bobak Azamian </w:t>
            </w:r>
            <w:r>
              <w:rPr>
                <w:rFonts w:ascii="Arial" w:cs="Arial" w:eastAsia="Arial" w:hAnsi="Arial"/>
                <w:sz w:val="15"/>
                <w:szCs w:val="15"/>
                <w:color w:val="auto"/>
              </w:rPr>
              <w:t>(1)</w:t>
            </w:r>
          </w:p>
        </w:tc>
        <w:tc>
          <w:tcPr>
            <w:tcW w:w="3080" w:type="dxa"/>
            <w:vAlign w:val="bottom"/>
            <w:gridSpan w:val="4"/>
          </w:tcPr>
          <w:p>
            <w:pPr>
              <w:jc w:val="right"/>
              <w:ind w:right="280"/>
              <w:spacing w:after="0"/>
              <w:rPr>
                <w:sz w:val="20"/>
                <w:szCs w:val="20"/>
                <w:color w:val="auto"/>
              </w:rPr>
            </w:pPr>
            <w:r>
              <w:rPr>
                <w:rFonts w:ascii="Arial" w:cs="Arial" w:eastAsia="Arial" w:hAnsi="Arial"/>
                <w:sz w:val="18"/>
                <w:szCs w:val="18"/>
                <w:color w:val="auto"/>
              </w:rPr>
              <w:t>1,907,596</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13.01%</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1,907,596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Michael Ackermann </w:t>
            </w:r>
            <w:r>
              <w:rPr>
                <w:rFonts w:ascii="Arial" w:cs="Arial" w:eastAsia="Arial" w:hAnsi="Arial"/>
                <w:sz w:val="15"/>
                <w:szCs w:val="15"/>
                <w:color w:val="auto"/>
              </w:rPr>
              <w:t>(2)</w:t>
            </w:r>
          </w:p>
        </w:tc>
        <w:tc>
          <w:tcPr>
            <w:tcW w:w="3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1,464,325</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7"/>
              </w:rPr>
              <w:t>1,464,325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Jason Tester </w:t>
            </w:r>
            <w:r>
              <w:rPr>
                <w:rFonts w:ascii="Arial" w:cs="Arial" w:eastAsia="Arial" w:hAnsi="Arial"/>
                <w:sz w:val="15"/>
                <w:szCs w:val="15"/>
                <w:color w:val="auto"/>
              </w:rPr>
              <w:t>(3)</w:t>
            </w:r>
          </w:p>
        </w:tc>
        <w:tc>
          <w:tcPr>
            <w:tcW w:w="3080" w:type="dxa"/>
            <w:vAlign w:val="bottom"/>
            <w:gridSpan w:val="4"/>
          </w:tcPr>
          <w:p>
            <w:pPr>
              <w:jc w:val="right"/>
              <w:ind w:right="280"/>
              <w:spacing w:after="0"/>
              <w:rPr>
                <w:sz w:val="20"/>
                <w:szCs w:val="20"/>
                <w:color w:val="auto"/>
              </w:rPr>
            </w:pPr>
            <w:r>
              <w:rPr>
                <w:rFonts w:ascii="Arial" w:cs="Arial" w:eastAsia="Arial" w:hAnsi="Arial"/>
                <w:sz w:val="18"/>
                <w:szCs w:val="18"/>
                <w:color w:val="auto"/>
              </w:rPr>
              <w:t>1,777,456</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12.70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1,777,456</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Goldberg</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William J. Link </w:t>
            </w:r>
            <w:r>
              <w:rPr>
                <w:rFonts w:ascii="Arial" w:cs="Arial" w:eastAsia="Arial" w:hAnsi="Arial"/>
                <w:sz w:val="15"/>
                <w:szCs w:val="15"/>
                <w:color w:val="auto"/>
              </w:rPr>
              <w:t>(4)</w:t>
            </w:r>
          </w:p>
        </w:tc>
        <w:tc>
          <w:tcPr>
            <w:tcW w:w="3080" w:type="dxa"/>
            <w:vAlign w:val="bottom"/>
            <w:gridSpan w:val="4"/>
          </w:tcPr>
          <w:p>
            <w:pPr>
              <w:jc w:val="right"/>
              <w:ind w:right="280"/>
              <w:spacing w:after="0"/>
              <w:rPr>
                <w:sz w:val="20"/>
                <w:szCs w:val="20"/>
                <w:color w:val="auto"/>
              </w:rPr>
            </w:pPr>
            <w:r>
              <w:rPr>
                <w:rFonts w:ascii="Arial" w:cs="Arial" w:eastAsia="Arial" w:hAnsi="Arial"/>
                <w:sz w:val="18"/>
                <w:szCs w:val="18"/>
                <w:color w:val="auto"/>
              </w:rPr>
              <w:t>1,246,933</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8.91</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1,246,933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Bhaskar Chaudhuri</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Leo M. Greenstein </w:t>
            </w:r>
            <w:r>
              <w:rPr>
                <w:rFonts w:ascii="Arial" w:cs="Arial" w:eastAsia="Arial" w:hAnsi="Arial"/>
                <w:sz w:val="15"/>
                <w:szCs w:val="15"/>
                <w:color w:val="auto"/>
              </w:rPr>
              <w:t>(5)</w:t>
            </w:r>
          </w:p>
        </w:tc>
        <w:tc>
          <w:tcPr>
            <w:tcW w:w="3080" w:type="dxa"/>
            <w:vAlign w:val="bottom"/>
            <w:gridSpan w:val="4"/>
          </w:tcPr>
          <w:p>
            <w:pPr>
              <w:jc w:val="right"/>
              <w:ind w:right="280"/>
              <w:spacing w:after="0"/>
              <w:rPr>
                <w:sz w:val="20"/>
                <w:szCs w:val="20"/>
                <w:color w:val="auto"/>
              </w:rPr>
            </w:pPr>
            <w:r>
              <w:rPr>
                <w:rFonts w:ascii="Arial" w:cs="Arial" w:eastAsia="Arial" w:hAnsi="Arial"/>
                <w:sz w:val="18"/>
                <w:szCs w:val="18"/>
                <w:color w:val="auto"/>
              </w:rPr>
              <w:t>118,257</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118,257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Seshadri Neervannan </w:t>
            </w:r>
            <w:r>
              <w:rPr>
                <w:rFonts w:ascii="Arial" w:cs="Arial" w:eastAsia="Arial" w:hAnsi="Arial"/>
                <w:sz w:val="15"/>
                <w:szCs w:val="15"/>
                <w:color w:val="auto"/>
              </w:rPr>
              <w:t>(6)</w:t>
            </w:r>
          </w:p>
        </w:tc>
        <w:tc>
          <w:tcPr>
            <w:tcW w:w="3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101,524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101,524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 xml:space="preserve">Aziz Mottiwala </w:t>
            </w:r>
            <w:r>
              <w:rPr>
                <w:rFonts w:ascii="Arial" w:cs="Arial" w:eastAsia="Arial" w:hAnsi="Arial"/>
                <w:sz w:val="15"/>
                <w:szCs w:val="15"/>
                <w:color w:val="auto"/>
              </w:rPr>
              <w:t>(7)</w:t>
            </w:r>
          </w:p>
        </w:tc>
        <w:tc>
          <w:tcPr>
            <w:tcW w:w="3080" w:type="dxa"/>
            <w:vAlign w:val="bottom"/>
            <w:gridSpan w:val="4"/>
          </w:tcPr>
          <w:p>
            <w:pPr>
              <w:jc w:val="right"/>
              <w:ind w:right="280"/>
              <w:spacing w:after="0"/>
              <w:rPr>
                <w:sz w:val="20"/>
                <w:szCs w:val="20"/>
                <w:color w:val="auto"/>
              </w:rPr>
            </w:pPr>
            <w:r>
              <w:rPr>
                <w:rFonts w:ascii="Arial" w:cs="Arial" w:eastAsia="Arial" w:hAnsi="Arial"/>
                <w:sz w:val="18"/>
                <w:szCs w:val="18"/>
                <w:color w:val="auto"/>
              </w:rPr>
              <w:t>56,620</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56,620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Mark Holdbrook </w:t>
            </w:r>
            <w:r>
              <w:rPr>
                <w:rFonts w:ascii="Arial" w:cs="Arial" w:eastAsia="Arial" w:hAnsi="Arial"/>
                <w:sz w:val="15"/>
                <w:szCs w:val="15"/>
                <w:color w:val="auto"/>
              </w:rPr>
              <w:t>(8)</w:t>
            </w:r>
          </w:p>
        </w:tc>
        <w:tc>
          <w:tcPr>
            <w:tcW w:w="3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86,734</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86,734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w w:val="98"/>
              </w:rPr>
              <w:t xml:space="preserve">All executive officers and directors as a group (10 persons) </w:t>
            </w:r>
            <w:r>
              <w:rPr>
                <w:rFonts w:ascii="Arial" w:cs="Arial" w:eastAsia="Arial" w:hAnsi="Arial"/>
                <w:sz w:val="15"/>
                <w:szCs w:val="15"/>
                <w:color w:val="auto"/>
                <w:w w:val="98"/>
              </w:rPr>
              <w:t>(9)</w:t>
            </w:r>
          </w:p>
        </w:tc>
        <w:tc>
          <w:tcPr>
            <w:tcW w:w="3080" w:type="dxa"/>
            <w:vAlign w:val="bottom"/>
            <w:gridSpan w:val="4"/>
          </w:tcPr>
          <w:p>
            <w:pPr>
              <w:jc w:val="right"/>
              <w:ind w:right="280"/>
              <w:spacing w:after="0"/>
              <w:rPr>
                <w:sz w:val="20"/>
                <w:szCs w:val="20"/>
                <w:color w:val="auto"/>
              </w:rPr>
            </w:pPr>
            <w:r>
              <w:rPr>
                <w:rFonts w:ascii="Arial" w:cs="Arial" w:eastAsia="Arial" w:hAnsi="Arial"/>
                <w:sz w:val="18"/>
                <w:szCs w:val="18"/>
                <w:color w:val="auto"/>
              </w:rPr>
              <w:t>6,759,445</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44.78</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6,759,445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80" w:type="dxa"/>
            <w:vAlign w:val="bottom"/>
          </w:tcPr>
          <w:p>
            <w:pPr>
              <w:jc w:val="right"/>
              <w:ind w:right="113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36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rPr>
              <w:t>Shares Beneficially Owned</w:t>
            </w:r>
          </w:p>
        </w:tc>
        <w:tc>
          <w:tcPr>
            <w:tcW w:w="180" w:type="dxa"/>
            <w:vAlign w:val="bottom"/>
          </w:tcPr>
          <w:p>
            <w:pPr>
              <w:spacing w:after="0"/>
              <w:rPr>
                <w:sz w:val="14"/>
                <w:szCs w:val="14"/>
                <w:color w:val="auto"/>
              </w:rPr>
            </w:pPr>
          </w:p>
        </w:tc>
        <w:tc>
          <w:tcPr>
            <w:tcW w:w="16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Shares Beneficially</w:t>
            </w:r>
          </w:p>
        </w:tc>
        <w:tc>
          <w:tcPr>
            <w:tcW w:w="0" w:type="dxa"/>
            <w:vAlign w:val="bottom"/>
          </w:tcPr>
          <w:p>
            <w:pPr>
              <w:spacing w:after="0"/>
              <w:rPr>
                <w:sz w:val="1"/>
                <w:szCs w:val="1"/>
                <w:color w:val="auto"/>
              </w:rPr>
            </w:pPr>
          </w:p>
        </w:tc>
      </w:tr>
      <w:tr>
        <w:trPr>
          <w:trHeight w:val="144"/>
        </w:trPr>
        <w:tc>
          <w:tcPr>
            <w:tcW w:w="16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36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4"/>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82"/>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4240" w:type="dxa"/>
            <w:vAlign w:val="bottom"/>
            <w:vMerge w:val="restart"/>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Prior to this Offering</w:t>
            </w:r>
          </w:p>
        </w:tc>
        <w:tc>
          <w:tcPr>
            <w:tcW w:w="180" w:type="dxa"/>
            <w:vAlign w:val="bottom"/>
          </w:tcPr>
          <w:p>
            <w:pPr>
              <w:spacing w:after="0"/>
              <w:rPr>
                <w:sz w:val="15"/>
                <w:szCs w:val="15"/>
                <w:color w:val="auto"/>
              </w:rPr>
            </w:pPr>
          </w:p>
        </w:tc>
        <w:tc>
          <w:tcPr>
            <w:tcW w:w="16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136"/>
        </w:trPr>
        <w:tc>
          <w:tcPr>
            <w:tcW w:w="1620" w:type="dxa"/>
            <w:vAlign w:val="bottom"/>
            <w:tcBorders>
              <w:bottom w:val="single" w:sz="8" w:color="auto"/>
            </w:tcBorders>
            <w:vMerge w:val="continue"/>
          </w:tcPr>
          <w:p>
            <w:pPr>
              <w:spacing w:after="0"/>
              <w:rPr>
                <w:sz w:val="11"/>
                <w:szCs w:val="11"/>
                <w:color w:val="auto"/>
              </w:rPr>
            </w:pPr>
          </w:p>
        </w:tc>
        <w:tc>
          <w:tcPr>
            <w:tcW w:w="4240" w:type="dxa"/>
            <w:vAlign w:val="bottom"/>
            <w:vMerge w:val="continue"/>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5"/>
              </w:rPr>
              <w:t>Shares</w:t>
            </w:r>
          </w:p>
        </w:tc>
        <w:tc>
          <w:tcPr>
            <w:tcW w:w="460" w:type="dxa"/>
            <w:vAlign w:val="bottom"/>
            <w:tcBorders>
              <w:top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4"/>
              </w:rPr>
              <w:t>Percentage</w:t>
            </w:r>
          </w:p>
        </w:tc>
        <w:tc>
          <w:tcPr>
            <w:tcW w:w="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5"/>
              </w:rPr>
              <w:t>Shares</w:t>
            </w:r>
          </w:p>
        </w:tc>
        <w:tc>
          <w:tcPr>
            <w:tcW w:w="44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0"/>
              </w:rPr>
              <w:t>Percentage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Horowitz Limited Partnership VIII </w:t>
            </w:r>
            <w:r>
              <w:rPr>
                <w:rFonts w:ascii="Arial" w:cs="Arial" w:eastAsia="Arial" w:hAnsi="Arial"/>
                <w:sz w:val="15"/>
                <w:szCs w:val="15"/>
                <w:color w:val="auto"/>
              </w:rPr>
              <w:t>(10)</w:t>
            </w:r>
          </w:p>
        </w:tc>
        <w:tc>
          <w:tcPr>
            <w:tcW w:w="2380" w:type="dxa"/>
            <w:vAlign w:val="bottom"/>
            <w:gridSpan w:val="4"/>
          </w:tcPr>
          <w:p>
            <w:pPr>
              <w:jc w:val="right"/>
              <w:ind w:right="280"/>
              <w:spacing w:after="0"/>
              <w:rPr>
                <w:sz w:val="20"/>
                <w:szCs w:val="20"/>
                <w:color w:val="auto"/>
              </w:rPr>
            </w:pPr>
            <w:r>
              <w:rPr>
                <w:rFonts w:ascii="Arial" w:cs="Arial" w:eastAsia="Arial" w:hAnsi="Arial"/>
                <w:sz w:val="18"/>
                <w:szCs w:val="18"/>
                <w:color w:val="auto"/>
              </w:rPr>
              <w:t>1,802,730</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12.88</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1,802,730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Vivo Capital Fund IX, L.P. </w:t>
            </w:r>
            <w:r>
              <w:rPr>
                <w:rFonts w:ascii="Arial" w:cs="Arial" w:eastAsia="Arial" w:hAnsi="Arial"/>
                <w:sz w:val="15"/>
                <w:szCs w:val="15"/>
                <w:color w:val="auto"/>
              </w:rPr>
              <w:t>(11)</w:t>
            </w:r>
          </w:p>
        </w:tc>
        <w:tc>
          <w:tcPr>
            <w:tcW w:w="23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2,995,035</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21.40</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2,995,035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Flying L Investments XI, LLC </w:t>
            </w:r>
            <w:r>
              <w:rPr>
                <w:rFonts w:ascii="Arial" w:cs="Arial" w:eastAsia="Arial" w:hAnsi="Arial"/>
                <w:sz w:val="15"/>
                <w:szCs w:val="15"/>
                <w:color w:val="auto"/>
              </w:rPr>
              <w:t>(12)</w:t>
            </w:r>
          </w:p>
        </w:tc>
        <w:tc>
          <w:tcPr>
            <w:tcW w:w="2380" w:type="dxa"/>
            <w:vAlign w:val="bottom"/>
            <w:gridSpan w:val="4"/>
          </w:tcPr>
          <w:p>
            <w:pPr>
              <w:jc w:val="right"/>
              <w:ind w:right="280"/>
              <w:spacing w:after="0"/>
              <w:rPr>
                <w:sz w:val="20"/>
                <w:szCs w:val="20"/>
                <w:color w:val="auto"/>
              </w:rPr>
            </w:pPr>
            <w:r>
              <w:rPr>
                <w:rFonts w:ascii="Arial" w:cs="Arial" w:eastAsia="Arial" w:hAnsi="Arial"/>
                <w:sz w:val="18"/>
                <w:szCs w:val="18"/>
                <w:color w:val="auto"/>
              </w:rPr>
              <w:t>1,112,301</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7.95</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w w:val="94"/>
              </w:rPr>
              <w:t>1,112,301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Frazier Life Sciences IX, L.P. </w:t>
            </w:r>
            <w:r>
              <w:rPr>
                <w:rFonts w:ascii="Arial" w:cs="Arial" w:eastAsia="Arial" w:hAnsi="Arial"/>
                <w:sz w:val="15"/>
                <w:szCs w:val="15"/>
                <w:color w:val="auto"/>
              </w:rPr>
              <w:t>(13)</w:t>
            </w:r>
          </w:p>
        </w:tc>
        <w:tc>
          <w:tcPr>
            <w:tcW w:w="23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1,604,657</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11.47</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1,604,657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Visionary Venture Fund </w:t>
            </w:r>
            <w:r>
              <w:rPr>
                <w:rFonts w:ascii="Arial" w:cs="Arial" w:eastAsia="Arial" w:hAnsi="Arial"/>
                <w:sz w:val="15"/>
                <w:szCs w:val="15"/>
                <w:color w:val="auto"/>
              </w:rPr>
              <w:t>(14)</w:t>
            </w:r>
          </w:p>
        </w:tc>
        <w:tc>
          <w:tcPr>
            <w:tcW w:w="2380" w:type="dxa"/>
            <w:vAlign w:val="bottom"/>
            <w:gridSpan w:val="4"/>
          </w:tcPr>
          <w:p>
            <w:pPr>
              <w:jc w:val="right"/>
              <w:ind w:right="280"/>
              <w:spacing w:after="0"/>
              <w:rPr>
                <w:sz w:val="20"/>
                <w:szCs w:val="20"/>
                <w:color w:val="auto"/>
              </w:rPr>
            </w:pPr>
            <w:r>
              <w:rPr>
                <w:rFonts w:ascii="Arial" w:cs="Arial" w:eastAsia="Arial" w:hAnsi="Arial"/>
                <w:sz w:val="18"/>
                <w:szCs w:val="18"/>
                <w:color w:val="auto"/>
              </w:rPr>
              <w:t>834,225</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5.96</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834,225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RTW Investments, LP </w:t>
            </w:r>
            <w:r>
              <w:rPr>
                <w:rFonts w:ascii="Arial" w:cs="Arial" w:eastAsia="Arial" w:hAnsi="Arial"/>
                <w:sz w:val="15"/>
                <w:szCs w:val="15"/>
                <w:color w:val="auto"/>
              </w:rPr>
              <w:t>(15)</w:t>
            </w:r>
          </w:p>
        </w:tc>
        <w:tc>
          <w:tcPr>
            <w:tcW w:w="23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1,071,406</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7.66</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4"/>
              </w:rPr>
              <w:t>1,071,406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Entities affiliated with Cormorant Asset Management, LP </w:t>
            </w:r>
            <w:r>
              <w:rPr>
                <w:rFonts w:ascii="Arial" w:cs="Arial" w:eastAsia="Arial" w:hAnsi="Arial"/>
                <w:sz w:val="15"/>
                <w:szCs w:val="15"/>
                <w:color w:val="auto"/>
              </w:rPr>
              <w:t>(16)</w:t>
            </w:r>
          </w:p>
        </w:tc>
        <w:tc>
          <w:tcPr>
            <w:tcW w:w="2380" w:type="dxa"/>
            <w:vAlign w:val="bottom"/>
            <w:gridSpan w:val="4"/>
          </w:tcPr>
          <w:p>
            <w:pPr>
              <w:jc w:val="right"/>
              <w:ind w:right="280"/>
              <w:spacing w:after="0"/>
              <w:rPr>
                <w:sz w:val="20"/>
                <w:szCs w:val="20"/>
                <w:color w:val="auto"/>
              </w:rPr>
            </w:pPr>
            <w:r>
              <w:rPr>
                <w:rFonts w:ascii="Arial" w:cs="Arial" w:eastAsia="Arial" w:hAnsi="Arial"/>
                <w:sz w:val="18"/>
                <w:szCs w:val="18"/>
                <w:color w:val="auto"/>
              </w:rPr>
              <w:t>714,268</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5.10</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714,268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48" w:lineRule="exact"/>
        <w:rPr>
          <w:sz w:val="20"/>
          <w:szCs w:val="20"/>
          <w:color w:val="auto"/>
        </w:rPr>
      </w:pPr>
    </w:p>
    <w:p>
      <w:pPr>
        <w:ind w:left="540" w:right="40" w:hanging="424"/>
        <w:spacing w:after="0" w:line="264" w:lineRule="auto"/>
        <w:tabs>
          <w:tab w:leader="none" w:pos="5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Consists of (i) 1,750 shares of common stock held directly by Dr. Azamian (ii) 672,575 shares of common stock issuable pursuant to options held directly by Dr. Azamian exercisable within 60 days of September 30, 2020, and (iii) 1,233,271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195" w:lineRule="exact"/>
        <w:rPr>
          <w:rFonts w:ascii="Arial" w:cs="Arial" w:eastAsia="Arial" w:hAnsi="Arial"/>
          <w:sz w:val="13"/>
          <w:szCs w:val="13"/>
          <w:color w:val="auto"/>
        </w:rPr>
      </w:pPr>
    </w:p>
    <w:p>
      <w:pPr>
        <w:ind w:left="540" w:right="920" w:hanging="424"/>
        <w:spacing w:after="0" w:line="253"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Consists of (i) 1,228,924 shares of common stock held directly by Dr. Ackermann and (ii) 235,401 shares of common stock issuable pursuant to options held directly by Dr. Ackermann exercisable within 60 days of September 30, 2020.</w:t>
      </w:r>
    </w:p>
    <w:p>
      <w:pPr>
        <w:spacing w:after="0" w:line="200" w:lineRule="exact"/>
        <w:rPr>
          <w:rFonts w:ascii="Arial" w:cs="Arial" w:eastAsia="Arial" w:hAnsi="Arial"/>
          <w:sz w:val="14"/>
          <w:szCs w:val="14"/>
          <w:color w:val="auto"/>
        </w:rPr>
      </w:pPr>
    </w:p>
    <w:p>
      <w:pPr>
        <w:ind w:left="540" w:right="80" w:hanging="424"/>
        <w:spacing w:after="0" w:line="255" w:lineRule="auto"/>
        <w:tabs>
          <w:tab w:leader="none" w:pos="5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Consists of (i) 1,752,183 shares of common stock held by Horowitz Limited Partnership VIII and (ii) 25,273 shares of common stock held by the Tester Living Trust. Mr. Tester is a trustee of the Tester Living Trust, and has voting and investment control with respect to these shares.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w:t>
      </w:r>
    </w:p>
    <w:p>
      <w:pPr>
        <w:spacing w:after="0" w:line="201" w:lineRule="exact"/>
        <w:rPr>
          <w:rFonts w:ascii="Arial" w:cs="Arial" w:eastAsia="Arial" w:hAnsi="Arial"/>
          <w:sz w:val="13"/>
          <w:szCs w:val="13"/>
          <w:color w:val="auto"/>
        </w:rPr>
      </w:pPr>
    </w:p>
    <w:p>
      <w:pPr>
        <w:ind w:left="540" w:right="40" w:hanging="424"/>
        <w:spacing w:after="0" w:line="264" w:lineRule="auto"/>
        <w:tabs>
          <w:tab w:leader="none" w:pos="5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Consists of (i) 134,632 shares of common stock held directly by Dr. Link and (ii) 1,112,301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w:t>
      </w:r>
    </w:p>
    <w:p>
      <w:pPr>
        <w:spacing w:after="0" w:line="195" w:lineRule="exact"/>
        <w:rPr>
          <w:rFonts w:ascii="Arial" w:cs="Arial" w:eastAsia="Arial" w:hAnsi="Arial"/>
          <w:sz w:val="13"/>
          <w:szCs w:val="13"/>
          <w:color w:val="auto"/>
        </w:rPr>
      </w:pPr>
    </w:p>
    <w:p>
      <w:pPr>
        <w:ind w:left="540" w:right="280" w:hanging="424"/>
        <w:spacing w:after="0" w:line="253"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Consists of (i) 67,316 shares of common stock held directly by Mr. Greenstein and (ii) 50,941 shares of common stock issuable pursuant to options held directly by Mr. Greenstein exercisable within 60 days of September 30, 2020.</w:t>
      </w:r>
    </w:p>
    <w:p>
      <w:pPr>
        <w:spacing w:after="0" w:line="200" w:lineRule="exact"/>
        <w:rPr>
          <w:rFonts w:ascii="Arial" w:cs="Arial" w:eastAsia="Arial" w:hAnsi="Arial"/>
          <w:sz w:val="14"/>
          <w:szCs w:val="14"/>
          <w:color w:val="auto"/>
        </w:rPr>
      </w:pPr>
    </w:p>
    <w:p>
      <w:pPr>
        <w:ind w:left="540" w:right="140" w:hanging="424"/>
        <w:spacing w:after="0" w:line="253"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Consists of (i) 49,864 shares of common stock held directly by Mr. Neervannan and (ii) 51,660 shares of common stock issuable pursuant to options held directly by Mr. Neervannan exercisable within 60 days of September 30, 2020.</w:t>
      </w:r>
    </w:p>
    <w:p>
      <w:pPr>
        <w:spacing w:after="0" w:line="200" w:lineRule="exact"/>
        <w:rPr>
          <w:rFonts w:ascii="Arial" w:cs="Arial" w:eastAsia="Arial" w:hAnsi="Arial"/>
          <w:sz w:val="14"/>
          <w:szCs w:val="14"/>
          <w:color w:val="auto"/>
        </w:rPr>
      </w:pPr>
    </w:p>
    <w:p>
      <w:pPr>
        <w:ind w:left="540" w:right="420" w:hanging="424"/>
        <w:spacing w:after="0" w:line="253"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Consists of (i) 53,853 shares of common stock held directly by Mr. Mottiwala and (ii) 2,767 shares of common stock issuable pursuant to options held directly by Mr. Mottiwala exercisable within 60 days of September 30, 2020.</w:t>
      </w:r>
    </w:p>
    <w:p>
      <w:pPr>
        <w:spacing w:after="0" w:line="200" w:lineRule="exact"/>
        <w:rPr>
          <w:rFonts w:ascii="Arial" w:cs="Arial" w:eastAsia="Arial" w:hAnsi="Arial"/>
          <w:sz w:val="14"/>
          <w:szCs w:val="14"/>
          <w:color w:val="auto"/>
        </w:rPr>
      </w:pPr>
    </w:p>
    <w:p>
      <w:pPr>
        <w:ind w:left="540" w:hanging="424"/>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Consists of 86,734 shares of common stock issuable pursuant to options held directly by Mr. Holdbrook exercisable within 60 days of September 30, 2020.</w:t>
      </w:r>
    </w:p>
    <w:p>
      <w:pPr>
        <w:spacing w:after="0" w:line="230" w:lineRule="exact"/>
        <w:rPr>
          <w:rFonts w:ascii="Arial" w:cs="Arial" w:eastAsia="Arial" w:hAnsi="Arial"/>
          <w:sz w:val="14"/>
          <w:szCs w:val="14"/>
          <w:color w:val="auto"/>
        </w:rPr>
      </w:pPr>
    </w:p>
    <w:p>
      <w:pPr>
        <w:ind w:left="540" w:hanging="424"/>
        <w:spacing w:after="0"/>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See footnotes (1) through (8) above.</w:t>
      </w:r>
    </w:p>
    <w:p>
      <w:pPr>
        <w:spacing w:after="0" w:line="230" w:lineRule="exact"/>
        <w:rPr>
          <w:rFonts w:ascii="Arial" w:cs="Arial" w:eastAsia="Arial" w:hAnsi="Arial"/>
          <w:sz w:val="14"/>
          <w:szCs w:val="14"/>
          <w:color w:val="auto"/>
        </w:rPr>
      </w:pPr>
    </w:p>
    <w:p>
      <w:pPr>
        <w:ind w:left="540" w:right="260" w:hanging="424"/>
        <w:spacing w:after="0" w:line="255" w:lineRule="auto"/>
        <w:tabs>
          <w:tab w:leader="none" w:pos="5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Consists of (i) 1,752,183 shares of common stock held by Horowitz Limited Partnership VIII and (ii) 50,547 shares of common stock held by Adam S. Horowitz Revocable Trust.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 The principal business address of Horowitz Limited Partnership VIII is 27241 La Paz Road, Suite B, Laguna Niguel, CA 92677.</w:t>
      </w:r>
    </w:p>
    <w:p>
      <w:pPr>
        <w:spacing w:after="0" w:line="201" w:lineRule="exact"/>
        <w:rPr>
          <w:rFonts w:ascii="Arial" w:cs="Arial" w:eastAsia="Arial" w:hAnsi="Arial"/>
          <w:sz w:val="13"/>
          <w:szCs w:val="13"/>
          <w:color w:val="auto"/>
        </w:rPr>
      </w:pPr>
    </w:p>
    <w:p>
      <w:pPr>
        <w:ind w:left="540" w:right="160" w:hanging="424"/>
        <w:spacing w:after="0" w:line="233" w:lineRule="auto"/>
        <w:tabs>
          <w:tab w:leader="none" w:pos="54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Consists of 2,995,035 shares of common stock held of record by Vivo Capital Fund IX, L.P. Vivo Capital IX, LLC is the general partner of Vivo Capital Fund IX, L.P. The voting members of Vivo Capital IX, LLC are Frank Kung, Edgar Engleman, Shan Fu, Jack Nielsen and Michael Chang.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121" w:lineRule="exact"/>
        <w:rPr>
          <w:rFonts w:ascii="Arial" w:cs="Arial" w:eastAsia="Arial" w:hAnsi="Arial"/>
          <w:sz w:val="14"/>
          <w:szCs w:val="14"/>
          <w:color w:val="auto"/>
        </w:rPr>
      </w:pPr>
    </w:p>
    <w:p>
      <w:pPr>
        <w:ind w:left="5480" w:hanging="96"/>
        <w:spacing w:after="0"/>
        <w:tabs>
          <w:tab w:leader="none" w:pos="54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190 -</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Consists of 1,112,301 shares of common stock owned by Flying L Investments XI, LLC. Dr. Link is the Manager of Flying L Investments XI, LLC, and in his capacity as such,</w:t>
      </w:r>
    </w:p>
    <w:p>
      <w:pPr>
        <w:spacing w:after="0" w:line="11" w:lineRule="exact"/>
        <w:rPr>
          <w:rFonts w:ascii="Arial" w:cs="Arial" w:eastAsia="Arial" w:hAnsi="Arial"/>
          <w:sz w:val="13"/>
          <w:szCs w:val="13"/>
          <w:color w:val="auto"/>
        </w:rPr>
      </w:pPr>
    </w:p>
    <w:p>
      <w:pPr>
        <w:ind w:left="540" w:right="100"/>
        <w:spacing w:after="0" w:line="232" w:lineRule="auto"/>
        <w:rPr>
          <w:rFonts w:ascii="Arial" w:cs="Arial" w:eastAsia="Arial" w:hAnsi="Arial"/>
          <w:sz w:val="13"/>
          <w:szCs w:val="13"/>
          <w:color w:val="auto"/>
        </w:rPr>
      </w:pPr>
      <w:r>
        <w:rPr>
          <w:rFonts w:ascii="Arial" w:cs="Arial" w:eastAsia="Arial" w:hAnsi="Arial"/>
          <w:sz w:val="14"/>
          <w:szCs w:val="14"/>
          <w:color w:val="auto"/>
        </w:rPr>
        <w:t>Dr. Link may be deemed to have sole voting and investment power over shares held by Flying L Investments XI, LLC. Dr. Link disclaims beneficial ownership of the shares held by Flying L Investments XI, LLC except to the extent of his pecuniary interest in such shares. The principal business address of Flying L Investments XI, LLC is 11 Linda Isle, Newport Beach, CA 92660.</w:t>
      </w:r>
    </w:p>
    <w:p>
      <w:pPr>
        <w:spacing w:after="0" w:line="209" w:lineRule="exact"/>
        <w:rPr>
          <w:rFonts w:ascii="Arial" w:cs="Arial" w:eastAsia="Arial" w:hAnsi="Arial"/>
          <w:sz w:val="13"/>
          <w:szCs w:val="13"/>
          <w:color w:val="auto"/>
        </w:rPr>
      </w:pPr>
    </w:p>
    <w:p>
      <w:pPr>
        <w:ind w:left="540" w:right="80" w:hanging="424"/>
        <w:spacing w:after="0" w:line="233"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1,604,657 shares of common stock owned by Frazier Life Sciences IX, L.P., or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spacing w:after="0" w:line="211" w:lineRule="exact"/>
        <w:rPr>
          <w:rFonts w:ascii="Arial" w:cs="Arial" w:eastAsia="Arial" w:hAnsi="Arial"/>
          <w:sz w:val="14"/>
          <w:szCs w:val="14"/>
          <w:color w:val="auto"/>
        </w:rPr>
      </w:pPr>
    </w:p>
    <w:p>
      <w:pPr>
        <w:ind w:left="540" w:hanging="424"/>
        <w:spacing w:after="0" w:line="233"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(i) 627,671 shares of common stock held by Visionary Venture Fund II (QP), LP and (ii) 206,554 shares of common stock owned by Visionary Venture Fund II, LP. VMP Investments, Inc. is the manager of Visionary Venture Fund II, LP and Visionary Venture Fund II (QP). Jeffry K Weinhuff is the President of VMP Investments, Inc. and disclaims beneficial ownership of the shares held by Visionary Venture Fund II, LP and Visionary Venture Fund II (QP) except to the extent of his pecuniary interest in such shares. The principal business address of Visionary Venture Fund II, LP is 65 Enterprise, Suite 330, Aliso Viejo, CA 92656.</w:t>
      </w:r>
    </w:p>
    <w:p>
      <w:pPr>
        <w:spacing w:after="0" w:line="211" w:lineRule="exact"/>
        <w:rPr>
          <w:rFonts w:ascii="Arial" w:cs="Arial" w:eastAsia="Arial" w:hAnsi="Arial"/>
          <w:sz w:val="14"/>
          <w:szCs w:val="14"/>
          <w:color w:val="auto"/>
        </w:rPr>
      </w:pPr>
    </w:p>
    <w:p>
      <w:pPr>
        <w:ind w:left="540" w:hanging="424"/>
        <w:spacing w:after="0" w:line="229" w:lineRule="auto"/>
        <w:tabs>
          <w:tab w:leader="none" w:pos="5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Consists of 1,071,406 shares of common stock held in the aggregate by RTW Master Fund, Ltd., RTW Innovation Master Fund, Ltd. and RTW Venture Fund Limited, or the Funds. The Funds are managed by RTW Investments, LP, or the Adviser. The Adviser, in its capacity as the investment manager of the Funds, has the power to vote and the power to direct the disposition of the shares held by the Funds. Accordingly, the Adviser may be deemed to be the beneficial owner of such securities. Roderick Wong, M.D., as the Managing Partner of the Adviser, has the power to direct the vote and disposition of the securities held by the Adviser. Dr. Wong disclaims beneficial ownership of the shares held by the Funds, except to the extent of his pecuniary interest therein. The address and principal office of RTW Investments, LP is 40 10th Avenue, Floor 7, New York, NY 10014, and the address of Dr. Wong and each of the Funds is c/o RTW Investments, LP, 40 10th Avenue, Floor 7, New York, NY 10014.</w:t>
      </w:r>
    </w:p>
    <w:p>
      <w:pPr>
        <w:spacing w:after="0" w:line="212" w:lineRule="exact"/>
        <w:rPr>
          <w:rFonts w:ascii="Arial" w:cs="Arial" w:eastAsia="Arial" w:hAnsi="Arial"/>
          <w:sz w:val="14"/>
          <w:szCs w:val="14"/>
          <w:color w:val="auto"/>
        </w:rPr>
      </w:pPr>
    </w:p>
    <w:p>
      <w:pPr>
        <w:ind w:left="540" w:right="20" w:hanging="424"/>
        <w:spacing w:after="0" w:line="244" w:lineRule="auto"/>
        <w:tabs>
          <w:tab w:leader="none" w:pos="54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Consists of (i) 351,849 shares of common stock held by Cormorant Private Healthcare Fund III, LP, or Cormorant PHF III, (ii) 281,422 shares of common stock held by Cormorant Private Healthcare Fund II, LP, or Cormorant PHF II, (iii) 75,498 shares of common stock held by Cormorant Global Healthcare Master Fund, LP, or Cormorant GHMF, and (iv) 5,499 shares of common stock held by CRMA SPV, L.P., or CRMA SPV. Cormorant Private Healthcare GP III, LLC and Cormorant Asset Management, LP serve as the general partner and investment manager of Cormorant PHF III, respectively. Cormorant Private Healthcare GP II, LLC and Cormorant Asset Management, LP serve as the general partner and investment manager of Cormorant PHF II, respectively. Cormorant Global Healthcare GP, LLC and Cormorant Asset Management, LP serve as the general partner and investment manager of Cormorant GHMF, respectively. Cormorant Asset Management, LP serves as the investment manager of CRMA SPV. Bihua Chen serves as the managing member of each of Cormorant Private Healthcare GP III, LLC, Cormorant Private Healthcare GP II, LLC, Cormorant Global Healthcare GP, LLC, and Cormorant Asset Management GP, LLC. Each of the reporting persons disclaims beneficial ownership of the shares except to the extent of its or hers pecuniary interest therein. The address of the principal business office of Cormorant PHF III, Cormorant PHF II, Cormorant GHMF and CRMA SPV is 200 Clarendon Street, 52nd Floor, Boston, MA 02116.</w:t>
      </w:r>
    </w:p>
    <w:p>
      <w:pPr>
        <w:spacing w:after="0" w:line="121" w:lineRule="exact"/>
        <w:rPr>
          <w:rFonts w:ascii="Arial" w:cs="Arial" w:eastAsia="Arial" w:hAnsi="Arial"/>
          <w:sz w:val="13"/>
          <w:szCs w:val="13"/>
          <w:color w:val="auto"/>
        </w:rPr>
      </w:pPr>
    </w:p>
    <w:p>
      <w:pPr>
        <w:ind w:left="5480" w:hanging="96"/>
        <w:spacing w:after="0"/>
        <w:tabs>
          <w:tab w:leader="none" w:pos="54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191 -</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are filed as exhibits to the registration statement relating to this prospectus.</w:t>
      </w:r>
    </w:p>
    <w:p>
      <w:pPr>
        <w:spacing w:after="0" w:line="164"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Upon the completion of this offering, our authorized capital stock will consist of 210,000,000 shares, all with a par value of $0.0001 per share, of which:</w:t>
      </w:r>
    </w:p>
    <w:p>
      <w:pPr>
        <w:spacing w:after="0" w:line="197" w:lineRule="exact"/>
        <w:rPr>
          <w:sz w:val="20"/>
          <w:szCs w:val="20"/>
          <w:color w:val="auto"/>
        </w:rPr>
      </w:pPr>
    </w:p>
    <w:p>
      <w:pPr>
        <w:ind w:left="1420" w:hanging="319"/>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200,000,000 shares are designated common stock;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10,000,000 shares are designated preferred stock.</w:t>
      </w:r>
    </w:p>
    <w:p>
      <w:pPr>
        <w:spacing w:after="0" w:line="225" w:lineRule="exact"/>
        <w:rPr>
          <w:sz w:val="20"/>
          <w:szCs w:val="20"/>
          <w:color w:val="auto"/>
        </w:rPr>
      </w:pPr>
    </w:p>
    <w:p>
      <w:pPr>
        <w:jc w:val="both"/>
        <w:ind w:left="120" w:right="580" w:firstLine="991"/>
        <w:spacing w:after="0" w:line="263" w:lineRule="auto"/>
        <w:rPr>
          <w:sz w:val="20"/>
          <w:szCs w:val="20"/>
          <w:color w:val="auto"/>
        </w:rPr>
      </w:pPr>
      <w:r>
        <w:rPr>
          <w:rFonts w:ascii="Arial" w:cs="Arial" w:eastAsia="Arial" w:hAnsi="Arial"/>
          <w:sz w:val="18"/>
          <w:szCs w:val="18"/>
          <w:color w:val="auto"/>
        </w:rPr>
        <w:t>As of June 30, 2020, after giving effect to the conversion of all of our 11,107,018 outstanding shares of preferred stock, including 2,857,079 shares of Series C preferred stock issued in September 2020, into an aggregate of 11,107,018 shares of our common stock, there were outstanding:</w:t>
      </w:r>
    </w:p>
    <w:p>
      <w:pPr>
        <w:spacing w:after="0" w:line="211" w:lineRule="exact"/>
        <w:rPr>
          <w:sz w:val="20"/>
          <w:szCs w:val="20"/>
          <w:color w:val="auto"/>
        </w:rPr>
      </w:pPr>
    </w:p>
    <w:p>
      <w:pPr>
        <w:ind w:left="1420" w:right="120" w:hanging="319"/>
        <w:spacing w:after="0" w:line="277"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13,759,014 shares of our common stock (which excludes 67,316 shares of common stock that are not outstanding as they are subject to a right of repurchase) held of record by 28 stockholders;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1,230,701 shares of our common stock issuable upon exercise of outstanding stock options.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225" w:lineRule="exact"/>
        <w:rPr>
          <w:sz w:val="20"/>
          <w:szCs w:val="20"/>
          <w:color w:val="auto"/>
        </w:rPr>
      </w:pPr>
    </w:p>
    <w:p>
      <w:pPr>
        <w:jc w:val="center"/>
        <w:ind w:left="340" w:right="980"/>
        <w:spacing w:after="0" w:line="449" w:lineRule="auto"/>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 -192-</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25"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As of June 30, 2020, there were options to purchase 1,230,701 shares of our common stock outstanding, with an average exercise price of $1.60, all of which were subject to options granted under our 2016 Plan.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Following the completion of this offering, the holders of 11,107,018 shares of our common stock issued upon the conversion of our preferred stock will be entitled to contractual rights to require us to register those shares under the Securities Act. These registration rights are provided under the terms of our amended and restated investors’ rights agreement between us and the holders of these shares, which we entered into on September 24, 2020.</w:t>
      </w:r>
    </w:p>
    <w:p>
      <w:pPr>
        <w:spacing w:after="0" w:line="187"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will pay all expenses relating to any demand or piggyback registration described below, other than underwriting discounts and commissions. The registration rights terminate upon the earliest to occur of: (i) the fifth anniversary of the completion of this offering; (ii) a liquidation event; or (iii) with respect to the registration rights of an individual holder, such earlier time after this offering at which the holder (a) can sell all of its shares in compliance with Rule 144(b)(1)(i) or (b) holds one percent or less of our outstanding common stock and all shares held by the holder can be sold in any three-month period without registration in compliance with Rule 144.</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six months following the effectiveness of this offering, the holders of 30% or more of the registrable securities then outstanding may make a written request that we register some or all of their registrable securities, subject to certain specified conditions and exceptions. We are required to use commercially reasonable efforts to effect the registration and will pay all registration expenses, other than underwriting discounts and commissions, related to any demand registration.</w:t>
      </w:r>
    </w:p>
    <w:p>
      <w:pPr>
        <w:spacing w:after="0" w:line="1"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Such request for registration must cover securities with an aggregate offering price of at least $20,000,000. We are not obligated to effect more than two of these registrations.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60"/>
          </w:cols>
          <w:pgMar w:left="320" w:top="459" w:right="51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In connection with this offering, holders of our registrable securities were entitled to, and the necessary percentage of holders waived, their rights to notice of this offering and to include their registrable securities in this offering. If we propose to register any of our securities under the Securities Act either for our own account or for the account of other stockholders in another offering, the holders of shares having registration rights will, subject to certain exceptions, be entitled to include their shares in our registration statement, provided that the underwriters of any such offering have the right to limit the number of shares included in the registration. These registration rights are subject to specified other conditions and limitations as set forth in our amended and restated investors’ rights agreement.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At any time after we are qualified to file a registration statement on Form S-3, and subject to limitations and conditions specified in the amended and restated investors’ rights agreement, the holders of 25% or more of the registrable securities then outstanding may make a written request that we prepare and file a registration statement on Form S-3 under the Securities Act covering their shares, so long as the aggregate price to the public is at least $10,000,000. We are not obligated to effect more than two of these Form S-3 registrations in any 12-month period. Such holders will pay pro rata all expenses related to filing a registration statement on Form S-3.</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15" w:lineRule="exact"/>
        <w:rPr>
          <w:sz w:val="20"/>
          <w:szCs w:val="20"/>
          <w:color w:val="auto"/>
        </w:rPr>
      </w:pPr>
    </w:p>
    <w:p>
      <w:pPr>
        <w:ind w:left="1420" w:hanging="319"/>
        <w:spacing w:after="0"/>
        <w:tabs>
          <w:tab w:leader="none" w:pos="14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prior to the time that the interested stockholder became an interested stockholder;</w:t>
      </w:r>
    </w:p>
    <w:p>
      <w:pPr>
        <w:spacing w:after="0" w:line="275" w:lineRule="exact"/>
        <w:rPr>
          <w:rFonts w:ascii="Arial" w:cs="Arial" w:eastAsia="Arial" w:hAnsi="Arial"/>
          <w:sz w:val="16"/>
          <w:szCs w:val="16"/>
          <w:color w:val="auto"/>
        </w:rPr>
      </w:pPr>
    </w:p>
    <w:p>
      <w:pPr>
        <w:ind w:left="1420" w:hanging="319"/>
        <w:spacing w:after="0" w:line="257"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14" w:lineRule="exact"/>
        <w:rPr>
          <w:rFonts w:ascii="Arial" w:cs="Arial" w:eastAsia="Arial" w:hAnsi="Arial"/>
          <w:sz w:val="18"/>
          <w:szCs w:val="18"/>
          <w:color w:val="auto"/>
        </w:rPr>
      </w:pPr>
    </w:p>
    <w:p>
      <w:pPr>
        <w:ind w:left="1420" w:right="40" w:hanging="319"/>
        <w:spacing w:after="0" w:line="263"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jc w:val="both"/>
        <w:ind w:left="120" w:right="40" w:firstLine="881"/>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 of Incorporation and Bylaw Provisions</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211" w:lineRule="exact"/>
        <w:rPr>
          <w:sz w:val="20"/>
          <w:szCs w:val="20"/>
          <w:color w:val="auto"/>
        </w:rPr>
      </w:pPr>
    </w:p>
    <w:p>
      <w:pPr>
        <w:ind w:left="1420" w:right="100" w:hanging="319"/>
        <w:spacing w:after="0" w:line="25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Board of Directors Vacancies. </w:t>
      </w:r>
      <w:r>
        <w:rPr>
          <w:rFonts w:ascii="Arial" w:cs="Arial" w:eastAsia="Arial" w:hAnsi="Arial"/>
          <w:sz w:val="18"/>
          <w:szCs w:val="18"/>
          <w:color w:val="auto"/>
        </w:rPr>
        <w:t>Our amended and restated certificate of incorporation and amended and restated bylaws will authorize</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214" w:lineRule="exact"/>
        <w:rPr>
          <w:rFonts w:ascii="Arial" w:cs="Arial" w:eastAsia="Arial" w:hAnsi="Arial"/>
          <w:sz w:val="18"/>
          <w:szCs w:val="18"/>
          <w:color w:val="auto"/>
        </w:rPr>
      </w:pPr>
    </w:p>
    <w:p>
      <w:pPr>
        <w:ind w:left="1420" w:right="40" w:hanging="319"/>
        <w:spacing w:after="0" w:line="296" w:lineRule="auto"/>
        <w:tabs>
          <w:tab w:leader="none" w:pos="1420"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Classified Board. </w:t>
      </w:r>
      <w:r>
        <w:rPr>
          <w:rFonts w:ascii="Arial" w:cs="Arial" w:eastAsia="Arial" w:hAnsi="Arial"/>
          <w:sz w:val="16"/>
          <w:szCs w:val="16"/>
          <w:color w:val="auto"/>
        </w:rPr>
        <w:t>Our amended and restated certificate of incorporation and amended and restated bylaws will provide that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8" w:lineRule="exact"/>
        <w:rPr>
          <w:rFonts w:ascii="Arial" w:cs="Arial" w:eastAsia="Arial" w:hAnsi="Arial"/>
          <w:sz w:val="16"/>
          <w:szCs w:val="16"/>
          <w:color w:val="auto"/>
        </w:rPr>
      </w:pPr>
    </w:p>
    <w:p>
      <w:pPr>
        <w:ind w:left="1420" w:hanging="319"/>
        <w:spacing w:after="0" w:line="25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Stockholder Action; Special Meeting of Stockholders. </w:t>
      </w:r>
      <w:r>
        <w:rPr>
          <w:rFonts w:ascii="Arial" w:cs="Arial" w:eastAsia="Arial" w:hAnsi="Arial"/>
          <w:sz w:val="18"/>
          <w:szCs w:val="18"/>
          <w:color w:val="auto"/>
        </w:rPr>
        <w:t>Our amended and restated certificate of incorporation will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214" w:lineRule="exact"/>
        <w:rPr>
          <w:rFonts w:ascii="Arial" w:cs="Arial" w:eastAsia="Arial" w:hAnsi="Arial"/>
          <w:sz w:val="18"/>
          <w:szCs w:val="18"/>
          <w:color w:val="auto"/>
        </w:rPr>
      </w:pPr>
    </w:p>
    <w:p>
      <w:pPr>
        <w:ind w:left="1420" w:right="20" w:hanging="319"/>
        <w:spacing w:after="0" w:line="296" w:lineRule="auto"/>
        <w:tabs>
          <w:tab w:leader="none" w:pos="1420" w:val="left"/>
        </w:tabs>
        <w:numPr>
          <w:ilvl w:val="0"/>
          <w:numId w:val="148"/>
        </w:numPr>
        <w:rPr>
          <w:rFonts w:ascii="Arial" w:cs="Arial" w:eastAsia="Arial" w:hAnsi="Arial"/>
          <w:sz w:val="16"/>
          <w:szCs w:val="16"/>
          <w:color w:val="auto"/>
        </w:rPr>
      </w:pPr>
      <w:r>
        <w:rPr>
          <w:rFonts w:ascii="Arial" w:cs="Arial" w:eastAsia="Arial" w:hAnsi="Arial"/>
          <w:sz w:val="16"/>
          <w:szCs w:val="16"/>
          <w:i w:val="1"/>
          <w:iCs w:val="1"/>
          <w:color w:val="auto"/>
        </w:rPr>
        <w:t xml:space="preserve">Advance Notice Requirements for Stockholder Proposals and Director Nominations. </w:t>
      </w:r>
      <w:r>
        <w:rPr>
          <w:rFonts w:ascii="Arial" w:cs="Arial" w:eastAsia="Arial" w:hAnsi="Arial"/>
          <w:sz w:val="16"/>
          <w:szCs w:val="16"/>
          <w:color w:val="auto"/>
        </w:rPr>
        <w:t>Our amended and restated bylaws will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8" w:lineRule="exact"/>
        <w:rPr>
          <w:rFonts w:ascii="Arial" w:cs="Arial" w:eastAsia="Arial" w:hAnsi="Arial"/>
          <w:sz w:val="16"/>
          <w:szCs w:val="16"/>
          <w:color w:val="auto"/>
        </w:rPr>
      </w:pPr>
    </w:p>
    <w:p>
      <w:pPr>
        <w:ind w:left="1420" w:right="100" w:hanging="319"/>
        <w:spacing w:after="0" w:line="25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 xml:space="preserve">Issuance of Undesignated Preferred Stock. </w:t>
      </w:r>
      <w:r>
        <w:rPr>
          <w:rFonts w:ascii="Arial" w:cs="Arial" w:eastAsia="Arial" w:hAnsi="Arial"/>
          <w:sz w:val="18"/>
          <w:szCs w:val="18"/>
          <w:color w:val="auto"/>
        </w:rPr>
        <w:t>Our board of directors will have, the authority, without further action by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to issue up to 1,346,329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owed by any of our directors, officers, employees or stockholders to us or our stockholders; any action asserting a claim against us arising pursuant to the Delaware General Corporation Law, our amended and restated certificate of incorporation or our amended and restated bylaws or any action asserting a claim against us that is governed by the internal affairs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doctrine. Our amended and restated certificate of incorporation will also provide that the U.S. federal district courts will be the exclusive forum for resolving any complaint asserting a cause of action arising under the Securities Act. Some companies that adopted a similar federal district court forum selection provision were subject to a suit in the Chancery Court of Delaware by stockholders who asserted that the provision is not enforceable. While the Delaware Supreme Court held that such federal district court forum selection provision was in fact valid, there can be no assurance that federal courts or other state courts will follow the holding of the Delaware Supreme Court or determine that the our federal district court forum selection provision should be enforced in a particular case.</w:t>
      </w:r>
    </w:p>
    <w:p>
      <w:pPr>
        <w:spacing w:after="0" w:line="192"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61"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such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 ComputerShare Trust Company, N.A.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agent’s address is 462 South 4</w:t>
      </w:r>
      <w:r>
        <w:rPr>
          <w:rFonts w:ascii="Arial" w:cs="Arial" w:eastAsia="Arial" w:hAnsi="Arial"/>
          <w:sz w:val="15"/>
          <w:szCs w:val="15"/>
          <w:color w:val="auto"/>
        </w:rPr>
        <w:t>th</w:t>
      </w:r>
      <w:r>
        <w:rPr>
          <w:rFonts w:ascii="Arial" w:cs="Arial" w:eastAsia="Arial" w:hAnsi="Arial"/>
          <w:sz w:val="18"/>
          <w:szCs w:val="18"/>
          <w:color w:val="auto"/>
        </w:rPr>
        <w:t xml:space="preserve"> Street, Suite 1600, Louisville, KY 40202.</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“TARS.”</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00"/>
          </w:cols>
          <w:pgMar w:left="320" w:top="459" w:right="5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Before this offering, there has not been a public market for shares of our common stock and a liquid trading market for our common stock may not develop or be sustained after this offering.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through sales of equity securities in the future.</w:t>
      </w:r>
    </w:p>
    <w:p>
      <w:pPr>
        <w:spacing w:after="0" w:line="171"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Upon the closing of this offering, we will have outstanding 19,259,014 shares of our common stock, based on the number of shares outstanding as of June 30, 2020. This includes 5,500,000 shares of common stock that we are selling in this offering, which shares may be resold in the public market immediately unless purchased by our affiliates, excludes 67,316 shares subject to a right of repurchase, and assumes (i) no additional exercise of outstanding options other than as described elsewhere in this prospectus and (ii) the conversion of all of our 11,107,018 outstanding shares of our preferred stock, including the conversion of 2,857,079 shares of Series C preferred stock issued in September 2020, into an aggregate of 11,107,018 shares of our common stock upon the closing of this offering.</w:t>
      </w:r>
    </w:p>
    <w:p>
      <w:pPr>
        <w:spacing w:after="0" w:line="178" w:lineRule="exact"/>
        <w:rPr>
          <w:sz w:val="20"/>
          <w:szCs w:val="20"/>
          <w:color w:val="auto"/>
        </w:rPr>
      </w:pPr>
    </w:p>
    <w:p>
      <w:pPr>
        <w:ind w:left="120" w:right="180" w:firstLine="881"/>
        <w:spacing w:after="0" w:line="293" w:lineRule="auto"/>
        <w:rPr>
          <w:sz w:val="20"/>
          <w:szCs w:val="20"/>
          <w:color w:val="auto"/>
        </w:rPr>
      </w:pPr>
      <w:r>
        <w:rPr>
          <w:rFonts w:ascii="Arial" w:cs="Arial" w:eastAsia="Arial" w:hAnsi="Arial"/>
          <w:sz w:val="16"/>
          <w:szCs w:val="16"/>
          <w:color w:val="auto"/>
        </w:rPr>
        <w:t>Of these shares, all shares sold in this offering will be freely tradable without restriction under the Securities Act, unless purchased by our “affiliates,” as that term is defined in Rule 144 under the Securities Act. The remaining 13,759,014 shares of common stock (which excludes 67,316 shares that are subject to a right of repurchase) that are not sold in this offering will be “restricted securities,” as that term is defined in Rule 144 under the Securities Act, and we expect that substantially all of these restricted securities will be subject to the 180-day lock-up period under the lock-up agreements as described below.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64" w:lineRule="exact"/>
        <w:rPr>
          <w:sz w:val="20"/>
          <w:szCs w:val="20"/>
          <w:color w:val="auto"/>
        </w:rPr>
      </w:pPr>
    </w:p>
    <w:p>
      <w:pPr>
        <w:jc w:val="both"/>
        <w:ind w:left="120" w:right="60" w:firstLine="881"/>
        <w:spacing w:after="0" w:line="257" w:lineRule="auto"/>
        <w:rPr>
          <w:sz w:val="20"/>
          <w:szCs w:val="20"/>
          <w:color w:val="auto"/>
        </w:rPr>
      </w:pPr>
      <w:r>
        <w:rPr>
          <w:rFonts w:ascii="Arial" w:cs="Arial" w:eastAsia="Arial" w:hAnsi="Arial"/>
          <w:sz w:val="18"/>
          <w:szCs w:val="18"/>
          <w:color w:val="auto"/>
        </w:rPr>
        <w:t>In addition, we, our executive officers and directors, and all of our other security holders have entered into market standoff agreements with us or lock-up agreements with the underwriters under which they have agreed, subject to specific exceptions, not to sell any of our capital stock until at least 180 days after the date of this prospectus, as described below. As a result of these agreements and the provisions of our investors’ rights agreement disclosed in “Description of Capital Stock—Registration Rights,” subject to the provisions of Rule 144 or Rule 701, 19,259,014 shares will be available for sale in the public market as follows:</w:t>
      </w:r>
    </w:p>
    <w:p>
      <w:pPr>
        <w:spacing w:after="0" w:line="215" w:lineRule="exact"/>
        <w:rPr>
          <w:sz w:val="20"/>
          <w:szCs w:val="20"/>
          <w:color w:val="auto"/>
        </w:rPr>
      </w:pPr>
    </w:p>
    <w:p>
      <w:pPr>
        <w:ind w:left="1420" w:right="100" w:hanging="319"/>
        <w:spacing w:after="0" w:line="277"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beginning on the date of this prospectus, the 5,500,000 shares sold in this offering will be immediately available for sale in the public market, unless purchased by our affiliates;</w:t>
      </w:r>
    </w:p>
    <w:p>
      <w:pPr>
        <w:spacing w:after="0" w:line="197"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13,759,014 additional shares (which excludes 67,316 shares that are subject to a right of repurchase) will become eligible for sale in the public market, of which 10,309,606 shares will be held by our current officers, directors and greater than 10% stockholders, assuming that our existing stockholders do not participate in this offering, including pursuant to our reserved share program; and</w:t>
      </w:r>
    </w:p>
    <w:p>
      <w:pPr>
        <w:spacing w:after="0" w:line="213"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 cannot estimate the number of shares of our common stock that our existing stockholders will elect to sell under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Exchange Act, for at least 90 days before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219" w:lineRule="exact"/>
        <w:rPr>
          <w:sz w:val="20"/>
          <w:szCs w:val="20"/>
          <w:color w:val="auto"/>
        </w:rPr>
      </w:pPr>
    </w:p>
    <w:p>
      <w:pPr>
        <w:ind w:left="1420" w:right="20" w:hanging="319"/>
        <w:spacing w:after="0" w:line="277"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188,264 shares immediately after the completion of this offering, assuming no exercise by the underwriters of their option to purchase additional shares; or</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Nasdaq during the four calendar weeks preceding the filing of a notice on Form 144 with respect to such sale.</w:t>
      </w:r>
    </w:p>
    <w:p>
      <w:pPr>
        <w:spacing w:after="0" w:line="170"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Any of our employees, directors, officers, consultants, advisors or service providers, other than a person who is deemed to have been one of our affiliates during the immediately preceding 90 days, who purchased shares under a written compensatory plan or contract prior to this offering may be entitled to rely on the resale provisions of Rule 701. Rule 701, as currently in effect, permits resales of shares,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In connection with this offering, we and each of our directors and officers and all of our other security holders have agreed that, without the prior written consent of BofA Securities, Inc. and Jefferies LLC, on behalf of the underwriters, we and they will not, subject to certain exceptions, during the period ending 180 days after the date of this prospectus:</w:t>
      </w:r>
    </w:p>
    <w:p>
      <w:pPr>
        <w:spacing w:after="0" w:line="211" w:lineRule="exact"/>
        <w:rPr>
          <w:sz w:val="20"/>
          <w:szCs w:val="20"/>
          <w:color w:val="auto"/>
        </w:rPr>
      </w:pPr>
    </w:p>
    <w:p>
      <w:pPr>
        <w:ind w:left="1420" w:right="140" w:hanging="319"/>
        <w:spacing w:after="0" w:line="279" w:lineRule="auto"/>
        <w:tabs>
          <w:tab w:leader="none" w:pos="14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198" w:lineRule="exact"/>
        <w:rPr>
          <w:rFonts w:ascii="Arial" w:cs="Arial" w:eastAsia="Arial" w:hAnsi="Arial"/>
          <w:sz w:val="17"/>
          <w:szCs w:val="17"/>
          <w:color w:val="auto"/>
        </w:rPr>
      </w:pPr>
    </w:p>
    <w:p>
      <w:pPr>
        <w:ind w:left="1420" w:right="200" w:hanging="319"/>
        <w:spacing w:after="0" w:line="263"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157" w:lineRule="exact"/>
        <w:rPr>
          <w:rFonts w:ascii="Arial" w:cs="Arial" w:eastAsia="Arial" w:hAnsi="Arial"/>
          <w:sz w:val="18"/>
          <w:szCs w:val="18"/>
          <w:color w:val="auto"/>
        </w:rPr>
      </w:pPr>
    </w:p>
    <w:p>
      <w:pPr>
        <w:ind w:left="5480" w:hanging="96"/>
        <w:spacing w:after="0"/>
        <w:tabs>
          <w:tab w:leader="none" w:pos="54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198 -</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Each of our directors and executive officers and the holders of substantially all of our outstanding stock and stock options have also agreed during such 180-period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Under our amended and restated investors’ rights agreement, after the completion of this offering, the holders of up to 11,107,018 shares of our common stock will, subject to the lock-up agreements referred to above, be entitled to certain rights, subject to certain conditions, to require us to file registration statements covering their shares or to include their shares in registration statements that we may file for ourselves or other stockholders.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As of June 30, 2020, we had outstanding options to purchase an aggregate of 1,230,701 shares of our common stock under the 2016 Plan. Following this offering, we intend to file a registration statement on Form S-8 under the Securities Act to register all of the shares of our common stock subject to options outstanding or reserved for issuance under the 2016 Plan, the 2020 Plan and the 2020 ESPP.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14" w:lineRule="exact"/>
        <w:rPr>
          <w:sz w:val="20"/>
          <w:szCs w:val="20"/>
          <w:color w:val="auto"/>
        </w:rPr>
      </w:pPr>
    </w:p>
    <w:p>
      <w:pPr>
        <w:ind w:left="1420" w:hanging="319"/>
        <w:spacing w:after="0"/>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 estate, the income of which is includable in gross income for U.S. federal income tax purposes regardless of its source; or</w:t>
      </w:r>
    </w:p>
    <w:p>
      <w:pPr>
        <w:spacing w:after="0" w:line="263" w:lineRule="exact"/>
        <w:rPr>
          <w:rFonts w:ascii="Arial" w:cs="Arial" w:eastAsia="Arial" w:hAnsi="Arial"/>
          <w:sz w:val="17"/>
          <w:szCs w:val="17"/>
          <w:color w:val="auto"/>
        </w:rPr>
      </w:pPr>
    </w:p>
    <w:p>
      <w:pPr>
        <w:ind w:left="1420" w:right="20" w:hanging="319"/>
        <w:spacing w:after="0" w:line="263"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0" w:lineRule="exact"/>
        <w:rPr>
          <w:sz w:val="20"/>
          <w:szCs w:val="20"/>
          <w:color w:val="auto"/>
        </w:rPr>
      </w:pPr>
    </w:p>
    <w:p>
      <w:pPr>
        <w:ind w:left="120" w:right="600"/>
        <w:spacing w:after="0" w:line="266"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8"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29"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11" w:lineRule="exact"/>
        <w:rPr>
          <w:sz w:val="20"/>
          <w:szCs w:val="20"/>
          <w:color w:val="auto"/>
        </w:rPr>
      </w:pPr>
    </w:p>
    <w:p>
      <w:pPr>
        <w:ind w:left="1420" w:right="140" w:hanging="319"/>
        <w:spacing w:after="0" w:line="311" w:lineRule="auto"/>
        <w:tabs>
          <w:tab w:leader="none" w:pos="142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175" w:lineRule="exact"/>
        <w:rPr>
          <w:rFonts w:ascii="Arial" w:cs="Arial" w:eastAsia="Arial" w:hAnsi="Arial"/>
          <w:sz w:val="16"/>
          <w:szCs w:val="16"/>
          <w:color w:val="auto"/>
        </w:rPr>
      </w:pPr>
    </w:p>
    <w:p>
      <w:pPr>
        <w:ind w:left="1420" w:right="100" w:hanging="319"/>
        <w:spacing w:after="0" w:line="279" w:lineRule="auto"/>
        <w:tabs>
          <w:tab w:leader="none" w:pos="142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198"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02" w:lineRule="exact"/>
        <w:rPr>
          <w:rFonts w:ascii="Arial" w:cs="Arial" w:eastAsia="Arial" w:hAnsi="Arial"/>
          <w:sz w:val="18"/>
          <w:szCs w:val="18"/>
          <w:color w:val="auto"/>
        </w:rPr>
      </w:pPr>
    </w:p>
    <w:p>
      <w:pPr>
        <w:ind w:left="5480" w:hanging="96"/>
        <w:spacing w:after="0"/>
        <w:tabs>
          <w:tab w:leader="none" w:pos="54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201 -</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20" w:right="140" w:firstLine="881"/>
        <w:spacing w:after="0" w:line="254" w:lineRule="auto"/>
        <w:rPr>
          <w:sz w:val="20"/>
          <w:szCs w:val="20"/>
          <w:color w:val="auto"/>
        </w:rPr>
      </w:pPr>
      <w:r>
        <w:rPr>
          <w:rFonts w:ascii="Arial" w:cs="Arial" w:eastAsia="Arial" w:hAnsi="Arial"/>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7"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84"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9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Under the Foreign Account Tax Compliance Act, or FATCA, withholding tax of 30% applies to certain payments to foreign financial institutions, investment funds and certain other non-U.S. persons that fail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8"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7"/>
          <w:szCs w:val="17"/>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65" w:lineRule="exact"/>
        <w:rPr>
          <w:sz w:val="20"/>
          <w:szCs w:val="20"/>
          <w:color w:val="auto"/>
        </w:rPr>
      </w:pPr>
    </w:p>
    <w:p>
      <w:pPr>
        <w:ind w:left="120" w:right="740" w:firstLine="88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61" w:lineRule="exact"/>
        <w:rPr>
          <w:sz w:val="20"/>
          <w:szCs w:val="20"/>
          <w:color w:val="auto"/>
        </w:rPr>
      </w:pPr>
    </w:p>
    <w:p>
      <w:pPr>
        <w:ind w:left="120" w:right="200" w:firstLine="881"/>
        <w:spacing w:after="0" w:line="274" w:lineRule="auto"/>
        <w:rPr>
          <w:sz w:val="20"/>
          <w:szCs w:val="20"/>
          <w:color w:val="auto"/>
        </w:rPr>
      </w:pPr>
      <w:r>
        <w:rPr>
          <w:rFonts w:ascii="Arial" w:cs="Arial" w:eastAsia="Arial" w:hAnsi="Arial"/>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BofA Securities, Inc., Jefferies LLC and Raymond James &amp; Associates,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4020" w:type="dxa"/>
            <w:vAlign w:val="bottom"/>
            <w:gridSpan w:val="3"/>
          </w:tcPr>
          <w:p>
            <w:pPr>
              <w:ind w:left="2840"/>
              <w:spacing w:after="0"/>
              <w:rPr>
                <w:sz w:val="20"/>
                <w:szCs w:val="20"/>
                <w:color w:val="auto"/>
              </w:rPr>
            </w:pPr>
            <w:r>
              <w:rPr>
                <w:rFonts w:ascii="Arial" w:cs="Arial" w:eastAsia="Arial" w:hAnsi="Arial"/>
                <w:sz w:val="14"/>
                <w:szCs w:val="14"/>
                <w:b w:val="1"/>
                <w:bCs w:val="1"/>
                <w:color w:val="auto"/>
                <w:w w:val="96"/>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2,090,000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LifeSci Capital LLC</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$0.67200 per share. After the initial offering, the public offering price, concession or any other term of the offering may be changed.</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Without Option</w:t>
            </w:r>
          </w:p>
        </w:tc>
        <w:tc>
          <w:tcPr>
            <w:tcW w:w="3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With Option</w:t>
            </w:r>
          </w:p>
        </w:tc>
      </w:tr>
      <w:tr>
        <w:trPr>
          <w:trHeight w:val="20"/>
        </w:trPr>
        <w:tc>
          <w:tcPr>
            <w:tcW w:w="4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16.00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88,000,000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101,200,000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4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6,160,000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7,084,000</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48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14.88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81,840,000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94,116,000</w:t>
            </w:r>
          </w:p>
        </w:tc>
      </w:tr>
    </w:tbl>
    <w:p>
      <w:pPr>
        <w:spacing w:after="0" w:line="202"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expenses of the offering, not including the underwriting discount, are estimated at $2.4 million and are payable by us. We have also agreed to reimburse the underwriters for their expenses relating to clearance of this offering with the Financial Industry Regulatory Authority in an amount up to $40,000. We have also agreed to reimburse the underwriters (including the affiliate of BofA Securities, Inc.) for certain fees and expenses in connection with the reserved share program described below, including the fees and disbursements of counsel to the underwriters (including counsel to the affiliate of BofA Securities, Inc.) in an amount up to $20,000.</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9"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825,000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At our request, an affiliate of BofA Securities, Inc., a participating underwriter, has reserved for sale, at the initial public offering price, up to approximately 3.7% of the shares offered by this prospectus for sale to some of our business associates and certain other persons associated with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right="20" w:firstLine="991"/>
        <w:spacing w:after="0" w:line="259"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214" w:lineRule="exact"/>
        <w:rPr>
          <w:sz w:val="20"/>
          <w:szCs w:val="20"/>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request or demand that we file or make a confidential submission of a registration statement related to the common stock,</w:t>
      </w:r>
    </w:p>
    <w:p>
      <w:pPr>
        <w:spacing w:after="0" w:line="252" w:lineRule="exact"/>
        <w:rPr>
          <w:rFonts w:ascii="Arial" w:cs="Arial" w:eastAsia="Arial" w:hAnsi="Arial"/>
          <w:sz w:val="18"/>
          <w:szCs w:val="18"/>
          <w:color w:val="auto"/>
        </w:rPr>
      </w:pPr>
    </w:p>
    <w:p>
      <w:pPr>
        <w:ind w:left="1420" w:right="300" w:hanging="319"/>
        <w:spacing w:after="0" w:line="342" w:lineRule="auto"/>
        <w:tabs>
          <w:tab w:leader="none" w:pos="14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225" w:lineRule="exact"/>
        <w:rPr>
          <w:sz w:val="20"/>
          <w:szCs w:val="20"/>
          <w:color w:val="auto"/>
        </w:rPr>
      </w:pPr>
    </w:p>
    <w:p>
      <w:pPr>
        <w:ind w:left="120" w:right="180" w:firstLine="881"/>
        <w:spacing w:after="0" w:line="293"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 In addition, in the event that one or more stockholders is granted an early release from any restriction on transfer described in the lock-up agreements during the lockup period described therein with respect to our securities in an aggregate amount in excess one percent of our issued and outstanding shares of common stock on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an as-converted to common stock basis (whether in one or multiple releases), then each stockholder holding in excess of five percent of the outstanding shares of our securities on an as-converted to common stock basis, or a Major Holder, will automatically be granted an early release on the same terms from the lock-up restrictions on transfer under the lock-up agreement on a pro-rata basis. In the event of an underwritten primary or secondary public offering or sale of our common stock during the period ending 180 days after the date of this prospectus, such early release shall only apply with respect to such Major Holder’s participation in such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Select Market 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“TARS.”</w:t>
      </w:r>
    </w:p>
    <w:p>
      <w:pPr>
        <w:spacing w:after="0" w:line="225" w:lineRule="exact"/>
        <w:rPr>
          <w:sz w:val="20"/>
          <w:szCs w:val="20"/>
          <w:color w:val="auto"/>
        </w:rPr>
      </w:pPr>
    </w:p>
    <w:p>
      <w:pPr>
        <w:ind w:left="120" w:right="42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common stock. The initial public offering price was determined through negotiations between us and the representatives. In addition to prevailing market conditions, the factors considered in determining the initial public offering price were</w:t>
      </w:r>
    </w:p>
    <w:p>
      <w:pPr>
        <w:spacing w:after="0" w:line="211" w:lineRule="exact"/>
        <w:rPr>
          <w:sz w:val="20"/>
          <w:szCs w:val="20"/>
          <w:color w:val="auto"/>
        </w:rPr>
      </w:pPr>
    </w:p>
    <w:p>
      <w:pPr>
        <w:ind w:left="1420" w:hanging="319"/>
        <w:spacing w:after="0"/>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140" w:firstLine="881"/>
        <w:spacing w:after="0" w:line="27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7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229"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offers of shares may be made to the public in that Relevant State at any time under the following exemptions under the Prospectus Regulation:</w:t>
      </w:r>
    </w:p>
    <w:p>
      <w:pPr>
        <w:spacing w:after="0" w:line="264" w:lineRule="exact"/>
        <w:rPr>
          <w:sz w:val="20"/>
          <w:szCs w:val="20"/>
          <w:color w:val="auto"/>
        </w:rPr>
      </w:pPr>
    </w:p>
    <w:p>
      <w:pPr>
        <w:ind w:left="1420" w:hanging="319"/>
        <w:spacing w:after="0"/>
        <w:tabs>
          <w:tab w:leader="none" w:pos="1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500" w:hanging="319"/>
        <w:spacing w:after="0" w:line="277" w:lineRule="auto"/>
        <w:tabs>
          <w:tab w:leader="none" w:pos="1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97"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w:t>
      </w:r>
    </w:p>
    <w:p>
      <w:pPr>
        <w:spacing w:after="0" w:line="184" w:lineRule="exact"/>
        <w:rPr>
          <w:sz w:val="20"/>
          <w:szCs w:val="20"/>
          <w:color w:val="auto"/>
        </w:rPr>
      </w:pPr>
    </w:p>
    <w:p>
      <w:pPr>
        <w:ind w:left="120" w:right="640" w:firstLine="881"/>
        <w:spacing w:after="0" w:line="263" w:lineRule="auto"/>
        <w:rPr>
          <w:sz w:val="20"/>
          <w:szCs w:val="20"/>
          <w:color w:val="auto"/>
        </w:rPr>
      </w:pPr>
      <w:r>
        <w:rPr>
          <w:rFonts w:ascii="Arial" w:cs="Arial" w:eastAsia="Arial" w:hAnsi="Arial"/>
          <w:sz w:val="18"/>
          <w:szCs w:val="18"/>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76" w:lineRule="exact"/>
        <w:rPr>
          <w:sz w:val="20"/>
          <w:szCs w:val="20"/>
          <w:color w:val="auto"/>
        </w:rPr>
      </w:pPr>
    </w:p>
    <w:p>
      <w:pPr>
        <w:ind w:left="120" w:right="640" w:firstLine="881"/>
        <w:spacing w:after="0" w:line="277" w:lineRule="auto"/>
        <w:rPr>
          <w:sz w:val="20"/>
          <w:szCs w:val="20"/>
          <w:color w:val="auto"/>
        </w:rPr>
      </w:pPr>
      <w:r>
        <w:rPr>
          <w:rFonts w:ascii="Arial" w:cs="Arial" w:eastAsia="Arial" w:hAnsi="Arial"/>
          <w:sz w:val="18"/>
          <w:szCs w:val="18"/>
          <w:color w:val="auto"/>
        </w:rPr>
        <w:t>The Company, the underwriters and their respective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References to the Prospectus Regulation includes, in relation to the UK, the Prospectus Regulation as it forms part of UK domestic law by virtue of the European Union (Withdrawal) Act 2018.</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60" w:firstLine="881"/>
        <w:spacing w:after="0" w:line="308" w:lineRule="auto"/>
        <w:rPr>
          <w:sz w:val="20"/>
          <w:szCs w:val="20"/>
          <w:color w:val="auto"/>
        </w:rPr>
      </w:pPr>
      <w:r>
        <w:rPr>
          <w:rFonts w:ascii="Arial" w:cs="Arial" w:eastAsia="Arial" w:hAnsi="Arial"/>
          <w:sz w:val="17"/>
          <w:szCs w:val="17"/>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jc w:val="both"/>
        <w:ind w:left="120" w:right="500" w:firstLine="88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4"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40" w:hanging="427"/>
        <w:spacing w:after="0" w:line="342" w:lineRule="auto"/>
        <w:tabs>
          <w:tab w:leader="none" w:pos="14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hanging="427"/>
        <w:spacing w:after="0" w:line="301" w:lineRule="auto"/>
        <w:tabs>
          <w:tab w:leader="none" w:pos="142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84" w:lineRule="exact"/>
        <w:rPr>
          <w:rFonts w:ascii="Arial" w:cs="Arial" w:eastAsia="Arial" w:hAnsi="Arial"/>
          <w:sz w:val="16"/>
          <w:szCs w:val="16"/>
          <w:color w:val="auto"/>
        </w:rPr>
      </w:pPr>
    </w:p>
    <w:p>
      <w:pPr>
        <w:ind w:left="1420" w:right="920" w:hanging="427"/>
        <w:spacing w:after="0" w:line="277" w:lineRule="auto"/>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40" w:firstLine="881"/>
        <w:spacing w:after="0" w:line="301" w:lineRule="auto"/>
        <w:rPr>
          <w:sz w:val="20"/>
          <w:szCs w:val="20"/>
          <w:color w:val="auto"/>
        </w:rPr>
      </w:pPr>
      <w:r>
        <w:rPr>
          <w:rFonts w:ascii="Arial" w:cs="Arial" w:eastAsia="Arial" w:hAnsi="Arial"/>
          <w:sz w:val="16"/>
          <w:szCs w:val="16"/>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shares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8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validity of the shares of our common stock offered in this prospectus will be passed upon for us by Gunderson Dettmer Stough Villeneuve Franklin &amp; Hachigian, LLP, San Diego, California. Shearman &amp; Sterling LLP, New York, New York is acting as counsel for the underwriters in connection with this offering. Certain investment partnerships comprised of partners of Gunderson Dettmer Stough Villeneuve Franklin &amp; Hachigian, LLP, own an interest representing less than one percent of the shares of our common stock.</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each of the two years in the period ended December 31, 2019, as set forth in their report. We’ve included our financial statements in the prospectus and elsewhere in the registration statement in reliance on Ernst &amp; Young LLP’s report, given on their authority as experts in accounting and auditing.</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60" w:firstLine="881"/>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We have filed with the SEC a registration statement on </w:t>
      </w:r>
      <w:hyperlink r:id="rId279">
        <w:r>
          <w:rPr>
            <w:rFonts w:ascii="Arial" w:cs="Arial" w:eastAsia="Arial" w:hAnsi="Arial"/>
            <w:sz w:val="16"/>
            <w:szCs w:val="16"/>
            <w:u w:val="single" w:color="auto"/>
            <w:color w:val="0000EE"/>
          </w:rPr>
          <w:t>Form S-1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under the Securities Act with respect to the shares of common stock offered by this prospectus. This prospectus, which constitutes a part of the registration statement, does not contain all of the information set forth in the registration statement or the exhibits, schedules and amendments to the registration statement. Please refer to the registration statement and to the exhibits and schedules for further information with respect to the common stock offered by this prospectus. Statements contained in this prospectus regarding the contents of any contract, agreement or other document are only summaries. With respect to any contract, agreement or document that is filed as an exhibit to the registration statement, you should refer to the exhibit for a copy of the contract, agreement or document, and each statement in this prospectus regarding that contract, agreement or document is qualified by reference to the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 The information on the SEC’s web site is not part of this prospectus, and any references to this web site or any other web site are inactive textual references only.</w:t>
      </w:r>
    </w:p>
    <w:p>
      <w:pPr>
        <w:spacing w:after="0" w:line="168"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on the SEC’s website referred to above. We also maintain a website at www.tarsusrx.com,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THE FINANCIAL STATEMENTS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00" w:type="dxa"/>
            <w:vAlign w:val="bottom"/>
            <w:vMerge w:val="restart"/>
          </w:tcPr>
          <w:p>
            <w:pPr>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Report of Independent Registered Public Accounting Firm</w:t>
              </w:r>
            </w:hyperlink>
          </w:p>
        </w:tc>
        <w:tc>
          <w:tcPr>
            <w:tcW w:w="580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2"/>
              </w:rPr>
              <w:t>Pages</w:t>
            </w:r>
          </w:p>
        </w:tc>
        <w:tc>
          <w:tcPr>
            <w:tcW w:w="0" w:type="dxa"/>
            <w:vAlign w:val="bottom"/>
          </w:tcPr>
          <w:p>
            <w:pPr>
              <w:spacing w:after="0"/>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Balance Sheets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Statements of Operations and Comprehensive Loss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Statements of Preferred Stock and Stockholders’ Deficit</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Statements of Cash Flows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4800" w:type="dxa"/>
            <w:vAlign w:val="bottom"/>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Notes to Financial Statements</w:t>
              </w:r>
            </w:hyperlink>
          </w:p>
        </w:tc>
        <w:tc>
          <w:tcPr>
            <w:tcW w:w="58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5"/>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Tarsus Pharmaceuticals,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have audited the accompanying balance sheets of Tarsus Pharmaceuticals, Inc. (the Company) as of December 31, 2018 and 2019, the related statements of operations and comprehensive loss,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60"/>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August 7, 2020</w:t>
      </w:r>
    </w:p>
    <w:p>
      <w:pPr>
        <w:spacing w:after="0" w:line="9" w:lineRule="exact"/>
        <w:rPr>
          <w:sz w:val="20"/>
          <w:szCs w:val="20"/>
          <w:color w:val="auto"/>
        </w:rPr>
      </w:pPr>
    </w:p>
    <w:p>
      <w:pPr>
        <w:ind w:left="120" w:right="680"/>
        <w:spacing w:after="0" w:line="260" w:lineRule="auto"/>
        <w:rPr>
          <w:sz w:val="20"/>
          <w:szCs w:val="20"/>
          <w:color w:val="auto"/>
        </w:rPr>
      </w:pPr>
      <w:r>
        <w:rPr>
          <w:rFonts w:ascii="Arial" w:cs="Arial" w:eastAsia="Arial" w:hAnsi="Arial"/>
          <w:sz w:val="18"/>
          <w:szCs w:val="18"/>
          <w:color w:val="auto"/>
        </w:rPr>
        <w:t>except for the retroactive effect of the 1-for-7.4276 reverse stock split as described in the second paragraph of Note 1(a), as to which the date is October 9, 2020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par value amounts)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9"/>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8"/>
        </w:trPr>
        <w:tc>
          <w:tcPr>
            <w:tcW w:w="7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as of June 30,</w:t>
            </w:r>
          </w:p>
        </w:tc>
        <w:tc>
          <w:tcPr>
            <w:tcW w:w="0" w:type="dxa"/>
            <w:vAlign w:val="bottom"/>
          </w:tcPr>
          <w:p>
            <w:pPr>
              <w:spacing w:after="0"/>
              <w:rPr>
                <w:sz w:val="1"/>
                <w:szCs w:val="1"/>
                <w:color w:val="auto"/>
              </w:rPr>
            </w:pPr>
          </w:p>
        </w:tc>
      </w:tr>
      <w:tr>
        <w:trPr>
          <w:trHeight w:val="171"/>
        </w:trPr>
        <w:tc>
          <w:tcPr>
            <w:tcW w:w="7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57,952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1,549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58,030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58,316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PREFERRED STOCK AND STOCKHOLDERS’ (DEFICIT)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Accounts payable and other accrued liabilities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payroll and benefits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240" w:type="dxa"/>
            <w:vAlign w:val="bottom"/>
          </w:tcPr>
          <w:p>
            <w:pPr>
              <w:spacing w:after="0" w:line="201" w:lineRule="exact"/>
              <w:rPr>
                <w:sz w:val="20"/>
                <w:szCs w:val="20"/>
                <w:color w:val="auto"/>
              </w:rPr>
            </w:pPr>
            <w:r>
              <w:rPr>
                <w:rFonts w:ascii="Arial" w:cs="Arial" w:eastAsia="Arial" w:hAnsi="Arial"/>
                <w:sz w:val="18"/>
                <w:szCs w:val="18"/>
                <w:color w:val="auto"/>
                <w:w w:val="91"/>
              </w:rPr>
              <w:t>Series A Preferred Stock, $0.0001 par value; 1,575,030 shares authorized, issued and outstanding</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at December 31, 2018, December 31, 2019, and June 30, 2020 (unaudited); liquidation</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80"/>
              <w:spacing w:after="0"/>
              <w:rPr>
                <w:sz w:val="20"/>
                <w:szCs w:val="20"/>
                <w:color w:val="auto"/>
              </w:rPr>
            </w:pPr>
            <w:r>
              <w:rPr>
                <w:rFonts w:ascii="Arial" w:cs="Arial" w:eastAsia="Arial" w:hAnsi="Arial"/>
                <w:sz w:val="18"/>
                <w:szCs w:val="18"/>
                <w:color w:val="auto"/>
              </w:rPr>
              <w:t>preference of $3,650 at December 31, 2018, December 31, 2019 and June 30, 2020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80"/>
              <w:spacing w:after="0"/>
              <w:rPr>
                <w:sz w:val="20"/>
                <w:szCs w:val="20"/>
                <w:color w:val="auto"/>
              </w:rPr>
            </w:pPr>
            <w:r>
              <w:rPr>
                <w:rFonts w:ascii="Arial" w:cs="Arial" w:eastAsia="Arial" w:hAnsi="Arial"/>
                <w:sz w:val="18"/>
                <w:szCs w:val="18"/>
                <w:color w:val="auto"/>
              </w:rPr>
              <w:t>(unaudited); no shares authorized, issued or outstanding, pro forma (unaudited)</w:t>
            </w:r>
          </w:p>
        </w:tc>
        <w:tc>
          <w:tcPr>
            <w:tcW w:w="8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3,564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Preferred Stock, $0.0001 par value; zero shares authorized, issued or outstanding at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2018 and 6,731,649 shares authorized and 6,674,909 shares issued and</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outstanding at December 31, 2019 and June 30, 2020 (unaudited); liquidation preference of $0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at December 31, 2018, and $60,010 at December 31, 2019 and June 30, 2020, (unaudited); no</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authorized, issued or outstanding, pro forma (unaudited)</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59,838</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59,838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724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4"/>
              </w:rPr>
              <w:t>Common stock, $0.0001 par value; 13,867,198 shares authorized; 2,677,846 shares issued</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and 2,078,918 outstanding, which excludes 598,928 shares subject to repurchase at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December 31, 2018; 2,650,919 shares issued and 2,646,619 outstanding, which excludes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4,300 shares subject to repurchase at December 31, 2019; 2,719,312 shares issued and</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2,651,996 outstanding, which excludes 67,316 shares subject to repurchase at June 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2020 (unaudited); 13,867,198 shares authorized, 10,969,251 shares issued and 10,901,935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5"/>
              </w:rPr>
              <w:t>outstanding, which excludes 67,316 shares subject to repurchase pro forma (unaudited)</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63,607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(1,364)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(6,034)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(11,241)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(11,241)</w:t>
            </w:r>
          </w:p>
        </w:tc>
        <w:tc>
          <w:tcPr>
            <w:tcW w:w="0" w:type="dxa"/>
            <w:vAlign w:val="bottom"/>
          </w:tcPr>
          <w:p>
            <w:pPr>
              <w:spacing w:after="0"/>
              <w:rPr>
                <w:sz w:val="1"/>
                <w:szCs w:val="1"/>
                <w:color w:val="auto"/>
              </w:rPr>
            </w:pPr>
          </w:p>
        </w:tc>
      </w:tr>
      <w:tr>
        <w:trPr>
          <w:trHeight w:val="223"/>
        </w:trPr>
        <w:tc>
          <w:tcPr>
            <w:tcW w:w="7240" w:type="dxa"/>
            <w:vAlign w:val="bottom"/>
          </w:tcPr>
          <w:p>
            <w:pPr>
              <w:spacing w:after="0"/>
              <w:rPr>
                <w:sz w:val="20"/>
                <w:szCs w:val="20"/>
                <w:color w:val="auto"/>
              </w:rPr>
            </w:pPr>
            <w:r>
              <w:rPr>
                <w:rFonts w:ascii="Arial" w:cs="Arial" w:eastAsia="Arial" w:hAnsi="Arial"/>
                <w:sz w:val="18"/>
                <w:szCs w:val="18"/>
                <w:b w:val="1"/>
                <w:bCs w:val="1"/>
                <w:color w:val="auto"/>
              </w:rPr>
              <w:t>Total stockholders’ (deficit) equity</w:t>
            </w:r>
          </w:p>
        </w:tc>
        <w:tc>
          <w:tcPr>
            <w:tcW w:w="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(1,354)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(6,005)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preferred stock and stockholders’ (deficit)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58,316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7"/>
            <w:vMerge w:val="restart"/>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4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901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3,162</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2,066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30"/>
        </w:trPr>
        <w:tc>
          <w:tcPr>
            <w:tcW w:w="60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other income (expense) and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(5,381)</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Loss on extinguishment of convertible notes</w:t>
            </w:r>
          </w:p>
        </w:tc>
        <w:tc>
          <w:tcPr>
            <w:tcW w:w="8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c>
          <w:tcPr>
            <w:tcW w:w="100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derivative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used in computing net loss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80" w:type="dxa"/>
            <w:vAlign w:val="bottom"/>
          </w:tcPr>
          <w:p>
            <w:pPr>
              <w:spacing w:after="0"/>
              <w:rPr>
                <w:sz w:val="20"/>
                <w:szCs w:val="20"/>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1,759,495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2,362,768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2,238,793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2,650,843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Pro forma net loss per share attributable to common stockholders, basic and</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(unaudited)</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w w:val="95"/>
              </w:rPr>
              <w:t>Weighted-average shares outstanding used in computing pro forma net loss per</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share attributable to common stockholders, basic and diluted (unaudited)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4,285,262</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10,900,782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STATEMENTS OF PREFERRED STOCK AND STOCKHOLDERS’ DEFICIT</w:t>
      </w:r>
    </w:p>
    <w:p>
      <w:pPr>
        <w:spacing w:after="0" w:line="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080"/>
          </w:cols>
          <w:pgMar w:left="320" w:top="459" w:right="499" w:bottom="1440" w:gutter="0" w:footer="0" w:header="0"/>
        </w:sectPr>
      </w:pPr>
    </w:p>
    <w:p>
      <w:pPr>
        <w:spacing w:after="0" w:line="3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Preferred Stock</w:t>
            </w:r>
          </w:p>
        </w:tc>
        <w:tc>
          <w:tcPr>
            <w:tcW w:w="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23"/>
        </w:trPr>
        <w:tc>
          <w:tcPr>
            <w:tcW w:w="5140" w:type="dxa"/>
            <w:vAlign w:val="bottom"/>
            <w:vMerge w:val="continue"/>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Recognition of stock-based compensation expense</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Issuance of common stock under stock purchase agreements</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Vesting of founder shares subject to repurchase</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Lapse of repurchase rights related to common stock issued pursuant to early</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420"/>
              <w:spacing w:after="0" w:line="149" w:lineRule="exact"/>
              <w:rPr>
                <w:sz w:val="20"/>
                <w:szCs w:val="20"/>
                <w:color w:val="auto"/>
              </w:rPr>
            </w:pPr>
            <w:r>
              <w:rPr>
                <w:rFonts w:ascii="Arial" w:cs="Arial" w:eastAsia="Arial" w:hAnsi="Arial"/>
                <w:sz w:val="14"/>
                <w:szCs w:val="14"/>
                <w:color w:val="auto"/>
              </w:rPr>
              <w:t>exercises</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140" w:type="dxa"/>
            <w:vAlign w:val="bottom"/>
          </w:tcPr>
          <w:p>
            <w:pPr>
              <w:ind w:left="280"/>
              <w:spacing w:after="0"/>
              <w:rPr>
                <w:sz w:val="20"/>
                <w:szCs w:val="20"/>
                <w:color w:val="auto"/>
              </w:rPr>
            </w:pPr>
            <w:r>
              <w:rPr>
                <w:rFonts w:ascii="Arial" w:cs="Arial" w:eastAsia="Arial" w:hAnsi="Arial"/>
                <w:sz w:val="14"/>
                <w:szCs w:val="14"/>
                <w:color w:val="auto"/>
              </w:rPr>
              <w:t>Issuance of Series A Preferred Stock for cash, net of issuance costs of $86</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1,575,030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137"/>
        </w:trPr>
        <w:tc>
          <w:tcPr>
            <w:tcW w:w="5140" w:type="dxa"/>
            <w:vAlign w:val="bottom"/>
          </w:tcPr>
          <w:p>
            <w:pPr>
              <w:spacing w:after="0" w:line="137" w:lineRule="exact"/>
              <w:rPr>
                <w:sz w:val="20"/>
                <w:szCs w:val="20"/>
                <w:color w:val="auto"/>
              </w:rPr>
            </w:pPr>
            <w:r>
              <w:rPr>
                <w:rFonts w:ascii="Arial" w:cs="Arial" w:eastAsia="Arial" w:hAnsi="Arial"/>
                <w:sz w:val="14"/>
                <w:szCs w:val="14"/>
                <w:b w:val="1"/>
                <w:bCs w:val="1"/>
                <w:color w:val="auto"/>
              </w:rPr>
              <w:t>Balance as of December 31, 2018</w:t>
            </w:r>
          </w:p>
        </w:tc>
        <w:tc>
          <w:tcPr>
            <w:tcW w:w="720" w:type="dxa"/>
            <w:vAlign w:val="bottom"/>
            <w:tcBorders>
              <w:top w:val="single" w:sz="8" w:color="auto"/>
            </w:tcBorders>
            <w:gridSpan w:val="3"/>
          </w:tcPr>
          <w:p>
            <w:pPr>
              <w:jc w:val="right"/>
              <w:ind w:right="20"/>
              <w:spacing w:after="0" w:line="137" w:lineRule="exact"/>
              <w:rPr>
                <w:sz w:val="20"/>
                <w:szCs w:val="20"/>
                <w:color w:val="auto"/>
              </w:rPr>
            </w:pPr>
            <w:r>
              <w:rPr>
                <w:rFonts w:ascii="Arial" w:cs="Arial" w:eastAsia="Arial" w:hAnsi="Arial"/>
                <w:sz w:val="14"/>
                <w:szCs w:val="14"/>
                <w:color w:val="auto"/>
              </w:rPr>
              <w:t>1,575,030</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Recognition of stock-based compensation expense</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Vesting of founder shares subject to repurchase</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Lapse of repurchase rights related to common stock issued pursuant to early</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420"/>
              <w:spacing w:after="0" w:line="149" w:lineRule="exact"/>
              <w:rPr>
                <w:sz w:val="20"/>
                <w:szCs w:val="20"/>
                <w:color w:val="auto"/>
              </w:rPr>
            </w:pPr>
            <w:r>
              <w:rPr>
                <w:rFonts w:ascii="Arial" w:cs="Arial" w:eastAsia="Arial" w:hAnsi="Arial"/>
                <w:sz w:val="14"/>
                <w:szCs w:val="14"/>
                <w:color w:val="auto"/>
              </w:rPr>
              <w:t>exercises</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Issuance of Series B Preferred Stock upon conversion of Convertible Notes</w:t>
            </w: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268,056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67"/>
        </w:trPr>
        <w:tc>
          <w:tcPr>
            <w:tcW w:w="5140" w:type="dxa"/>
            <w:vAlign w:val="bottom"/>
          </w:tcPr>
          <w:p>
            <w:pPr>
              <w:ind w:left="280"/>
              <w:spacing w:after="0"/>
              <w:rPr>
                <w:sz w:val="20"/>
                <w:szCs w:val="20"/>
                <w:color w:val="auto"/>
              </w:rPr>
            </w:pPr>
            <w:r>
              <w:rPr>
                <w:rFonts w:ascii="Arial" w:cs="Arial" w:eastAsia="Arial" w:hAnsi="Arial"/>
                <w:sz w:val="14"/>
                <w:szCs w:val="14"/>
                <w:color w:val="auto"/>
              </w:rPr>
              <w:t>Issuance of Series B Preferred Stock for cash, net of issuance costs of $172</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6,406,853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57,428</w:t>
            </w: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as of December 31, 2019</w:t>
            </w:r>
          </w:p>
        </w:tc>
        <w:tc>
          <w:tcPr>
            <w:tcW w:w="720" w:type="dxa"/>
            <w:vAlign w:val="bottom"/>
            <w:tcBorders>
              <w:top w:val="single" w:sz="8" w:color="auto"/>
            </w:tcBorders>
            <w:gridSpan w:val="3"/>
          </w:tcPr>
          <w:p>
            <w:pPr>
              <w:jc w:val="right"/>
              <w:ind w:right="20"/>
              <w:spacing w:after="0" w:line="133" w:lineRule="exact"/>
              <w:rPr>
                <w:sz w:val="20"/>
                <w:szCs w:val="20"/>
                <w:color w:val="auto"/>
              </w:rPr>
            </w:pPr>
            <w:r>
              <w:rPr>
                <w:rFonts w:ascii="Arial" w:cs="Arial" w:eastAsia="Arial" w:hAnsi="Arial"/>
                <w:sz w:val="14"/>
                <w:szCs w:val="14"/>
                <w:color w:val="auto"/>
              </w:rPr>
              <w:t>8,249,939</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rPr>
              <w:t>63,402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spacing w:after="0" w:line="153" w:lineRule="exact"/>
              <w:rPr>
                <w:sz w:val="20"/>
                <w:szCs w:val="20"/>
                <w:color w:val="auto"/>
              </w:rPr>
            </w:pPr>
            <w:r>
              <w:rPr>
                <w:rFonts w:ascii="Arial" w:cs="Arial" w:eastAsia="Arial" w:hAnsi="Arial"/>
                <w:sz w:val="14"/>
                <w:szCs w:val="14"/>
                <w:b w:val="1"/>
                <w:bCs w:val="1"/>
                <w:color w:val="auto"/>
              </w:rPr>
              <w:t>Balance as of December 31, 2018</w:t>
            </w:r>
          </w:p>
        </w:tc>
        <w:tc>
          <w:tcPr>
            <w:tcW w:w="72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auto"/>
              </w:rPr>
              <w:t>1,575,030</w:t>
            </w:r>
          </w:p>
        </w:tc>
        <w:tc>
          <w:tcPr>
            <w:tcW w:w="1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auto"/>
              </w:rPr>
              <w:t>3,564</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Net loss (unaudited)</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Recognition of stock-based compensation expense (unaudited)</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Vesting of founder shares subject to repurchase (unaudited)</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Lapse of repurchase rights related to common stock issued pursuant to early</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40" w:type="dxa"/>
            <w:vAlign w:val="bottom"/>
          </w:tcPr>
          <w:p>
            <w:pPr>
              <w:ind w:left="420"/>
              <w:spacing w:after="0"/>
              <w:rPr>
                <w:sz w:val="20"/>
                <w:szCs w:val="20"/>
                <w:color w:val="auto"/>
              </w:rPr>
            </w:pPr>
            <w:r>
              <w:rPr>
                <w:rFonts w:ascii="Arial" w:cs="Arial" w:eastAsia="Arial" w:hAnsi="Arial"/>
                <w:sz w:val="14"/>
                <w:szCs w:val="14"/>
                <w:color w:val="auto"/>
              </w:rPr>
              <w:t>exercises (unaudited)</w:t>
            </w:r>
          </w:p>
        </w:tc>
        <w:tc>
          <w:tcPr>
            <w:tcW w:w="3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as of June 30, 2019 (unaudited)</w:t>
            </w:r>
          </w:p>
        </w:tc>
        <w:tc>
          <w:tcPr>
            <w:tcW w:w="7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rPr>
              <w:t>1,575,030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140" w:type="dxa"/>
            <w:vAlign w:val="bottom"/>
          </w:tcPr>
          <w:p>
            <w:pPr>
              <w:spacing w:after="0" w:line="153" w:lineRule="exact"/>
              <w:rPr>
                <w:sz w:val="20"/>
                <w:szCs w:val="20"/>
                <w:color w:val="auto"/>
              </w:rPr>
            </w:pPr>
            <w:r>
              <w:rPr>
                <w:rFonts w:ascii="Arial" w:cs="Arial" w:eastAsia="Arial" w:hAnsi="Arial"/>
                <w:sz w:val="14"/>
                <w:szCs w:val="14"/>
                <w:b w:val="1"/>
                <w:bCs w:val="1"/>
                <w:color w:val="auto"/>
              </w:rPr>
              <w:t>Balance as of December 31, 2019</w:t>
            </w:r>
          </w:p>
        </w:tc>
        <w:tc>
          <w:tcPr>
            <w:tcW w:w="72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auto"/>
              </w:rPr>
              <w:t>8,249,939</w:t>
            </w:r>
          </w:p>
        </w:tc>
        <w:tc>
          <w:tcPr>
            <w:tcW w:w="16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auto"/>
              </w:rPr>
              <w:t>63,402</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Net loss (unaudited)</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Recognition of stock-based compensation expense (unaudited)</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140" w:type="dxa"/>
            <w:vAlign w:val="bottom"/>
          </w:tcPr>
          <w:p>
            <w:pPr>
              <w:ind w:left="280"/>
              <w:spacing w:after="0" w:line="149" w:lineRule="exact"/>
              <w:rPr>
                <w:sz w:val="20"/>
                <w:szCs w:val="20"/>
                <w:color w:val="auto"/>
              </w:rPr>
            </w:pPr>
            <w:r>
              <w:rPr>
                <w:rFonts w:ascii="Arial" w:cs="Arial" w:eastAsia="Arial" w:hAnsi="Arial"/>
                <w:sz w:val="14"/>
                <w:szCs w:val="14"/>
                <w:color w:val="auto"/>
              </w:rPr>
              <w:t>Lapse of repurchase rights related to common stock issued pursuant to early</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420"/>
              <w:spacing w:after="0" w:line="149" w:lineRule="exact"/>
              <w:rPr>
                <w:sz w:val="20"/>
                <w:szCs w:val="20"/>
                <w:color w:val="auto"/>
              </w:rPr>
            </w:pPr>
            <w:r>
              <w:rPr>
                <w:rFonts w:ascii="Arial" w:cs="Arial" w:eastAsia="Arial" w:hAnsi="Arial"/>
                <w:sz w:val="14"/>
                <w:szCs w:val="14"/>
                <w:color w:val="auto"/>
              </w:rPr>
              <w:t>exercises (unaudited)</w:t>
            </w:r>
          </w:p>
        </w:tc>
        <w:tc>
          <w:tcPr>
            <w:tcW w:w="300" w:type="dxa"/>
            <w:vAlign w:val="bottom"/>
          </w:tcPr>
          <w:p>
            <w:pPr>
              <w:spacing w:after="0"/>
              <w:rPr>
                <w:sz w:val="12"/>
                <w:szCs w:val="12"/>
                <w:color w:val="auto"/>
              </w:rPr>
            </w:pPr>
          </w:p>
        </w:tc>
        <w:tc>
          <w:tcPr>
            <w:tcW w:w="4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5140" w:type="dxa"/>
            <w:vAlign w:val="bottom"/>
          </w:tcPr>
          <w:p>
            <w:pPr>
              <w:ind w:left="280"/>
              <w:spacing w:after="0"/>
              <w:rPr>
                <w:sz w:val="20"/>
                <w:szCs w:val="20"/>
                <w:color w:val="auto"/>
              </w:rPr>
            </w:pPr>
            <w:r>
              <w:rPr>
                <w:rFonts w:ascii="Arial" w:cs="Arial" w:eastAsia="Arial" w:hAnsi="Arial"/>
                <w:sz w:val="14"/>
                <w:szCs w:val="14"/>
                <w:color w:val="auto"/>
              </w:rPr>
              <w:t>Exercise of vested stock options (unaudited)</w:t>
            </w:r>
          </w:p>
        </w:tc>
        <w:tc>
          <w:tcPr>
            <w:tcW w:w="30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14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June 30, 2020 (unaudited)</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8,249,939</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63,402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-3316605</wp:posOffset>
            </wp:positionV>
            <wp:extent cx="6995160" cy="33261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6995160" cy="3326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5"/>
          </w:tcPr>
          <w:p>
            <w:pPr>
              <w:spacing w:after="0"/>
              <w:rPr>
                <w:sz w:val="20"/>
                <w:szCs w:val="20"/>
                <w:color w:val="auto"/>
              </w:rPr>
            </w:pPr>
            <w:r>
              <w:rPr>
                <w:rFonts w:ascii="Arial" w:cs="Arial" w:eastAsia="Arial" w:hAnsi="Arial"/>
                <w:sz w:val="14"/>
                <w:szCs w:val="14"/>
                <w:b w:val="1"/>
                <w:bCs w:val="1"/>
                <w:color w:val="auto"/>
              </w:rPr>
              <w:t>Additional</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gridSpan w:val="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Paid-In</w:t>
            </w:r>
          </w:p>
        </w:tc>
        <w:tc>
          <w:tcPr>
            <w:tcW w:w="1000" w:type="dxa"/>
            <w:vAlign w:val="bottom"/>
            <w:gridSpan w:val="4"/>
            <w:vMerge w:val="continue"/>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680" w:type="dxa"/>
            <w:vAlign w:val="bottom"/>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7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88"/>
              </w:rPr>
              <w:t>Deficit</w:t>
            </w:r>
          </w:p>
        </w:tc>
        <w:tc>
          <w:tcPr>
            <w:tcW w:w="220" w:type="dxa"/>
            <w:vAlign w:val="bottom"/>
          </w:tcPr>
          <w:p>
            <w:pPr>
              <w:spacing w:after="0"/>
              <w:rPr>
                <w:sz w:val="12"/>
                <w:szCs w:val="12"/>
                <w:color w:val="auto"/>
              </w:rPr>
            </w:pPr>
          </w:p>
        </w:tc>
        <w:tc>
          <w:tcPr>
            <w:tcW w:w="68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42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2"/>
                <w:szCs w:val="12"/>
                <w:color w:val="auto"/>
                <w:w w:val="74"/>
              </w:rPr>
              <w:t>1,434,027</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top w:val="single" w:sz="8" w:color="auto"/>
            </w:tcBorders>
          </w:tcPr>
          <w:p>
            <w:pPr>
              <w:jc w:val="right"/>
              <w:ind w:right="233"/>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20" w:type="dxa"/>
            <w:vAlign w:val="bottom"/>
          </w:tcPr>
          <w:p>
            <w:pPr>
              <w:spacing w:after="0"/>
              <w:rPr>
                <w:sz w:val="10"/>
                <w:szCs w:val="10"/>
                <w:color w:val="auto"/>
              </w:rPr>
            </w:pPr>
          </w:p>
        </w:tc>
        <w:tc>
          <w:tcPr>
            <w:tcW w:w="100" w:type="dxa"/>
            <w:vAlign w:val="bottom"/>
          </w:tcPr>
          <w:p>
            <w:pPr>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460" w:type="dxa"/>
            <w:vAlign w:val="bottom"/>
            <w:tcBorders>
              <w:top w:val="single" w:sz="8" w:color="auto"/>
            </w:tcBorders>
          </w:tcPr>
          <w:p>
            <w:pPr>
              <w:ind w:left="340"/>
              <w:spacing w:after="0" w:line="123"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line="123"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tcPr>
          <w:p>
            <w:pPr>
              <w:spacing w:after="0"/>
              <w:rPr>
                <w:sz w:val="10"/>
                <w:szCs w:val="10"/>
                <w:color w:val="auto"/>
              </w:rPr>
            </w:pPr>
          </w:p>
        </w:tc>
        <w:tc>
          <w:tcPr>
            <w:tcW w:w="380" w:type="dxa"/>
            <w:vAlign w:val="bottom"/>
            <w:gridSpan w:val="2"/>
          </w:tcPr>
          <w:p>
            <w:pPr>
              <w:jc w:val="right"/>
              <w:ind w:right="120"/>
              <w:spacing w:after="0" w:line="123" w:lineRule="exact"/>
              <w:rPr>
                <w:sz w:val="20"/>
                <w:szCs w:val="20"/>
                <w:color w:val="auto"/>
              </w:rPr>
            </w:pPr>
            <w:r>
              <w:rPr>
                <w:rFonts w:ascii="Arial" w:cs="Arial" w:eastAsia="Arial" w:hAnsi="Arial"/>
                <w:sz w:val="14"/>
                <w:szCs w:val="14"/>
                <w:color w:val="auto"/>
                <w:w w:val="96"/>
              </w:rPr>
              <w:t>(45)</w:t>
            </w:r>
          </w:p>
        </w:tc>
        <w:tc>
          <w:tcPr>
            <w:tcW w:w="220" w:type="dxa"/>
            <w:vAlign w:val="bottom"/>
          </w:tcPr>
          <w:p>
            <w:pPr>
              <w:spacing w:after="0" w:line="123"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spacing w:after="0"/>
              <w:rPr>
                <w:sz w:val="10"/>
                <w:szCs w:val="10"/>
                <w:color w:val="auto"/>
              </w:rPr>
            </w:pPr>
          </w:p>
        </w:tc>
        <w:tc>
          <w:tcPr>
            <w:tcW w:w="26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6"/>
              </w:rPr>
              <w:t>(44)</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680" w:type="dxa"/>
            <w:vAlign w:val="bottom"/>
            <w:gridSpan w:val="6"/>
          </w:tcPr>
          <w:p>
            <w:pPr>
              <w:jc w:val="right"/>
              <w:ind w:right="60"/>
              <w:spacing w:after="0" w:line="149" w:lineRule="exact"/>
              <w:rPr>
                <w:sz w:val="20"/>
                <w:szCs w:val="20"/>
                <w:color w:val="auto"/>
              </w:rPr>
            </w:pPr>
            <w:r>
              <w:rPr>
                <w:rFonts w:ascii="Arial" w:cs="Arial" w:eastAsia="Arial" w:hAnsi="Arial"/>
                <w:sz w:val="14"/>
                <w:szCs w:val="14"/>
                <w:color w:val="auto"/>
              </w:rPr>
              <w:t>5,385</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82"/>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538,532</w:t>
            </w:r>
          </w:p>
        </w:tc>
        <w:tc>
          <w:tcPr>
            <w:tcW w:w="80" w:type="dxa"/>
            <w:vAlign w:val="bottom"/>
          </w:tcPr>
          <w:p>
            <w:pPr>
              <w:spacing w:after="0"/>
              <w:rPr>
                <w:sz w:val="15"/>
                <w:szCs w:val="15"/>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263"/>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100,974</w:t>
            </w:r>
          </w:p>
        </w:tc>
        <w:tc>
          <w:tcPr>
            <w:tcW w:w="8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7"/>
        </w:trPr>
        <w:tc>
          <w:tcPr>
            <w:tcW w:w="620" w:type="dxa"/>
            <w:vAlign w:val="bottom"/>
            <w:tcBorders>
              <w:top w:val="single" w:sz="8" w:color="auto"/>
            </w:tcBorders>
            <w:gridSpan w:val="4"/>
          </w:tcPr>
          <w:p>
            <w:pPr>
              <w:jc w:val="right"/>
              <w:spacing w:after="0" w:line="137" w:lineRule="exact"/>
              <w:rPr>
                <w:sz w:val="20"/>
                <w:szCs w:val="20"/>
                <w:color w:val="auto"/>
              </w:rPr>
            </w:pPr>
            <w:r>
              <w:rPr>
                <w:rFonts w:ascii="Arial" w:cs="Arial" w:eastAsia="Arial" w:hAnsi="Arial"/>
                <w:sz w:val="14"/>
                <w:szCs w:val="14"/>
                <w:color w:val="auto"/>
                <w:w w:val="96"/>
              </w:rPr>
              <w:t>2,078,918</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jc w:val="right"/>
              <w:ind w:right="233"/>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1</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gridSpan w:val="3"/>
          </w:tcPr>
          <w:p>
            <w:pPr>
              <w:jc w:val="right"/>
              <w:spacing w:after="0" w:line="137"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(1,364)</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(1,354)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(4,670)</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493,654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3"/>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74,047</w:t>
            </w:r>
          </w:p>
        </w:tc>
        <w:tc>
          <w:tcPr>
            <w:tcW w:w="8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7"/>
        </w:trPr>
        <w:tc>
          <w:tcPr>
            <w:tcW w:w="620" w:type="dxa"/>
            <w:vAlign w:val="bottom"/>
            <w:tcBorders>
              <w:top w:val="single" w:sz="8" w:color="auto"/>
            </w:tcBorders>
            <w:gridSpan w:val="4"/>
          </w:tcPr>
          <w:p>
            <w:pPr>
              <w:jc w:val="right"/>
              <w:spacing w:after="0" w:line="137" w:lineRule="exact"/>
              <w:rPr>
                <w:sz w:val="20"/>
                <w:szCs w:val="20"/>
                <w:color w:val="auto"/>
              </w:rPr>
            </w:pPr>
            <w:r>
              <w:rPr>
                <w:rFonts w:ascii="Arial" w:cs="Arial" w:eastAsia="Arial" w:hAnsi="Arial"/>
                <w:sz w:val="14"/>
                <w:szCs w:val="14"/>
                <w:color w:val="auto"/>
                <w:w w:val="96"/>
              </w:rPr>
              <w:t>2,646,619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jc w:val="right"/>
              <w:ind w:right="233"/>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gridSpan w:val="3"/>
          </w:tcPr>
          <w:p>
            <w:pPr>
              <w:jc w:val="right"/>
              <w:spacing w:after="0" w:line="137"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(6,034)</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(6,005)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6"/>
              </w:rPr>
              <w:t>2,078,918</w:t>
            </w:r>
          </w:p>
        </w:tc>
        <w:tc>
          <w:tcPr>
            <w:tcW w:w="40" w:type="dxa"/>
            <w:vAlign w:val="bottom"/>
          </w:tcPr>
          <w:p>
            <w:pPr>
              <w:spacing w:after="0"/>
              <w:rPr>
                <w:sz w:val="12"/>
                <w:szCs w:val="12"/>
                <w:color w:val="auto"/>
              </w:rPr>
            </w:pPr>
          </w:p>
        </w:tc>
        <w:tc>
          <w:tcPr>
            <w:tcW w:w="44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1</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(1,364)</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(2,576)</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(2,576)</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2"/>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269,264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82"/>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50,486</w:t>
            </w:r>
          </w:p>
        </w:tc>
        <w:tc>
          <w:tcPr>
            <w:tcW w:w="8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37"/>
        </w:trPr>
        <w:tc>
          <w:tcPr>
            <w:tcW w:w="640" w:type="dxa"/>
            <w:vAlign w:val="bottom"/>
            <w:tcBorders>
              <w:top w:val="single" w:sz="8" w:color="auto"/>
            </w:tcBorders>
            <w:gridSpan w:val="5"/>
          </w:tcPr>
          <w:p>
            <w:pPr>
              <w:jc w:val="right"/>
              <w:ind w:right="20"/>
              <w:spacing w:after="0" w:line="137" w:lineRule="exact"/>
              <w:rPr>
                <w:sz w:val="20"/>
                <w:szCs w:val="20"/>
                <w:color w:val="auto"/>
              </w:rPr>
            </w:pPr>
            <w:r>
              <w:rPr>
                <w:rFonts w:ascii="Arial" w:cs="Arial" w:eastAsia="Arial" w:hAnsi="Arial"/>
                <w:sz w:val="14"/>
                <w:szCs w:val="14"/>
                <w:color w:val="auto"/>
                <w:w w:val="96"/>
              </w:rPr>
              <w:t>2,398,668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jc w:val="right"/>
              <w:ind w:right="233"/>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gridSpan w:val="3"/>
          </w:tcPr>
          <w:p>
            <w:pPr>
              <w:jc w:val="right"/>
              <w:spacing w:after="0" w:line="137" w:lineRule="exact"/>
              <w:rPr>
                <w:sz w:val="20"/>
                <w:szCs w:val="20"/>
                <w:color w:val="auto"/>
              </w:rPr>
            </w:pPr>
            <w:r>
              <w:rPr>
                <w:rFonts w:ascii="Arial" w:cs="Arial" w:eastAsia="Arial" w:hAnsi="Arial"/>
                <w:sz w:val="14"/>
                <w:szCs w:val="14"/>
                <w:color w:val="auto"/>
              </w:rPr>
              <w:t>18</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(3,940)</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line="137"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(3,920)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w w:val="96"/>
              </w:rPr>
              <w:t>2,646,619</w:t>
            </w:r>
          </w:p>
        </w:tc>
        <w:tc>
          <w:tcPr>
            <w:tcW w:w="40" w:type="dxa"/>
            <w:vAlign w:val="bottom"/>
          </w:tcPr>
          <w:p>
            <w:pPr>
              <w:spacing w:after="0"/>
              <w:rPr>
                <w:sz w:val="12"/>
                <w:szCs w:val="12"/>
                <w:color w:val="auto"/>
              </w:rPr>
            </w:pPr>
          </w:p>
        </w:tc>
        <w:tc>
          <w:tcPr>
            <w:tcW w:w="44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(6,034)</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gridSpan w:val="4"/>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(5,207)</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(5,207)</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tcPr>
          <w:p>
            <w:pPr>
              <w:ind w:left="360"/>
              <w:spacing w:after="0"/>
              <w:rPr>
                <w:sz w:val="20"/>
                <w:szCs w:val="20"/>
                <w:color w:val="auto"/>
              </w:rPr>
            </w:pPr>
            <w:r>
              <w:rPr>
                <w:rFonts w:ascii="Arial" w:cs="Arial" w:eastAsia="Arial" w:hAnsi="Arial"/>
                <w:sz w:val="14"/>
                <w:szCs w:val="14"/>
                <w:color w:val="auto"/>
              </w:rPr>
              <w:t>177</w:t>
            </w:r>
          </w:p>
        </w:tc>
        <w:tc>
          <w:tcPr>
            <w:tcW w:w="220" w:type="dxa"/>
            <w:vAlign w:val="bottom"/>
          </w:tcPr>
          <w:p>
            <w:pPr>
              <w:spacing w:after="0"/>
              <w:rPr>
                <w:sz w:val="15"/>
                <w:szCs w:val="15"/>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63"/>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4,300</w:t>
            </w:r>
          </w:p>
        </w:tc>
        <w:tc>
          <w:tcPr>
            <w:tcW w:w="8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7"/>
        </w:trPr>
        <w:tc>
          <w:tcPr>
            <w:tcW w:w="680" w:type="dxa"/>
            <w:vAlign w:val="bottom"/>
            <w:gridSpan w:val="6"/>
          </w:tcPr>
          <w:p>
            <w:pPr>
              <w:jc w:val="right"/>
              <w:ind w:right="60"/>
              <w:spacing w:after="0"/>
              <w:rPr>
                <w:sz w:val="20"/>
                <w:szCs w:val="20"/>
                <w:color w:val="auto"/>
              </w:rPr>
            </w:pPr>
            <w:r>
              <w:rPr>
                <w:rFonts w:ascii="Arial" w:cs="Arial" w:eastAsia="Arial" w:hAnsi="Arial"/>
                <w:sz w:val="14"/>
                <w:szCs w:val="14"/>
                <w:color w:val="auto"/>
              </w:rPr>
              <w:t>1,077</w:t>
            </w:r>
          </w:p>
        </w:tc>
        <w:tc>
          <w:tcPr>
            <w:tcW w:w="80" w:type="dxa"/>
            <w:vAlign w:val="bottom"/>
          </w:tcPr>
          <w:p>
            <w:pPr>
              <w:spacing w:after="0"/>
              <w:rPr>
                <w:sz w:val="14"/>
                <w:szCs w:val="14"/>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56"/>
        </w:trPr>
        <w:tc>
          <w:tcPr>
            <w:tcW w:w="640" w:type="dxa"/>
            <w:vAlign w:val="bottom"/>
            <w:tcBorders>
              <w:top w:val="single" w:sz="8" w:color="auto"/>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color w:val="auto"/>
                <w:w w:val="96"/>
              </w:rPr>
              <w:t>2,651,996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0"/>
                <w:szCs w:val="10"/>
                <w:color w:val="auto"/>
                <w:w w:val="71"/>
              </w:rPr>
              <w:t>$</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3"/>
          </w:tcPr>
          <w:p>
            <w:pPr>
              <w:ind w:left="360"/>
              <w:spacing w:after="0" w:line="155" w:lineRule="exact"/>
              <w:rPr>
                <w:sz w:val="20"/>
                <w:szCs w:val="20"/>
                <w:color w:val="auto"/>
              </w:rPr>
            </w:pPr>
            <w:r>
              <w:rPr>
                <w:rFonts w:ascii="Arial" w:cs="Arial" w:eastAsia="Arial" w:hAnsi="Arial"/>
                <w:sz w:val="14"/>
                <w:szCs w:val="14"/>
                <w:color w:val="auto"/>
                <w:w w:val="76"/>
              </w:rPr>
              <w:t>204</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(11,241)</w:t>
            </w: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(11,035)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40" w:space="180"/>
            <w:col w:w="4060"/>
          </w:cols>
          <w:pgMar w:left="320" w:top="459" w:right="499" w:bottom="1440" w:gutter="0" w:footer="0" w:header="0"/>
          <w:type w:val="continuous"/>
        </w:sect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See accompanying notes to these financial statements.</w:t>
      </w:r>
    </w:p>
    <w:p>
      <w:pPr>
        <w:spacing w:after="0" w:line="1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9" w:right="49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7"/>
              </w:rPr>
              <w:t>Year ended</w:t>
            </w:r>
          </w:p>
        </w:tc>
        <w:tc>
          <w:tcPr>
            <w:tcW w:w="120" w:type="dxa"/>
            <w:vAlign w:val="bottom"/>
          </w:tcPr>
          <w:p>
            <w:pPr>
              <w:spacing w:after="0"/>
              <w:rPr>
                <w:sz w:val="14"/>
                <w:szCs w:val="14"/>
                <w:color w:val="auto"/>
              </w:rPr>
            </w:pPr>
          </w:p>
        </w:tc>
        <w:tc>
          <w:tcPr>
            <w:tcW w:w="1940" w:type="dxa"/>
            <w:vAlign w:val="bottom"/>
            <w:gridSpan w:val="12"/>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7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(unaudited)</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240"/>
              <w:spacing w:after="0"/>
              <w:rPr>
                <w:sz w:val="20"/>
                <w:szCs w:val="20"/>
                <w:color w:val="auto"/>
              </w:rPr>
            </w:pPr>
            <w:r>
              <w:rPr>
                <w:rFonts w:ascii="Arial" w:cs="Arial" w:eastAsia="Arial" w:hAnsi="Arial"/>
                <w:sz w:val="16"/>
                <w:szCs w:val="16"/>
                <w:color w:val="auto"/>
                <w:w w:val="90"/>
              </w:rPr>
              <w:t>(1,319)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5"/>
          </w:tcPr>
          <w:p>
            <w:pPr>
              <w:jc w:val="right"/>
              <w:ind w:right="120"/>
              <w:spacing w:after="0"/>
              <w:rPr>
                <w:sz w:val="20"/>
                <w:szCs w:val="20"/>
                <w:color w:val="auto"/>
              </w:rPr>
            </w:pPr>
            <w:r>
              <w:rPr>
                <w:rFonts w:ascii="Arial" w:cs="Arial" w:eastAsia="Arial" w:hAnsi="Arial"/>
                <w:sz w:val="16"/>
                <w:szCs w:val="16"/>
                <w:color w:val="auto"/>
                <w:w w:val="94"/>
              </w:rPr>
              <w:t>(4,670)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140"/>
              <w:spacing w:after="0"/>
              <w:rPr>
                <w:sz w:val="20"/>
                <w:szCs w:val="20"/>
                <w:color w:val="auto"/>
              </w:rPr>
            </w:pPr>
            <w:r>
              <w:rPr>
                <w:rFonts w:ascii="Arial" w:cs="Arial" w:eastAsia="Arial" w:hAnsi="Arial"/>
                <w:sz w:val="16"/>
                <w:szCs w:val="16"/>
                <w:color w:val="auto"/>
              </w:rPr>
              <w:t>(2,576)</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(5,207)</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7"/>
                <w:szCs w:val="17"/>
                <w:color w:val="auto"/>
              </w:rPr>
            </w:pPr>
          </w:p>
        </w:tc>
        <w:tc>
          <w:tcPr>
            <w:tcW w:w="720" w:type="dxa"/>
            <w:vAlign w:val="bottom"/>
            <w:gridSpan w:val="5"/>
          </w:tcPr>
          <w:p>
            <w:pPr>
              <w:jc w:val="right"/>
              <w:ind w:right="30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 xml:space="preserve">Stock-based compensation </w:t>
            </w:r>
            <w:r>
              <w:rPr>
                <w:rFonts w:ascii="Arial" w:cs="Arial" w:eastAsia="Arial" w:hAnsi="Arial"/>
                <w:sz w:val="16"/>
                <w:szCs w:val="16"/>
                <w:i w:val="1"/>
                <w:iCs w:val="1"/>
                <w:color w:val="auto"/>
              </w:rPr>
              <w:t>(Note 5)</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 xml:space="preserve">Amortization of operating lease right-of-use asset </w:t>
            </w:r>
            <w:r>
              <w:rPr>
                <w:rFonts w:ascii="Arial" w:cs="Arial" w:eastAsia="Arial" w:hAnsi="Arial"/>
                <w:sz w:val="16"/>
                <w:szCs w:val="16"/>
                <w:i w:val="1"/>
                <w:iCs w:val="1"/>
                <w:color w:val="auto"/>
              </w:rPr>
              <w:t>(Note 10(a))</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 xml:space="preserve">Change in fair value of derivative liabilities </w:t>
            </w:r>
            <w:r>
              <w:rPr>
                <w:rFonts w:ascii="Arial" w:cs="Arial" w:eastAsia="Arial" w:hAnsi="Arial"/>
                <w:sz w:val="16"/>
                <w:szCs w:val="16"/>
                <w:i w:val="1"/>
                <w:iCs w:val="1"/>
                <w:color w:val="auto"/>
              </w:rPr>
              <w:t>(Note 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Non-cash related party interest expense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 xml:space="preserve">Loss on extinguishment of convertible notes </w:t>
            </w:r>
            <w:r>
              <w:rPr>
                <w:rFonts w:ascii="Arial" w:cs="Arial" w:eastAsia="Arial" w:hAnsi="Arial"/>
                <w:sz w:val="16"/>
                <w:szCs w:val="16"/>
                <w:i w:val="1"/>
                <w:iCs w:val="1"/>
                <w:color w:val="auto"/>
              </w:rPr>
              <w:t>(Note 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receivables</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720" w:type="dxa"/>
            <w:vAlign w:val="bottom"/>
            <w:gridSpan w:val="5"/>
          </w:tcPr>
          <w:p>
            <w:pPr>
              <w:jc w:val="right"/>
              <w:ind w:right="24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(1,526)</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Other non-current assets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Accounts payable and other accrued liabilities</w:t>
            </w:r>
          </w:p>
        </w:tc>
        <w:tc>
          <w:tcPr>
            <w:tcW w:w="80" w:type="dxa"/>
            <w:vAlign w:val="bottom"/>
          </w:tcPr>
          <w:p>
            <w:pPr>
              <w:spacing w:after="0"/>
              <w:rPr>
                <w:sz w:val="17"/>
                <w:szCs w:val="17"/>
                <w:color w:val="auto"/>
              </w:rPr>
            </w:pPr>
          </w:p>
        </w:tc>
        <w:tc>
          <w:tcPr>
            <w:tcW w:w="720" w:type="dxa"/>
            <w:vAlign w:val="bottom"/>
            <w:gridSpan w:val="5"/>
          </w:tcPr>
          <w:p>
            <w:pPr>
              <w:jc w:val="right"/>
              <w:ind w:right="300"/>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261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Accrued payroll and benefits</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320"/>
              <w:spacing w:after="0"/>
              <w:rPr>
                <w:sz w:val="20"/>
                <w:szCs w:val="20"/>
                <w:color w:val="auto"/>
              </w:rPr>
            </w:pPr>
            <w:r>
              <w:rPr>
                <w:rFonts w:ascii="Arial" w:cs="Arial" w:eastAsia="Arial" w:hAnsi="Arial"/>
                <w:sz w:val="16"/>
                <w:szCs w:val="16"/>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5"/>
          </w:tcPr>
          <w:p>
            <w:pPr>
              <w:jc w:val="right"/>
              <w:ind w:right="240"/>
              <w:spacing w:after="0"/>
              <w:rPr>
                <w:sz w:val="20"/>
                <w:szCs w:val="20"/>
                <w:color w:val="auto"/>
              </w:rPr>
            </w:pPr>
            <w:r>
              <w:rPr>
                <w:rFonts w:ascii="Arial" w:cs="Arial" w:eastAsia="Arial" w:hAnsi="Arial"/>
                <w:sz w:val="16"/>
                <w:szCs w:val="16"/>
                <w:color w:val="auto"/>
                <w:w w:val="90"/>
              </w:rPr>
              <w:t>(1,183)</w:t>
            </w:r>
          </w:p>
        </w:tc>
        <w:tc>
          <w:tcPr>
            <w:tcW w:w="80" w:type="dxa"/>
            <w:vAlign w:val="bottom"/>
          </w:tcPr>
          <w:p>
            <w:pPr>
              <w:spacing w:after="0"/>
              <w:rPr>
                <w:sz w:val="18"/>
                <w:szCs w:val="18"/>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6"/>
                <w:szCs w:val="16"/>
                <w:color w:val="auto"/>
                <w:w w:val="94"/>
              </w:rPr>
              <w:t>(3,673)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6"/>
                <w:szCs w:val="16"/>
                <w:color w:val="auto"/>
              </w:rPr>
              <w:t>(2,297)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(4,553)</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80" w:type="dxa"/>
            <w:vAlign w:val="bottom"/>
          </w:tcPr>
          <w:p>
            <w:pPr>
              <w:spacing w:after="0"/>
              <w:rPr>
                <w:sz w:val="17"/>
                <w:szCs w:val="17"/>
                <w:color w:val="auto"/>
              </w:rPr>
            </w:pPr>
          </w:p>
        </w:tc>
        <w:tc>
          <w:tcPr>
            <w:tcW w:w="720" w:type="dxa"/>
            <w:vAlign w:val="bottom"/>
            <w:gridSpan w:val="5"/>
          </w:tcPr>
          <w:p>
            <w:pPr>
              <w:jc w:val="right"/>
              <w:ind w:right="24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620" w:type="dxa"/>
            <w:vAlign w:val="bottom"/>
            <w:gridSpan w:val="5"/>
          </w:tcPr>
          <w:p>
            <w:pPr>
              <w:jc w:val="right"/>
              <w:ind w:right="12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6"/>
                <w:szCs w:val="16"/>
                <w:color w:val="auto"/>
              </w:rPr>
              <w:t>(145)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used in investing activities</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4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40"/>
              <w:spacing w:after="0"/>
              <w:rPr>
                <w:sz w:val="20"/>
                <w:szCs w:val="20"/>
                <w:color w:val="auto"/>
              </w:rPr>
            </w:pPr>
            <w:r>
              <w:rPr>
                <w:rFonts w:ascii="Arial" w:cs="Arial" w:eastAsia="Arial" w:hAnsi="Arial"/>
                <w:sz w:val="16"/>
                <w:szCs w:val="16"/>
                <w:color w:val="auto"/>
              </w:rPr>
              <w:t>(145)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6"/>
        </w:trPr>
        <w:tc>
          <w:tcPr>
            <w:tcW w:w="746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ml:space="preserve">Proceeds from issuance of Series A Preferred Stock, net of issuance costs </w:t>
            </w:r>
            <w:r>
              <w:rPr>
                <w:rFonts w:ascii="Arial" w:cs="Arial" w:eastAsia="Arial" w:hAnsi="Arial"/>
                <w:sz w:val="16"/>
                <w:szCs w:val="16"/>
                <w:i w:val="1"/>
                <w:iCs w:val="1"/>
                <w:color w:val="auto"/>
              </w:rPr>
              <w:t>(Note 4)</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w w:val="99"/>
              </w:rPr>
              <w:t>3,564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Arial" w:cs="Arial" w:eastAsia="Arial" w:hAnsi="Arial"/>
                <w:sz w:val="16"/>
                <w:szCs w:val="16"/>
                <w:color w:val="auto"/>
              </w:rPr>
              <w:t xml:space="preserve">Proceeds from issuance of Series B Preferred Stock, net of issuance costs </w:t>
            </w:r>
            <w:r>
              <w:rPr>
                <w:rFonts w:ascii="Arial" w:cs="Arial" w:eastAsia="Arial" w:hAnsi="Arial"/>
                <w:sz w:val="16"/>
                <w:szCs w:val="16"/>
                <w:i w:val="1"/>
                <w:iCs w:val="1"/>
                <w:color w:val="auto"/>
              </w:rPr>
              <w:t>(Note 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85"/>
              </w:rPr>
              <w:t>57,456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ml:space="preserve">Proceeds from issuance of convertible notes, net of issuance costs </w:t>
            </w:r>
            <w:r>
              <w:rPr>
                <w:rFonts w:ascii="Arial" w:cs="Arial" w:eastAsia="Arial" w:hAnsi="Arial"/>
                <w:sz w:val="16"/>
                <w:szCs w:val="16"/>
                <w:i w:val="1"/>
                <w:iCs w:val="1"/>
                <w:color w:val="auto"/>
              </w:rPr>
              <w:t>(Note 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1,989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460" w:type="dxa"/>
            <w:vAlign w:val="bottom"/>
          </w:tcPr>
          <w:p>
            <w:pPr>
              <w:ind w:left="320"/>
              <w:spacing w:after="0"/>
              <w:rPr>
                <w:sz w:val="20"/>
                <w:szCs w:val="20"/>
                <w:color w:val="auto"/>
              </w:rPr>
            </w:pPr>
            <w:r>
              <w:rPr>
                <w:rFonts w:ascii="Arial" w:cs="Arial" w:eastAsia="Arial" w:hAnsi="Arial"/>
                <w:sz w:val="16"/>
                <w:szCs w:val="16"/>
                <w:color w:val="auto"/>
              </w:rPr>
              <w:t>Proceeds from early exercise of stock options</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w w:val="99"/>
              </w:rPr>
              <w:t>3,564</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w w:val="85"/>
              </w:rPr>
              <w:t>59,445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6"/>
                <w:szCs w:val="16"/>
                <w:b w:val="1"/>
                <w:bCs w:val="1"/>
                <w:color w:val="auto"/>
              </w:rPr>
              <w:t>Net increase (decrease) in cash, cash equivalents and restricted cash</w:t>
            </w: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5"/>
          </w:tcPr>
          <w:p>
            <w:pPr>
              <w:jc w:val="right"/>
              <w:ind w:right="300"/>
              <w:spacing w:after="0"/>
              <w:rPr>
                <w:sz w:val="20"/>
                <w:szCs w:val="20"/>
                <w:color w:val="auto"/>
              </w:rPr>
            </w:pPr>
            <w:r>
              <w:rPr>
                <w:rFonts w:ascii="Arial" w:cs="Arial" w:eastAsia="Arial" w:hAnsi="Arial"/>
                <w:sz w:val="16"/>
                <w:szCs w:val="16"/>
                <w:color w:val="auto"/>
                <w:w w:val="99"/>
              </w:rPr>
              <w:t>2,374</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85"/>
              </w:rPr>
              <w:t>55,597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140"/>
              <w:spacing w:after="0"/>
              <w:rPr>
                <w:sz w:val="20"/>
                <w:szCs w:val="20"/>
                <w:color w:val="auto"/>
              </w:rPr>
            </w:pPr>
            <w:r>
              <w:rPr>
                <w:rFonts w:ascii="Arial" w:cs="Arial" w:eastAsia="Arial" w:hAnsi="Arial"/>
                <w:sz w:val="16"/>
                <w:szCs w:val="16"/>
                <w:color w:val="auto"/>
              </w:rPr>
              <w:t>(1,942)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6"/>
                <w:szCs w:val="16"/>
                <w:color w:val="auto"/>
              </w:rPr>
              <w:t>(4,817)</w:t>
            </w:r>
          </w:p>
        </w:tc>
        <w:tc>
          <w:tcPr>
            <w:tcW w:w="0" w:type="dxa"/>
            <w:vAlign w:val="bottom"/>
          </w:tcPr>
          <w:p>
            <w:pPr>
              <w:spacing w:after="0"/>
              <w:rPr>
                <w:sz w:val="1"/>
                <w:szCs w:val="1"/>
                <w:color w:val="auto"/>
              </w:rPr>
            </w:pPr>
          </w:p>
        </w:tc>
      </w:tr>
      <w:tr>
        <w:trPr>
          <w:trHeight w:val="30"/>
        </w:trPr>
        <w:tc>
          <w:tcPr>
            <w:tcW w:w="7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cash equivalents, and restricted cash — beginning of year</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2,375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2,375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57,972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6"/>
                <w:szCs w:val="16"/>
                <w:b w:val="1"/>
                <w:bCs w:val="1"/>
                <w:color w:val="auto"/>
              </w:rPr>
              <w:t>Cash, cash equivalents, and restricted cash — end of year</w:t>
            </w: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4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300"/>
              <w:spacing w:after="0"/>
              <w:rPr>
                <w:sz w:val="20"/>
                <w:szCs w:val="20"/>
                <w:color w:val="auto"/>
              </w:rPr>
            </w:pPr>
            <w:r>
              <w:rPr>
                <w:rFonts w:ascii="Arial" w:cs="Arial" w:eastAsia="Arial" w:hAnsi="Arial"/>
                <w:sz w:val="16"/>
                <w:szCs w:val="16"/>
                <w:color w:val="auto"/>
                <w:w w:val="99"/>
              </w:rPr>
              <w:t>2,375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85"/>
              </w:rPr>
              <w:t>57,972</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433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53,155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300"/>
              <w:spacing w:after="0"/>
              <w:rPr>
                <w:sz w:val="20"/>
                <w:szCs w:val="20"/>
                <w:color w:val="auto"/>
              </w:rPr>
            </w:pPr>
            <w:r>
              <w:rPr>
                <w:rFonts w:ascii="Arial" w:cs="Arial" w:eastAsia="Arial" w:hAnsi="Arial"/>
                <w:sz w:val="16"/>
                <w:szCs w:val="16"/>
                <w:color w:val="auto"/>
                <w:w w:val="99"/>
              </w:rPr>
              <w:t>2,355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85"/>
              </w:rPr>
              <w:t>57,952</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413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53,135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Restricted cash</w:t>
            </w:r>
          </w:p>
        </w:tc>
        <w:tc>
          <w:tcPr>
            <w:tcW w:w="8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Arial" w:cs="Arial" w:eastAsia="Arial" w:hAnsi="Arial"/>
                <w:sz w:val="16"/>
                <w:szCs w:val="16"/>
                <w:color w:val="auto"/>
              </w:rPr>
              <w:t>20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Arial" w:cs="Arial" w:eastAsia="Arial" w:hAnsi="Arial"/>
                <w:sz w:val="16"/>
                <w:szCs w:val="16"/>
                <w:color w:val="auto"/>
              </w:rPr>
              <w:t>Cash, cash equivalents and restricted cash</w:t>
            </w:r>
          </w:p>
        </w:tc>
        <w:tc>
          <w:tcPr>
            <w:tcW w:w="8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4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5"/>
          </w:tcPr>
          <w:p>
            <w:pPr>
              <w:jc w:val="right"/>
              <w:ind w:right="300"/>
              <w:spacing w:after="0"/>
              <w:rPr>
                <w:sz w:val="20"/>
                <w:szCs w:val="20"/>
                <w:color w:val="auto"/>
              </w:rPr>
            </w:pPr>
            <w:r>
              <w:rPr>
                <w:rFonts w:ascii="Arial" w:cs="Arial" w:eastAsia="Arial" w:hAnsi="Arial"/>
                <w:sz w:val="16"/>
                <w:szCs w:val="16"/>
                <w:color w:val="auto"/>
                <w:w w:val="99"/>
              </w:rPr>
              <w:t>2,375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w w:val="85"/>
              </w:rPr>
              <w:t>57,972</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433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53,155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Noncash Investing and Financing Activities: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Arial" w:cs="Arial" w:eastAsia="Arial" w:hAnsi="Arial"/>
                <w:sz w:val="16"/>
                <w:szCs w:val="16"/>
                <w:color w:val="auto"/>
              </w:rPr>
              <w:t>Operating lease right-of-use asset obtained in exchange for operating lease liability</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163</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163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767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Settlement of derivative liabilities upon conversion of convertible notes (Note 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Arial" w:cs="Arial" w:eastAsia="Arial" w:hAnsi="Arial"/>
                <w:sz w:val="16"/>
                <w:szCs w:val="16"/>
                <w:color w:val="auto"/>
                <w:w w:val="99"/>
              </w:rPr>
              <w:t xml:space="preserve">Additions of property and equipment in accounts payable and other accrued liabilities </w:t>
            </w:r>
            <w:r>
              <w:rPr>
                <w:rFonts w:ascii="Arial" w:cs="Arial" w:eastAsia="Arial" w:hAnsi="Arial"/>
                <w:sz w:val="16"/>
                <w:szCs w:val="16"/>
                <w:i w:val="1"/>
                <w:iCs w:val="1"/>
                <w:color w:val="auto"/>
                <w:w w:val="99"/>
              </w:rPr>
              <w:t>(Note 3(b))</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5"/>
          </w:tcPr>
          <w:p>
            <w:pPr>
              <w:jc w:val="right"/>
              <w:ind w:right="200"/>
              <w:spacing w:after="0"/>
              <w:rPr>
                <w:sz w:val="20"/>
                <w:szCs w:val="20"/>
                <w:color w:val="auto"/>
              </w:rPr>
            </w:pPr>
            <w:r>
              <w:rPr>
                <w:rFonts w:ascii="Arial" w:cs="Arial" w:eastAsia="Arial" w:hAnsi="Arial"/>
                <w:sz w:val="16"/>
                <w:szCs w:val="16"/>
                <w:color w:val="auto"/>
              </w:rPr>
              <w:t>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Series B Preferred Stock issuance costs in accounts payable and other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Arial" w:cs="Arial" w:eastAsia="Arial" w:hAnsi="Arial"/>
                <w:sz w:val="16"/>
                <w:szCs w:val="16"/>
                <w:color w:val="auto"/>
              </w:rPr>
              <w:t xml:space="preserve">Conversion of convertible notes to Series B Preferred Stock </w:t>
            </w:r>
            <w:r>
              <w:rPr>
                <w:rFonts w:ascii="Arial" w:cs="Arial" w:eastAsia="Arial" w:hAnsi="Arial"/>
                <w:sz w:val="16"/>
                <w:szCs w:val="16"/>
                <w:i w:val="1"/>
                <w:iCs w:val="1"/>
                <w:color w:val="auto"/>
              </w:rPr>
              <w:t>(Note 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4"/>
          </w:tcPr>
          <w:p>
            <w:pPr>
              <w:jc w:val="right"/>
              <w:spacing w:after="0"/>
              <w:rPr>
                <w:sz w:val="20"/>
                <w:szCs w:val="20"/>
                <w:color w:val="auto"/>
              </w:rPr>
            </w:pPr>
            <w:r>
              <w:rPr>
                <w:rFonts w:ascii="Arial" w:cs="Arial" w:eastAsia="Arial" w:hAnsi="Arial"/>
                <w:sz w:val="16"/>
                <w:szCs w:val="16"/>
                <w:color w:val="auto"/>
              </w:rPr>
              <w:t>2,410</w:t>
            </w:r>
          </w:p>
        </w:tc>
        <w:tc>
          <w:tcPr>
            <w:tcW w:w="18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0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Convertible notes issuance costs included in 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Arial" w:cs="Arial" w:eastAsia="Arial" w:hAnsi="Arial"/>
                <w:sz w:val="16"/>
                <w:szCs w:val="16"/>
                <w:color w:val="auto"/>
              </w:rPr>
              <w:t>Deferred offering costs included in accounts payable and accrued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vMerge w:val="continue"/>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gridSpan w:val="3"/>
          </w:tcPr>
          <w:p>
            <w:pPr>
              <w:jc w:val="right"/>
              <w:ind w:right="380"/>
              <w:spacing w:after="0"/>
              <w:rPr>
                <w:sz w:val="20"/>
                <w:szCs w:val="20"/>
                <w:color w:val="auto"/>
              </w:rPr>
            </w:pPr>
            <w:r>
              <w:rPr>
                <w:rFonts w:ascii="Arial" w:cs="Arial" w:eastAsia="Arial" w:hAnsi="Arial"/>
                <w:sz w:val="16"/>
                <w:szCs w:val="16"/>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6"/>
                <w:szCs w:val="16"/>
                <w:color w:val="auto"/>
              </w:rPr>
            </w:pPr>
          </w:p>
        </w:tc>
        <w:tc>
          <w:tcPr>
            <w:tcW w:w="58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00" w:type="dxa"/>
            <w:vAlign w:val="bottom"/>
            <w:gridSpan w:val="4"/>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07" w:lineRule="exact"/>
        <w:rPr>
          <w:sz w:val="20"/>
          <w:szCs w:val="20"/>
          <w:color w:val="auto"/>
        </w:rPr>
      </w:pPr>
    </w:p>
    <w:p>
      <w:pPr>
        <w:ind w:left="120" w:right="3860"/>
        <w:spacing w:after="0" w:line="377" w:lineRule="auto"/>
        <w:rPr>
          <w:sz w:val="20"/>
          <w:szCs w:val="20"/>
          <w:color w:val="auto"/>
        </w:rPr>
      </w:pPr>
      <w:r>
        <w:rPr>
          <w:rFonts w:ascii="Arial" w:cs="Arial" w:eastAsia="Arial" w:hAnsi="Arial"/>
          <w:sz w:val="18"/>
          <w:szCs w:val="18"/>
          <w:b w:val="1"/>
          <w:bCs w:val="1"/>
          <w:color w:val="auto"/>
        </w:rPr>
        <w:t xml:space="preserve">1. DESCRIPTION OF BUSINESS AND PRESENTATION OF FINANCIAL STATEMENTS </w:t>
      </w:r>
      <w:r>
        <w:rPr>
          <w:rFonts w:ascii="Arial" w:cs="Arial" w:eastAsia="Arial" w:hAnsi="Arial"/>
          <w:sz w:val="18"/>
          <w:szCs w:val="18"/>
          <w:b w:val="1"/>
          <w:bCs w:val="1"/>
          <w:i w:val="1"/>
          <w:iCs w:val="1"/>
          <w:color w:val="auto"/>
        </w:rPr>
        <w:t>(a) Description of Business</w:t>
      </w:r>
    </w:p>
    <w:p>
      <w:pPr>
        <w:spacing w:after="0" w:line="2"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84"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On October 8, 2020, the Board of Directors approved a 1-for-7.4276 reverse stock split of the Company’s capital stock and the Company filed a certificate of amendment to its restated certificate of incorporation to effect the split. The par value was not adjusted as a result of the reverse split. All share and per share information included in the accompanying financial statements has been adjusted to reflect this reverse stock split.</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Liquidity Risks</w:t>
      </w:r>
    </w:p>
    <w:p>
      <w:pPr>
        <w:spacing w:after="0" w:line="225" w:lineRule="exact"/>
        <w:rPr>
          <w:sz w:val="20"/>
          <w:szCs w:val="20"/>
          <w:color w:val="auto"/>
        </w:rPr>
      </w:pPr>
    </w:p>
    <w:p>
      <w:pPr>
        <w:ind w:left="120" w:right="180" w:firstLine="881"/>
        <w:spacing w:after="0" w:line="291" w:lineRule="auto"/>
        <w:rPr>
          <w:sz w:val="20"/>
          <w:szCs w:val="20"/>
          <w:color w:val="auto"/>
        </w:rPr>
      </w:pPr>
      <w:r>
        <w:rPr>
          <w:rFonts w:ascii="Arial" w:cs="Arial" w:eastAsia="Arial" w:hAnsi="Arial"/>
          <w:sz w:val="16"/>
          <w:szCs w:val="16"/>
          <w:color w:val="auto"/>
        </w:rPr>
        <w:t>The Company has no revenue and incurred losses and negative cash flows from operations since inception, resulting in an accumulated deficit of $6.0 million as of December 31, 2019, and $11.2 million as of June 30, 2020. The Company’s cash and cash equivalents was $2.4 million, $58.0 million, and $53.1 million as of December 31, 2018, December 31, 2019, and June 30, 2020, respectively, and has historically financed its operations primarily through equity capital raises. Additionally, in September 2020, the Company received $40.0 million in gross cash proceeds from the sale of its Series C preferred stock. See Note 12. The Company believes that existing capital resources, including the cash proceeds received from the issuance of Series C preferred stock, will be sufficient to meet projected operating requirements for at least 12 months from the date of issuance of the accompanying financial statements, though expects to incur operating losses and negative cash flows for the foreseeable future.</w:t>
      </w:r>
    </w:p>
    <w:p>
      <w:pPr>
        <w:spacing w:after="0" w:line="166"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Company’s operations have consisted primarily of its organization, securing financing,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92"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Operating Segment</w:t>
      </w:r>
    </w:p>
    <w:p>
      <w:pPr>
        <w:spacing w:after="0" w:line="225"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 for commercialization.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Emerging Growth Company Status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 Unaudited Interim Financial Information</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interim condensed balance sheet as of June 30, 2020, and the interim condensed statements of operations and comprehensive loss, changes in preferred stock and stockholders’ deficit and cash flows for the six months ended June 30, 2019 and 2020 are unaudited. These unaudited interim financial statements have been prepared on the same basis as the Company’s annual financial statements and, in the opinion of management, reflect all adjustments, which consist of only normal recurring adjustments, necessary for the fair statement of the Company’s financial information. The financial data and other information disclosed in these notes related to the six month periods are also unaudited. The condensed interim results for the six months ended June 30, 2020 are not necessarily indicative of results to be expected for the year ending December 31, 2020, any other interim periods or any future year or period.</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 Unaudited Pro Forma Information</w:t>
      </w:r>
    </w:p>
    <w:p>
      <w:pPr>
        <w:spacing w:after="0" w:line="225"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The unaudited pro forma stockholders’ equity in the accompanying balance sheet as of June 30, 2020 assumes the conversion of all of the outstanding preferred stock of the Company on a one-to-one basis into 8,249,939 shares of common stock immediately prior to the completion of the Company’s planned initial public offering (“IPO”). The unaudited pro forma stockholders’ equity in the balance sheet assumes that the completion of the IPO had occurred as of June 30, 2020 and excludes shares of the Company’s common stock issued in the proposed IPO and any related proceeds therefrom.</w:t>
      </w:r>
    </w:p>
    <w:p>
      <w:pPr>
        <w:spacing w:after="0" w:line="188"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unaudited pro forma net loss per share information for the six months ended June 30, 2020 assumes the conversion of all outstanding preferred stock into 8,249,939 shares of the Company’s common stock at the beginning of the period or the date of issuance, if later.</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(Information as of June 30, 2020 and thereafter and for the six months ended June 30, 2019 and 2020 is unaudited; all tabular amounts</w:t>
      </w:r>
    </w:p>
    <w:p>
      <w:pPr>
        <w:spacing w:after="0" w:line="3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382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USE OF ESTIMATES </w:t>
      </w:r>
      <w:r>
        <w:rPr>
          <w:rFonts w:ascii="Arial" w:cs="Arial" w:eastAsia="Arial" w:hAnsi="Arial"/>
          <w:sz w:val="18"/>
          <w:szCs w:val="18"/>
          <w:b w:val="1"/>
          <w:bCs w:val="1"/>
          <w:i w:val="1"/>
          <w:iCs w:val="1"/>
          <w:color w:val="auto"/>
        </w:rPr>
        <w:t>(i) Basis of Presentation</w:t>
      </w:r>
    </w:p>
    <w:p>
      <w:pPr>
        <w:ind w:left="120" w:firstLine="881"/>
        <w:spacing w:after="0" w:line="272"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and with the rules and regulations of the Securities and Exchange Commission (“SEC”) 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 awards and periodic expense recognition of stock-based compensation, (ii) the realization of income tax assets and estimates of tax liabilities, (iii) expense accruals related to research and development activities, including clinical trials, and (iv) valuation of convertible notes, derivative instruments, and preferred stock.</w:t>
      </w:r>
    </w:p>
    <w:p>
      <w:pPr>
        <w:spacing w:after="0" w:line="17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Accounting policies and estimates that most significantly impact the presented amounts within these financial statements are further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(ii) Cash and Cash Equivalents</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Cash and cash equivalents consist of bank deposits and highly liquid investments, including money market fund accounts, with original maturities of three months or less from the purchase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(iii) Restricted Cash</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70"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 xml:space="preserve">In November 2016, the Financial Accounting Standards Board (“FASB”) issued Accounting Standards Update (“ASU”) No. 2016-18, </w:t>
      </w:r>
      <w:r>
        <w:rPr>
          <w:rFonts w:ascii="Arial" w:cs="Arial" w:eastAsia="Arial" w:hAnsi="Arial"/>
          <w:sz w:val="17"/>
          <w:szCs w:val="17"/>
          <w:i w:val="1"/>
          <w:iCs w:val="1"/>
          <w:color w:val="auto"/>
        </w:rPr>
        <w:t xml:space="preserve">Statement of Cash Flows (Topic 230): Restricted Cash </w:t>
      </w:r>
      <w:r>
        <w:rPr>
          <w:rFonts w:ascii="Arial" w:cs="Arial" w:eastAsia="Arial" w:hAnsi="Arial"/>
          <w:sz w:val="17"/>
          <w:szCs w:val="17"/>
          <w:color w:val="auto"/>
        </w:rPr>
        <w:t>(“ASU 2016-18”), which requires companies to include restricted cash and restricted cash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equivalents in cash and cash equivalents when reconciling beginning-of-period and end-of-period total amounts shown on the statement of cash flows. The Company early adopted </w:t>
      </w:r>
      <w:r>
        <w:rPr>
          <w:rFonts w:ascii="Arial" w:cs="Arial" w:eastAsia="Arial" w:hAnsi="Arial"/>
          <w:sz w:val="17"/>
          <w:szCs w:val="17"/>
          <w:i w:val="1"/>
          <w:iCs w:val="1"/>
          <w:color w:val="auto"/>
        </w:rPr>
        <w:t>ASU 2016-18</w:t>
      </w:r>
      <w:r>
        <w:rPr>
          <w:rFonts w:ascii="Arial" w:cs="Arial" w:eastAsia="Arial" w:hAnsi="Arial"/>
          <w:sz w:val="17"/>
          <w:szCs w:val="17"/>
          <w:color w:val="auto"/>
        </w:rPr>
        <w:t xml:space="preserve"> on January 1, 2018, as reflected in the accompanying Statements of Cash Flows.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(iv) Concentration of Credit Risk and Other Risks and Uncertainties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70" w:lineRule="exact"/>
        <w:rPr>
          <w:sz w:val="20"/>
          <w:szCs w:val="20"/>
          <w:color w:val="auto"/>
        </w:rPr>
      </w:pPr>
    </w:p>
    <w:p>
      <w:pPr>
        <w:jc w:val="both"/>
        <w:ind w:left="120" w:right="80" w:firstLine="881"/>
        <w:spacing w:after="0" w:line="301" w:lineRule="auto"/>
        <w:rPr>
          <w:sz w:val="20"/>
          <w:szCs w:val="20"/>
          <w:color w:val="auto"/>
        </w:rPr>
      </w:pPr>
      <w:r>
        <w:rPr>
          <w:rFonts w:ascii="Arial" w:cs="Arial" w:eastAsia="Arial" w:hAnsi="Arial"/>
          <w:sz w:val="16"/>
          <w:szCs w:val="16"/>
          <w:color w:val="auto"/>
        </w:rPr>
        <w:t>In March 2020, the World Health Organization declared a pandemic related to the global novel coronavirus disease 2019 (“COVID-19”) outbreak. The Company’s operations have not been significantly impacted by the COVID-19 pandemic. The Company has been carefully monitoring the potential impact COVID-19 may have on the Company’s business. However, the Company cannot at this time predict the specific extent, duration, or full impact that the COVID-19 outbreak will have on its financial condition and operations, including ongoing and planned clinical trials.</w:t>
      </w:r>
    </w:p>
    <w:p>
      <w:pPr>
        <w:spacing w:after="0" w:line="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20"/>
          </w:cols>
          <w:pgMar w:left="320" w:top="459" w:right="5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60" w:firstLine="881"/>
        <w:spacing w:after="0" w:line="255" w:lineRule="auto"/>
        <w:rPr>
          <w:sz w:val="20"/>
          <w:szCs w:val="20"/>
          <w:color w:val="auto"/>
        </w:rPr>
      </w:pPr>
      <w:r>
        <w:rPr>
          <w:rFonts w:ascii="Arial" w:cs="Arial" w:eastAsia="Arial" w:hAnsi="Arial"/>
          <w:sz w:val="18"/>
          <w:szCs w:val="18"/>
          <w:color w:val="auto"/>
        </w:rPr>
        <w:t>The Company’s results of operations involve numerous risks and uncertainties. Factors that could affect the Company’s operating results and cause actual results to vary materially from expectations include, but are not limited to, uncertainty of results of clinical trials, uncertainty of regulatory approval of the Company’s potential product candidates, including TP-03 for ophthalmic conditions, TP-04 for treatment of skin conditions and TP-05 for prophylaxis of Lyme and community malaria reduction, uncertainty of market acceptance of its product candidates, competition from substitute products and larger companies, securing and protecting proprietary technology, strategic relationships and dependence on key individuals and sole source suppliers.</w:t>
      </w:r>
    </w:p>
    <w:p>
      <w:pPr>
        <w:spacing w:after="0" w:line="192"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 Property and Equipment</w:t>
      </w:r>
    </w:p>
    <w:p>
      <w:pPr>
        <w:spacing w:after="0" w:line="225" w:lineRule="exact"/>
        <w:rPr>
          <w:sz w:val="20"/>
          <w:szCs w:val="20"/>
          <w:color w:val="auto"/>
        </w:rPr>
      </w:pPr>
    </w:p>
    <w:p>
      <w:pPr>
        <w:ind w:left="120" w:right="140" w:firstLine="881"/>
        <w:spacing w:after="0" w:line="253" w:lineRule="auto"/>
        <w:rPr>
          <w:sz w:val="20"/>
          <w:szCs w:val="20"/>
          <w:color w:val="auto"/>
        </w:rPr>
      </w:pPr>
      <w:r>
        <w:rPr>
          <w:rFonts w:ascii="Arial" w:cs="Arial" w:eastAsia="Arial" w:hAnsi="Arial"/>
          <w:sz w:val="18"/>
          <w:szCs w:val="18"/>
          <w:color w:val="auto"/>
        </w:rPr>
        <w:t>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events or changes in business circumstances during the years ended December 31, 2018 and 2019 or the six months ended June 30, 2020 that indicated the carrying amounts of any long-lived assets were not fully recoverable.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 Derivative Instruments</w:t>
      </w:r>
    </w:p>
    <w:p>
      <w:pPr>
        <w:spacing w:after="0" w:line="225"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 xml:space="preserve">The convertible notes issued in May 2019, August 2019, and October 2019 contained embedded derivative instruments, representing “contingent redemption options”. The contingent redemption options met the requirements for separate accounting and were accounted for as a single derivative instrument for each tranche of the convertible notes. The derivative instruments were recorded at fair value at inception and were subject to remeasurement to fair value, with any changes in estimated fair value recognized as a component of “other (expense) income” in the Statements of Operations and Comprehensive Loss (see </w:t>
      </w:r>
      <w:r>
        <w:rPr>
          <w:rFonts w:ascii="Arial" w:cs="Arial" w:eastAsia="Arial" w:hAnsi="Arial"/>
          <w:sz w:val="18"/>
          <w:szCs w:val="18"/>
          <w:i w:val="1"/>
          <w:iCs w:val="1"/>
          <w:color w:val="auto"/>
        </w:rPr>
        <w:t>Note 8</w:t>
      </w:r>
      <w:r>
        <w:rPr>
          <w:rFonts w:ascii="Arial" w:cs="Arial" w:eastAsia="Arial" w:hAnsi="Arial"/>
          <w:sz w:val="18"/>
          <w:szCs w:val="18"/>
          <w:color w:val="auto"/>
        </w:rPr>
        <w: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(vii) Research and Development Costs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Prior to receiving invoices from its vendors, the Company accrues expense for pre-clinical studies and clinical trial</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84"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only executed in-license agreement (see </w:t>
      </w:r>
      <w:r>
        <w:rPr>
          <w:rFonts w:ascii="Arial" w:cs="Arial" w:eastAsia="Arial" w:hAnsi="Arial"/>
          <w:sz w:val="17"/>
          <w:szCs w:val="17"/>
          <w:i w:val="1"/>
          <w:iCs w:val="1"/>
          <w:color w:val="auto"/>
        </w:rPr>
        <w:t>Note 10(b)</w:t>
      </w:r>
      <w:r>
        <w:rPr>
          <w:rFonts w:ascii="Arial" w:cs="Arial" w:eastAsia="Arial" w:hAnsi="Arial"/>
          <w:sz w:val="17"/>
          <w:szCs w:val="17"/>
          <w:color w:val="auto"/>
        </w:rPr>
        <w:t>) was evaluated and determined to represent an asset acquisition. Because this asset had not yet received regulatory approval and has no alternative future use, its fair value was immediately recognized as research and development expense. In addition, any future milestone payments made before product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(viii) Deferred Offering Costs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Costs directly related to the Company’s IPO are deferred for expense recognition and instead capitalized and recorded on the accompanying balance sheets. These costs consist of legal fees, accounting fees, and other applicable professional services. These deferred offering costs will be reclassified to “additional paid in capital” upon the closing of the planned IPO. In the event that the Company’s plans for an IPO are terminated, all deferred offering costs will be recognized within “general and administrative” and expensed in the same period on the Company’s statements of operations and comprehensive loss. There were no deferred offering costs capitalized as of December 31, 2018 and 2019. As of June 30, 2020, $0.1 million of deferred offering costs are reported on the accompanying Balance Sheets within “other assets.”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(ix) Stock-Based Compensation</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66"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9"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40" w:firstLine="881"/>
        <w:spacing w:after="0" w:line="272" w:lineRule="auto"/>
        <w:rPr>
          <w:sz w:val="20"/>
          <w:szCs w:val="20"/>
          <w:color w:val="auto"/>
        </w:rPr>
      </w:pPr>
      <w:r>
        <w:rPr>
          <w:rFonts w:ascii="Arial" w:cs="Arial" w:eastAsia="Arial" w:hAnsi="Arial"/>
          <w:sz w:val="17"/>
          <w:szCs w:val="17"/>
          <w:color w:val="auto"/>
        </w:rPr>
        <w:t>Management estimates the expected term of awarded stock options utilizing the “simplified method” for awards as the Company does not yet have sufficient exercise history since its November 2016 formation. Further, the Company is privately-held and therefore lacks company-specific historical and implied volatility information of its stock. Accordingly, management estimates this expected volatility using that of its designated peer-group of publicly-traded companies for a look-back period, as of the date of grant, that corresponds with the expected 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77"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 Income Taxes</w:t>
      </w:r>
    </w:p>
    <w:p>
      <w:pPr>
        <w:spacing w:after="0" w:line="225"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66"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49"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 the period the notice was received. To date there have been no interest or penalties charged.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(xi) Preferred Stock</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classifies preferred stock outside of stockholders’ deficit on the accompanying balance sheets. The requirements of a deemed liquidation event, as defined within its amended and restated certificate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9" w:right="49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incorporation filed in 2019 (the “2019 Amended and Restated Certificate of Incorporation”) are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records the issuance of preferred stock at the issuance price less related issuance costs. The Company has not adjusted the carrying value of outstanding preferred stock to its liquidation preference because a deemed liquidation event is not probable of occurring as of the end of the reporting period.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(xii) Net Loss per Share Attributable to Common Stockholders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by the weighted-average number of shares of common stock outstanding for the period, without the consideration for potential dilutive shares of 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(xiii) Unaudited Pro forma Net Loss Per Share Attributable to Common Stockholders</w:t>
      </w:r>
    </w:p>
    <w:p>
      <w:pPr>
        <w:spacing w:after="0" w:line="225"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unaudited pro forma basic and diluted net loss per share attributable to common stockholders has been computed to give effect to the automatic conversion of all outstanding preferred stock into shares of common stock using the if-converted method immediately prior to the closing of a qualifying IPO (</w:t>
      </w:r>
      <w:r>
        <w:rPr>
          <w:rFonts w:ascii="Arial" w:cs="Arial" w:eastAsia="Arial" w:hAnsi="Arial"/>
          <w:sz w:val="16"/>
          <w:szCs w:val="16"/>
          <w:i w:val="1"/>
          <w:iCs w:val="1"/>
          <w:color w:val="auto"/>
        </w:rPr>
        <w:t>Note 4</w:t>
      </w:r>
      <w:r>
        <w:rPr>
          <w:rFonts w:ascii="Arial" w:cs="Arial" w:eastAsia="Arial" w:hAnsi="Arial"/>
          <w:sz w:val="16"/>
          <w:szCs w:val="16"/>
          <w:color w:val="auto"/>
        </w:rPr>
        <w:t>) as though such IPO had occurred as of the beginning of the period or the date of issuance, if later. The unaudited pro forma net loss per share does not include the shares expected to be sold and related proceeds to be received from the IPO of Tarsus’ common stock.</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(xiv) Fair Value Measurements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19" w:lineRule="exact"/>
        <w:rPr>
          <w:sz w:val="20"/>
          <w:szCs w:val="20"/>
          <w:color w:val="auto"/>
        </w:rPr>
      </w:pPr>
    </w:p>
    <w:p>
      <w:pPr>
        <w:ind w:left="1420" w:right="140" w:hanging="319"/>
        <w:spacing w:after="0" w:line="277" w:lineRule="auto"/>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(unadjusted) in active markets for identical assets or liabilities that are publicly accessible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420" w:right="180" w:hanging="319"/>
        <w:spacing w:after="0" w:line="263"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prices that are based on inputs not quoted on active markets, but that are corroborated by market data.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may include quoted prices for similar assets or liabilities or quoted market prices in markets that are not active to the general public.</w:t>
      </w:r>
    </w:p>
    <w:p>
      <w:pPr>
        <w:spacing w:after="0" w:line="210"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70" w:lineRule="exact"/>
        <w:rPr>
          <w:sz w:val="20"/>
          <w:szCs w:val="20"/>
          <w:color w:val="auto"/>
        </w:rPr>
      </w:pPr>
    </w:p>
    <w:p>
      <w:pPr>
        <w:ind w:left="120" w:right="860" w:firstLine="881"/>
        <w:spacing w:after="0" w:line="342" w:lineRule="auto"/>
        <w:rPr>
          <w:sz w:val="20"/>
          <w:szCs w:val="20"/>
          <w:color w:val="auto"/>
        </w:rPr>
      </w:pPr>
      <w:r>
        <w:rPr>
          <w:rFonts w:ascii="Arial" w:cs="Arial" w:eastAsia="Arial" w:hAnsi="Arial"/>
          <w:sz w:val="16"/>
          <w:szCs w:val="16"/>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(xv) Comprehensive Loss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Comprehensive loss represents all changes in stockholders’ deficit, except those resulting from distributions to stockholders. For all periods presented, comprehensive loss was the same as reported net loss.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(xvi) Recently Issued or Effective Accounting Standards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BALANCE SHEET ACCOUNT DETAIL</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composition of selected financial statement captions that comprise the accompanying balance sheets are summarized below:</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Prepaid Expenses and Other Current Assets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“Prepaid expenses and other current assets” consists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9"/>
              </w:rPr>
              <w:t>June 30,</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9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Clinical research organization service assets</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5"/>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1,057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1,549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80" w:type="dxa"/>
            <w:vAlign w:val="bottom"/>
            <w:gridSpan w:val="2"/>
          </w:tcPr>
          <w:p>
            <w:pPr>
              <w:jc w:val="right"/>
              <w:ind w:right="2087"/>
              <w:spacing w:after="0"/>
              <w:rPr>
                <w:sz w:val="20"/>
                <w:szCs w:val="20"/>
                <w:color w:val="auto"/>
              </w:rPr>
            </w:pPr>
            <w:r>
              <w:rPr>
                <w:rFonts w:ascii="Arial" w:cs="Arial" w:eastAsia="Arial" w:hAnsi="Arial"/>
                <w:sz w:val="18"/>
                <w:szCs w:val="18"/>
                <w:color w:val="auto"/>
              </w:rPr>
              <w:t>F-14</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 Property and Equipment, net of Accumulated Depreciation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“Property and equipment, net of accumulated depreciation” consists of the following:</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620"/>
              <w:spacing w:after="0"/>
              <w:rPr>
                <w:sz w:val="20"/>
                <w:szCs w:val="20"/>
                <w:color w:val="auto"/>
              </w:rPr>
            </w:pPr>
            <w:r>
              <w:rPr>
                <w:rFonts w:ascii="Arial" w:cs="Arial" w:eastAsia="Arial" w:hAnsi="Arial"/>
                <w:sz w:val="14"/>
                <w:szCs w:val="14"/>
                <w:b w:val="1"/>
                <w:bCs w:val="1"/>
                <w:color w:val="auto"/>
                <w:w w:val="99"/>
              </w:rPr>
              <w:t>June 30,</w:t>
            </w: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9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Office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Lab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180"/>
              <w:spacing w:after="0"/>
              <w:rPr>
                <w:sz w:val="20"/>
                <w:szCs w:val="20"/>
                <w:color w:val="auto"/>
              </w:rPr>
            </w:pPr>
            <w:r>
              <w:rPr>
                <w:rFonts w:ascii="Arial" w:cs="Arial" w:eastAsia="Arial" w:hAnsi="Arial"/>
                <w:sz w:val="18"/>
                <w:szCs w:val="18"/>
                <w:color w:val="auto"/>
                <w:w w:val="79"/>
              </w:rPr>
              <w:t>7</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79"/>
              </w:rPr>
              <w:t>6</w:t>
            </w:r>
          </w:p>
        </w:tc>
        <w:tc>
          <w:tcPr>
            <w:tcW w:w="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Depreciation expense (included within “total operating expenses” in the accompanying Statements of Operations and Comprehensive Loss) for the years ended December 31, 2018 and 2019 was $1 thousand and $37 thousand, respectively. Depreciation expense for the six months ended June 30, 2019 and 2020 was $9 thousand and $32 thousand,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 Accounts Payable and Other Accrued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“Accounts payable and other accrued liabilities” consists of the following:</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880" w:type="dxa"/>
            <w:vAlign w:val="bottom"/>
            <w:tcBorders>
              <w:top w:val="single" w:sz="8" w:color="auto"/>
            </w:tcBorders>
            <w:gridSpan w:val="2"/>
          </w:tcPr>
          <w:p>
            <w:pPr>
              <w:jc w:val="center"/>
              <w:ind w:left="396"/>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2"/>
                <w:szCs w:val="12"/>
                <w:color w:val="auto"/>
              </w:rPr>
            </w:pPr>
          </w:p>
        </w:tc>
        <w:tc>
          <w:tcPr>
            <w:tcW w:w="5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$175</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$456</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 xml:space="preserve">Shares subject to repurchase from its founders </w:t>
            </w:r>
            <w:r>
              <w:rPr>
                <w:rFonts w:ascii="Arial" w:cs="Arial" w:eastAsia="Arial" w:hAnsi="Arial"/>
                <w:sz w:val="18"/>
                <w:szCs w:val="18"/>
                <w:i w:val="1"/>
                <w:iCs w:val="1"/>
                <w:color w:val="auto"/>
              </w:rPr>
              <w:t>(Note 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current portion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Accrued clinical studies</w:t>
            </w:r>
          </w:p>
        </w:tc>
        <w:tc>
          <w:tcPr>
            <w:tcW w:w="5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 early exercise liability, current portion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accrued liabilities</w:t>
            </w:r>
          </w:p>
        </w:tc>
        <w:tc>
          <w:tcPr>
            <w:tcW w:w="9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176</w:t>
            </w:r>
          </w:p>
        </w:tc>
        <w:tc>
          <w:tcPr>
            <w:tcW w:w="880" w:type="dxa"/>
            <w:vAlign w:val="bottom"/>
            <w:gridSpan w:val="2"/>
            <w:shd w:val="clear" w:color="auto" w:fill="CCEEFF"/>
          </w:tcPr>
          <w:p>
            <w:pPr>
              <w:jc w:val="center"/>
              <w:ind w:left="396"/>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3780"/>
              <w:spacing w:after="0"/>
              <w:rPr>
                <w:sz w:val="20"/>
                <w:szCs w:val="20"/>
                <w:color w:val="auto"/>
              </w:rPr>
            </w:pPr>
            <w:r>
              <w:rPr>
                <w:rFonts w:ascii="Arial" w:cs="Arial" w:eastAsia="Arial" w:hAnsi="Arial"/>
                <w:sz w:val="18"/>
                <w:szCs w:val="18"/>
                <w:color w:val="auto"/>
              </w:rPr>
              <w:t>F-15</w:t>
            </w: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 Other Long-Term Liabilities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long-term liabilities” consists of the following:</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9"/>
              </w:rPr>
              <w:t>June 30,</w:t>
            </w: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940" w:type="dxa"/>
            <w:vAlign w:val="bottom"/>
            <w:tcBorders>
              <w:top w:val="single" w:sz="8" w:color="auto"/>
            </w:tcBorders>
            <w:gridSpan w:val="2"/>
          </w:tcPr>
          <w:p>
            <w:pPr>
              <w:jc w:val="center"/>
              <w:ind w:left="499"/>
              <w:spacing w:after="0" w:line="142"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 non-current portion</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85"/>
              </w:rPr>
              <w:t>$—</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8"/>
              </w:rPr>
              <w:t>Employee stock option early exercise liability, non-current portion</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left="499"/>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100</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jc w:val="both"/>
        <w:ind w:left="120" w:right="300" w:firstLine="881"/>
        <w:spacing w:after="0" w:line="311" w:lineRule="auto"/>
        <w:rPr>
          <w:sz w:val="20"/>
          <w:szCs w:val="20"/>
          <w:color w:val="auto"/>
        </w:rPr>
      </w:pPr>
      <w:r>
        <w:rPr>
          <w:rFonts w:ascii="Arial" w:cs="Arial" w:eastAsia="Arial" w:hAnsi="Arial"/>
          <w:sz w:val="16"/>
          <w:szCs w:val="16"/>
          <w:color w:val="auto"/>
        </w:rPr>
        <w:t>Under the December 2019 Amended and Restated Certificate of Incorporation, the Company is authorized to issue two classes of stock: common and preferred. The total number of shares authorized for issuance is 13.9 million of common shares and 8.3 million of preferred shares, of which 1.6 million shares are designated as Series A Preferred Stock and 6.7 million shares are designated as Series B Preferred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Overview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A Preferred Stock Issuance</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March and May 2018, the Company executed a private placement Series A Stock Purchase Agreement and issued 1.6 million shares of Series A Preferred Stock at $2.3174 per share for net proceeds of $3.6 million, after issuance costs of $0.1 million.</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1140" w:type="dxa"/>
            <w:vAlign w:val="bottom"/>
            <w:gridSpan w:val="2"/>
            <w:vMerge w:val="restart"/>
          </w:tcPr>
          <w:p>
            <w:pPr>
              <w:jc w:val="center"/>
              <w:ind w:left="348"/>
              <w:spacing w:after="0"/>
              <w:rPr>
                <w:sz w:val="20"/>
                <w:szCs w:val="20"/>
                <w:color w:val="auto"/>
              </w:rPr>
            </w:pPr>
            <w:r>
              <w:rPr>
                <w:rFonts w:ascii="Arial" w:cs="Arial" w:eastAsia="Arial" w:hAnsi="Arial"/>
                <w:sz w:val="14"/>
                <w:szCs w:val="14"/>
                <w:b w:val="1"/>
                <w:bCs w:val="1"/>
                <w:color w:val="auto"/>
                <w:w w:val="95"/>
              </w:rPr>
              <w:t>Liquidation</w:t>
            </w:r>
          </w:p>
        </w:tc>
        <w:tc>
          <w:tcPr>
            <w:tcW w:w="42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w w:val="90"/>
              </w:rPr>
              <w:t>As of December 31, 2018</w:t>
            </w:r>
          </w:p>
        </w:tc>
        <w:tc>
          <w:tcPr>
            <w:tcW w:w="2700" w:type="dxa"/>
            <w:vAlign w:val="bottom"/>
            <w:vMerge w:val="restart"/>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Authorized</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Outstanding</w:t>
            </w:r>
          </w:p>
        </w:tc>
        <w:tc>
          <w:tcPr>
            <w:tcW w:w="1000" w:type="dxa"/>
            <w:vAlign w:val="bottom"/>
            <w:gridSpan w:val="2"/>
          </w:tcPr>
          <w:p>
            <w:pPr>
              <w:jc w:val="center"/>
              <w:ind w:left="328"/>
              <w:spacing w:after="0" w:line="149" w:lineRule="exact"/>
              <w:rPr>
                <w:sz w:val="20"/>
                <w:szCs w:val="20"/>
                <w:color w:val="auto"/>
              </w:rPr>
            </w:pPr>
            <w:r>
              <w:rPr>
                <w:rFonts w:ascii="Arial" w:cs="Arial" w:eastAsia="Arial" w:hAnsi="Arial"/>
                <w:sz w:val="14"/>
                <w:szCs w:val="14"/>
                <w:b w:val="1"/>
                <w:bCs w:val="1"/>
                <w:color w:val="auto"/>
                <w:w w:val="97"/>
              </w:rPr>
              <w:t>Carrying</w:t>
            </w: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Issue</w:t>
            </w:r>
          </w:p>
        </w:tc>
        <w:tc>
          <w:tcPr>
            <w:tcW w:w="0" w:type="dxa"/>
            <w:vAlign w:val="bottom"/>
          </w:tcPr>
          <w:p>
            <w:pPr>
              <w:spacing w:after="0"/>
              <w:rPr>
                <w:sz w:val="1"/>
                <w:szCs w:val="1"/>
                <w:color w:val="auto"/>
              </w:rPr>
            </w:pPr>
          </w:p>
        </w:tc>
      </w:tr>
      <w:tr>
        <w:trPr>
          <w:trHeight w:val="178"/>
        </w:trPr>
        <w:tc>
          <w:tcPr>
            <w:tcW w:w="152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Preference</w:t>
            </w:r>
          </w:p>
        </w:tc>
        <w:tc>
          <w:tcPr>
            <w:tcW w:w="420" w:type="dxa"/>
            <w:vAlign w:val="bottom"/>
          </w:tcPr>
          <w:p>
            <w:pPr>
              <w:spacing w:after="0"/>
              <w:rPr>
                <w:sz w:val="15"/>
                <w:szCs w:val="15"/>
                <w:color w:val="auto"/>
              </w:rPr>
            </w:pPr>
          </w:p>
        </w:tc>
        <w:tc>
          <w:tcPr>
            <w:tcW w:w="6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Series A Preferred Stock</w:t>
            </w: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1,726,063</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1,575,030</w:t>
            </w:r>
          </w:p>
        </w:tc>
        <w:tc>
          <w:tcPr>
            <w:tcW w:w="4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$ 3,564</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   3,650</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$2.3174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December 2019, the Company executed a private placement Series B Stock Purchase Agreement of 6.7 million shares of Series B Preferred Stock at $8.9904 per share for net proceeds of $57.4 million, after issuance costs of $0.2 million. Concurrently, convertible notes issued in May, August, and October 2019 for aggregate proceeds of $2.0 million were converted based on principal and accrued interest, and the Company issued 0.3 million shares of Series B Preferred Stock at its contractual conversion price (see </w:t>
      </w:r>
      <w:r>
        <w:rPr>
          <w:rFonts w:ascii="Arial" w:cs="Arial" w:eastAsia="Arial" w:hAnsi="Arial"/>
          <w:sz w:val="18"/>
          <w:szCs w:val="18"/>
          <w:i w:val="1"/>
          <w:iCs w:val="1"/>
          <w:color w:val="auto"/>
        </w:rPr>
        <w:t>Note 9</w:t>
      </w:r>
      <w:r>
        <w:rPr>
          <w:rFonts w:ascii="Arial" w:cs="Arial" w:eastAsia="Arial" w:hAnsi="Arial"/>
          <w:sz w:val="18"/>
          <w:szCs w:val="18"/>
          <w:color w:val="auto"/>
        </w:rPr>
        <w:t>). The table below includes preferred stock details as of December 31, 2019 and June 30, 2020.</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As of December 31, 2019 and</w:t>
            </w:r>
          </w:p>
        </w:tc>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7"/>
              <w:spacing w:after="0"/>
              <w:rPr>
                <w:sz w:val="20"/>
                <w:szCs w:val="20"/>
                <w:color w:val="auto"/>
              </w:rPr>
            </w:pPr>
            <w:r>
              <w:rPr>
                <w:rFonts w:ascii="Arial" w:cs="Arial" w:eastAsia="Arial" w:hAnsi="Arial"/>
                <w:sz w:val="14"/>
                <w:szCs w:val="14"/>
                <w:b w:val="1"/>
                <w:bCs w:val="1"/>
                <w:color w:val="auto"/>
                <w:w w:val="97"/>
              </w:rPr>
              <w:t>Net</w:t>
            </w:r>
          </w:p>
        </w:tc>
        <w:tc>
          <w:tcPr>
            <w:tcW w:w="42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Liquidation</w:t>
            </w:r>
          </w:p>
        </w:tc>
        <w:tc>
          <w:tcPr>
            <w:tcW w:w="42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Original</w:t>
            </w:r>
          </w:p>
        </w:tc>
        <w:tc>
          <w:tcPr>
            <w:tcW w:w="0" w:type="dxa"/>
            <w:vAlign w:val="bottom"/>
          </w:tcPr>
          <w:p>
            <w:pPr>
              <w:spacing w:after="0"/>
              <w:rPr>
                <w:sz w:val="1"/>
                <w:szCs w:val="1"/>
                <w:color w:val="auto"/>
              </w:rPr>
            </w:pPr>
          </w:p>
        </w:tc>
      </w:tr>
      <w:tr>
        <w:trPr>
          <w:trHeight w:val="144"/>
        </w:trPr>
        <w:tc>
          <w:tcPr>
            <w:tcW w:w="178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Authorized</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420" w:type="dxa"/>
            <w:vAlign w:val="bottom"/>
          </w:tcPr>
          <w:p>
            <w:pPr>
              <w:spacing w:after="0"/>
              <w:rPr>
                <w:sz w:val="12"/>
                <w:szCs w:val="12"/>
                <w:color w:val="auto"/>
              </w:rPr>
            </w:pPr>
          </w:p>
        </w:tc>
        <w:tc>
          <w:tcPr>
            <w:tcW w:w="62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Carrying</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Issue</w:t>
            </w:r>
          </w:p>
        </w:tc>
        <w:tc>
          <w:tcPr>
            <w:tcW w:w="0" w:type="dxa"/>
            <w:vAlign w:val="bottom"/>
          </w:tcPr>
          <w:p>
            <w:pPr>
              <w:spacing w:after="0"/>
              <w:rPr>
                <w:sz w:val="1"/>
                <w:szCs w:val="1"/>
                <w:color w:val="auto"/>
              </w:rPr>
            </w:pPr>
          </w:p>
        </w:tc>
      </w:tr>
      <w:tr>
        <w:trPr>
          <w:trHeight w:val="182"/>
        </w:trPr>
        <w:tc>
          <w:tcPr>
            <w:tcW w:w="178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c>
          <w:tcPr>
            <w:tcW w:w="22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Value</w:t>
            </w:r>
          </w:p>
        </w:tc>
        <w:tc>
          <w:tcPr>
            <w:tcW w:w="4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Preference</w:t>
            </w:r>
          </w:p>
        </w:tc>
        <w:tc>
          <w:tcPr>
            <w:tcW w:w="420" w:type="dxa"/>
            <w:vAlign w:val="bottom"/>
          </w:tcPr>
          <w:p>
            <w:pPr>
              <w:spacing w:after="0"/>
              <w:rPr>
                <w:sz w:val="15"/>
                <w:szCs w:val="15"/>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7"/>
              </w:rPr>
              <w:t>Series A Preferred Stock</w:t>
            </w:r>
          </w:p>
        </w:tc>
        <w:tc>
          <w:tcPr>
            <w:tcW w:w="2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1,575,030</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1,575,030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3,564</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3,650</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$ 2.3174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Arial" w:cs="Arial" w:eastAsia="Arial" w:hAnsi="Arial"/>
                <w:sz w:val="18"/>
                <w:szCs w:val="18"/>
                <w:color w:val="auto"/>
                <w:w w:val="87"/>
              </w:rPr>
              <w:t>Series B Preferred Stock</w:t>
            </w:r>
          </w:p>
        </w:tc>
        <w:tc>
          <w:tcPr>
            <w:tcW w:w="2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6,731,649</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6,674,909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59,838</w:t>
            </w:r>
          </w:p>
        </w:tc>
        <w:tc>
          <w:tcPr>
            <w:tcW w:w="6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60,010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$ 8.9904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8,306,679</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8,249,939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63,402</w:t>
            </w: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63,660</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F-16</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Significant Provisions of Series A and Series B Preferred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Rights and Mandatory Conversion</w:t>
      </w:r>
    </w:p>
    <w:p>
      <w:pPr>
        <w:spacing w:after="0" w:line="225" w:lineRule="exact"/>
        <w:rPr>
          <w:sz w:val="20"/>
          <w:szCs w:val="20"/>
          <w:color w:val="auto"/>
        </w:rPr>
      </w:pPr>
    </w:p>
    <w:p>
      <w:pPr>
        <w:ind w:left="120" w:right="200" w:firstLine="881"/>
        <w:spacing w:after="0" w:line="254" w:lineRule="auto"/>
        <w:rPr>
          <w:sz w:val="20"/>
          <w:szCs w:val="20"/>
          <w:color w:val="auto"/>
        </w:rPr>
      </w:pPr>
      <w:r>
        <w:rPr>
          <w:rFonts w:ascii="Arial" w:cs="Arial" w:eastAsia="Arial" w:hAnsi="Arial"/>
          <w:sz w:val="18"/>
          <w:szCs w:val="18"/>
          <w:color w:val="auto"/>
        </w:rPr>
        <w:t>Each share of Series A and Series B Preferred Stock is convertible into common shares determined by dividing the original issuance price by the conversion price and at the sole option of the holder on a one-to-one basis. The conversion price will be adjusted for stock splits, distributions, dividends, noncash distributions, share purchase rights, and capital reorganizations. In addition, subject to customary exceptions, the conversion price for each series of preferred stock will be reduced upon the issuance or sale of common shares or instruments convertible or exercisable into common shares, for consideration or with an exercise price that is less than the conversion price applicable to such series. Such reduction may result in recognition of a deemed dividend to preferred stockholders if the resulting conversion price is less than the fair value per share of common stock as of the date preferred stock was issued.</w:t>
      </w:r>
    </w:p>
    <w:p>
      <w:pPr>
        <w:spacing w:after="0" w:line="195"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Mandatory conversion into common shares will occur upon either (i) the closing of a Qualified Public Offering, which is defined in the December 2019 Amended and Restated Certificate of Incorporation to include the sale of common stock in a firm commitment underwritten public offering on Form S-1, the public offering price of which is at least $3.03 per share and that results in at least $60 million of proceeds, or (ii) by vote or written consent or agreement of the holders of a majority of the then-outstanding shares of Series A and Series B Preferred Stock, voting together as a single class on an as-converted basis.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 xml:space="preserve">In the event of any Liquidation Event (as defined in the December 2019 Amended and Restated Certificate of Incorporation), the holders of Series A and B Preferred Stock are first entitled to proceeds or assets available for distribution that are in preference of any distribution to common stockholders (the “Liquidation Preference”); provided, however, that if the holders of Series A and Series B Preferred Stock would receive greater proceeds in a Liquidation Event as a result of their conversion to common stock such shares of Series A and/or Series B Preferred Stock shall be deemed to have automatically thus converted. This Liquidation Preference is equal to the </w:t>
      </w:r>
      <w:r>
        <w:rPr>
          <w:rFonts w:ascii="Arial" w:cs="Arial" w:eastAsia="Arial" w:hAnsi="Arial"/>
          <w:sz w:val="16"/>
          <w:szCs w:val="16"/>
          <w:i w:val="1"/>
          <w:iCs w:val="1"/>
          <w:color w:val="auto"/>
        </w:rPr>
        <w:t>sum of</w:t>
      </w:r>
      <w:r>
        <w:rPr>
          <w:rFonts w:ascii="Arial" w:cs="Arial" w:eastAsia="Arial" w:hAnsi="Arial"/>
          <w:sz w:val="16"/>
          <w:szCs w:val="16"/>
          <w:color w:val="auto"/>
        </w:rPr>
        <w:t xml:space="preserve"> (i) the original issue price of Series A and Series B Preferred Stock ($2.3174 and $8.9904 per share, respectively) for each outstanding share of Series A and Series B Preferred Stock and (ii) any declared but unpaid dividends for each outstanding share of Series A and Series B Preferred Stock. If the proceeds from the Liquidation Event are less than the Liquidation Preference, then all available proceeds will be distributed ratably to the holders of Series A and Series B Preferred Stock in proportion to the preferential amount each is otherwise entitled to receive. After the distributions described above have been paid in full, the remaining assets of the Company will be distributed among the holders of common stock pro rata based on the number of shares held by each holder.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holder of each share of preferred stock has the right to one vote for each share of common stock into which such preferred stock could then be converted, and with respect to such vote, such holder has full voting rights and powers equal to the voting rights and powers of the holders of common stock. So long as the majority of the Series A Preferred Stock originally issued remains outstanding, its holders are additionally entitled to elect one director (“Series A Director”). So long as at least 1.3 million shares of Series B Preferred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Stock remain outstanding, its holders are entitled to elect two directors (each a “Series B Director”). The holders of outstanding common stock are entitled to elect three directors. The holders of preferred stock and common stock (voting together as a single class and on an as-converted basis) are entitled to elect any of the Company’s remaining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holders of Preferred Stock are entitled to receive dividends, when, as and if declared by the Board of Directors at the applicable dividend rate set forth in the December 2019 Amended and Restated Certificate of Incorporation ($0.22 and $0.74 per annum for each share of Series A and Series B Preferred Stock, respectively), prior and in preference to any declaration or payment of any cash dividend on the common stock. The Company cannot declare, pay, or set aside any dividends on shares of any class or series of capital stock unless the Series A and Series B Preferred Stockholders first receive a dividend in an amount equal to the greater of (i) applicable dividend rate, or (ii) the dividend payable to such other class or series of capital stock. No cash dividends have been declared to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Series A and Series B Preferred Stock are not redeemable at the option of its holder under the terms of the December 2019 Amended and Restated Certificate of Incorporation. Upon certain change in control events that are outside of the Company’s control, including its liquidation, sale or transfer of control, the preferred stock is contingently redeemable.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Overview and Reserve for Future Issuance</w:t>
      </w:r>
    </w:p>
    <w:p>
      <w:pPr>
        <w:spacing w:after="0" w:line="225"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Common stockholders have one vote for each share of common stock held and are entitled to receive any dividends declared by the Company’s Board of Directors when legally available for distribution, subject to the dividend rights of the holders of Series A and Series B preferred stock discussed above. For the years ended December 31, 2018 and 2019 and for the six months ended June 30, 2020, no dividends were declared.</w:t>
      </w:r>
    </w:p>
    <w:p>
      <w:pPr>
        <w:spacing w:after="0" w:line="149"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As of December 31, 2018 and 2019, and June 30, 2020, the Company had 2.7 million common shares issued. At December 31, 2018 and 2019, and June 30, 2020, the Company had 2.1 million, 2.6 million, and 2.7 million common shares outstanding, respectively. The following shares of common stock were reserved for issuance:</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00" w:type="dxa"/>
            <w:vAlign w:val="bottom"/>
            <w:gridSpan w:val="3"/>
          </w:tcPr>
          <w:p>
            <w:pPr>
              <w:jc w:val="right"/>
              <w:ind w:right="65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2018</w:t>
            </w:r>
          </w:p>
        </w:tc>
        <w:tc>
          <w:tcPr>
            <w:tcW w:w="1380" w:type="dxa"/>
            <w:vAlign w:val="bottom"/>
            <w:tcBorders>
              <w:top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1080" w:type="dxa"/>
            <w:vAlign w:val="bottom"/>
            <w:tcBorders>
              <w:top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Stock outstanding</w:t>
            </w:r>
          </w:p>
        </w:tc>
        <w:tc>
          <w:tcPr>
            <w:tcW w:w="1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1,575,030</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8,249,939</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8,249,939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4"/>
              </w:rPr>
              <w:t>Stock options issued and outstanding under the 2016 Plan</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267,041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297,142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1,230,701</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2"/>
              </w:rPr>
              <w:t>Stock options available for future grant under the 2016 Plan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75,869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2,150,867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1,148,915</w:t>
            </w:r>
          </w:p>
        </w:tc>
        <w:tc>
          <w:tcPr>
            <w:tcW w:w="80" w:type="dxa"/>
            <w:vAlign w:val="bottom"/>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Total shares of common stock reserved</w:t>
            </w:r>
          </w:p>
        </w:tc>
        <w:tc>
          <w:tcPr>
            <w:tcW w:w="1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1,917,940</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10,697,948</w:t>
            </w:r>
          </w:p>
        </w:tc>
        <w:tc>
          <w:tcPr>
            <w:tcW w:w="32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10,629,555</w:t>
            </w: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140" w:type="dxa"/>
            <w:vAlign w:val="bottom"/>
            <w:gridSpan w:val="2"/>
          </w:tcPr>
          <w:p>
            <w:pPr>
              <w:jc w:val="right"/>
              <w:ind w:right="1599"/>
              <w:spacing w:after="0"/>
              <w:rPr>
                <w:sz w:val="20"/>
                <w:szCs w:val="20"/>
                <w:color w:val="auto"/>
              </w:rPr>
            </w:pPr>
            <w:r>
              <w:rPr>
                <w:rFonts w:ascii="Arial" w:cs="Arial" w:eastAsia="Arial" w:hAnsi="Arial"/>
                <w:sz w:val="18"/>
                <w:szCs w:val="18"/>
                <w:color w:val="auto"/>
              </w:rPr>
              <w:t>F-18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ASU 2017-11</w:t>
      </w:r>
    </w:p>
    <w:p>
      <w:pPr>
        <w:spacing w:after="0" w:line="225"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This ASU simplifies the accounting for certain financial instruments with “down round” features,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provision in an equity-linked financial instrument (or embedded feature) that provides a downward adjustment of the current exercise price based on the price of future equity offerings. This update requires companies to disregard the down round feature when assessing whether the instrument is “indexed to its own stock” for purposes of determining liability or equity classification. For public business entities, this ASU became effective for fiscal years beginning after December 15, 2018. The Company adopted </w:t>
      </w:r>
      <w:r>
        <w:rPr>
          <w:rFonts w:ascii="Arial" w:cs="Arial" w:eastAsia="Arial" w:hAnsi="Arial"/>
          <w:sz w:val="17"/>
          <w:szCs w:val="17"/>
          <w:i w:val="1"/>
          <w:iCs w:val="1"/>
          <w:color w:val="auto"/>
        </w:rPr>
        <w:t>ASU 2017-11</w:t>
      </w:r>
      <w:r>
        <w:rPr>
          <w:rFonts w:ascii="Arial" w:cs="Arial" w:eastAsia="Arial" w:hAnsi="Arial"/>
          <w:sz w:val="17"/>
          <w:szCs w:val="17"/>
          <w:color w:val="auto"/>
        </w:rPr>
        <w:t xml:space="preserve"> effective January 1, 2019 and applied this guidance in presenting Series A and Series B Preferred Stock on the accompanying Balance Sheets.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STOCK-BASED COMPENSATION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Stock Plan</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has one active stockholder-approved stock-based compensation plan (the “2016 Plan”), adopted in December 2016, which permits the grant of incentive stock options, nonqualified stock options, stock awards and certain other awards to its employees, members of its Board of Directors, and consultants.</w:t>
      </w:r>
    </w:p>
    <w:p>
      <w:pPr>
        <w:spacing w:after="0" w:line="184" w:lineRule="exact"/>
        <w:rPr>
          <w:sz w:val="20"/>
          <w:szCs w:val="20"/>
          <w:color w:val="auto"/>
        </w:rPr>
      </w:pPr>
    </w:p>
    <w:p>
      <w:pPr>
        <w:ind w:left="120" w:right="120" w:firstLine="881"/>
        <w:spacing w:after="0" w:line="308" w:lineRule="auto"/>
        <w:rPr>
          <w:sz w:val="20"/>
          <w:szCs w:val="20"/>
          <w:color w:val="auto"/>
        </w:rPr>
      </w:pPr>
      <w:r>
        <w:rPr>
          <w:rFonts w:ascii="Arial" w:cs="Arial" w:eastAsia="Arial" w:hAnsi="Arial"/>
          <w:sz w:val="17"/>
          <w:szCs w:val="17"/>
          <w:color w:val="auto"/>
        </w:rPr>
        <w:t>The stated maximum availability of common stock under the 2016 Plan is 2.7 million shares. As of December 31, 2019 and June 30, 2020, the Company had 2.2 million and 1.1 million shares of common stock available for issuance under the 2016 Plan, respectively.</w:t>
      </w:r>
    </w:p>
    <w:p>
      <w:pPr>
        <w:spacing w:after="0" w:line="146"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Stock-based awards are governed by agreements between the Company and the recipients. Incentive stock options and nonqualified stock options may be granted under the 2016 Plan at an exercise price of not less than 100% of the fair market value of common stock on the respective date of grant. For ten-percent stockholders, the exercise price may not be less than 110% of its fair market value at grant. The grant date is the date the terms of the award are formally approved by the Company’s Board of Directors. It is the Company’s policy that before stock is issued through the exercise of stock options, it must first receive all required cash proceeds for such shares.</w:t>
      </w:r>
    </w:p>
    <w:p>
      <w:pPr>
        <w:spacing w:after="0" w:line="176"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Through December 31, 2019 and June 30, 2020, all awards issued under the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187" w:lineRule="exact"/>
        <w:rPr>
          <w:sz w:val="20"/>
          <w:szCs w:val="20"/>
          <w:color w:val="auto"/>
        </w:rPr>
      </w:pPr>
    </w:p>
    <w:p>
      <w:pPr>
        <w:jc w:val="both"/>
        <w:ind w:left="120" w:right="160" w:firstLine="881"/>
        <w:spacing w:after="0" w:line="263" w:lineRule="auto"/>
        <w:rPr>
          <w:sz w:val="20"/>
          <w:szCs w:val="20"/>
          <w:color w:val="auto"/>
        </w:rPr>
      </w:pPr>
      <w:r>
        <w:rPr>
          <w:rFonts w:ascii="Arial" w:cs="Arial" w:eastAsia="Arial" w:hAnsi="Arial"/>
          <w:sz w:val="18"/>
          <w:szCs w:val="18"/>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ASU 2018-07</w:t>
      </w:r>
    </w:p>
    <w:p>
      <w:pPr>
        <w:spacing w:after="0" w:line="225" w:lineRule="exact"/>
        <w:rPr>
          <w:sz w:val="20"/>
          <w:szCs w:val="20"/>
          <w:color w:val="auto"/>
        </w:rPr>
      </w:pPr>
    </w:p>
    <w:p>
      <w:pPr>
        <w:ind w:left="120" w:right="160" w:firstLine="881"/>
        <w:spacing w:after="0" w:line="291"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 Compensation-Stock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Topic 718): Improvements to Nonemployee Share-Based Payment Accounting</w:t>
      </w:r>
      <w:r>
        <w:rPr>
          <w:rFonts w:ascii="Arial" w:cs="Arial" w:eastAsia="Arial" w:hAnsi="Arial"/>
          <w:sz w:val="16"/>
          <w:szCs w:val="16"/>
          <w:color w:val="auto"/>
        </w:rPr>
        <w:t xml:space="preserve">. This standard is intended to reduce the cost and complexity and to improve financial reporting for nonemployee share-based payments. The ASU expands the scope of </w:t>
      </w:r>
      <w:r>
        <w:rPr>
          <w:rFonts w:ascii="Arial" w:cs="Arial" w:eastAsia="Arial" w:hAnsi="Arial"/>
          <w:sz w:val="16"/>
          <w:szCs w:val="16"/>
          <w:i w:val="1"/>
          <w:iCs w:val="1"/>
          <w:color w:val="auto"/>
        </w:rPr>
        <w:t>Topic 718</w:t>
      </w:r>
      <w:r>
        <w:rPr>
          <w:rFonts w:ascii="Arial" w:cs="Arial" w:eastAsia="Arial" w:hAnsi="Arial"/>
          <w:sz w:val="16"/>
          <w:szCs w:val="16"/>
          <w:color w:val="auto"/>
        </w:rPr>
        <w:t xml:space="preserve"> to include share-based payments issued to nonemployees for goods or services. Consequently, the accounting for share-based payments to nonemployees and employees is substantially aligned; the Company has issued and outstanding stock options to both employees and non-employee consultants. The standard is effective for fiscal years beginning after December 15, 2019. Early adoption is permitted, but no earlier than a company’s adoption date of </w:t>
      </w:r>
      <w:r>
        <w:rPr>
          <w:rFonts w:ascii="Arial" w:cs="Arial" w:eastAsia="Arial" w:hAnsi="Arial"/>
          <w:sz w:val="16"/>
          <w:szCs w:val="16"/>
          <w:i w:val="1"/>
          <w:iCs w:val="1"/>
          <w:color w:val="auto"/>
        </w:rPr>
        <w:t>Topic 606, Revenue Recognition</w:t>
      </w:r>
      <w:r>
        <w:rPr>
          <w:rFonts w:ascii="Arial" w:cs="Arial" w:eastAsia="Arial" w:hAnsi="Arial"/>
          <w:sz w:val="16"/>
          <w:szCs w:val="16"/>
          <w:color w:val="auto"/>
        </w:rPr>
        <w:t xml:space="preserve">. The Company early adopted </w:t>
      </w:r>
      <w:r>
        <w:rPr>
          <w:rFonts w:ascii="Arial" w:cs="Arial" w:eastAsia="Arial" w:hAnsi="Arial"/>
          <w:sz w:val="16"/>
          <w:szCs w:val="16"/>
          <w:i w:val="1"/>
          <w:iCs w:val="1"/>
          <w:color w:val="auto"/>
        </w:rPr>
        <w:t>ASU</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2018-17 </w:t>
      </w:r>
      <w:r>
        <w:rPr>
          <w:rFonts w:ascii="Arial" w:cs="Arial" w:eastAsia="Arial" w:hAnsi="Arial"/>
          <w:sz w:val="16"/>
          <w:szCs w:val="16"/>
          <w:color w:val="auto"/>
        </w:rPr>
        <w:t>and</w:t>
      </w:r>
      <w:r>
        <w:rPr>
          <w:rFonts w:ascii="Arial" w:cs="Arial" w:eastAsia="Arial" w:hAnsi="Arial"/>
          <w:sz w:val="16"/>
          <w:szCs w:val="16"/>
          <w:i w:val="1"/>
          <w:iCs w:val="1"/>
          <w:color w:val="auto"/>
        </w:rPr>
        <w:t xml:space="preserve"> Topic 606 </w:t>
      </w:r>
      <w:r>
        <w:rPr>
          <w:rFonts w:ascii="Arial" w:cs="Arial" w:eastAsia="Arial" w:hAnsi="Arial"/>
          <w:sz w:val="16"/>
          <w:szCs w:val="16"/>
          <w:color w:val="auto"/>
        </w:rPr>
        <w:t>on January 1, 2018 and there was no material impact on the accompanying financial statements from these adopted standards.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Summary</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Stock-based compensation expense is recorded in the accompanying statements of operations and comprehensive loss based on the assigned department of the award recipient. Stock-based compensation expense for the years ended December 31, 2018 and 2019 and for the six months ended June 30, 2019 and 2020 was as follows: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w w:val="94"/>
              </w:rPr>
              <w:t>December 31,</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2019</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Valuation Assumptions of Stock Options</w:t>
      </w:r>
    </w:p>
    <w:p>
      <w:pPr>
        <w:spacing w:after="0" w:line="225"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The fair value of granted stock options was estimated as of the date of grant using the Black-Scholes option-pricing model, based on the following inputs: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182"/>
        </w:trPr>
        <w:tc>
          <w:tcPr>
            <w:tcW w:w="3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Exercise price (estimated fair value per</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 on grant date)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393"/>
              <w:spacing w:after="0"/>
              <w:rPr>
                <w:sz w:val="20"/>
                <w:szCs w:val="20"/>
                <w:color w:val="auto"/>
              </w:rPr>
            </w:pPr>
            <w:r>
              <w:rPr>
                <w:rFonts w:ascii="Arial" w:cs="Arial" w:eastAsia="Arial" w:hAnsi="Arial"/>
                <w:sz w:val="18"/>
                <w:szCs w:val="18"/>
                <w:color w:val="auto"/>
                <w:w w:val="85"/>
              </w:rPr>
              <w:t>2.01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Expected term (in years) (a)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8"/>
              <w:spacing w:after="0"/>
              <w:rPr>
                <w:sz w:val="20"/>
                <w:szCs w:val="20"/>
                <w:color w:val="auto"/>
              </w:rPr>
            </w:pPr>
            <w:r>
              <w:rPr>
                <w:rFonts w:ascii="Arial" w:cs="Arial" w:eastAsia="Arial" w:hAnsi="Arial"/>
                <w:sz w:val="18"/>
                <w:szCs w:val="18"/>
                <w:color w:val="auto"/>
              </w:rPr>
              <w:t>5.68 to 6.25</w:t>
            </w:r>
          </w:p>
        </w:tc>
        <w:tc>
          <w:tcPr>
            <w:tcW w:w="1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5.94 to 6.25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5.94 to 6.25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left="393"/>
              <w:spacing w:after="0"/>
              <w:rPr>
                <w:sz w:val="20"/>
                <w:szCs w:val="20"/>
                <w:color w:val="auto"/>
              </w:rPr>
            </w:pPr>
            <w:r>
              <w:rPr>
                <w:rFonts w:ascii="Arial" w:cs="Arial" w:eastAsia="Arial" w:hAnsi="Arial"/>
                <w:sz w:val="18"/>
                <w:szCs w:val="18"/>
                <w:color w:val="auto"/>
                <w:w w:val="85"/>
              </w:rPr>
              <w:t>6.25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(b)</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 to 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 to 2.5%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 to 0.5%</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Expected volatility (c)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648"/>
              <w:spacing w:after="0"/>
              <w:rPr>
                <w:sz w:val="20"/>
                <w:szCs w:val="20"/>
                <w:color w:val="auto"/>
              </w:rPr>
            </w:pPr>
            <w:r>
              <w:rPr>
                <w:rFonts w:ascii="Arial" w:cs="Arial" w:eastAsia="Arial" w:hAnsi="Arial"/>
                <w:sz w:val="18"/>
                <w:szCs w:val="18"/>
                <w:color w:val="auto"/>
                <w:w w:val="91"/>
              </w:rPr>
              <w:t>77.8% to 83.2%</w:t>
            </w: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82.5% to 89.4%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82.5% to 89.4%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70.9% to 71.2%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 (d)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353"/>
              <w:spacing w:after="0"/>
              <w:rPr>
                <w:sz w:val="20"/>
                <w:szCs w:val="20"/>
                <w:color w:val="auto"/>
              </w:rPr>
            </w:pPr>
            <w:r>
              <w:rPr>
                <w:rFonts w:ascii="Arial" w:cs="Arial" w:eastAsia="Arial" w:hAnsi="Arial"/>
                <w:sz w:val="18"/>
                <w:szCs w:val="18"/>
                <w:color w:val="auto"/>
                <w:w w:val="99"/>
              </w:rPr>
              <w:t>—</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Weighted-average grant-date fair value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per stock option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808"/>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0.34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0.34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ind w:left="393"/>
              <w:spacing w:after="0"/>
              <w:rPr>
                <w:sz w:val="20"/>
                <w:szCs w:val="20"/>
                <w:color w:val="auto"/>
              </w:rPr>
            </w:pPr>
            <w:r>
              <w:rPr>
                <w:rFonts w:ascii="Arial" w:cs="Arial" w:eastAsia="Arial" w:hAnsi="Arial"/>
                <w:sz w:val="18"/>
                <w:szCs w:val="18"/>
                <w:color w:val="auto"/>
                <w:w w:val="85"/>
              </w:rPr>
              <w:t>1.26</w:t>
            </w:r>
          </w:p>
        </w:tc>
      </w:tr>
    </w:tbl>
    <w:p>
      <w:pPr>
        <w:spacing w:after="0" w:line="224"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Determined using the “simplified method” under applicable GAAP (</w:t>
      </w:r>
      <w:r>
        <w:rPr>
          <w:rFonts w:ascii="Arial" w:cs="Arial" w:eastAsia="Arial" w:hAnsi="Arial"/>
          <w:sz w:val="14"/>
          <w:szCs w:val="14"/>
          <w:i w:val="1"/>
          <w:iCs w:val="1"/>
          <w:color w:val="auto"/>
        </w:rPr>
        <w:t>SAB 107);</w:t>
      </w:r>
      <w:r>
        <w:rPr>
          <w:rFonts w:ascii="Arial" w:cs="Arial" w:eastAsia="Arial" w:hAnsi="Arial"/>
          <w:sz w:val="14"/>
          <w:szCs w:val="14"/>
          <w:color w:val="auto"/>
        </w:rPr>
        <w:t xml:space="preserve"> the maximum contractual term of issued stock options is 10 years.</w:t>
      </w:r>
    </w:p>
    <w:p>
      <w:pPr>
        <w:ind w:left="540" w:hanging="424"/>
        <w:spacing w:after="0" w:line="221" w:lineRule="auto"/>
        <w:tabs>
          <w:tab w:leader="none" w:pos="5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Based upon the U.S. Treasury yields in effect during the period which the options were granted (for a period equaling the stock options’ expected term).</w:t>
      </w:r>
    </w:p>
    <w:p>
      <w:pPr>
        <w:ind w:left="540" w:hanging="424"/>
        <w:spacing w:after="0" w:line="221" w:lineRule="auto"/>
        <w:tabs>
          <w:tab w:leader="none" w:pos="5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Measured using the volatility of the stock price for the Company’s designated peer group of publicly-traded companies for a period equal to the expected option term.</w:t>
      </w:r>
    </w:p>
    <w:p>
      <w:pPr>
        <w:ind w:left="540" w:hanging="424"/>
        <w:spacing w:after="0"/>
        <w:tabs>
          <w:tab w:leader="none" w:pos="54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Tarsus does not expect to declare any cash dividends in the foreseeable future.</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Stock option activity during the years ended December 31, 2018 and 2019 and for the six months ended June 30, 2020 was as follows:</w:t>
      </w:r>
    </w:p>
    <w:p>
      <w:pPr>
        <w:spacing w:after="0" w:line="25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Exercise</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900" w:type="dxa"/>
            <w:vAlign w:val="bottom"/>
            <w:gridSpan w:val="3"/>
          </w:tcPr>
          <w:p>
            <w:pPr>
              <w:jc w:val="right"/>
              <w:ind w:right="23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jc w:val="center"/>
              <w:ind w:left="215"/>
              <w:spacing w:after="0"/>
              <w:rPr>
                <w:sz w:val="20"/>
                <w:szCs w:val="20"/>
                <w:color w:val="auto"/>
              </w:rPr>
            </w:pPr>
            <w:r>
              <w:rPr>
                <w:rFonts w:ascii="Arial" w:cs="Arial" w:eastAsia="Arial" w:hAnsi="Arial"/>
                <w:sz w:val="14"/>
                <w:szCs w:val="14"/>
                <w:b w:val="1"/>
                <w:bCs w:val="1"/>
                <w:color w:val="auto"/>
                <w:w w:val="90"/>
              </w:rPr>
              <w:t>Price/Share</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Term (Years)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0.0007</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183,232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0.45</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rPr>
              <w:t>Outstanding —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267,041</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9.51</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Expired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(785)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0.45</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1,003,867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(1,915)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0.54</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Outstanding — June 30, 2020</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1,230,701</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9.38</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Vested — December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Unvested —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171,240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0.38</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8.76</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Vested — June 30, 2020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246,408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7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Unvested — June 30,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984,293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6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jc w:val="right"/>
              <w:spacing w:after="0"/>
              <w:rPr>
                <w:sz w:val="20"/>
                <w:szCs w:val="20"/>
                <w:color w:val="auto"/>
              </w:rPr>
            </w:pPr>
            <w:r>
              <w:rPr>
                <w:rFonts w:ascii="Arial" w:cs="Arial" w:eastAsia="Arial" w:hAnsi="Arial"/>
                <w:sz w:val="18"/>
                <w:szCs w:val="18"/>
                <w:color w:val="auto"/>
                <w:w w:val="81"/>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38" w:lineRule="auto"/>
        <w:tabs>
          <w:tab w:leader="none" w:pos="540" w:val="left"/>
        </w:tabs>
        <w:numPr>
          <w:ilvl w:val="0"/>
          <w:numId w:val="161"/>
        </w:numPr>
        <w:rPr>
          <w:rFonts w:ascii="Arial" w:cs="Arial" w:eastAsia="Arial" w:hAnsi="Arial"/>
          <w:sz w:val="14"/>
          <w:szCs w:val="14"/>
          <w:color w:val="auto"/>
        </w:rPr>
      </w:pPr>
      <w:r>
        <w:rPr>
          <w:rFonts w:ascii="Arial" w:cs="Arial" w:eastAsia="Arial" w:hAnsi="Arial"/>
          <w:sz w:val="14"/>
          <w:szCs w:val="14"/>
          <w:color w:val="auto"/>
        </w:rPr>
        <w:t xml:space="preserve">Represents the total </w:t>
      </w:r>
      <w:r>
        <w:rPr>
          <w:rFonts w:ascii="Arial" w:cs="Arial" w:eastAsia="Arial" w:hAnsi="Arial"/>
          <w:sz w:val="14"/>
          <w:szCs w:val="14"/>
          <w:i w:val="1"/>
          <w:iCs w:val="1"/>
          <w:color w:val="auto"/>
        </w:rPr>
        <w:t>difference</w:t>
      </w:r>
      <w:r>
        <w:rPr>
          <w:rFonts w:ascii="Arial" w:cs="Arial" w:eastAsia="Arial" w:hAnsi="Arial"/>
          <w:sz w:val="14"/>
          <w:szCs w:val="14"/>
          <w:color w:val="auto"/>
        </w:rPr>
        <w:t xml:space="preserve"> between the estimated stock price fair value as of December 31, 2019 and June 30, 2020 and the stock option exercise price,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the number of in-the-money options as of December 31, 2019 and June 30, 2020. The amount of any intrinsic value will change in relation to any increases or decreases in the then-determined fair value of the Company’s common stock.</w:t>
      </w:r>
    </w:p>
    <w:p>
      <w:pPr>
        <w:spacing w:after="0" w:line="187"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The total grant-date fair value of options that vested during the years ended December 31, 2018 and 2019 was $33 thousand in each year. The total grant-date fair value of options that vested during the six months ended June 30, 2019 and 2020 was $17 thousand and $86 thousand,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information with respect to stock option grants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As of December 31, 2019</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Outstanding</w:t>
            </w:r>
          </w:p>
        </w:tc>
        <w:tc>
          <w:tcPr>
            <w:tcW w:w="8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Exercisable</w:t>
            </w:r>
          </w:p>
        </w:tc>
        <w:tc>
          <w:tcPr>
            <w:tcW w:w="8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38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Granted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Aggregate</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Remaining</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1660"/>
              <w:spacing w:after="0"/>
              <w:rPr>
                <w:sz w:val="20"/>
                <w:szCs w:val="20"/>
                <w:color w:val="auto"/>
              </w:rPr>
            </w:pPr>
            <w:r>
              <w:rPr>
                <w:rFonts w:ascii="Arial" w:cs="Arial" w:eastAsia="Arial" w:hAnsi="Arial"/>
                <w:sz w:val="14"/>
                <w:szCs w:val="14"/>
                <w:b w:val="1"/>
                <w:bCs w:val="1"/>
                <w:color w:val="auto"/>
              </w:rPr>
              <w:t>Exercise Price</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Intrinsic</w:t>
            </w: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Intrinsic</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Life (Years)</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Exercisable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$0.0007</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$0.45</w:t>
            </w:r>
          </w:p>
        </w:tc>
        <w:tc>
          <w:tcPr>
            <w:tcW w:w="3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213,333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8.87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146,692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297,142</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230,501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information with respect to stock option grants as of June 30,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As of June 30, 2020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Outstanding</w:t>
            </w:r>
          </w:p>
        </w:tc>
        <w:tc>
          <w:tcPr>
            <w:tcW w:w="8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Exercisable</w:t>
            </w:r>
          </w:p>
        </w:tc>
        <w:tc>
          <w:tcPr>
            <w:tcW w:w="9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Granted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80" w:type="dxa"/>
            <w:vAlign w:val="bottom"/>
          </w:tcPr>
          <w:p>
            <w:pPr>
              <w:spacing w:after="0"/>
              <w:rPr>
                <w:sz w:val="10"/>
                <w:szCs w:val="10"/>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Granted</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vMerge w:val="continue"/>
          </w:tcPr>
          <w:p>
            <w:pPr>
              <w:spacing w:after="0"/>
              <w:rPr>
                <w:sz w:val="12"/>
                <w:szCs w:val="12"/>
                <w:color w:val="auto"/>
              </w:rPr>
            </w:pPr>
          </w:p>
        </w:tc>
        <w:tc>
          <w:tcPr>
            <w:tcW w:w="10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Stock</w:t>
            </w:r>
          </w:p>
        </w:tc>
        <w:tc>
          <w:tcPr>
            <w:tcW w:w="1060" w:type="dxa"/>
            <w:vAlign w:val="bottom"/>
            <w:gridSpan w:val="3"/>
            <w:vMerge w:val="continue"/>
          </w:tcPr>
          <w:p>
            <w:pPr>
              <w:spacing w:after="0"/>
              <w:rPr>
                <w:sz w:val="12"/>
                <w:szCs w:val="12"/>
                <w:color w:val="auto"/>
              </w:rPr>
            </w:pP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Exercise Price</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Intrinsic</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Intrinsic</w:t>
            </w:r>
          </w:p>
        </w:tc>
        <w:tc>
          <w:tcPr>
            <w:tcW w:w="9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Life (Years)</w:t>
            </w: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Exercisable</w:t>
            </w:r>
          </w:p>
        </w:tc>
        <w:tc>
          <w:tcPr>
            <w:tcW w:w="12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$0.0007</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168</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168</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$0.45</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210,461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328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162,894</w:t>
            </w:r>
          </w:p>
        </w:tc>
        <w:tc>
          <w:tcPr>
            <w:tcW w:w="12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254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936,431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865,906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1,230,701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6"/>
              </w:rPr>
              <w:t>496</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1,112,609</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422</w:t>
            </w:r>
          </w:p>
        </w:tc>
        <w:tc>
          <w:tcPr>
            <w:tcW w:w="2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20" w:firstLine="881"/>
        <w:spacing w:after="0" w:line="311" w:lineRule="auto"/>
        <w:rPr>
          <w:sz w:val="20"/>
          <w:szCs w:val="20"/>
          <w:color w:val="auto"/>
        </w:rPr>
      </w:pPr>
      <w:r>
        <w:rPr>
          <w:rFonts w:ascii="Arial" w:cs="Arial" w:eastAsia="Arial" w:hAnsi="Arial"/>
          <w:sz w:val="16"/>
          <w:szCs w:val="16"/>
          <w:color w:val="auto"/>
        </w:rPr>
        <w:t>As of December 31, 2019, there was unrecognized compensation expense of $46 thousand related to unvested stock options, which the Company expects to recognize over a weighted average period of 2.1 years. As of June 30, 2020, there was unrecognized compensation expense of $1.2 million related to unvested stock options, which the Company expects to recognize over a weighted average period of 3.1 years.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Early Exercise Feature of Certain Stock Options</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2016 Plan permits certain option holders to exercise awarded options prior to vesting. Upon early exercise, the options become subject to a restricted stock agreement and remain subject to the same vesting provisions in the corresponding stock option award and unvested options are subject to repurchase by the Company upon termination at the same price exercised. These unvested shares are reported as issued, but not outstanding while subject to repurchase by the Company and are also excluded from the basic and diluted net loss per share calculation until the repurchase right lapses upon vesting.</w:t>
      </w:r>
    </w:p>
    <w:p>
      <w:pPr>
        <w:spacing w:after="0" w:line="188"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Company initially records a liability for these early exercises that is subsequently reclassified into stockholders’ equity on a pro rata basis as vesting occurs. During the year ended December 31, 2019, the Company repurchased 26,927 of unvested common stock options from a former consultant in connection with termination of his consulting agreement; there were no such repurchases in 2018 or for the six months ended</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June 30, 2020. As of December 31, 2018 and 2019, all stock options with early exercise features were either vested or immaterial if early exercised and the Company reported no corresponding liability in the accompanying Balance Sheets. As of June 30, 2020, the Company has recorded the unvested portion of the exercise proceeds of $0.1 million as a liability from the early exercise in the accompanying Balance Sheets.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Issued to Founders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In January 2017, the Company issued 2.4 million shares of restricted common stock to founders, all which vest under service conditions. The shares were issued under the terms of the respective Stock Purchase Agreement. Unvested shares are subject to repurchase by the Company at the original purchase price per share upon the holder’s termination of the relationship with the Company. The restricted shares are not deemed to be outstanding for accounting purposes until vested and are therefore excluded from reported shares outstanding and from the basic and diluted net loss per share calculation until the repurchase right lapses and are no longer subject to the repurchase feature. One-third of the 2.4 million shares of restricted common stock were vested on the issuance date and the remaining 1.6 million shares vest monthly thereafter. During each of the years ended December 31, 2018 and 2019, 0.5 million shares of restricted common stock vested. As of December 31, 2019 and June 30, 2020, no shares of this restricted stock issuance remain unvested.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NET LOSS PER SHARE</w:t>
      </w:r>
    </w:p>
    <w:p>
      <w:pPr>
        <w:spacing w:after="0" w:line="229" w:lineRule="exact"/>
        <w:rPr>
          <w:sz w:val="20"/>
          <w:szCs w:val="20"/>
          <w:color w:val="auto"/>
        </w:rPr>
      </w:pPr>
    </w:p>
    <w:p>
      <w:pPr>
        <w:ind w:left="120" w:right="300" w:firstLine="881"/>
        <w:spacing w:after="0" w:line="308" w:lineRule="auto"/>
        <w:rPr>
          <w:sz w:val="20"/>
          <w:szCs w:val="20"/>
          <w:color w:val="auto"/>
        </w:rPr>
      </w:pPr>
      <w:r>
        <w:rPr>
          <w:rFonts w:ascii="Arial" w:cs="Arial" w:eastAsia="Arial" w:hAnsi="Arial"/>
          <w:sz w:val="17"/>
          <w:szCs w:val="17"/>
          <w:color w:val="auto"/>
        </w:rPr>
        <w:t>Net loss per share attributable to common stockholders was computed by dividing net loss by the weighted-average number of common shares outstanding for the years ended December 31, 2018 and 2019 and the six months ended June 30, 2019 and 2020:</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36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2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Weighted-average shares—basic and diluted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1,759,495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2,362,768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2,238,793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2,650,843</w:t>
            </w:r>
          </w:p>
        </w:tc>
        <w:tc>
          <w:tcPr>
            <w:tcW w:w="120" w:type="dxa"/>
            <w:vAlign w:val="bottom"/>
          </w:tcPr>
          <w:p>
            <w:pPr>
              <w:spacing w:after="0"/>
              <w:rPr>
                <w:sz w:val="18"/>
                <w:szCs w:val="18"/>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attributable to common</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r>
      <w:tr>
        <w:trPr>
          <w:trHeight w:val="365"/>
        </w:trPr>
        <w:tc>
          <w:tcPr>
            <w:tcW w:w="3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F-23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(Information as of June 30, 2020 and thereafter and for the six months ended June 30, 2019 and 2020 is unaudited; all tabular amounts</w:t>
      </w:r>
    </w:p>
    <w:p>
      <w:pPr>
        <w:spacing w:after="0" w:line="3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20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1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22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78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22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9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2019</w:t>
            </w:r>
          </w:p>
        </w:tc>
        <w:tc>
          <w:tcPr>
            <w:tcW w:w="12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unexercised—vested and unvested</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267,041</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297,142</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297,927</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1,230,701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Series A and Series B Preferred Stock, outstanding</w:t>
            </w:r>
          </w:p>
        </w:tc>
        <w:tc>
          <w:tcPr>
            <w:tcW w:w="880" w:type="dxa"/>
            <w:vAlign w:val="bottom"/>
          </w:tcPr>
          <w:p>
            <w:pPr>
              <w:jc w:val="right"/>
              <w:spacing w:after="0"/>
              <w:rPr>
                <w:sz w:val="20"/>
                <w:szCs w:val="20"/>
                <w:color w:val="auto"/>
              </w:rPr>
            </w:pPr>
            <w:r>
              <w:rPr>
                <w:rFonts w:ascii="Arial" w:cs="Arial" w:eastAsia="Arial" w:hAnsi="Arial"/>
                <w:sz w:val="18"/>
                <w:szCs w:val="18"/>
                <w:color w:val="auto"/>
              </w:rPr>
              <w:t>1,208,242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1,922,491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1,575,030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8,249,939</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repurchase from its founders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493,654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224,388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Stock options early-exercised and unvested</w:t>
            </w:r>
          </w:p>
        </w:tc>
        <w:tc>
          <w:tcPr>
            <w:tcW w:w="880" w:type="dxa"/>
            <w:vAlign w:val="bottom"/>
          </w:tcPr>
          <w:p>
            <w:pPr>
              <w:jc w:val="right"/>
              <w:spacing w:after="0"/>
              <w:rPr>
                <w:sz w:val="20"/>
                <w:szCs w:val="20"/>
                <w:color w:val="auto"/>
              </w:rPr>
            </w:pPr>
            <w:r>
              <w:rPr>
                <w:rFonts w:ascii="Arial" w:cs="Arial" w:eastAsia="Arial" w:hAnsi="Arial"/>
                <w:sz w:val="18"/>
                <w:szCs w:val="18"/>
                <w:color w:val="auto"/>
              </w:rPr>
              <w:t>105,273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54,786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67,316</w:t>
            </w:r>
          </w:p>
        </w:tc>
        <w:tc>
          <w:tcPr>
            <w:tcW w:w="8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93,421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2,074,210</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2,317,354</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2,173,068</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9,547,956</w:t>
            </w:r>
          </w:p>
        </w:tc>
        <w:tc>
          <w:tcPr>
            <w:tcW w:w="8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UNAUDITED PRO FORMA NET LOSS PER SHARE</w:t>
      </w:r>
    </w:p>
    <w:p>
      <w:pPr>
        <w:spacing w:after="0" w:line="229" w:lineRule="exact"/>
        <w:rPr>
          <w:sz w:val="20"/>
          <w:szCs w:val="20"/>
          <w:color w:val="auto"/>
        </w:rPr>
      </w:pPr>
    </w:p>
    <w:p>
      <w:pPr>
        <w:jc w:val="both"/>
        <w:ind w:left="120" w:right="680" w:firstLine="881"/>
        <w:spacing w:after="0" w:line="277"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attributable to common stockholders for the year ended December 31, 2019 and the six months ended June 30, 2020:</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64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(4,670)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of common stock used in computing net loss per</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540"/>
              <w:spacing w:after="0"/>
              <w:rPr>
                <w:sz w:val="20"/>
                <w:szCs w:val="20"/>
                <w:color w:val="auto"/>
              </w:rPr>
            </w:pPr>
            <w:r>
              <w:rPr>
                <w:rFonts w:ascii="Arial" w:cs="Arial" w:eastAsia="Arial" w:hAnsi="Arial"/>
                <w:sz w:val="18"/>
                <w:szCs w:val="18"/>
                <w:color w:val="auto"/>
              </w:rPr>
              <w:t>share attributable to common stockholders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2,362,768</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2,650,843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Pro forma adjustment to reflect assumed conversion of convertible preferred</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(Note 4)</w:t>
            </w:r>
          </w:p>
        </w:tc>
        <w:tc>
          <w:tcPr>
            <w:tcW w:w="3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1,922,494</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8,249,939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360"/>
              <w:spacing w:after="0"/>
              <w:rPr>
                <w:sz w:val="20"/>
                <w:szCs w:val="20"/>
                <w:color w:val="auto"/>
              </w:rPr>
            </w:pPr>
            <w:r>
              <w:rPr>
                <w:rFonts w:ascii="Arial" w:cs="Arial" w:eastAsia="Arial" w:hAnsi="Arial"/>
                <w:sz w:val="18"/>
                <w:szCs w:val="18"/>
                <w:color w:val="auto"/>
                <w:w w:val="98"/>
              </w:rPr>
              <w:t>Weighted-average shares of common stock used in computing pro forma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540"/>
              <w:spacing w:after="0"/>
              <w:rPr>
                <w:sz w:val="20"/>
                <w:szCs w:val="20"/>
                <w:color w:val="auto"/>
              </w:rPr>
            </w:pPr>
            <w:r>
              <w:rPr>
                <w:rFonts w:ascii="Arial" w:cs="Arial" w:eastAsia="Arial" w:hAnsi="Arial"/>
                <w:sz w:val="18"/>
                <w:szCs w:val="18"/>
                <w:color w:val="auto"/>
              </w:rPr>
              <w:t>loss per share attributable to common stockholders, basic and diluted</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4,285,262</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10,900,782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w w:val="95"/>
              </w:rPr>
              <w:t>Pro forma net loss per share attributable to common stockholders, basic and diluted</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4540"/>
              <w:spacing w:after="0"/>
              <w:rPr>
                <w:sz w:val="20"/>
                <w:szCs w:val="20"/>
                <w:color w:val="auto"/>
              </w:rPr>
            </w:pPr>
            <w:r>
              <w:rPr>
                <w:rFonts w:ascii="Arial" w:cs="Arial" w:eastAsia="Arial" w:hAnsi="Arial"/>
                <w:sz w:val="18"/>
                <w:szCs w:val="18"/>
                <w:color w:val="auto"/>
              </w:rPr>
              <w:t>F-24</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9" w:right="5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Arial" w:cs="Arial" w:eastAsia="Arial" w:hAnsi="Arial"/>
          <w:sz w:val="18"/>
          <w:szCs w:val="18"/>
          <w:i w:val="1"/>
          <w:iCs w:val="1"/>
          <w:color w:val="auto"/>
        </w:rPr>
        <w:t>Note 2(xi)</w:t>
      </w:r>
      <w:r>
        <w:rPr>
          <w:rFonts w:ascii="Arial" w:cs="Arial" w:eastAsia="Arial" w:hAnsi="Arial"/>
          <w:sz w:val="18"/>
          <w:szCs w:val="18"/>
          <w:color w:val="auto"/>
        </w:rPr>
        <w: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 Ended December 31, 2018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6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 Ended December 31, 2019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57,952</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57,952</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57,952</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57,952</w:t>
            </w:r>
          </w:p>
        </w:tc>
        <w:tc>
          <w:tcPr>
            <w:tcW w:w="6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Six Months Ended June 30, 2020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53,135</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53,135</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53,135</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53,135</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Money Market Funds</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 xml:space="preserve">Money market fund holdings are included in cash and cash equivalents on the accompanying balance sheets and are classified within </w:t>
      </w:r>
      <w:r>
        <w:rPr>
          <w:rFonts w:ascii="Arial" w:cs="Arial" w:eastAsia="Arial" w:hAnsi="Arial"/>
          <w:sz w:val="18"/>
          <w:szCs w:val="18"/>
          <w:i w:val="1"/>
          <w:iCs w:val="1"/>
          <w:color w:val="auto"/>
        </w:rPr>
        <w:t xml:space="preserve">Level 1 </w:t>
      </w:r>
      <w:r>
        <w:rPr>
          <w:rFonts w:ascii="Arial" w:cs="Arial" w:eastAsia="Arial" w:hAnsi="Arial"/>
          <w:sz w:val="18"/>
          <w:szCs w:val="18"/>
          <w:color w:val="auto"/>
        </w:rPr>
        <w:t>of the fair value hierarchy because of its readily-available market prices in active markets that are publicly accessible at the measurement date.</w:t>
      </w:r>
      <w:r>
        <w:rPr>
          <w:rFonts w:ascii="Arial" w:cs="Arial" w:eastAsia="Arial" w:hAnsi="Arial"/>
          <w:sz w:val="18"/>
          <w:szCs w:val="18"/>
          <w:i w:val="1"/>
          <w:iCs w:val="1"/>
          <w:color w:val="auto"/>
        </w:rPr>
        <w:t xml:space="preserve"> </w:t>
      </w:r>
      <w:r>
        <w:rPr>
          <w:rFonts w:ascii="Arial" w:cs="Arial" w:eastAsia="Arial" w:hAnsi="Arial"/>
          <w:sz w:val="18"/>
          <w:szCs w:val="18"/>
          <w:color w:val="auto"/>
        </w:rPr>
        <w:t>These money market funds are invested in U.S. Treasury, bills, notes, and other obligations issued or guaranteed as to principal and interest by the U.S. Government or its agencies.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Promissory Notes – Derivative Liabilities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The measurement of the derivative liabilities represents a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financial instrument:</w:t>
      </w:r>
    </w:p>
    <w:p>
      <w:pPr>
        <w:spacing w:after="0" w:line="19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Fair value as of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Initial fair value of derivative liability upon issuance of May 2019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Initial fair value of derivative liability upon issuance of August 2019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Initial fair value of derivative liability upon issuance of October 2019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Revaluation of derivative liabilities included in other income (expense), net within the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Statement of Operations for the year ended December 31, 2019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Settlement of derivative liabilities through conversion of all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as of December 31, 2019</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value as of June 30, 2020</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881"/>
        <w:spacing w:after="0" w:line="291" w:lineRule="auto"/>
        <w:rPr>
          <w:sz w:val="20"/>
          <w:szCs w:val="20"/>
          <w:color w:val="auto"/>
        </w:rPr>
      </w:pPr>
      <w:r>
        <w:rPr>
          <w:rFonts w:ascii="Arial" w:cs="Arial" w:eastAsia="Arial" w:hAnsi="Arial"/>
          <w:sz w:val="16"/>
          <w:szCs w:val="16"/>
          <w:color w:val="auto"/>
        </w:rPr>
        <w:t>The fair values of the derivative liabilities presented above were estimated at the date of issuance and at subsequent balance sheet dates using a two-step approach to valuation. Management utilized a probability-weighted valuation method and then compared the instrument’s</w:t>
      </w:r>
    </w:p>
    <w:p>
      <w:pPr>
        <w:ind w:left="120" w:right="20"/>
        <w:spacing w:after="0" w:line="253" w:lineRule="auto"/>
        <w:rPr>
          <w:sz w:val="20"/>
          <w:szCs w:val="20"/>
          <w:color w:val="auto"/>
        </w:rPr>
      </w:pPr>
      <w:r>
        <w:rPr>
          <w:rFonts w:ascii="Arial" w:cs="Arial" w:eastAsia="Arial" w:hAnsi="Arial"/>
          <w:sz w:val="18"/>
          <w:szCs w:val="18"/>
          <w:color w:val="auto"/>
        </w:rPr>
        <w:t xml:space="preserve">value with-and-without the derivative features in order to estimate their combined fair value, using unobservable inputs, which are classified as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within the fair value hierarchy. The significant inputs not included in the market and thus represents a </w:t>
      </w:r>
      <w:r>
        <w:rPr>
          <w:rFonts w:ascii="Arial" w:cs="Arial" w:eastAsia="Arial" w:hAnsi="Arial"/>
          <w:sz w:val="18"/>
          <w:szCs w:val="18"/>
          <w:i w:val="1"/>
          <w:iCs w:val="1"/>
          <w:color w:val="auto"/>
        </w:rPr>
        <w:t>Level 3</w:t>
      </w:r>
      <w:r>
        <w:rPr>
          <w:rFonts w:ascii="Arial" w:cs="Arial" w:eastAsia="Arial" w:hAnsi="Arial"/>
          <w:sz w:val="18"/>
          <w:szCs w:val="18"/>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Arial" w:cs="Arial" w:eastAsia="Arial" w:hAnsi="Arial"/>
          <w:sz w:val="18"/>
          <w:szCs w:val="18"/>
          <w:i w:val="1"/>
          <w:iCs w:val="1"/>
          <w:color w:val="auto"/>
        </w:rPr>
        <w:t>Note 9</w:t>
      </w:r>
      <w:r>
        <w:rPr>
          <w:rFonts w:ascii="Arial" w:cs="Arial" w:eastAsia="Arial" w:hAnsi="Arial"/>
          <w:sz w:val="18"/>
          <w:szCs w:val="18"/>
          <w:color w:val="auto"/>
        </w:rPr>
        <w: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CONVERTIBLE PROMISSORY NOTES PAYABLE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 of Notes and Conversion in December 2019</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equity financing based on a conversion price equal to 90% of the issuance price paid by these new investors, or (ii) be repaid in full.</w:t>
      </w:r>
    </w:p>
    <w:p>
      <w:pPr>
        <w:spacing w:after="0" w:line="225" w:lineRule="exact"/>
        <w:rPr>
          <w:sz w:val="20"/>
          <w:szCs w:val="20"/>
          <w:color w:val="auto"/>
        </w:rPr>
      </w:pPr>
    </w:p>
    <w:p>
      <w:pPr>
        <w:jc w:val="both"/>
        <w:ind w:left="120" w:right="140" w:firstLine="881"/>
        <w:spacing w:after="0" w:line="342" w:lineRule="auto"/>
        <w:rPr>
          <w:sz w:val="20"/>
          <w:szCs w:val="20"/>
          <w:color w:val="auto"/>
        </w:rPr>
      </w:pPr>
      <w:r>
        <w:rPr>
          <w:rFonts w:ascii="Arial" w:cs="Arial" w:eastAsia="Arial" w:hAnsi="Arial"/>
          <w:sz w:val="16"/>
          <w:szCs w:val="16"/>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24"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87"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 xml:space="preserve">In December 2019, the Company completed an issuance of Series B Preferred Stock (see </w:t>
      </w:r>
      <w:r>
        <w:rPr>
          <w:rFonts w:ascii="Arial" w:cs="Arial" w:eastAsia="Arial" w:hAnsi="Arial"/>
          <w:sz w:val="17"/>
          <w:szCs w:val="17"/>
          <w:i w:val="1"/>
          <w:iCs w:val="1"/>
          <w:color w:val="auto"/>
        </w:rPr>
        <w:t>Note 5</w:t>
      </w:r>
      <w:r>
        <w:rPr>
          <w:rFonts w:ascii="Arial" w:cs="Arial" w:eastAsia="Arial" w:hAnsi="Arial"/>
          <w:sz w:val="17"/>
          <w:szCs w:val="17"/>
          <w:color w:val="auto"/>
        </w:rPr>
        <w:t>). Upon this issuance, the $2.0 million of Note principal value, along with accrued interest, were converted into 0.3 million shares of Series B Preferred Stock under its contractual terms. The Company recorded “loss on extinguishment of convertible notes” (non-cash) of $0.3 million within “other income (expense)” in the accompanying Statements of Operations and Comprehensive Loss for the year ended December 31, 2019.</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Embedded Derivative and its Accounting</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Notes allowed for redemption upon a qualified equity financing that was determined to be a contingent redemption feature that was not closely related to the Notes and was thus was required to be bifurcated as a derivative liability on the balance sheet. Based on the features of this derivative, the Company accounted for it as an implied discount in presenting the carrying value of these Notes. This discount was accreted over the term to maturity of the Notes using the effective interest method, resulting in aggregate interest expense recognition (non-cash) of $6 thousand and $0.1 million for the six months ended June 30, 2019 and year ended December 31, 2019. As the Notes were converted in December 2019, no interest expense was recorded for the six months ended June 30, 2020.</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Changes in the embedded derivatives’ fair value at each reporting period were recognized in the accompanying statements of operations and comprehensive loss within “changes in fair value of derivative liabilities,” resulting in incremental “other expense” recognition (non-cash) of</w:t>
      </w:r>
    </w:p>
    <w:p>
      <w:pPr>
        <w:ind w:left="120" w:right="80"/>
        <w:spacing w:after="0" w:line="255" w:lineRule="auto"/>
        <w:rPr>
          <w:sz w:val="20"/>
          <w:szCs w:val="20"/>
          <w:color w:val="auto"/>
        </w:rPr>
      </w:pPr>
      <w:r>
        <w:rPr>
          <w:rFonts w:ascii="Arial" w:cs="Arial" w:eastAsia="Arial" w:hAnsi="Arial"/>
          <w:sz w:val="18"/>
          <w:szCs w:val="18"/>
          <w:color w:val="auto"/>
        </w:rPr>
        <w:t>$0.1 million for the year ended December 31, 2019. We did not recognize any changes in fair value of derivative liabilities during the six months ended June 30, 2019. As the Notes were converted in December 2019, no other expense related to changes in fair value of derivative liabilities was recorded for the six months ended June 30, 2020.</w:t>
      </w:r>
    </w:p>
    <w:p>
      <w:pPr>
        <w:spacing w:after="0" w:line="186" w:lineRule="exact"/>
        <w:rPr>
          <w:sz w:val="20"/>
          <w:szCs w:val="20"/>
          <w:color w:val="auto"/>
        </w:rPr>
      </w:pPr>
    </w:p>
    <w:p>
      <w:pPr>
        <w:ind w:left="380" w:hanging="264"/>
        <w:spacing w:after="0"/>
        <w:tabs>
          <w:tab w:leader="none" w:pos="3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&amp; CONTINGENCIES</w:t>
      </w:r>
    </w:p>
    <w:p>
      <w:pPr>
        <w:spacing w:after="0" w:line="225" w:lineRule="exact"/>
        <w:rPr>
          <w:rFonts w:ascii="Arial" w:cs="Arial" w:eastAsia="Arial" w:hAnsi="Arial"/>
          <w:sz w:val="18"/>
          <w:szCs w:val="18"/>
          <w:b w:val="1"/>
          <w:bCs w:val="1"/>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Facility Leases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In the ordinary course of business, the Company enters lease agreements with unaffiliated parties for the use of office and laboratory facilities and office equipment. As of December 31, 2019, the Company had one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active facility lease in Irvine, California, that commenced on March 1, 2019 and expires April 30, 2022 (see </w:t>
      </w:r>
      <w:r>
        <w:rPr>
          <w:rFonts w:ascii="Arial" w:cs="Arial" w:eastAsia="Arial" w:hAnsi="Arial"/>
          <w:sz w:val="18"/>
          <w:szCs w:val="18"/>
          <w:i w:val="1"/>
          <w:iCs w:val="1"/>
          <w:color w:val="auto"/>
        </w:rPr>
        <w:t>Note 12</w:t>
      </w:r>
      <w:r>
        <w:rPr>
          <w:rFonts w:ascii="Arial" w:cs="Arial" w:eastAsia="Arial" w:hAnsi="Arial"/>
          <w:sz w:val="18"/>
          <w:szCs w:val="18"/>
          <w:color w:val="auto"/>
        </w:rPr>
        <w:t>). This lease has a renewal option at the end of term, for which the Company was not reasonably certain to exercise at the lease commencement. As such, the renewal option was not included in the lease term used to calculate the right-of-use lease asset and lease liability. Prior to March 1, 2019, the Company did not have any material lease arrangements.</w:t>
      </w:r>
    </w:p>
    <w:p>
      <w:pPr>
        <w:spacing w:after="0" w:line="187" w:lineRule="exact"/>
        <w:rPr>
          <w:sz w:val="20"/>
          <w:szCs w:val="20"/>
          <w:color w:val="auto"/>
        </w:rPr>
      </w:pPr>
    </w:p>
    <w:p>
      <w:pPr>
        <w:ind w:left="120" w:right="180" w:firstLine="881"/>
        <w:spacing w:after="0" w:line="257" w:lineRule="auto"/>
        <w:rPr>
          <w:sz w:val="20"/>
          <w:szCs w:val="20"/>
          <w:color w:val="auto"/>
        </w:rPr>
      </w:pPr>
      <w:r>
        <w:rPr>
          <w:rFonts w:ascii="Arial" w:cs="Arial" w:eastAsia="Arial" w:hAnsi="Arial"/>
          <w:sz w:val="18"/>
          <w:szCs w:val="18"/>
          <w:color w:val="auto"/>
        </w:rPr>
        <w:t>The Company entered into two additional facility leases that commenced on June 1, 2020 for adjacent administrative and laboratory suites in Irvine, California. These leases expire on January 31, 2024. One of these leases included a renewal option at the end of its term, for which the Company was not reasonably certain to exercise at the lease commencement. As such, the renewal option was not included in the lease term used to calculate the right-of-use lease asset and lease liability. In connection with these two leases the Company capitalized right-of-use assets along with an accompanying lease liability of $0.7 million.</w:t>
      </w:r>
    </w:p>
    <w:p>
      <w:pPr>
        <w:spacing w:after="0" w:line="18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All of the Company’s facility leases have minimum annual rent, payable monthly, and carry fixed annual rent increases. Under the arrangements, real estate taxes, certain operating expenses, and common area maintenance are reimbursable to the lessor. These amounts are expensed as incurred, as they are variable in nature and therefore excluded from the measurement of the reported right-of-use asset and liability discussed below. During the years ended December 31, 2018 and 2019 and during the six months ended June 30, 2020, the Company had no sublease arrangements with it as lessor.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Adoption of New Lease Standard, Topic 842</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Beginning January 1, 2019, the Company adopted ASU 2016-02</w:t>
      </w:r>
      <w:r>
        <w:rPr>
          <w:rFonts w:ascii="Arial" w:cs="Arial" w:eastAsia="Arial" w:hAnsi="Arial"/>
          <w:sz w:val="16"/>
          <w:szCs w:val="16"/>
          <w:i w:val="1"/>
          <w:iCs w:val="1"/>
          <w:color w:val="auto"/>
        </w:rPr>
        <w:t>,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Under this new lease accounting standard, the Company recognized a right-of-use asset and lease liability on the accompanying Balance Sheets for all material leases. Management elected the “modified retrospective approach” with an effective transition date of January 1, 2018 upon adoption and the available practical expedients. The Company also elected to (1) not separate “lease components” from “non-lease components” in the measurement of minimum payments for its leases and</w:t>
      </w:r>
    </w:p>
    <w:p>
      <w:pPr>
        <w:spacing w:after="0" w:line="1" w:lineRule="exact"/>
        <w:rPr>
          <w:sz w:val="20"/>
          <w:szCs w:val="20"/>
          <w:color w:val="auto"/>
        </w:rPr>
      </w:pPr>
    </w:p>
    <w:p>
      <w:pPr>
        <w:ind w:left="120" w:right="20" w:hanging="4"/>
        <w:spacing w:after="0" w:line="323" w:lineRule="auto"/>
        <w:tabs>
          <w:tab w:leader="none" w:pos="37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not recognize a lease asset and liability for a term of 12 months or less. Lease expense is recognized on a straight-line basis over the expected term of the lease. In March 2019, the Company capitalized a right-of-use asset of $0.2 million along with an accompanying $0.2 million lease liability.</w:t>
      </w:r>
    </w:p>
    <w:p>
      <w:pPr>
        <w:spacing w:after="0" w:line="138"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 xml:space="preserve">As part of applying </w:t>
      </w:r>
      <w:r>
        <w:rPr>
          <w:rFonts w:ascii="Arial" w:cs="Arial" w:eastAsia="Arial" w:hAnsi="Arial"/>
          <w:sz w:val="17"/>
          <w:szCs w:val="17"/>
          <w:i w:val="1"/>
          <w:iCs w:val="1"/>
          <w:color w:val="auto"/>
        </w:rPr>
        <w:t>Topic 842</w:t>
      </w:r>
      <w:r>
        <w:rPr>
          <w:rFonts w:ascii="Arial" w:cs="Arial" w:eastAsia="Arial" w:hAnsi="Arial"/>
          <w:sz w:val="17"/>
          <w:szCs w:val="17"/>
          <w:color w:val="auto"/>
        </w:rPr>
        <w:t>, the Company determines if an arrangement is or contains a lease and the classification of that lease at contract execution. The classification of leases as “operating” or “finance” leases along with the initial measurement and recognition of the associated right-of-use assets and lease liabilities is performed at the lease commencement date. The measurement of lease liabilities is based on the present value of future lease payments over the lease term. Since an implicit rate for the operating lease for the Company’s Irvine facility was not determinable and was not implicit in the lease, the Company calculated an estimated incremental borrowing rate based upon what it would have to pay to borrow on a collateralized bases over a similar term and amount equal to the lease payments in a similar economic environment. The right-of-use lease asset is based on the corresponding lease liability and adjusted for (i) applicable payments made at or before the commencement date, (ii) initial direct costs incurred, and (iii) tenant incentives provided by the lessor.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Components of Lease Expense</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liability associated with each lease is amortized over the respective lease term using the effective interest rate method. The Company’s right-of-use asset is amortized over the lease term on a straight-line basis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lease expense, as reported on an allocated basis within “research and development” and “general and administrative” expenses on the accompanying Statements of Operations and Comprehensive Loss. For the six months ended June 30, 2019, year ended December 31, 2019, and the six months ended June 30, 2020, the Company recognized $21 thousand, $0.1 million, and $0.1 million for lease expense, respectively. There were no variable lease payments, including non-lease components such as common area maintenance fees, recognized as lease expense for the year ended December 31, 2019 or for the six months ended June 30,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Weighted-Average Remaining Lease Term and Applied Discount Rate</w:t>
      </w:r>
    </w:p>
    <w:p>
      <w:pPr>
        <w:spacing w:after="0" w:line="225"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The Company had one active lease for its Irvine office and laboratory facility, with a remaining lease term of two years and four months as of December 31, 2019 and a remaining lease term of one year and 10 months as of June 30, 2020. The Company had two additional facility leases commence on June 1, 2020, with remaining lease terms of 43 months as of June 30, 2020. The estimated incremental borrowing rate of 10% is utilized to present value future minimum lease payments since an implicit interest rate is not readily determinable each lease. The weighted average remaining lease term for the Company’s leases as of June 30, 2020 is 40 months.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Contractual Lease Payments as of December 31, 2019 and June 30, 2020</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below table summarizes the (i) minimum lease payments over the next five years and thereafter, (ii) lease arrangement imputed interest, and (iii) present value of future lease payments:</w:t>
      </w:r>
    </w:p>
    <w:p>
      <w:pPr>
        <w:spacing w:after="0" w:line="176"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Operating Leases - future payments</w:t>
            </w:r>
          </w:p>
        </w:tc>
        <w:tc>
          <w:tcPr>
            <w:tcW w:w="350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3420" w:type="dxa"/>
            <w:vAlign w:val="bottom"/>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120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2021</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Total future lease payments, undiscounted</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w w:val="99"/>
              </w:rPr>
              <w:t>Present value of operating lease payments</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w w:val="92"/>
              </w:rPr>
              <w:t>Operating Leases - future payments</w:t>
            </w:r>
          </w:p>
        </w:tc>
        <w:tc>
          <w:tcPr>
            <w:tcW w:w="1200" w:type="dxa"/>
            <w:vAlign w:val="bottom"/>
            <w:vMerge w:val="restart"/>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8"/>
        </w:trPr>
        <w:tc>
          <w:tcPr>
            <w:tcW w:w="222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3"/>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2020 (remaining six months)</w:t>
            </w:r>
          </w:p>
        </w:tc>
        <w:tc>
          <w:tcPr>
            <w:tcW w:w="3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2021</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Total future lease payments, undiscounted</w:t>
            </w:r>
          </w:p>
        </w:tc>
        <w:tc>
          <w:tcPr>
            <w:tcW w:w="350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w w:val="99"/>
              </w:rPr>
              <w:t>Present value of operating lease payments</w:t>
            </w:r>
          </w:p>
        </w:tc>
        <w:tc>
          <w:tcPr>
            <w:tcW w:w="35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80" w:type="dxa"/>
            <w:vAlign w:val="bottom"/>
            <w:gridSpan w:val="3"/>
          </w:tcPr>
          <w:p>
            <w:pPr>
              <w:jc w:val="right"/>
              <w:ind w:right="2870"/>
              <w:spacing w:after="0"/>
              <w:rPr>
                <w:sz w:val="20"/>
                <w:szCs w:val="20"/>
                <w:color w:val="auto"/>
              </w:rPr>
            </w:pPr>
            <w:r>
              <w:rPr>
                <w:rFonts w:ascii="Arial" w:cs="Arial" w:eastAsia="Arial" w:hAnsi="Arial"/>
                <w:sz w:val="18"/>
                <w:szCs w:val="18"/>
                <w:color w:val="auto"/>
              </w:rPr>
              <w:t>F-29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In-License Agreement for Lotilaner</w:t>
      </w:r>
    </w:p>
    <w:p>
      <w:pPr>
        <w:spacing w:after="0" w:line="229" w:lineRule="exact"/>
        <w:rPr>
          <w:sz w:val="20"/>
          <w:szCs w:val="20"/>
          <w:color w:val="auto"/>
        </w:rPr>
      </w:pPr>
    </w:p>
    <w:p>
      <w:pPr>
        <w:ind w:left="120" w:right="320" w:firstLine="881"/>
        <w:spacing w:after="0" w:line="259" w:lineRule="auto"/>
        <w:rPr>
          <w:sz w:val="20"/>
          <w:szCs w:val="20"/>
          <w:color w:val="auto"/>
        </w:rPr>
      </w:pPr>
      <w:r>
        <w:rPr>
          <w:rFonts w:ascii="Arial" w:cs="Arial" w:eastAsia="Arial" w:hAnsi="Arial"/>
          <w:sz w:val="18"/>
          <w:szCs w:val="18"/>
          <w:color w:val="auto"/>
        </w:rPr>
        <w:t xml:space="preserve">In January 2019, the Company entered into a license agreement with Elanco Tiergesundheit AG (“Elanco”), granting the Company a worldwide, sublicensable license for the development and marketing of lotilaner for the treatment or cure of any eye or skin disease or condition in humans (see </w:t>
      </w:r>
      <w:r>
        <w:rPr>
          <w:rFonts w:ascii="Arial" w:cs="Arial" w:eastAsia="Arial" w:hAnsi="Arial"/>
          <w:sz w:val="18"/>
          <w:szCs w:val="18"/>
          <w:i w:val="1"/>
          <w:iCs w:val="1"/>
          <w:color w:val="auto"/>
        </w:rPr>
        <w:t>Note 12</w:t>
      </w:r>
      <w:r>
        <w:rPr>
          <w:rFonts w:ascii="Arial" w:cs="Arial" w:eastAsia="Arial" w:hAnsi="Arial"/>
          <w:sz w:val="18"/>
          <w:szCs w:val="18"/>
          <w:color w:val="auto"/>
        </w:rPr>
        <w:t>) (the “Field”). Under this agreement, the Company has sole responsibility for development, regulatory, and commercialization activities for lotilaner in the Field.</w:t>
      </w:r>
    </w:p>
    <w:p>
      <w:pPr>
        <w:spacing w:after="0" w:line="187" w:lineRule="exact"/>
        <w:rPr>
          <w:sz w:val="20"/>
          <w:szCs w:val="20"/>
          <w:color w:val="auto"/>
        </w:rPr>
      </w:pPr>
    </w:p>
    <w:p>
      <w:pPr>
        <w:jc w:val="both"/>
        <w:ind w:left="120" w:right="260" w:firstLine="881"/>
        <w:spacing w:after="0" w:line="287" w:lineRule="auto"/>
        <w:rPr>
          <w:sz w:val="20"/>
          <w:szCs w:val="20"/>
          <w:color w:val="auto"/>
        </w:rPr>
      </w:pPr>
      <w:r>
        <w:rPr>
          <w:rFonts w:ascii="Arial" w:cs="Arial" w:eastAsia="Arial" w:hAnsi="Arial"/>
          <w:sz w:val="16"/>
          <w:szCs w:val="16"/>
          <w:color w:val="auto"/>
        </w:rPr>
        <w:t>The Company made a $1.0 million upfront payment at contract execution which is reported within “research and development” expense within the accompanying statements of operations and comprehensive loss for the six months ended June 30, 2019 and the year ended December 31, 2019. The Company agreed to make further payments to Elanco upon achievement of various clinical milestones for an aggregate maximum of</w:t>
      </w:r>
    </w:p>
    <w:p>
      <w:pPr>
        <w:spacing w:after="0" w:line="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$6.0 million and various commercial and sales threshold milestones for an aggregate maximum of $79.0 million. In addition, the Company is obligated to pay contractual royalties to Elanco in the single digits of its future net sales. If the Company receives payments from future sublicensees, it is obligated to pay Elanco a variable percentage in the low to mid double-digits of such proceeds, except for territories in which the Company achieved regulatory approval prior to sublicense execution.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Employment Agreements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has entered into employment agreements with four of its named executive officers. These agreements provide for the payment of certain benefits upon separation of employment under specified circumstances, such as in connection with a change in control event or other significant transaction.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Contingencies</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has been or will be incurred for financial statement recognition.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 Indemnities and Guarantees</w:t>
      </w:r>
    </w:p>
    <w:p>
      <w:pPr>
        <w:spacing w:after="0" w:line="22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balance sheets.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120" w:right="280" w:firstLine="881"/>
        <w:spacing w:after="0" w:line="308" w:lineRule="auto"/>
        <w:rPr>
          <w:sz w:val="20"/>
          <w:szCs w:val="20"/>
          <w:color w:val="auto"/>
        </w:rPr>
      </w:pPr>
      <w:r>
        <w:rPr>
          <w:rFonts w:ascii="Arial" w:cs="Arial" w:eastAsia="Arial" w:hAnsi="Arial"/>
          <w:sz w:val="17"/>
          <w:szCs w:val="17"/>
          <w:color w:val="auto"/>
        </w:rPr>
        <w:t>A reconciliation of income taxes was computed by applying the statutory federal income tax rate in each period to the pretax loss for the years ended December 31, 2018 and 2019, and as adjusted for certain classes of transactions, as summarized below:</w:t>
      </w:r>
    </w:p>
    <w:p>
      <w:pPr>
        <w:spacing w:after="0" w:line="165"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Year Ended</w:t>
      </w:r>
    </w:p>
    <w:p>
      <w:pPr>
        <w:jc w:val="center"/>
        <w:ind w:left="6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tax benefit at statutory rate</w:t>
            </w: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(277)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(981)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notes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Non-deductible interest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Significant components of the deferred tax assets and liabilities at December 31, 2018 and 2019, are presented below:</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Net operating loss carry forwards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$ 348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 deferred tax assets before valuation allowance</w:t>
            </w:r>
          </w:p>
        </w:tc>
        <w:tc>
          <w:tcPr>
            <w:tcW w:w="1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320" w:type="dxa"/>
            <w:vAlign w:val="bottom"/>
            <w:gridSpan w:val="3"/>
            <w:shd w:val="clear" w:color="auto" w:fill="CCEEFF"/>
          </w:tcPr>
          <w:p>
            <w:pPr>
              <w:jc w:val="right"/>
              <w:ind w:right="556"/>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(1,338)</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The Company maintains a full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$0.4 million and $1.3 million at December 31, 2018 and 2019, respectively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At December 31, 2019, the Company has federal and California net operating loss carryforwards of approximately $4.2 million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$1.3 million, respectively. As a result of the Tax Cuts and Jobs Act of 2017 (the Tax Act), for U.S. income tax purposes, net operating losses generated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to December 31, 2017 can be carried forward for up to 20 years, while net operating losses generated after December 31, 2017 can be carried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forward indefinitely, but are limited to 80% utilization against taxable income. The Company’s total federal net operating loss of $4.2 million includes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$45 thousand that will begin to expire in 2037 and $4.1 million that will not expire but will only be able to be offset 80% of future taxable income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within each year. The California net operating losses will begin to expire in 2037. At December 31, 2019, the Company had federal and California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research and development tax credits of $0.1 million each. The federal research and development tax credits begin to expire in 2037 unless previously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utilized, and the California credit carryforwards are available indefinitely.</w:t>
      </w:r>
    </w:p>
    <w:p>
      <w:pPr>
        <w:spacing w:after="0" w:line="211"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92"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summarizes the changes to the gross unrecognized tax benefits for the years ended December 31, 2018 and 2019:</w:t>
      </w:r>
    </w:p>
    <w:p>
      <w:pPr>
        <w:spacing w:after="0" w:line="267"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Year Ended</w:t>
      </w:r>
    </w:p>
    <w:p>
      <w:pPr>
        <w:jc w:val="center"/>
        <w:ind w:left="66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8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Additions related to current year positions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The Company is subject to taxation in the United States and California.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2018 and 2019 and the years then ended. Further, the Company is not currently under examination by any federal, state, or local tax authority.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(Information as of June 30, 2020 and thereafter and for the six months ended June 30, 2019 and 2020 is unaudited; all tabular amounts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left="120" w:right="540" w:firstLine="881"/>
        <w:spacing w:after="0" w:line="277" w:lineRule="auto"/>
        <w:rPr>
          <w:sz w:val="20"/>
          <w:szCs w:val="20"/>
          <w:color w:val="auto"/>
        </w:rPr>
      </w:pPr>
      <w:r>
        <w:rPr>
          <w:rFonts w:ascii="Arial" w:cs="Arial" w:eastAsia="Arial" w:hAnsi="Arial"/>
          <w:sz w:val="18"/>
          <w:szCs w:val="18"/>
          <w:color w:val="auto"/>
        </w:rPr>
        <w:t>Subsequent events have been evaluated for recognition and measurement purposes through August 7, 2020, which is the date that the financial statements were available to be issued.</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 preparing the interim financial statements as of June 30, 2020 and for the six months ended June 30, 2019 and 2020, the Company has evaluated subsequent events through September 25, 2020, which is the date that the financial statements were available to be issued. Except as described below, the Company has concluded that no events or transactions have occurred that require disclosure.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Expansion of the In-license for Lotilaner</w:t>
      </w:r>
    </w:p>
    <w:p>
      <w:pPr>
        <w:spacing w:after="0" w:line="225" w:lineRule="exact"/>
        <w:rPr>
          <w:sz w:val="20"/>
          <w:szCs w:val="20"/>
          <w:color w:val="auto"/>
        </w:rPr>
      </w:pPr>
    </w:p>
    <w:p>
      <w:pPr>
        <w:ind w:left="120" w:right="140" w:firstLine="881"/>
        <w:spacing w:after="0" w:line="286" w:lineRule="auto"/>
        <w:rPr>
          <w:sz w:val="20"/>
          <w:szCs w:val="20"/>
          <w:color w:val="auto"/>
        </w:rPr>
      </w:pPr>
      <w:r>
        <w:rPr>
          <w:rFonts w:ascii="Arial" w:cs="Arial" w:eastAsia="Arial" w:hAnsi="Arial"/>
          <w:sz w:val="17"/>
          <w:szCs w:val="17"/>
          <w:color w:val="auto"/>
        </w:rPr>
        <w:t xml:space="preserve">On September 3, 2020, the Company executed a new exclusive license agreement with Elanco, granting the Company an exclusive, worldwide, sublicensable license to certain intellectual property for the development, marketing, and commercialization of lotilaner for all applications in humans beyond the treatment, palliation, prevention or cure of any eye or skin disease or condition (see </w:t>
      </w:r>
      <w:r>
        <w:rPr>
          <w:rFonts w:ascii="Arial" w:cs="Arial" w:eastAsia="Arial" w:hAnsi="Arial"/>
          <w:sz w:val="17"/>
          <w:szCs w:val="17"/>
          <w:i w:val="1"/>
          <w:iCs w:val="1"/>
          <w:color w:val="auto"/>
        </w:rPr>
        <w:t>Note 10(b)</w:t>
      </w:r>
      <w:r>
        <w:rPr>
          <w:rFonts w:ascii="Arial" w:cs="Arial" w:eastAsia="Arial" w:hAnsi="Arial"/>
          <w:sz w:val="17"/>
          <w:szCs w:val="17"/>
          <w:color w:val="auto"/>
        </w:rPr>
        <w:t>).</w:t>
      </w:r>
    </w:p>
    <w:p>
      <w:pPr>
        <w:spacing w:after="0" w:line="165"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The Company issued Elanco 0.2 million shares of its common stock pursuant to the terms of the agreement. In addition, upon the 18-month anniversary of contract execution, if not terminated by the Company, it is obligated to grant Elanco additional shares that aggregate $3.0 million, valued as of the Company’s initial public offering on a per share basis, in accordance with the terms of this agreement.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Milestone Achievement and Payment Due to Licensor</w:t>
      </w:r>
    </w:p>
    <w:p>
      <w:pPr>
        <w:spacing w:after="0" w:line="225"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 xml:space="preserve">On September 9, 2020, patient enrollment commenced in the Company’s Phase 2b/3 clinical trial for the treatment of Demodex blepharitis. The Company has made its required $1.0 million payment in the third quarter of 2020 relating to the achievement of this clinical milestone under the terms of its in-license agreement for lotilaner (see </w:t>
      </w:r>
      <w:r>
        <w:rPr>
          <w:rFonts w:ascii="Arial" w:cs="Arial" w:eastAsia="Arial" w:hAnsi="Arial"/>
          <w:sz w:val="18"/>
          <w:szCs w:val="18"/>
          <w:i w:val="1"/>
          <w:iCs w:val="1"/>
          <w:color w:val="auto"/>
        </w:rPr>
        <w:t>Note 10(b)</w:t>
      </w:r>
      <w:r>
        <w:rPr>
          <w:rFonts w:ascii="Arial" w:cs="Arial" w:eastAsia="Arial" w:hAnsi="Arial"/>
          <w:sz w:val="18"/>
          <w:szCs w:val="18"/>
          <w:color w:val="auto"/>
        </w:rPr>
        <w: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Issuance</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September 2020, as part of the Series C Preferred Stock Purchase Agreement, the Company issued an aggregate of 2,857,079 shares of its Series C Preferred Stock at a purchase price of $14.0003 per share for aggregate gross proceeds of approximately $40.0 million from certain new and existing investors. Each share of Series C Preferred Stock will automatically convert into one share of the Company’s common stock upon the completion of this offering. The rights and preferences of the Series C Preferred Stock are similar to those of the Series B Preferred Stock, except that</w:t>
      </w:r>
    </w:p>
    <w:p>
      <w:pPr>
        <w:spacing w:after="0" w:line="1" w:lineRule="exact"/>
        <w:rPr>
          <w:sz w:val="20"/>
          <w:szCs w:val="20"/>
          <w:color w:val="auto"/>
        </w:rPr>
      </w:pPr>
    </w:p>
    <w:p>
      <w:pPr>
        <w:ind w:left="120" w:hanging="4"/>
        <w:spacing w:after="0" w:line="271" w:lineRule="auto"/>
        <w:tabs>
          <w:tab w:leader="none" w:pos="33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Original Issue Price for Series C Preferred Stock is $14.0003 per share and (ii) the holders of a majority of the Series B Preferred Stock and the Series C Preferred Stock, voting together as a single class, are entitled to elect two members to the Company’s Board of Directors. Also, the defined “qualified public offering” within the Company’s Amended and Restated Certificate of Incorporation, requiring the conversion of all preferred stock into common stock, was increased to be net proceeds of not less than $75 million. The Company also entered into an Amended and Restated Investors’ Rights Agreement, Voting Agreement and Right of First Refusal and Co-Sale Agreement.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TARSUS PHARMACEUTICALS, INC.</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(Information as of June 30, 2020 and thereafter and for the six months ended June 30, 2019 and 2020 is unaudited; all tabular amounts</w:t>
      </w:r>
    </w:p>
    <w:p>
      <w:pPr>
        <w:spacing w:after="0" w:line="32"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presented in thousands, except share, per share, per unit, and number of years)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 in Authorized Shares of Common Stock and Preferred Stock</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September 2020, the Company effected an increase in the number of authorized shares of its common stock from 13,867,198 shares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17,502,288 shares and an increase in the number of authorized shares of its preferred stock from 8,306,679 shares to 11,107,035 shares, of which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2,857,084 shares were designated as Series C Preferred Stock.</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860"/>
          </w:cols>
          <w:pgMar w:left="320" w:top="459" w:right="7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Through and including November 9,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39"/>
        <w:spacing w:after="0"/>
        <w:rPr>
          <w:sz w:val="20"/>
          <w:szCs w:val="20"/>
          <w:color w:val="auto"/>
        </w:rPr>
      </w:pPr>
      <w:r>
        <w:rPr>
          <w:rFonts w:ascii="Arial" w:cs="Arial" w:eastAsia="Arial" w:hAnsi="Arial"/>
          <w:sz w:val="29"/>
          <w:szCs w:val="29"/>
          <w:b w:val="1"/>
          <w:bCs w:val="1"/>
          <w:color w:val="auto"/>
        </w:rPr>
        <w:t>5,500,000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357505</wp:posOffset>
            </wp:positionV>
            <wp:extent cx="1568450" cy="13030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156845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Tarsus Pharmaceuticals, Inc.</w:t>
      </w: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620395</wp:posOffset>
            </wp:positionV>
            <wp:extent cx="14058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85725</wp:posOffset>
            </wp:positionV>
            <wp:extent cx="1405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29"/>
          <w:szCs w:val="29"/>
          <w:b w:val="1"/>
          <w:bCs w:val="1"/>
          <w:color w:val="auto"/>
        </w:rPr>
        <w:t>BofA Securities</w:t>
      </w: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29"/>
          <w:szCs w:val="29"/>
          <w:b w:val="1"/>
          <w:bCs w:val="1"/>
          <w:color w:val="auto"/>
        </w:rPr>
        <w:t>Jefferies</w:t>
      </w: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29"/>
          <w:szCs w:val="29"/>
          <w:b w:val="1"/>
          <w:bCs w:val="1"/>
          <w:color w:val="auto"/>
        </w:rPr>
        <w:t>Raymond James</w:t>
      </w:r>
    </w:p>
    <w:p>
      <w:pPr>
        <w:spacing w:after="0" w:line="319"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LifeSci Capital</w:t>
      </w:r>
    </w:p>
    <w:p>
      <w:pPr>
        <w:spacing w:after="0" w:line="287"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October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1000"/>
      </w:cols>
      <w:pgMar w:left="320" w:top="45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FFCA11"/>
    <w:multiLevelType w:val="hybridMultilevel"/>
    <w:lvl w:ilvl="0">
      <w:lvlJc w:val="left"/>
      <w:lvlText w:val="(%1)"/>
      <w:numFmt w:val="decimal"/>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lvl w:ilvl="1">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lvl w:ilvl="1">
      <w:lvlJc w:val="left"/>
      <w:lvlText w:val="-"/>
      <w:numFmt w:val="bullet"/>
      <w:start w:val="1"/>
    </w:lvl>
  </w:abstractNum>
  <w:abstractNum w:abstractNumId="13">
    <w:nsid w:val="3222E7CD"/>
    <w:multiLevelType w:val="hybridMultilevel"/>
    <w:lvl w:ilvl="0">
      <w:lvlJc w:val="left"/>
      <w:lvlText w:val="•"/>
      <w:numFmt w:val="bullet"/>
      <w:start w:val="1"/>
    </w:lvl>
    <w:lvl w:ilvl="1">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lvl w:ilvl="1">
      <w:lvlJc w:val="left"/>
      <w:lvlText w:val="-"/>
      <w:numFmt w:val="bullet"/>
      <w:start w:val="1"/>
    </w:lvl>
  </w:abstractNum>
  <w:abstractNum w:abstractNumId="18">
    <w:nsid w:val="4A2AC315"/>
    <w:multiLevelType w:val="hybridMultilevel"/>
    <w:lvl w:ilvl="0">
      <w:lvlJc w:val="left"/>
      <w:lvlText w:val="(%1)"/>
      <w:numFmt w:val="decimal"/>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1)"/>
      <w:numFmt w:val="decimal"/>
      <w:start w:val="1"/>
    </w:lvl>
    <w:lvl w:ilvl="1">
      <w:lvlJc w:val="left"/>
      <w:lvlText w:val="-"/>
      <w:numFmt w:val="bullet"/>
      <w:start w:val="1"/>
    </w:lvl>
  </w:abstractNum>
  <w:abstractNum w:abstractNumId="21">
    <w:nsid w:val="CC1016F"/>
    <w:multiLevelType w:val="hybridMultilevel"/>
    <w:lvl w:ilvl="0">
      <w:lvlJc w:val="left"/>
      <w:lvlText w:val="•"/>
      <w:numFmt w:val="bullet"/>
      <w:start w:val="1"/>
    </w:lvl>
    <w:lvl w:ilvl="1">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lvl w:ilvl="1">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
      <w:numFmt w:val="bullet"/>
      <w:start w:val="1"/>
    </w:lvl>
    <w:lvl w:ilvl="1">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lvl w:ilvl="1">
      <w:lvlJc w:val="left"/>
      <w:lvlText w:val="-"/>
      <w:numFmt w:val="bullet"/>
      <w:start w:val="1"/>
    </w:lvl>
  </w:abstractNum>
  <w:abstractNum w:abstractNumId="30">
    <w:nsid w:val="488AC1A"/>
    <w:multiLevelType w:val="hybridMultilevel"/>
    <w:lvl w:ilvl="0">
      <w:lvlJc w:val="left"/>
      <w:lvlText w:val="•"/>
      <w:numFmt w:val="bullet"/>
      <w:start w:val="1"/>
    </w:lvl>
    <w:lvl w:ilvl="1">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lvl w:ilvl="1">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lvl w:ilvl="1">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lvl w:ilvl="1">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lvl w:ilvl="1">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lvl w:ilvl="1">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
      <w:numFmt w:val="bullet"/>
      <w:start w:val="1"/>
    </w:lvl>
    <w:lvl w:ilvl="1">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lvl w:ilvl="1">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lvl w:ilvl="1">
      <w:lvlJc w:val="left"/>
      <w:lvlText w:val="-"/>
      <w:numFmt w:val="bullet"/>
      <w:start w:val="1"/>
    </w:lvl>
  </w:abstractNum>
  <w:abstractNum w:abstractNumId="51">
    <w:nsid w:val="288F1A34"/>
    <w:multiLevelType w:val="hybridMultilevel"/>
    <w:lvl w:ilvl="0">
      <w:lvlJc w:val="left"/>
      <w:lvlText w:val="•"/>
      <w:numFmt w:val="bullet"/>
      <w:start w:val="1"/>
    </w:lvl>
    <w:lvl w:ilvl="1">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lvl w:ilvl="1">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1)"/>
      <w:numFmt w:val="lowerRoman"/>
      <w:start w:val="6"/>
    </w:lvl>
  </w:abstractNum>
  <w:abstractNum w:abstractNumId="59">
    <w:nsid w:val="7C58FD05"/>
    <w:multiLevelType w:val="hybridMultilevel"/>
    <w:lvl w:ilvl="0">
      <w:lvlJc w:val="left"/>
      <w:lvlText w:val="(%1)"/>
      <w:numFmt w:val="lowerRoman"/>
      <w:start w:val="4"/>
    </w:lvl>
    <w:lvl w:ilvl="1">
      <w:lvlJc w:val="left"/>
      <w:lvlText w:val="-"/>
      <w:numFmt w:val="bullet"/>
      <w:start w:val="1"/>
    </w:lvl>
  </w:abstractNum>
  <w:abstractNum w:abstractNumId="60">
    <w:nsid w:val="23D86AAC"/>
    <w:multiLevelType w:val="hybridMultilevel"/>
    <w:lvl w:ilvl="0">
      <w:lvlJc w:val="left"/>
      <w:lvlText w:val="•"/>
      <w:numFmt w:val="bullet"/>
      <w:start w:val="1"/>
    </w:lvl>
    <w:lvl w:ilvl="1">
      <w:lvlJc w:val="left"/>
      <w:lvlText w:val="-"/>
      <w:numFmt w:val="bullet"/>
      <w:start w:val="1"/>
    </w:lvl>
  </w:abstractNum>
  <w:abstractNum w:abstractNumId="61">
    <w:nsid w:val="45E6D486"/>
    <w:multiLevelType w:val="hybridMultilevel"/>
    <w:lvl w:ilvl="0">
      <w:lvlJc w:val="left"/>
      <w:lvlText w:val="•"/>
      <w:numFmt w:val="bullet"/>
      <w:start w:val="1"/>
    </w:lvl>
    <w:lvl w:ilvl="1">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
      <w:numFmt w:val="bullet"/>
      <w:start w:val="1"/>
    </w:lvl>
  </w:abstractNum>
  <w:abstractNum w:abstractNumId="64">
    <w:nsid w:val="3C5991AA"/>
    <w:multiLevelType w:val="hybridMultilevel"/>
    <w:lvl w:ilvl="0">
      <w:lvlJc w:val="left"/>
      <w:lvlText w:val="•"/>
      <w:numFmt w:val="bullet"/>
      <w:start w:val="1"/>
    </w:lvl>
    <w:lvl w:ilvl="1">
      <w:lvlJc w:val="left"/>
      <w:lvlText w:val="-"/>
      <w:numFmt w:val="bullet"/>
      <w:start w:val="1"/>
    </w:lvl>
  </w:abstractNum>
  <w:abstractNum w:abstractNumId="65">
    <w:nsid w:val="4BD8591A"/>
    <w:multiLevelType w:val="hybridMultilevel"/>
    <w:lvl w:ilvl="0">
      <w:lvlJc w:val="left"/>
      <w:lvlText w:val="•"/>
      <w:numFmt w:val="bullet"/>
      <w:start w:val="1"/>
    </w:lvl>
    <w:lvl w:ilvl="1">
      <w:lvlJc w:val="left"/>
      <w:lvlText w:val="-"/>
      <w:numFmt w:val="bullet"/>
      <w:start w:val="1"/>
    </w:lvl>
  </w:abstractNum>
  <w:abstractNum w:abstractNumId="66">
    <w:nsid w:val="78DF6A55"/>
    <w:multiLevelType w:val="hybridMultilevel"/>
    <w:lvl w:ilvl="0">
      <w:lvlJc w:val="left"/>
      <w:lvlText w:val="•"/>
      <w:numFmt w:val="bullet"/>
      <w:start w:val="1"/>
    </w:lvl>
  </w:abstractNum>
  <w:abstractNum w:abstractNumId="67">
    <w:nsid w:val="39B7AAA2"/>
    <w:multiLevelType w:val="hybridMultilevel"/>
    <w:lvl w:ilvl="0">
      <w:lvlJc w:val="left"/>
      <w:lvlText w:val="•"/>
      <w:numFmt w:val="bullet"/>
      <w:start w:val="1"/>
    </w:lvl>
  </w:abstractNum>
  <w:abstractNum w:abstractNumId="68">
    <w:nsid w:val="2B0D8DBE"/>
    <w:multiLevelType w:val="hybridMultilevel"/>
    <w:lvl w:ilvl="0">
      <w:lvlJc w:val="left"/>
      <w:lvlText w:val="•"/>
      <w:numFmt w:val="bullet"/>
      <w:start w:val="1"/>
    </w:lvl>
  </w:abstractNum>
  <w:abstractNum w:abstractNumId="69">
    <w:nsid w:val="6C80EC70"/>
    <w:multiLevelType w:val="hybridMultilevel"/>
    <w:lvl w:ilvl="0">
      <w:lvlJc w:val="left"/>
      <w:lvlText w:val="•"/>
      <w:numFmt w:val="bullet"/>
      <w:start w:val="1"/>
    </w:lvl>
    <w:lvl w:ilvl="1">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1)"/>
      <w:numFmt w:val="lowerRoman"/>
      <w:start w:val="1"/>
    </w:lvl>
    <w:lvl w:ilvl="1">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lvl w:ilvl="1">
      <w:lvlJc w:val="left"/>
      <w:lvlText w:val="-"/>
      <w:numFmt w:val="bullet"/>
      <w:start w:val="1"/>
    </w:lvl>
  </w:abstractNum>
  <w:abstractNum w:abstractNumId="75">
    <w:nsid w:val="1DF029D3"/>
    <w:multiLevelType w:val="hybridMultilevel"/>
    <w:lvl w:ilvl="0">
      <w:lvlJc w:val="left"/>
      <w:lvlText w:val="•"/>
      <w:numFmt w:val="bullet"/>
      <w:start w:val="1"/>
    </w:lvl>
    <w:lvl w:ilvl="1">
      <w:lvlJc w:val="left"/>
      <w:lvlText w:val="-"/>
      <w:numFmt w:val="bullet"/>
      <w:start w:val="1"/>
    </w:lvl>
  </w:abstractNum>
  <w:abstractNum w:abstractNumId="76">
    <w:nsid w:val="5675FF36"/>
    <w:multiLevelType w:val="hybridMultilevel"/>
    <w:lvl w:ilvl="0">
      <w:lvlJc w:val="left"/>
      <w:lvlText w:val="•"/>
      <w:numFmt w:val="bullet"/>
      <w:start w:val="1"/>
    </w:lvl>
  </w:abstractNum>
  <w:abstractNum w:abstractNumId="77">
    <w:nsid w:val="3DD15094"/>
    <w:multiLevelType w:val="hybridMultilevel"/>
    <w:lvl w:ilvl="0">
      <w:lvlJc w:val="left"/>
      <w:lvlText w:val="(%1)"/>
      <w:numFmt w:val="decimal"/>
      <w:start w:val="1"/>
    </w:lvl>
  </w:abstractNum>
  <w:abstractNum w:abstractNumId="78">
    <w:nsid w:val="3DB012B3"/>
    <w:multiLevelType w:val="hybridMultilevel"/>
    <w:lvl w:ilvl="0">
      <w:lvlJc w:val="left"/>
      <w:lvlText w:val="(%1)"/>
      <w:numFmt w:val="decimal"/>
      <w:start w:val="1"/>
    </w:lvl>
  </w:abstractNum>
  <w:abstractNum w:abstractNumId="79">
    <w:nsid w:val="2708C9AF"/>
    <w:multiLevelType w:val="hybridMultilevel"/>
    <w:lvl w:ilvl="0">
      <w:lvlJc w:val="left"/>
      <w:lvlText w:val="•"/>
      <w:numFmt w:val="bullet"/>
      <w:start w:val="1"/>
    </w:lvl>
  </w:abstractNum>
  <w:abstractNum w:abstractNumId="80">
    <w:nsid w:val="5B25ACE2"/>
    <w:multiLevelType w:val="hybridMultilevel"/>
    <w:lvl w:ilvl="0">
      <w:lvlJc w:val="left"/>
      <w:lvlText w:val="•"/>
      <w:numFmt w:val="bullet"/>
      <w:start w:val="1"/>
    </w:lvl>
  </w:abstractNum>
  <w:abstractNum w:abstractNumId="81">
    <w:nsid w:val="175DFCF0"/>
    <w:multiLevelType w:val="hybridMultilevel"/>
    <w:lvl w:ilvl="0">
      <w:lvlJc w:val="left"/>
      <w:lvlText w:val="(%1)"/>
      <w:numFmt w:val="lowerRoman"/>
      <w:start w:val="1"/>
    </w:lvl>
  </w:abstractNum>
  <w:abstractNum w:abstractNumId="82">
    <w:nsid w:val="4F97E3E4"/>
    <w:multiLevelType w:val="hybridMultilevel"/>
    <w:lvl w:ilvl="0">
      <w:lvlJc w:val="left"/>
      <w:lvlText w:val="(%1)"/>
      <w:numFmt w:val="lowerRoman"/>
      <w:start w:val="1"/>
    </w:lvl>
  </w:abstractNum>
  <w:abstractNum w:abstractNumId="83">
    <w:nsid w:val="53B0A9E"/>
    <w:multiLevelType w:val="hybridMultilevel"/>
    <w:lvl w:ilvl="0">
      <w:lvlJc w:val="left"/>
      <w:lvlText w:val="•"/>
      <w:numFmt w:val="bullet"/>
      <w:start w:val="1"/>
    </w:lvl>
  </w:abstractNum>
  <w:abstractNum w:abstractNumId="84">
    <w:nsid w:val="34FD6B4F"/>
    <w:multiLevelType w:val="hybridMultilevel"/>
    <w:lvl w:ilvl="0">
      <w:lvlJc w:val="left"/>
      <w:lvlText w:val="(%1)"/>
      <w:numFmt w:val="decimal"/>
      <w:start w:val="1"/>
    </w:lvl>
  </w:abstractNum>
  <w:abstractNum w:abstractNumId="85">
    <w:nsid w:val="5915FF32"/>
    <w:multiLevelType w:val="hybridMultilevel"/>
    <w:lvl w:ilvl="0">
      <w:lvlJc w:val="left"/>
      <w:lvlText w:val="(%1)"/>
      <w:numFmt w:val="decimal"/>
      <w:start w:val="1"/>
    </w:lvl>
  </w:abstractNum>
  <w:abstractNum w:abstractNumId="86">
    <w:nsid w:val="56438D15"/>
    <w:multiLevelType w:val="hybridMultilevel"/>
    <w:lvl w:ilvl="0">
      <w:lvlJc w:val="left"/>
      <w:lvlText w:val="•"/>
      <w:numFmt w:val="bullet"/>
      <w:start w:val="1"/>
    </w:lvl>
  </w:abstractNum>
  <w:abstractNum w:abstractNumId="87">
    <w:nsid w:val="519E3149"/>
    <w:multiLevelType w:val="hybridMultilevel"/>
    <w:lvl w:ilvl="0">
      <w:lvlJc w:val="left"/>
      <w:lvlText w:val="•"/>
      <w:numFmt w:val="bullet"/>
      <w:start w:val="1"/>
    </w:lvl>
    <w:lvl w:ilvl="1">
      <w:lvlJc w:val="left"/>
      <w:lvlText w:val="-"/>
      <w:numFmt w:val="bullet"/>
      <w:start w:val="1"/>
    </w:lvl>
  </w:abstractNum>
  <w:abstractNum w:abstractNumId="88">
    <w:nsid w:val="2C6E4AFD"/>
    <w:multiLevelType w:val="hybridMultilevel"/>
    <w:lvl w:ilvl="0">
      <w:lvlJc w:val="left"/>
      <w:lvlText w:val="•"/>
      <w:numFmt w:val="bullet"/>
      <w:start w:val="1"/>
    </w:lvl>
  </w:abstractNum>
  <w:abstractNum w:abstractNumId="89">
    <w:nsid w:val="17A1B582"/>
    <w:multiLevelType w:val="hybridMultilevel"/>
    <w:lvl w:ilvl="0">
      <w:lvlJc w:val="left"/>
      <w:lvlText w:val="*"/>
      <w:numFmt w:val="bullet"/>
      <w:start w:val="1"/>
    </w:lvl>
    <w:lvl w:ilvl="1">
      <w:lvlJc w:val="left"/>
      <w:lvlText w:val="-"/>
      <w:numFmt w:val="bullet"/>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
      <w:numFmt w:val="bullet"/>
      <w:start w:val="1"/>
    </w:lvl>
  </w:abstractNum>
  <w:abstractNum w:abstractNumId="92">
    <w:nsid w:val="5D888A08"/>
    <w:multiLevelType w:val="hybridMultilevel"/>
    <w:lvl w:ilvl="0">
      <w:lvlJc w:val="left"/>
      <w:lvlText w:val="†"/>
      <w:numFmt w:val="bullet"/>
      <w:start w:val="1"/>
    </w:lvl>
  </w:abstractNum>
  <w:abstractNum w:abstractNumId="93">
    <w:nsid w:val="2A082C70"/>
    <w:multiLevelType w:val="hybridMultilevel"/>
    <w:lvl w:ilvl="0">
      <w:lvlJc w:val="left"/>
      <w:lvlText w:val="††"/>
      <w:numFmt w:val="bullet"/>
      <w:start w:val="1"/>
    </w:lvl>
  </w:abstractNum>
  <w:abstractNum w:abstractNumId="94">
    <w:nsid w:val="5EC6AFD4"/>
    <w:multiLevelType w:val="hybridMultilevel"/>
    <w:lvl w:ilvl="0">
      <w:lvlJc w:val="left"/>
      <w:lvlText w:val="*"/>
      <w:numFmt w:val="bullet"/>
      <w:start w:val="1"/>
    </w:lvl>
  </w:abstractNum>
  <w:abstractNum w:abstractNumId="95">
    <w:nsid w:val="19E21BB2"/>
    <w:multiLevelType w:val="hybridMultilevel"/>
    <w:lvl w:ilvl="0">
      <w:lvlJc w:val="left"/>
      <w:lvlText w:val="**"/>
      <w:numFmt w:val="bullet"/>
      <w:start w:val="1"/>
    </w:lvl>
  </w:abstractNum>
  <w:abstractNum w:abstractNumId="96">
    <w:nsid w:val="75E0858A"/>
    <w:multiLevelType w:val="hybridMultilevel"/>
    <w:lvl w:ilvl="0">
      <w:lvlJc w:val="left"/>
      <w:lvlText w:val="†"/>
      <w:numFmt w:val="bullet"/>
      <w:start w:val="1"/>
    </w:lvl>
  </w:abstractNum>
  <w:abstractNum w:abstractNumId="97">
    <w:nsid w:val="57A61A29"/>
    <w:multiLevelType w:val="hybridMultilevel"/>
    <w:lvl w:ilvl="0">
      <w:lvlJc w:val="left"/>
      <w:lvlText w:val="††"/>
      <w:numFmt w:val="bullet"/>
      <w:start w:val="1"/>
    </w:lvl>
  </w:abstractNum>
  <w:abstractNum w:abstractNumId="98">
    <w:nsid w:val="5399C654"/>
    <w:multiLevelType w:val="hybridMultilevel"/>
    <w:lvl w:ilvl="0">
      <w:lvlJc w:val="left"/>
      <w:lvlText w:val="•"/>
      <w:numFmt w:val="bullet"/>
      <w:start w:val="1"/>
    </w:lvl>
    <w:lvl w:ilvl="1">
      <w:lvlJc w:val="left"/>
      <w:lvlText w:val="-"/>
      <w:numFmt w:val="bullet"/>
      <w:start w:val="1"/>
    </w:lvl>
  </w:abstractNum>
  <w:abstractNum w:abstractNumId="99">
    <w:nsid w:val="20EE1348"/>
    <w:multiLevelType w:val="hybridMultilevel"/>
    <w:lvl w:ilvl="0">
      <w:lvlJc w:val="left"/>
      <w:lvlText w:val="•"/>
      <w:numFmt w:val="bullet"/>
      <w:start w:val="1"/>
    </w:lvl>
  </w:abstractNum>
  <w:abstractNum w:abstractNumId="100">
    <w:nsid w:val="4427069A"/>
    <w:multiLevelType w:val="hybridMultilevel"/>
    <w:lvl w:ilvl="0">
      <w:lvlJc w:val="left"/>
      <w:lvlText w:val="•"/>
      <w:numFmt w:val="bullet"/>
      <w:start w:val="1"/>
    </w:lvl>
    <w:lvl w:ilvl="1">
      <w:lvlJc w:val="left"/>
      <w:lvlText w:val="-"/>
      <w:numFmt w:val="bullet"/>
      <w:start w:val="1"/>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1)"/>
      <w:numFmt w:val="decimal"/>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1)"/>
      <w:numFmt w:val="lowerRoman"/>
      <w:start w:val="1"/>
    </w:lvl>
  </w:abstractNum>
  <w:abstractNum w:abstractNumId="107">
    <w:nsid w:val="2E48F044"/>
    <w:multiLevelType w:val="hybridMultilevel"/>
    <w:lvl w:ilvl="0">
      <w:lvlJc w:val="left"/>
      <w:lvlText w:val="(%1)"/>
      <w:numFmt w:val="lowerLetter"/>
      <w:start w:val="3"/>
    </w:lvl>
    <w:lvl w:ilvl="1">
      <w:lvlJc w:val="left"/>
      <w:lvlText w:val="-"/>
      <w:numFmt w:val="bullet"/>
      <w:start w:val="1"/>
    </w:lvl>
  </w:abstractNum>
  <w:abstractNum w:abstractNumId="108">
    <w:nsid w:val="49D0FEAC"/>
    <w:multiLevelType w:val="hybridMultilevel"/>
    <w:lvl w:ilvl="0">
      <w:lvlJc w:val="left"/>
      <w:lvlText w:val="•"/>
      <w:numFmt w:val="bullet"/>
      <w:start w:val="1"/>
    </w:lvl>
  </w:abstractNum>
  <w:abstractNum w:abstractNumId="109">
    <w:nsid w:val="4BEE5A5B"/>
    <w:multiLevelType w:val="hybridMultilevel"/>
    <w:lvl w:ilvl="0">
      <w:lvlJc w:val="left"/>
      <w:lvlText w:val="•"/>
      <w:numFmt w:val="bullet"/>
      <w:start w:val="1"/>
    </w:lvl>
    <w:lvl w:ilvl="1">
      <w:lvlJc w:val="left"/>
      <w:lvlText w:val="-"/>
      <w:numFmt w:val="bullet"/>
      <w:start w:val="1"/>
    </w:lvl>
  </w:abstractNum>
  <w:abstractNum w:abstractNumId="110">
    <w:nsid w:val="5551B9F3"/>
    <w:multiLevelType w:val="hybridMultilevel"/>
    <w:lvl w:ilvl="0">
      <w:lvlJc w:val="left"/>
      <w:lvlText w:val="•"/>
      <w:numFmt w:val="bullet"/>
      <w:start w:val="1"/>
    </w:lvl>
  </w:abstractNum>
  <w:abstractNum w:abstractNumId="111">
    <w:nsid w:val="24F6AB8E"/>
    <w:multiLevelType w:val="hybridMultilevel"/>
    <w:lvl w:ilvl="0">
      <w:lvlJc w:val="left"/>
      <w:lvlText w:val="•"/>
      <w:numFmt w:val="bullet"/>
      <w:start w:val="1"/>
    </w:lvl>
  </w:abstractNum>
  <w:abstractNum w:abstractNumId="112">
    <w:nsid w:val="634C574C"/>
    <w:multiLevelType w:val="hybridMultilevel"/>
    <w:lvl w:ilvl="0">
      <w:lvlJc w:val="left"/>
      <w:lvlText w:val="•"/>
      <w:numFmt w:val="bullet"/>
      <w:start w:val="1"/>
    </w:lvl>
    <w:lvl w:ilvl="1">
      <w:lvlJc w:val="left"/>
      <w:lvlText w:val="-"/>
      <w:numFmt w:val="bullet"/>
      <w:start w:val="1"/>
    </w:lvl>
  </w:abstractNum>
  <w:abstractNum w:abstractNumId="113">
    <w:nsid w:val="24E99DD7"/>
    <w:multiLevelType w:val="hybridMultilevel"/>
    <w:lvl w:ilvl="0">
      <w:lvlJc w:val="left"/>
      <w:lvlText w:val="•"/>
      <w:numFmt w:val="bullet"/>
      <w:start w:val="1"/>
    </w:lvl>
  </w:abstractNum>
  <w:abstractNum w:abstractNumId="114">
    <w:nsid w:val="2A31B62D"/>
    <w:multiLevelType w:val="hybridMultilevel"/>
    <w:lvl w:ilvl="0">
      <w:lvlJc w:val="left"/>
      <w:lvlText w:val="•"/>
      <w:numFmt w:val="bullet"/>
      <w:start w:val="1"/>
    </w:lvl>
    <w:lvl w:ilvl="1">
      <w:lvlJc w:val="left"/>
      <w:lvlText w:val="-"/>
      <w:numFmt w:val="bullet"/>
      <w:start w:val="1"/>
    </w:lvl>
  </w:abstractNum>
  <w:abstractNum w:abstractNumId="115">
    <w:nsid w:val="1849C29B"/>
    <w:multiLevelType w:val="hybridMultilevel"/>
    <w:lvl w:ilvl="0">
      <w:lvlJc w:val="left"/>
      <w:lvlText w:val="(%1)"/>
      <w:numFmt w:val="decimal"/>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
      <w:numFmt w:val="bullet"/>
      <w:start w:val="1"/>
    </w:lvl>
    <w:lvl w:ilvl="1">
      <w:lvlJc w:val="left"/>
      <w:lvlText w:val="-"/>
      <w:numFmt w:val="bullet"/>
      <w:start w:val="1"/>
    </w:lvl>
  </w:abstractNum>
  <w:abstractNum w:abstractNumId="118">
    <w:nsid w:val="69E7F3E5"/>
    <w:multiLevelType w:val="hybridMultilevel"/>
    <w:lvl w:ilvl="0">
      <w:lvlJc w:val="left"/>
      <w:lvlText w:val="•"/>
      <w:numFmt w:val="bullet"/>
      <w:start w:val="1"/>
    </w:lvl>
    <w:lvl w:ilvl="1">
      <w:lvlJc w:val="left"/>
      <w:lvlText w:val="•"/>
      <w:numFmt w:val="bullet"/>
      <w:start w:val="1"/>
    </w:lvl>
  </w:abstractNum>
  <w:abstractNum w:abstractNumId="119">
    <w:nsid w:val="2A6DE806"/>
    <w:multiLevelType w:val="hybridMultilevel"/>
    <w:lvl w:ilvl="0">
      <w:lvlJc w:val="left"/>
      <w:lvlText w:val="(%1)"/>
      <w:numFmt w:val="decimal"/>
      <w:start w:val="1"/>
    </w:lvl>
  </w:abstractNum>
  <w:abstractNum w:abstractNumId="120">
    <w:nsid w:val="1816F8C4"/>
    <w:multiLevelType w:val="hybridMultilevel"/>
    <w:lvl w:ilvl="0">
      <w:lvlJc w:val="left"/>
      <w:lvlText w:val="(%1)"/>
      <w:numFmt w:val="decimal"/>
      <w:start w:val="1"/>
    </w:lvl>
  </w:abstractNum>
  <w:abstractNum w:abstractNumId="121">
    <w:nsid w:val="37DF2233"/>
    <w:multiLevelType w:val="hybridMultilevel"/>
    <w:lvl w:ilvl="0">
      <w:lvlJc w:val="left"/>
      <w:lvlText w:val="•"/>
      <w:numFmt w:val="bullet"/>
      <w:start w:val="1"/>
    </w:lvl>
  </w:abstractNum>
  <w:abstractNum w:abstractNumId="122">
    <w:nsid w:val="7AB49DAF"/>
    <w:multiLevelType w:val="hybridMultilevel"/>
    <w:lvl w:ilvl="0">
      <w:lvlJc w:val="left"/>
      <w:lvlText w:val="•"/>
      <w:numFmt w:val="bullet"/>
      <w:start w:val="1"/>
    </w:lvl>
  </w:abstractNum>
  <w:abstractNum w:abstractNumId="123">
    <w:nsid w:val="759F82CD"/>
    <w:multiLevelType w:val="hybridMultilevel"/>
    <w:lvl w:ilvl="0">
      <w:lvlJc w:val="left"/>
      <w:lvlText w:val="•"/>
      <w:numFmt w:val="bullet"/>
      <w:start w:val="1"/>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
      <w:numFmt w:val="bullet"/>
      <w:start w:val="1"/>
    </w:lvl>
    <w:lvl w:ilvl="1">
      <w:lvlJc w:val="left"/>
      <w:lvlText w:val="-"/>
      <w:numFmt w:val="bullet"/>
      <w:start w:val="1"/>
    </w:lvl>
  </w:abstractNum>
  <w:abstractNum w:abstractNumId="126">
    <w:nsid w:val="F819E7F"/>
    <w:multiLevelType w:val="hybridMultilevel"/>
    <w:lvl w:ilvl="0">
      <w:lvlJc w:val="left"/>
      <w:lvlText w:val="•"/>
      <w:numFmt w:val="bullet"/>
      <w:start w:val="1"/>
    </w:lvl>
  </w:abstractNum>
  <w:abstractNum w:abstractNumId="127">
    <w:nsid w:val="57C7D42D"/>
    <w:multiLevelType w:val="hybridMultilevel"/>
    <w:lvl w:ilvl="0">
      <w:lvlJc w:val="left"/>
      <w:lvlText w:val="•"/>
      <w:numFmt w:val="bullet"/>
      <w:start w:val="1"/>
    </w:lvl>
  </w:abstractNum>
  <w:abstractNum w:abstractNumId="128">
    <w:nsid w:val="312167AD"/>
    <w:multiLevelType w:val="hybridMultilevel"/>
    <w:lvl w:ilvl="0">
      <w:lvlJc w:val="left"/>
      <w:lvlText w:val="•"/>
      <w:numFmt w:val="bullet"/>
      <w:start w:val="1"/>
    </w:lvl>
  </w:abstractNum>
  <w:abstractNum w:abstractNumId="129">
    <w:nsid w:val="631B64D4"/>
    <w:multiLevelType w:val="hybridMultilevel"/>
    <w:lvl w:ilvl="0">
      <w:lvlJc w:val="left"/>
      <w:lvlText w:val="•"/>
      <w:numFmt w:val="bullet"/>
      <w:start w:val="1"/>
    </w:lvl>
  </w:abstractNum>
  <w:abstractNum w:abstractNumId="130">
    <w:nsid w:val="78B5E776"/>
    <w:multiLevelType w:val="hybridMultilevel"/>
    <w:lvl w:ilvl="0">
      <w:lvlJc w:val="left"/>
      <w:lvlText w:val="•"/>
      <w:numFmt w:val="bullet"/>
      <w:start w:val="1"/>
    </w:lvl>
  </w:abstractNum>
  <w:abstractNum w:abstractNumId="131">
    <w:nsid w:val="75486E47"/>
    <w:multiLevelType w:val="hybridMultilevel"/>
    <w:lvl w:ilvl="0">
      <w:lvlJc w:val="left"/>
      <w:lvlText w:val="•"/>
      <w:numFmt w:val="bullet"/>
      <w:start w:val="1"/>
    </w:lvl>
  </w:abstractNum>
  <w:abstractNum w:abstractNumId="132">
    <w:nsid w:val="6E534CDE"/>
    <w:multiLevelType w:val="hybridMultilevel"/>
    <w:lvl w:ilvl="0">
      <w:lvlJc w:val="left"/>
      <w:lvlText w:val="(%1)"/>
      <w:numFmt w:val="decimal"/>
      <w:start w:val="1"/>
    </w:lvl>
  </w:abstractNum>
  <w:abstractNum w:abstractNumId="133">
    <w:nsid w:val="1A0DDE32"/>
    <w:multiLevelType w:val="hybridMultilevel"/>
    <w:lvl w:ilvl="0">
      <w:lvlJc w:val="left"/>
      <w:lvlText w:val="(%1)"/>
      <w:numFmt w:val="decimal"/>
      <w:start w:val="1"/>
    </w:lvl>
  </w:abstractNum>
  <w:abstractNum w:abstractNumId="134">
    <w:nsid w:val="65968C1C"/>
    <w:multiLevelType w:val="hybridMultilevel"/>
    <w:lvl w:ilvl="0">
      <w:lvlJc w:val="left"/>
      <w:lvlText w:val="(%1)"/>
      <w:numFmt w:val="decimal"/>
      <w:start w:val="1"/>
    </w:lvl>
    <w:lvl w:ilvl="1">
      <w:lvlJc w:val="left"/>
      <w:lvlText w:val="-"/>
      <w:numFmt w:val="bullet"/>
      <w:start w:val="1"/>
    </w:lvl>
  </w:abstractNum>
  <w:abstractNum w:abstractNumId="135">
    <w:nsid w:val="46263DEC"/>
    <w:multiLevelType w:val="hybridMultilevel"/>
    <w:lvl w:ilvl="0">
      <w:lvlJc w:val="left"/>
      <w:lvlText w:val="(%1)"/>
      <w:numFmt w:val="decimal"/>
      <w:start w:val="1"/>
    </w:lvl>
  </w:abstractNum>
  <w:abstractNum w:abstractNumId="136">
    <w:nsid w:val="260D8C4A"/>
    <w:multiLevelType w:val="hybridMultilevel"/>
    <w:lvl w:ilvl="0">
      <w:lvlJc w:val="left"/>
      <w:lvlText w:val="(%1)"/>
      <w:numFmt w:val="lowerRoman"/>
      <w:start w:val="8"/>
    </w:lvl>
  </w:abstractNum>
  <w:abstractNum w:abstractNumId="137">
    <w:nsid w:val="73D4D3C4"/>
    <w:multiLevelType w:val="hybridMultilevel"/>
    <w:lvl w:ilvl="0">
      <w:lvlJc w:val="left"/>
      <w:lvlText w:val="(%1)"/>
      <w:numFmt w:val="lowerRoman"/>
      <w:start w:val="8"/>
    </w:lvl>
    <w:lvl w:ilvl="1">
      <w:lvlJc w:val="left"/>
      <w:lvlText w:val="-"/>
      <w:numFmt w:val="bullet"/>
      <w:start w:val="1"/>
    </w:lvl>
  </w:abstractNum>
  <w:abstractNum w:abstractNumId="138">
    <w:nsid w:val="746F2E30"/>
    <w:multiLevelType w:val="hybridMultilevel"/>
    <w:lvl w:ilvl="0">
      <w:lvlJc w:val="left"/>
      <w:lvlText w:val="(%1)"/>
      <w:numFmt w:val="lowerRoman"/>
      <w:start w:val="8"/>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1)"/>
      <w:numFmt w:val="lowerRoman"/>
      <w:start w:val="3"/>
    </w:lvl>
  </w:abstractNum>
  <w:abstractNum w:abstractNumId="141">
    <w:nsid w:val="49C0E823"/>
    <w:multiLevelType w:val="hybridMultilevel"/>
    <w:lvl w:ilvl="0">
      <w:lvlJc w:val="left"/>
      <w:lvlText w:val="*"/>
      <w:numFmt w:val="bullet"/>
      <w:start w:val="1"/>
    </w:lvl>
  </w:abstractNum>
  <w:abstractNum w:abstractNumId="142">
    <w:nsid w:val="14D53685"/>
    <w:multiLevelType w:val="hybridMultilevel"/>
    <w:lvl w:ilvl="0">
      <w:lvlJc w:val="left"/>
      <w:lvlText w:val="(%1)"/>
      <w:numFmt w:val="decimal"/>
      <w:start w:val="1"/>
    </w:lvl>
    <w:lvl w:ilvl="1">
      <w:lvlJc w:val="left"/>
      <w:lvlText w:val="-"/>
      <w:numFmt w:val="bullet"/>
      <w:start w:val="1"/>
    </w:lvl>
  </w:abstractNum>
  <w:abstractNum w:abstractNumId="143">
    <w:nsid w:val="230F856C"/>
    <w:multiLevelType w:val="hybridMultilevel"/>
    <w:lvl w:ilvl="0">
      <w:lvlJc w:val="left"/>
      <w:lvlText w:val="(%1)"/>
      <w:numFmt w:val="decimal"/>
      <w:start w:val="12"/>
    </w:lvl>
    <w:lvl w:ilvl="1">
      <w:lvlJc w:val="left"/>
      <w:lvlText w:val="-"/>
      <w:numFmt w:val="bullet"/>
      <w:start w:val="1"/>
    </w:lvl>
  </w:abstractNum>
  <w:abstractNum w:abstractNumId="144">
    <w:nsid w:val="6EAA85FB"/>
    <w:multiLevelType w:val="hybridMultilevel"/>
    <w:lvl w:ilvl="0">
      <w:lvlJc w:val="left"/>
      <w:lvlText w:val="•"/>
      <w:numFmt w:val="bullet"/>
      <w:start w:val="1"/>
    </w:lvl>
  </w:abstractNum>
  <w:abstractNum w:abstractNumId="145">
    <w:nsid w:val="3F06ECB2"/>
    <w:multiLevelType w:val="hybridMultilevel"/>
    <w:lvl w:ilvl="0">
      <w:lvlJc w:val="left"/>
      <w:lvlText w:val="•"/>
      <w:numFmt w:val="bullet"/>
      <w:start w:val="1"/>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
      <w:numFmt w:val="bullet"/>
      <w:start w:val="1"/>
    </w:lvl>
  </w:abstractNum>
  <w:abstractNum w:abstractNumId="150">
    <w:nsid w:val="17180B0B"/>
    <w:multiLevelType w:val="hybridMultilevel"/>
    <w:lvl w:ilvl="0">
      <w:lvlJc w:val="left"/>
      <w:lvlText w:val="•"/>
      <w:numFmt w:val="bullet"/>
      <w:start w:val="1"/>
    </w:lvl>
    <w:lvl w:ilvl="1">
      <w:lvlJc w:val="left"/>
      <w:lvlText w:val="-"/>
      <w:numFmt w:val="bullet"/>
      <w:start w:val="1"/>
    </w:lvl>
  </w:abstractNum>
  <w:abstractNum w:abstractNumId="151">
    <w:nsid w:val="579328B9"/>
    <w:multiLevelType w:val="hybridMultilevel"/>
    <w:lvl w:ilvl="0">
      <w:lvlJc w:val="left"/>
      <w:lvlText w:val="•"/>
      <w:numFmt w:val="bullet"/>
      <w:start w:val="1"/>
    </w:lvl>
  </w:abstractNum>
  <w:abstractNum w:abstractNumId="152">
    <w:nsid w:val="5D205E20"/>
    <w:multiLevelType w:val="hybridMultilevel"/>
    <w:lvl w:ilvl="0">
      <w:lvlJc w:val="left"/>
      <w:lvlText w:val="•"/>
      <w:numFmt w:val="bullet"/>
      <w:start w:val="1"/>
    </w:lvl>
    <w:lvl w:ilvl="1">
      <w:lvlJc w:val="left"/>
      <w:lvlText w:val="-"/>
      <w:numFmt w:val="bullet"/>
      <w:start w:val="1"/>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1)"/>
      <w:numFmt w:val="lowerLetter"/>
      <w:start w:val="1"/>
    </w:lvl>
  </w:abstractNum>
  <w:abstractNum w:abstractNumId="157">
    <w:nsid w:val="5CB44A05"/>
    <w:multiLevelType w:val="hybridMultilevel"/>
    <w:lvl w:ilvl="0">
      <w:lvlJc w:val="left"/>
      <w:lvlText w:val="•"/>
      <w:numFmt w:val="bullet"/>
      <w:start w:val="1"/>
    </w:lvl>
  </w:abstractNum>
  <w:abstractNum w:abstractNumId="158">
    <w:nsid w:val="16CF80F1"/>
    <w:multiLevelType w:val="hybridMultilevel"/>
    <w:lvl w:ilvl="0">
      <w:lvlJc w:val="left"/>
      <w:lvlText w:val="•"/>
      <w:numFmt w:val="bullet"/>
      <w:start w:val="1"/>
    </w:lvl>
  </w:abstractNum>
  <w:abstractNum w:abstractNumId="159">
    <w:nsid w:val="1C695DEC"/>
    <w:multiLevelType w:val="hybridMultilevel"/>
    <w:lvl w:ilvl="0">
      <w:lvlJc w:val="left"/>
      <w:lvlText w:val="(%1)"/>
      <w:numFmt w:val="lowerLetter"/>
      <w:start w:val="1"/>
    </w:lvl>
  </w:abstractNum>
  <w:abstractNum w:abstractNumId="160">
    <w:nsid w:val="3FCFAED9"/>
    <w:multiLevelType w:val="hybridMultilevel"/>
    <w:lvl w:ilvl="0">
      <w:lvlJc w:val="left"/>
      <w:lvlText w:val="(%1)"/>
      <w:numFmt w:val="decimal"/>
      <w:start w:val="1"/>
    </w:lvl>
  </w:abstractNum>
  <w:abstractNum w:abstractNumId="161">
    <w:nsid w:val="F856867"/>
    <w:multiLevelType w:val="hybridMultilevel"/>
    <w:lvl w:ilvl="0">
      <w:lvlJc w:val="left"/>
      <w:lvlText w:val="%1."/>
      <w:numFmt w:val="decimal"/>
      <w:start w:val="10"/>
    </w:lvl>
  </w:abstractNum>
  <w:abstractNum w:abstractNumId="162">
    <w:nsid w:val="11B1CC33"/>
    <w:multiLevelType w:val="hybridMultilevel"/>
    <w:lvl w:ilvl="0">
      <w:lvlJc w:val="left"/>
      <w:lvlText w:val="(%1)"/>
      <w:numFmt w:val="decimal"/>
      <w:start w:val="2"/>
    </w:lvl>
  </w:abstractNum>
  <w:abstractNum w:abstractNumId="163">
    <w:nsid w:val="2E22FB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jpe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279" Type="http://schemas.openxmlformats.org/officeDocument/2006/relationships/hyperlink" Target="http://www.sec.gov/Archives/edgar/data/1819790/000119312520254758/d30607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2020-10-16T15:43:28Z</dcterms:created>
  <dcterms:modified xsi:type="dcterms:W3CDTF">2020-10-16T15:43:28Z</dcterms:modified>
</cp:coreProperties>
</file>