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14, 2022</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3700" w:type="dxa"/>
            <w:vAlign w:val="bottom"/>
          </w:tcPr>
          <w:p>
            <w:pPr>
              <w:jc w:val="center"/>
              <w:ind w:right="388"/>
              <w:spacing w:after="0"/>
              <w:rPr>
                <w:sz w:val="20"/>
                <w:szCs w:val="20"/>
                <w:color w:val="auto"/>
              </w:rPr>
            </w:pPr>
            <w:r>
              <w:rPr>
                <w:rFonts w:ascii="Arial" w:cs="Arial" w:eastAsia="Arial" w:hAnsi="Arial"/>
                <w:sz w:val="16"/>
                <w:szCs w:val="16"/>
                <w:b w:val="1"/>
                <w:bCs w:val="1"/>
                <w:color w:val="auto"/>
                <w:w w:val="91"/>
              </w:rPr>
              <w:t>Delaware</w:t>
            </w:r>
          </w:p>
        </w:tc>
        <w:tc>
          <w:tcPr>
            <w:tcW w:w="2700" w:type="dxa"/>
            <w:vAlign w:val="bottom"/>
            <w:vMerge w:val="restart"/>
          </w:tcPr>
          <w:p>
            <w:pPr>
              <w:jc w:val="right"/>
              <w:ind w:right="1128"/>
              <w:spacing w:after="0"/>
              <w:rPr>
                <w:sz w:val="20"/>
                <w:szCs w:val="20"/>
                <w:color w:val="auto"/>
              </w:rPr>
            </w:pPr>
            <w:r>
              <w:rPr>
                <w:rFonts w:ascii="Arial" w:cs="Arial" w:eastAsia="Arial" w:hAnsi="Arial"/>
                <w:sz w:val="16"/>
                <w:szCs w:val="16"/>
                <w:b w:val="1"/>
                <w:bCs w:val="1"/>
                <w:color w:val="auto"/>
              </w:rPr>
              <w:t>012-3456</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700" w:type="dxa"/>
            <w:vAlign w:val="bottom"/>
          </w:tcPr>
          <w:p>
            <w:pPr>
              <w:jc w:val="center"/>
              <w:ind w:right="38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700" w:type="dxa"/>
            <w:vAlign w:val="bottom"/>
          </w:tcPr>
          <w:p>
            <w:pPr>
              <w:jc w:val="center"/>
              <w:ind w:right="24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Global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March 14, 2022, Tarsus Pharmaceuticals, Inc. (the “Company”) issued a press release, which, among other matters, sets forth the Company’s results of operations for the year ended December 31, 2021. A copy of the press release is attached hereto as Exhibit 99.1 and is incorporated herein by reference.</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2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1800"/>
        <w:spacing w:after="0"/>
        <w:tabs>
          <w:tab w:leader="none" w:pos="23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March 14, 2022</w:t>
        </w:r>
      </w:hyperlink>
    </w:p>
    <w:p>
      <w:pPr>
        <w:spacing w:after="0" w:line="50" w:lineRule="exact"/>
        <w:rPr>
          <w:sz w:val="20"/>
          <w:szCs w:val="20"/>
          <w:color w:val="auto"/>
        </w:rPr>
      </w:pPr>
    </w:p>
    <w:p>
      <w:pPr>
        <w:ind w:left="1840"/>
        <w:spacing w:after="0"/>
        <w:tabs>
          <w:tab w:leader="none" w:pos="2300" w:val="left"/>
        </w:tabs>
        <w:rPr>
          <w:sz w:val="20"/>
          <w:szCs w:val="20"/>
          <w:color w:val="auto"/>
        </w:rPr>
      </w:pPr>
      <w:r>
        <w:rPr>
          <w:rFonts w:ascii="Arial" w:cs="Arial" w:eastAsia="Arial" w:hAnsi="Arial"/>
          <w:sz w:val="18"/>
          <w:szCs w:val="18"/>
          <w:color w:val="auto"/>
        </w:rPr>
        <w:t>104</w:t>
        <w:tab/>
        <w:t>Cover Page Interactive Data File (embedded within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 w:leader="none" w:pos="2800" w:val="left"/>
          <w:tab w:leader="none" w:pos="3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23495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4"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Leo M. Greenstein</w:t>
      </w:r>
    </w:p>
    <w:p>
      <w:pPr>
        <w:spacing w:after="0" w:line="5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Tarsus Pharmaceuticals, Inc. Reports Full-Year 2021 Financial Results and Recent Business Achievements</w:t>
      </w:r>
    </w:p>
    <w:p>
      <w:pPr>
        <w:spacing w:after="0" w:line="249" w:lineRule="exact"/>
        <w:rPr>
          <w:sz w:val="20"/>
          <w:szCs w:val="20"/>
          <w:color w:val="auto"/>
        </w:rPr>
      </w:pPr>
    </w:p>
    <w:p>
      <w:pPr>
        <w:jc w:val="center"/>
        <w:ind w:left="380" w:right="120"/>
        <w:spacing w:after="0" w:line="246" w:lineRule="auto"/>
        <w:rPr>
          <w:sz w:val="20"/>
          <w:szCs w:val="20"/>
          <w:color w:val="auto"/>
        </w:rPr>
      </w:pPr>
      <w:r>
        <w:rPr>
          <w:rFonts w:ascii="Arial" w:cs="Arial" w:eastAsia="Arial" w:hAnsi="Arial"/>
          <w:sz w:val="18"/>
          <w:szCs w:val="18"/>
          <w:i w:val="1"/>
          <w:iCs w:val="1"/>
          <w:color w:val="auto"/>
        </w:rPr>
        <w:t>Expecting Saturn-2 Phase 3 topline data in April 2022, the second pivotal of TP-03 for the treatment of Demodex blepharitis, and NDA submission this year</w:t>
      </w:r>
    </w:p>
    <w:p>
      <w:pPr>
        <w:spacing w:after="0" w:line="197" w:lineRule="exact"/>
        <w:rPr>
          <w:sz w:val="20"/>
          <w:szCs w:val="20"/>
          <w:color w:val="auto"/>
        </w:rPr>
      </w:pPr>
    </w:p>
    <w:p>
      <w:pPr>
        <w:jc w:val="center"/>
        <w:ind w:left="360" w:right="80"/>
        <w:spacing w:after="0" w:line="246" w:lineRule="auto"/>
        <w:rPr>
          <w:sz w:val="20"/>
          <w:szCs w:val="20"/>
          <w:color w:val="auto"/>
        </w:rPr>
      </w:pPr>
      <w:r>
        <w:rPr>
          <w:rFonts w:ascii="Arial" w:cs="Arial" w:eastAsia="Arial" w:hAnsi="Arial"/>
          <w:sz w:val="18"/>
          <w:szCs w:val="18"/>
          <w:i w:val="1"/>
          <w:iCs w:val="1"/>
          <w:color w:val="auto"/>
        </w:rPr>
        <w:t>Advancing pipeline this year with planned Phase 2 initiations of TP-03 for Meibomian Gland Disease and TP-04 for Rosacea, and TP-05 Phase 1b data for Lyme disease prevention</w:t>
      </w:r>
    </w:p>
    <w:p>
      <w:pPr>
        <w:spacing w:after="0" w:line="197" w:lineRule="exact"/>
        <w:rPr>
          <w:sz w:val="20"/>
          <w:szCs w:val="20"/>
          <w:color w:val="auto"/>
        </w:rPr>
      </w:pPr>
    </w:p>
    <w:p>
      <w:pPr>
        <w:jc w:val="center"/>
        <w:ind w:left="360" w:right="40"/>
        <w:spacing w:after="0" w:line="246" w:lineRule="auto"/>
        <w:rPr>
          <w:sz w:val="20"/>
          <w:szCs w:val="20"/>
          <w:color w:val="auto"/>
        </w:rPr>
      </w:pPr>
      <w:r>
        <w:rPr>
          <w:rFonts w:ascii="Arial" w:cs="Arial" w:eastAsia="Arial" w:hAnsi="Arial"/>
          <w:sz w:val="18"/>
          <w:szCs w:val="18"/>
          <w:i w:val="1"/>
          <w:iCs w:val="1"/>
          <w:color w:val="auto"/>
        </w:rPr>
        <w:t>Anticipated cash runway into at least the second half of 2024, inclusive of $171 million of cash as of December 31, 2021, expected milestones from China out-license, and credit facility availability</w:t>
      </w:r>
    </w:p>
    <w:p>
      <w:pPr>
        <w:spacing w:after="0" w:line="200" w:lineRule="exact"/>
        <w:rPr>
          <w:sz w:val="20"/>
          <w:szCs w:val="20"/>
          <w:color w:val="auto"/>
        </w:rPr>
      </w:pPr>
    </w:p>
    <w:p>
      <w:pPr>
        <w:spacing w:after="0" w:line="249"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b w:val="1"/>
          <w:bCs w:val="1"/>
          <w:color w:val="auto"/>
        </w:rPr>
        <w:t xml:space="preserve">IRVINE, Calif., March 14, 2022 (GLOBE NEWSWIRE) </w:t>
      </w:r>
      <w:r>
        <w:rPr>
          <w:rFonts w:ascii="Arial" w:cs="Arial" w:eastAsia="Arial" w:hAnsi="Arial"/>
          <w:sz w:val="18"/>
          <w:szCs w:val="18"/>
          <w:color w:val="auto"/>
        </w:rPr>
        <w:t>-- Tarsus Pharmaceuticals, Inc. (NASDAQ: TARS), whose mission is to focus on unmet needs</w:t>
      </w:r>
      <w:r>
        <w:rPr>
          <w:rFonts w:ascii="Arial" w:cs="Arial" w:eastAsia="Arial" w:hAnsi="Arial"/>
          <w:sz w:val="18"/>
          <w:szCs w:val="18"/>
          <w:b w:val="1"/>
          <w:bCs w:val="1"/>
          <w:color w:val="auto"/>
        </w:rPr>
        <w:t xml:space="preserve"> </w:t>
      </w:r>
      <w:r>
        <w:rPr>
          <w:rFonts w:ascii="Arial" w:cs="Arial" w:eastAsia="Arial" w:hAnsi="Arial"/>
          <w:sz w:val="18"/>
          <w:szCs w:val="18"/>
          <w:color w:val="auto"/>
        </w:rPr>
        <w:t>and apply proven science and new technology to revolutionize treatment for patients, starting with eye care, today announced financial results for the full-year ended December 31, 2021 and recent business achievements.</w:t>
      </w:r>
    </w:p>
    <w:p>
      <w:pPr>
        <w:spacing w:after="0" w:line="19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“During the last 12 months we made significant progress and built considerable momentum towards becoming a leading eye care pharmaceutical company. We completed enrollment in the Phase 3 Saturn-2 trial, the second pivotal trial of TP-03 and potentially first FDA approved therapy for Demodex blepharitis, a lid margin disease affecting approximately 25 million people in the U.S. The Saturn-2 trial is similar in size and design to our successful Saturn-1 trial that met all endpoints and demonstrated clinically meaningful outcomes in resolving Demodex blepharitis,” said Bobak Azamian, M.D., Ph.D., President and Chief Executive Officer of Tarsus. “We enter 2022 well positioned to deliver Saturn-2 topline data in April, submit the NDA this year for TP-03, a potential blockbuster therapeutic. Our financial strength enables us to advance our pipeline and commercial capabilities to drive meaningful value for patients and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Corporate Update</w:t>
      </w:r>
    </w:p>
    <w:p>
      <w:pPr>
        <w:spacing w:after="0" w:line="265" w:lineRule="exact"/>
        <w:rPr>
          <w:sz w:val="20"/>
          <w:szCs w:val="20"/>
          <w:color w:val="auto"/>
        </w:rPr>
      </w:pPr>
    </w:p>
    <w:p>
      <w:pPr>
        <w:ind w:left="660" w:right="1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Completed enrollment in the Saturn-2 Phase 3 trial, the second pivotal trial of TP-03, a potential pioneering therapeutic for Demodex blepharitis (DB)</w:t>
      </w:r>
    </w:p>
    <w:p>
      <w:pPr>
        <w:spacing w:after="0" w:line="1" w:lineRule="exact"/>
        <w:rPr>
          <w:rFonts w:ascii="Arial" w:cs="Arial" w:eastAsia="Arial" w:hAnsi="Arial"/>
          <w:sz w:val="22"/>
          <w:szCs w:val="22"/>
          <w:color w:val="auto"/>
        </w:rPr>
      </w:pPr>
    </w:p>
    <w:p>
      <w:pPr>
        <w:ind w:left="1300" w:hanging="320"/>
        <w:spacing w:after="0" w:line="228" w:lineRule="auto"/>
        <w:tabs>
          <w:tab w:leader="none" w:pos="1300" w:val="left"/>
        </w:tabs>
        <w:numPr>
          <w:ilvl w:val="1"/>
          <w:numId w:val="2"/>
        </w:numPr>
        <w:rPr>
          <w:rFonts w:ascii="Arial" w:cs="Arial" w:eastAsia="Arial" w:hAnsi="Arial"/>
          <w:sz w:val="21"/>
          <w:szCs w:val="21"/>
          <w:color w:val="auto"/>
        </w:rPr>
      </w:pPr>
      <w:r>
        <w:rPr>
          <w:rFonts w:ascii="Arial" w:cs="Arial" w:eastAsia="Arial" w:hAnsi="Arial"/>
          <w:sz w:val="17"/>
          <w:szCs w:val="17"/>
          <w:color w:val="auto"/>
        </w:rPr>
        <w:t>Pivotal topline data expected in April 2022, which, if positive, is expected to be followed by an NDA submission later this year</w:t>
      </w:r>
    </w:p>
    <w:p>
      <w:pPr>
        <w:spacing w:after="0" w:line="10" w:lineRule="exact"/>
        <w:rPr>
          <w:rFonts w:ascii="Arial" w:cs="Arial" w:eastAsia="Arial" w:hAnsi="Arial"/>
          <w:sz w:val="21"/>
          <w:szCs w:val="21"/>
          <w:color w:val="auto"/>
        </w:rPr>
      </w:pPr>
    </w:p>
    <w:p>
      <w:pPr>
        <w:ind w:left="1300" w:right="40" w:hanging="320"/>
        <w:spacing w:after="0" w:line="213" w:lineRule="auto"/>
        <w:tabs>
          <w:tab w:leader="none" w:pos="1296" w:val="left"/>
        </w:tabs>
        <w:numPr>
          <w:ilvl w:val="1"/>
          <w:numId w:val="2"/>
        </w:numPr>
        <w:rPr>
          <w:rFonts w:ascii="Arial" w:cs="Arial" w:eastAsia="Arial" w:hAnsi="Arial"/>
          <w:sz w:val="22"/>
          <w:szCs w:val="22"/>
          <w:color w:val="auto"/>
        </w:rPr>
      </w:pPr>
      <w:r>
        <w:rPr>
          <w:rFonts w:ascii="Arial" w:cs="Arial" w:eastAsia="Arial" w:hAnsi="Arial"/>
          <w:sz w:val="18"/>
          <w:szCs w:val="18"/>
          <w:color w:val="auto"/>
        </w:rPr>
        <w:t>The trial is designed to evaluate the same primary and secondary endpoints as the pivotal Saturn-1 trial in which TP-03 met all endpoints and was well-tolerated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Reported positive pivotal Saturn-1 trial results emphasizing the potential of TP-03 to be the standard of care for DB patients</w:t>
      </w:r>
    </w:p>
    <w:p>
      <w:pPr>
        <w:spacing w:after="0" w:line="10" w:lineRule="exact"/>
        <w:rPr>
          <w:rFonts w:ascii="Arial" w:cs="Arial" w:eastAsia="Arial" w:hAnsi="Arial"/>
          <w:sz w:val="22"/>
          <w:szCs w:val="22"/>
          <w:color w:val="auto"/>
        </w:rPr>
      </w:pPr>
    </w:p>
    <w:p>
      <w:pPr>
        <w:ind w:left="1300" w:right="420" w:hanging="320"/>
        <w:spacing w:after="0" w:line="213" w:lineRule="auto"/>
        <w:tabs>
          <w:tab w:leader="none" w:pos="1296" w:val="left"/>
        </w:tabs>
        <w:numPr>
          <w:ilvl w:val="1"/>
          <w:numId w:val="2"/>
        </w:numPr>
        <w:rPr>
          <w:rFonts w:ascii="Arial" w:cs="Arial" w:eastAsia="Arial" w:hAnsi="Arial"/>
          <w:sz w:val="22"/>
          <w:szCs w:val="22"/>
          <w:color w:val="auto"/>
        </w:rPr>
      </w:pPr>
      <w:r>
        <w:rPr>
          <w:rFonts w:ascii="Arial" w:cs="Arial" w:eastAsia="Arial" w:hAnsi="Arial"/>
          <w:sz w:val="18"/>
          <w:szCs w:val="18"/>
          <w:color w:val="auto"/>
        </w:rPr>
        <w:t>Met primary endpoint of collarette cure, additional endpoints of mite eradication and lid erythema (redness) cure, and demonstrated clinically meaningful outcomes in resolving DB</w:t>
      </w: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Well-tolerated with a safety profile similar to the vehicle group</w:t>
      </w:r>
    </w:p>
    <w:p>
      <w:pPr>
        <w:sectPr>
          <w:pgSz w:w="11900" w:h="16838" w:orient="portrait"/>
          <w:cols w:equalWidth="0" w:num="1">
            <w:col w:w="11200"/>
          </w:cols>
          <w:pgMar w:left="320" w:top="1440" w:right="379" w:bottom="1440" w:gutter="0" w:footer="0" w:header="0"/>
        </w:sectPr>
      </w:pPr>
    </w:p>
    <w:bookmarkStart w:id="4" w:name="page5"/>
    <w:bookmarkEnd w:id="4"/>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Expanded market awareness and increased physician focus on DB</w:t>
      </w:r>
    </w:p>
    <w:p>
      <w:pPr>
        <w:spacing w:after="0" w:line="10" w:lineRule="exact"/>
        <w:rPr>
          <w:rFonts w:ascii="Arial" w:cs="Arial" w:eastAsia="Arial" w:hAnsi="Arial"/>
          <w:sz w:val="22"/>
          <w:szCs w:val="22"/>
          <w:color w:val="auto"/>
        </w:rPr>
      </w:pPr>
    </w:p>
    <w:p>
      <w:pPr>
        <w:ind w:left="1300" w:right="320" w:hanging="320"/>
        <w:spacing w:after="0" w:line="213"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Presented data from Titan and Atlas studies estimating there are approximately 25 million DB patients in the U.S. and DB negatively affecting daily life in 80% of patients</w:t>
      </w:r>
    </w:p>
    <w:p>
      <w:pPr>
        <w:ind w:left="1300" w:hanging="320"/>
        <w:spacing w:after="0" w:line="217"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Growing physician awareness and focus of recent major medical meetings and educational programs</w:t>
      </w:r>
    </w:p>
    <w:p>
      <w:pPr>
        <w:spacing w:after="0" w:line="10" w:lineRule="exact"/>
        <w:rPr>
          <w:rFonts w:ascii="Arial" w:cs="Arial" w:eastAsia="Arial" w:hAnsi="Arial"/>
          <w:sz w:val="22"/>
          <w:szCs w:val="22"/>
          <w:color w:val="auto"/>
        </w:rPr>
      </w:pPr>
    </w:p>
    <w:p>
      <w:pPr>
        <w:ind w:left="1300" w:hanging="320"/>
        <w:spacing w:after="0" w:line="208"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Published three peer reviewed papers in the second half of 2021 and expect at least four in the first half of 2022</w:t>
      </w:r>
    </w:p>
    <w:p>
      <w:pPr>
        <w:spacing w:after="0" w:line="242" w:lineRule="exact"/>
        <w:rPr>
          <w:rFonts w:ascii="Arial" w:cs="Arial" w:eastAsia="Arial" w:hAnsi="Arial"/>
          <w:sz w:val="22"/>
          <w:szCs w:val="22"/>
          <w:color w:val="auto"/>
        </w:rPr>
      </w:pPr>
    </w:p>
    <w:p>
      <w:pPr>
        <w:ind w:left="660" w:right="34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Advanced TP-05, a novel, oral, non-vaccine potential therapeutic for the prevention of Lyme disease, into the Callisto Phase 1b trial with data expected in the second half of 2022</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1"/>
          <w:numId w:val="3"/>
        </w:numPr>
        <w:rPr>
          <w:rFonts w:ascii="Arial" w:cs="Arial" w:eastAsia="Arial" w:hAnsi="Arial"/>
          <w:sz w:val="19"/>
          <w:szCs w:val="19"/>
          <w:color w:val="auto"/>
        </w:rPr>
      </w:pPr>
      <w:r>
        <w:rPr>
          <w:rFonts w:ascii="Arial" w:cs="Arial" w:eastAsia="Arial" w:hAnsi="Arial"/>
          <w:sz w:val="16"/>
          <w:szCs w:val="16"/>
          <w:color w:val="auto"/>
        </w:rPr>
        <w:t>Callisto is a single and multiple ascending dose trial to evaluate safety, tolerability and pharmacokinetics of TP-05 in healthy volunteers</w:t>
      </w:r>
    </w:p>
    <w:p>
      <w:pPr>
        <w:spacing w:after="0" w:line="21" w:lineRule="exact"/>
        <w:rPr>
          <w:rFonts w:ascii="Arial" w:cs="Arial" w:eastAsia="Arial" w:hAnsi="Arial"/>
          <w:sz w:val="19"/>
          <w:szCs w:val="19"/>
          <w:color w:val="auto"/>
        </w:rPr>
      </w:pPr>
    </w:p>
    <w:p>
      <w:pPr>
        <w:ind w:left="1300" w:right="40" w:hanging="320"/>
        <w:spacing w:after="0" w:line="213"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There are approximately 80 million people in the U.S. at risk for Lyme disease exposure, more than 30 million of which are at moderate-to-high risk, which can result in severe neurological and other debilitating symptoms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Expanded executive leadership team with the appointment of Jose Trevejo, M.D., Ph.D., as Chief Medical Officer</w:t>
      </w:r>
    </w:p>
    <w:p>
      <w:pPr>
        <w:spacing w:after="0" w:line="10" w:lineRule="exact"/>
        <w:rPr>
          <w:rFonts w:ascii="Arial" w:cs="Arial" w:eastAsia="Arial" w:hAnsi="Arial"/>
          <w:sz w:val="22"/>
          <w:szCs w:val="22"/>
          <w:color w:val="auto"/>
        </w:rPr>
      </w:pPr>
    </w:p>
    <w:p>
      <w:pPr>
        <w:ind w:left="1300" w:right="200" w:hanging="320"/>
        <w:spacing w:after="0" w:line="215"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Dr. Trevejo has over 20 years of experience advancing the clinical development of novel therapeutics, in particular infectious diseases, which will be impactful in furthering our anti-parasitic platform across multiple indications, including Lyme disease prevention, community malaria reduction, rosacea and meibomian gland disease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Appointed two industry leaders to our Board of Directors</w:t>
      </w:r>
    </w:p>
    <w:p>
      <w:pPr>
        <w:spacing w:after="0" w:line="10" w:lineRule="exact"/>
        <w:rPr>
          <w:rFonts w:ascii="Arial" w:cs="Arial" w:eastAsia="Arial" w:hAnsi="Arial"/>
          <w:sz w:val="22"/>
          <w:szCs w:val="22"/>
          <w:color w:val="auto"/>
        </w:rPr>
      </w:pPr>
    </w:p>
    <w:p>
      <w:pPr>
        <w:ind w:left="1300" w:right="100" w:hanging="320"/>
        <w:spacing w:after="0" w:line="213"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Elizabeth Yeu, M.D., a nationally recognized Ophthalmologist and Eye Care leader will continue to serve as Chief Medical Advisor and joined the Science and Technology Committee, focused on innovation and pipeline opportunities</w:t>
      </w:r>
    </w:p>
    <w:p>
      <w:pPr>
        <w:ind w:left="1300" w:hanging="320"/>
        <w:spacing w:after="0" w:line="218"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Rosemary A. Crane, a healthcare leader with more than 30 years of pharmaceutical industry experience serves as the Chair of the Science and Technology Committee and the Audit Committee</w:t>
      </w:r>
    </w:p>
    <w:p>
      <w:pPr>
        <w:spacing w:after="0" w:line="242" w:lineRule="exact"/>
        <w:rPr>
          <w:rFonts w:ascii="Arial" w:cs="Arial" w:eastAsia="Arial" w:hAnsi="Arial"/>
          <w:sz w:val="22"/>
          <w:szCs w:val="22"/>
          <w:color w:val="auto"/>
        </w:rPr>
      </w:pPr>
    </w:p>
    <w:p>
      <w:pPr>
        <w:ind w:left="660" w:right="44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Secured $175 million non-dilutive credit facility providing significant financial optionality as we prepare for the expected NDA submission, commercial launch of TP-03, and advancement and expansion of our pipeline</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Received $55 million to date from our TP-03 out-license in Greater China and we expect to receive $30 million in milestones in 2022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2022 Milestones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Program</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Anticipated Indication</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H1 2022</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H2 2022</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Topline Pivotal Data (Saturn-2)</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Demodex blepharitis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80" w:type="dxa"/>
            <w:vAlign w:val="bottom"/>
            <w:tcBorders>
              <w:bottom w:val="single" w:sz="8" w:color="auto"/>
              <w:right w:val="single" w:sz="8" w:color="auto"/>
            </w:tcBorders>
          </w:tcPr>
          <w:p>
            <w:pPr>
              <w:spacing w:after="0"/>
              <w:rPr>
                <w:sz w:val="22"/>
                <w:szCs w:val="22"/>
                <w:color w:val="auto"/>
              </w:rPr>
            </w:pP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Initiate Phase 2 (Ersa)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Meibomian Gland Disease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80" w:type="dxa"/>
            <w:vAlign w:val="bottom"/>
            <w:tcBorders>
              <w:bottom w:val="single" w:sz="8" w:color="auto"/>
              <w:right w:val="single" w:sz="8" w:color="auto"/>
            </w:tcBorders>
          </w:tcPr>
          <w:p>
            <w:pPr>
              <w:spacing w:after="0"/>
              <w:rPr>
                <w:sz w:val="22"/>
                <w:szCs w:val="22"/>
                <w:color w:val="auto"/>
              </w:rPr>
            </w:pP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NDA Submission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Demodex blepharitis</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TP-04</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Initiate Phase 2 (Galatea)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Rosacea</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TP-05</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Phase 1b Data (Callisto)</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Lyme disease prevention</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Initiate Phase 3 trial in China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Demodex blepharitis</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bl>
    <w:p>
      <w:pPr>
        <w:sectPr>
          <w:pgSz w:w="11900" w:h="16838" w:orient="portrait"/>
          <w:cols w:equalWidth="0" w:num="1">
            <w:col w:w="11200"/>
          </w:cols>
          <w:pgMar w:left="320" w:top="1440" w:right="379" w:bottom="1440" w:gutter="0" w:footer="0" w:header="0"/>
        </w:sectPr>
      </w:pPr>
    </w:p>
    <w:bookmarkStart w:id="5" w:name="page6"/>
    <w:bookmarkEnd w:id="5"/>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2021 Financial Results</w:t>
      </w:r>
    </w:p>
    <w:p>
      <w:pPr>
        <w:spacing w:after="0" w:line="22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 year net loss was $13.8 million, compared to $26.8 million in 2020</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 year research and development expenses were $41.7 million, compared to $18.8 million in 2020</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 year general and administrative expenses were $25.4 million, compared to $8.2 million in 2020</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As of December 31, 2021, cash, cash equivalents and marketable securities were $171.8 million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Tarsus Pharmaceuticals, Inc.</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Tarsus Pharmaceuticals, Inc.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being studied in a second Phase 3 pivotal trial for the treatment of Demodex blepharitis. TP-03 is also being developed for the treatment of Meibomian Gland Disease. In addition, Tarsus is developing TP-05, an oral, non-vaccine therapeutic for the prevention of Lyme disease, which is currently being studied in a Phase 1b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Statements in this press release about future expectations, plans and prospects, as well as any other statements regarding matters that are not historical facts, may constitute “forward-looking statements.” These statements include statements regarding the Company’s estimates on its cash runway; the receipt by Tarsus of future payments and achievement and timing of milestones under the terms of the collaboration with LianBio, the potential market size for TP-03 and TP-05, future events and Tarsus’ plans for and the anticipated benefits of its product candidates including TP-03, TP-04 and TP-05, the impact of recent new hires, the timing, objectives and results of the clinical trials including the potential clinical results of the Saturn-2 trial,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healthcare professionals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w:t>
      </w:r>
    </w:p>
    <w:p>
      <w:pPr>
        <w:sectPr>
          <w:pgSz w:w="11900" w:h="16838" w:orient="portrait"/>
          <w:cols w:equalWidth="0" w:num="1">
            <w:col w:w="11240"/>
          </w:cols>
          <w:pgMar w:left="320" w:top="1440" w:right="339" w:bottom="1440" w:gutter="0" w:footer="0" w:header="0"/>
        </w:sectPr>
      </w:pPr>
    </w:p>
    <w:bookmarkStart w:id="6" w:name="page7"/>
    <w:bookmarkEnd w:id="6"/>
    <w:p>
      <w:pPr>
        <w:spacing w:after="0" w:line="288" w:lineRule="auto"/>
        <w:rPr>
          <w:sz w:val="20"/>
          <w:szCs w:val="20"/>
          <w:color w:val="auto"/>
        </w:rPr>
      </w:pPr>
      <w:r>
        <w:rPr>
          <w:rFonts w:ascii="Arial" w:cs="Arial" w:eastAsia="Arial" w:hAnsi="Arial"/>
          <w:sz w:val="16"/>
          <w:szCs w:val="16"/>
          <w:color w:val="auto"/>
        </w:rPr>
        <w:t>opportunity for Tarsus’ product candidates, particularly TP-03 for the treatment of Demodex blepharitis and MGD, as well as TP-05 for the treatment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2021 filed on March 14, 2022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Media Contact: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SuJin Oh</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twelvenote</w:t>
      </w:r>
    </w:p>
    <w:p>
      <w:pPr>
        <w:spacing w:after="0" w:line="54" w:lineRule="exact"/>
        <w:rPr>
          <w:sz w:val="20"/>
          <w:szCs w:val="20"/>
          <w:color w:val="auto"/>
        </w:rPr>
      </w:pPr>
    </w:p>
    <w:p>
      <w:pPr>
        <w:ind w:left="500" w:hanging="474"/>
        <w:spacing w:after="0"/>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841-5213</w:t>
      </w:r>
    </w:p>
    <w:p>
      <w:pPr>
        <w:spacing w:after="0" w:line="53"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soh@twelvenote.com</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Nakasone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Head of Investor Relations</w:t>
      </w:r>
    </w:p>
    <w:p>
      <w:pPr>
        <w:spacing w:after="0" w:line="54" w:lineRule="exact"/>
        <w:rPr>
          <w:sz w:val="20"/>
          <w:szCs w:val="20"/>
          <w:color w:val="auto"/>
        </w:rPr>
      </w:pPr>
    </w:p>
    <w:p>
      <w:pPr>
        <w:ind w:left="20" w:right="9040" w:firstLine="6"/>
        <w:spacing w:after="0" w:line="403" w:lineRule="auto"/>
        <w:tabs>
          <w:tab w:leader="none" w:pos="498" w:val="left"/>
        </w:tabs>
        <w:numPr>
          <w:ilvl w:val="0"/>
          <w:numId w:val="6"/>
        </w:numPr>
        <w:rPr>
          <w:rFonts w:ascii="Arial" w:cs="Arial" w:eastAsia="Arial" w:hAnsi="Arial"/>
          <w:sz w:val="16"/>
          <w:szCs w:val="16"/>
          <w:color w:val="auto"/>
        </w:rPr>
      </w:pPr>
      <w:r>
        <w:rPr>
          <w:rFonts w:ascii="Arial" w:cs="Arial" w:eastAsia="Arial" w:hAnsi="Arial"/>
          <w:sz w:val="16"/>
          <w:szCs w:val="16"/>
          <w:color w:val="auto"/>
        </w:rPr>
        <w:t>620-3223 DNakasone@tarsusrx.com</w:t>
      </w:r>
    </w:p>
    <w:p>
      <w:pPr>
        <w:sectPr>
          <w:pgSz w:w="11900" w:h="16838" w:orient="portrait"/>
          <w:cols w:equalWidth="0" w:num="1">
            <w:col w:w="11180"/>
          </w:cols>
          <w:pgMar w:left="320" w:top="1419" w:right="399" w:bottom="1440" w:gutter="0" w:footer="0" w:header="0"/>
        </w:sectPr>
      </w:pPr>
    </w:p>
    <w:bookmarkStart w:id="7" w:name="page8"/>
    <w:bookmarkEnd w:id="7"/>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TARSUS PHARMACEUTICALS,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STATEMENTS OF OPERATIONS AND COMPREHENSIVE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License fees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53,067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Collaboration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Cost of license fees and collaboration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18,826</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(expense) income and income taxes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Unrealized loss on equity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equity warrants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 income,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used in computing net loss per share,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20,554,086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6,207,367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TARSUS PHARMACEUTICALS, INC.</w:t>
      </w:r>
    </w:p>
    <w:p>
      <w:pPr>
        <w:spacing w:after="0" w:line="175"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par value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7"/>
        </w:trPr>
        <w:tc>
          <w:tcPr>
            <w:tcW w:w="83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175,952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w:t>
            </w:r>
            <w:r>
              <w:rPr>
                <w:rFonts w:ascii="Arial" w:cs="Arial" w:eastAsia="Arial" w:hAnsi="Arial"/>
                <w:sz w:val="16"/>
                <w:szCs w:val="16"/>
                <w:b w:val="1"/>
                <w:bCs w:val="1"/>
                <w:i w:val="1"/>
                <w:iCs w:val="1"/>
                <w:color w:val="auto"/>
              </w:rPr>
              <w:t>Note 8</w:t>
            </w: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Preferred stock, $0.0001 par value; 10,000,000 shares authorized; no shares issued and outstanding</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Common stock, $0.0001 par value; 200,000,000 shares authorized; 20,726,580 shares issued and 20,698,737 shares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7"/>
              </w:rPr>
              <w:t>outstanding, which excludes 27,840 shares subject to repurchase at December 31, 2021; 20,502,576 shares issued and</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20,323,201 outstanding, which excludes 179,375 shares subject to repurchase at December 31, 2020</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166,730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17"/>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2022-03-14T15:17:08Z</dcterms:created>
  <dcterms:modified xsi:type="dcterms:W3CDTF">2022-03-14T15:17:08Z</dcterms:modified>
</cp:coreProperties>
</file>