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59610d424b5.htm"/>
        <w:bookmarkStart w:id="1" w:name="ksd859610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File No. 333-277523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March 12, 2025 </w:t>
      </w:r>
    </w:p>
    <w:p>
      <w:pPr>
        <w:pStyle w:val="TextBody"/>
        <w:bidi w:val="0"/>
        <w:spacing w:before="120" w:after="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29, 2024) </w:t>
      </w:r>
    </w:p>
    <w:p>
      <w:pPr>
        <w:pStyle w:val="TextBody"/>
        <w:bidi w:val="0"/>
        <w:spacing w:before="200" w:after="0"/>
        <w:jc w:val="center"/>
        <w:rPr>
          <w:rFonts w:ascii="Times New Roman" w:hAnsi="Times New Roman"/>
          <w:b/>
          <w:sz w:val="36"/>
        </w:rPr>
      </w:pPr>
      <w:r>
        <w:rPr>
          <w:rFonts w:ascii="Times New Roman" w:hAnsi="Times New Roman"/>
          <w:b/>
          <w:sz w:val="36"/>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87270" cy="1562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7270" cy="156273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 xml:space="preserve">Tarsus Pharmaceuticals, Inc. is offering     shares of its common stock. </w:t>
      </w:r>
    </w:p>
    <w:p>
      <w:pPr>
        <w:pStyle w:val="TextBody"/>
        <w:bidi w:val="0"/>
        <w:spacing w:before="200" w:after="0"/>
        <w:jc w:val="left"/>
        <w:rPr>
          <w:rFonts w:ascii="Times New Roman" w:hAnsi="Times New Roman"/>
          <w:sz w:val="20"/>
        </w:rPr>
      </w:pPr>
      <w:r>
        <w:rPr>
          <w:rFonts w:ascii="Times New Roman" w:hAnsi="Times New Roman"/>
          <w:sz w:val="20"/>
        </w:rPr>
        <w:t xml:space="preserve">Our common stock is listed and trades on the Nasdaq Global Select Market under the symbol TARS. On March 11, 2025, the last reported sale price of our common stock on the Nasdaq Global Select Market was $47.15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pPr>
      <w:r>
        <w:rPr>
          <w:rFonts w:ascii="Times New Roman" w:hAnsi="Times New Roman"/>
          <w:b/>
          <w:sz w:val="20"/>
        </w:rPr>
        <w:t>Investing in our common stock involves risks that are described in the </w:t>
      </w:r>
      <w:hyperlink w:anchor="s859610_4">
        <w:r>
          <w:rPr>
            <w:rStyle w:val="InternetLink"/>
            <w:rFonts w:ascii="Times New Roman" w:hAnsi="Times New Roman"/>
            <w:b/>
            <w:sz w:val="20"/>
          </w:rPr>
          <w:t>Risk Factors</w:t>
        </w:r>
      </w:hyperlink>
      <w:r>
        <w:rPr>
          <w:rFonts w:ascii="Times New Roman" w:hAnsi="Times New Roman"/>
          <w:b/>
          <w:sz w:val="20"/>
        </w:rPr>
        <w:t xml:space="preserve"> section beginning on page S-7 of this prospectus supplement, as well as in the accompanying prospectus and the documents incorporated by reference into this prospectus supplement and the accompanying prospectus.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89"/>
        <w:gridCol w:w="353"/>
        <w:gridCol w:w="141"/>
        <w:gridCol w:w="827"/>
        <w:gridCol w:w="60"/>
        <w:gridCol w:w="353"/>
        <w:gridCol w:w="141"/>
        <w:gridCol w:w="827"/>
        <w:gridCol w:w="64"/>
      </w:tblGrid>
      <w:tr>
        <w:trPr/>
        <w:tc>
          <w:tcPr>
            <w:tcW w:w="498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8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Tarsus Pharmaceuticals, Inc.</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for a description of the compensation payable to the underwriters.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intend to grant the underwriters an option for a period of 30 days to purchase up to $15.0 million of additional shares of our common stock at the public offering price less the underwriting discounts and commissions. </w:t>
      </w:r>
    </w:p>
    <w:p>
      <w:pPr>
        <w:pStyle w:val="TextBody"/>
        <w:bidi w:val="0"/>
        <w:spacing w:before="200" w:after="0"/>
        <w:jc w:val="left"/>
        <w:rPr>
          <w:rFonts w:ascii="Times New Roman" w:hAnsi="Times New Roman"/>
          <w:sz w:val="20"/>
        </w:rPr>
      </w:pPr>
      <w:r>
        <w:rPr>
          <w:rFonts w:ascii="Times New Roman" w:hAnsi="Times New Roman"/>
          <w:sz w:val="20"/>
        </w:rPr>
        <w:t xml:space="preserve">The underwriters expect to deliver the shares against payment in New York, New York on     , 2025.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Barclays</w:t>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Oppenheimer &amp; Co.</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Prospectus Supplement dated    ,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6"/>
        <w:gridCol w:w="243"/>
        <w:gridCol w:w="78"/>
        <w:gridCol w:w="625"/>
        <w:gridCol w:w="63"/>
      </w:tblGrid>
      <w:tr>
        <w:trPr/>
        <w:tc>
          <w:tcPr>
            <w:tcW w:w="919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9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1">
              <w:r>
                <w:rPr>
                  <w:rStyle w:val="InternetLink"/>
                  <w:rFonts w:ascii="Times New Roman" w:hAnsi="Times New Roman"/>
                  <w:sz w:val="20"/>
                </w:rPr>
                <w:t>ABOUT THIS PROSPECTUS SUPPLEMENT</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2">
              <w:r>
                <w:rPr>
                  <w:rStyle w:val="InternetLink"/>
                  <w:rFonts w:ascii="Times New Roman" w:hAnsi="Times New Roman"/>
                  <w:sz w:val="20"/>
                </w:rPr>
                <w:t>PROSPECTUS SUPPLEMENT SUMMARY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3">
              <w:r>
                <w:rPr>
                  <w:rStyle w:val="InternetLink"/>
                  <w:rFonts w:ascii="Times New Roman" w:hAnsi="Times New Roman"/>
                  <w:sz w:val="20"/>
                </w:rPr>
                <w:t>THE OFFERING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4">
              <w:r>
                <w:rPr>
                  <w:rStyle w:val="InternetLink"/>
                  <w:rFonts w:ascii="Times New Roman" w:hAnsi="Times New Roman"/>
                  <w:sz w:val="20"/>
                </w:rPr>
                <w:t>RISK FACTORS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5">
              <w:r>
                <w:rPr>
                  <w:rStyle w:val="InternetLink"/>
                  <w:rFonts w:ascii="Times New Roman" w:hAnsi="Times New Roman"/>
                  <w:sz w:val="20"/>
                </w:rPr>
                <w:t>SPECIAL NOTE REGARDING FORWARD-LOOKING STATEMENTS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6">
              <w:r>
                <w:rPr>
                  <w:rStyle w:val="InternetLink"/>
                  <w:rFonts w:ascii="Times New Roman" w:hAnsi="Times New Roman"/>
                  <w:sz w:val="20"/>
                </w:rPr>
                <w:t>USE OF PROCEEDS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7">
              <w:r>
                <w:rPr>
                  <w:rStyle w:val="InternetLink"/>
                  <w:rFonts w:ascii="Times New Roman" w:hAnsi="Times New Roman"/>
                  <w:sz w:val="20"/>
                </w:rPr>
                <w:t>DIVIDEND POLICY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8">
              <w:r>
                <w:rPr>
                  <w:rStyle w:val="InternetLink"/>
                  <w:rFonts w:ascii="Times New Roman" w:hAnsi="Times New Roman"/>
                  <w:sz w:val="20"/>
                </w:rPr>
                <w:t>DILUTION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S-13</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9">
              <w:r>
                <w:rPr>
                  <w:rStyle w:val="InternetLink"/>
                  <w:rFonts w:ascii="Times New Roman" w:hAnsi="Times New Roman"/>
                  <w:sz w:val="20"/>
                </w:rPr>
                <w:t>MATERIAL U.S. FEDERAL INCOME AND ESTATE TAX CONSEQUENCES FOR NON-U.S. HOLDERS OF OUR COMMON STOCK</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S-15</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10">
              <w:r>
                <w:rPr>
                  <w:rStyle w:val="InternetLink"/>
                  <w:rFonts w:ascii="Times New Roman" w:hAnsi="Times New Roman"/>
                  <w:sz w:val="20"/>
                </w:rPr>
                <w:t>UNDERWRITING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S-19</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11">
              <w:r>
                <w:rPr>
                  <w:rStyle w:val="InternetLink"/>
                  <w:rFonts w:ascii="Times New Roman" w:hAnsi="Times New Roman"/>
                  <w:sz w:val="20"/>
                </w:rPr>
                <w:t>LEGAL MATTERS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S-28</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12">
              <w:r>
                <w:rPr>
                  <w:rStyle w:val="InternetLink"/>
                  <w:rFonts w:ascii="Times New Roman" w:hAnsi="Times New Roman"/>
                  <w:sz w:val="20"/>
                </w:rPr>
                <w:t>EXPERTS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S-28</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13">
              <w:r>
                <w:rPr>
                  <w:rStyle w:val="InternetLink"/>
                  <w:rFonts w:ascii="Times New Roman" w:hAnsi="Times New Roman"/>
                  <w:sz w:val="20"/>
                </w:rPr>
                <w:t>WHERE YOU CAN FIND MORE INFORMATION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S-28</w:t>
            </w:r>
          </w:p>
        </w:tc>
        <w:tc>
          <w:tcPr>
            <w:tcW w:w="63" w:type="dxa"/>
            <w:tcBorders/>
            <w:vAlign w:val="bottom"/>
          </w:tcPr>
          <w:p>
            <w:pPr>
              <w:pStyle w:val="TableContents"/>
              <w:bidi w:val="0"/>
              <w:spacing w:before="0" w:after="283"/>
              <w:jc w:val="left"/>
              <w:rPr/>
            </w:pPr>
            <w:r>
              <w:rPr/>
              <w:t> </w:t>
            </w:r>
          </w:p>
        </w:tc>
      </w:tr>
      <w:tr>
        <w:trPr/>
        <w:tc>
          <w:tcPr>
            <w:tcW w:w="9196" w:type="dxa"/>
            <w:tcBorders/>
          </w:tcPr>
          <w:p>
            <w:pPr>
              <w:pStyle w:val="TableContents"/>
              <w:bidi w:val="0"/>
              <w:spacing w:before="0" w:after="0"/>
              <w:jc w:val="left"/>
              <w:rPr/>
            </w:pPr>
            <w:hyperlink w:anchor="s859610_14">
              <w:r>
                <w:rPr>
                  <w:rStyle w:val="InternetLink"/>
                  <w:rFonts w:ascii="Times New Roman" w:hAnsi="Times New Roman"/>
                  <w:sz w:val="20"/>
                </w:rPr>
                <w:t>INCORPORATION BY REFERENCE</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S-29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s859610_1"/>
      <w:bookmarkEnd w:id="2"/>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and the accompanying prospectus, as permitted by law, we incorporate by reference information from other documents that we file with the Securities and Exchange Commission, or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most recently with the SEC.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 other person to provide you with any information other than that contained or incorporated by reference into this prospectus supplement,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and Incorporation by Reference in this prospectus supplement and in the accompanying prospectus,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unless the context otherwise requires, references to Tarsus, company, we, us and our refer to Tarsus Pharmaceuticals,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Industry, Market and Other Data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or prevalence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Trade Names and Service Marks </w:t>
      </w:r>
    </w:p>
    <w:p>
      <w:pPr>
        <w:pStyle w:val="TextBody"/>
        <w:bidi w:val="0"/>
        <w:spacing w:before="120" w:after="0"/>
        <w:jc w:val="left"/>
        <w:rPr>
          <w:rFonts w:ascii="Times New Roman" w:hAnsi="Times New Roman"/>
          <w:sz w:val="20"/>
        </w:rPr>
      </w:pPr>
      <w:r>
        <w:rPr>
          <w:rFonts w:ascii="Times New Roman" w:hAnsi="Times New Roman"/>
          <w:sz w:val="20"/>
        </w:rPr>
        <w:t xml:space="preserve">Tarsus Pharmaceuticals, Tarsus, our logo, and XDEMVY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859610_2"/>
      <w:bookmarkEnd w:id="3"/>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sections titled Risk Factors included or incorporated by reference in this prospectus supplement, the accompanying prospectus and any related free writing prospectus in their entirety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 stage biopharmaceutical company focused on the development and commercialization of therapeutics, starting with eye care. We launched XDEMVY® (lotilaner ophthalmic solution) 0.25%, formerly known as TP-03,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in August 2023 after receiving U.S. Food and Drug Administration, or FDA, approval in July 2023.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is caused by the infestation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Chronic and progressive blepharitis can lead to corneal damage over time and, in extreme cases, blindness. There may be as many as approximately 25 million people in the U.S. who suffer from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XDEMVY is the first and only therapeutic approved by the FDA and we believe is the definitive standard of care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XDEMVY targets and eradicates the root cause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mite infestation. The active pharmaceutical ingredient, or API, of XDEMVY, lotilaner, paralyzes and eradicates mites and other parasites through the inhibition of parasite-specific gamma-aminobutyric acid-gated chloride, or GABA-Cl, channels with no GABA-Cl inhibition in humans.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date, we have completed seven clinical trials that include a Phase 3 trial, or the Saturn-2 trial, a Phase 2b/3 trial, or the Saturn-1 trial, four Phase 2 trials, and a Phase 1 trial, or the Hyperion trial, for XDEMVY in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all of which met their primary, secondary and/or certain exploratory endpoints, with the drug generally safe and well tolerated throughout each trial. We have also completed, and/or have ongoing clinical trials for the potential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in patients with Meibomian Gland Disease, or MGD, including a Phase 2a clinical trial, or the Ersa trial, that evaluated XDEMVY for the treatment of MGD, in patients with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and a clinical trial that evaluated an XDEMVY vehicle for the potential treatment of MGD in patients with Demodex mites, or the Rhea trial, TP-04 for the potential treatment of Ocular Rosacea, and TP-05 for potential Lyme disease prophylaxis, among others.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in human medicine, including eye care and infectious disease prevention. We are investigating the development of our product candidates to address targeted diseases with high unmet medical needs, which currently include TP-04, a novel ophthalmic gel formulation of lotilaner for the potential treatment of Ocular Rosacea, and TP-05, a novel investigational oral formulation of lotilaner, for potential Lyme disease prophylaxis and community malaria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418-1801. Our website is www.tarsusrx.com. The information on, or that can be accessed through, our website address is not part of this prospectus supplement and is not incorporated by reference herein,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859610_3"/>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Tarsus Pharmaceuticals,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$100.0 million of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8" w:type="dxa"/>
            <w:tcBorders/>
          </w:tcPr>
          <w:p>
            <w:pPr>
              <w:pStyle w:val="TableContents"/>
              <w:bidi w:val="0"/>
              <w:spacing w:before="0" w:after="283"/>
              <w:jc w:val="left"/>
              <w:rPr/>
            </w:pPr>
            <w:r>
              <w:rPr/>
              <w:t xml:space="preserve">     </w:t>
            </w:r>
            <w:r>
              <w:rPr/>
              <w:t xml:space="preserve">shares of our common stock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8" w:type="dxa"/>
            <w:tcBorders/>
          </w:tcPr>
          <w:p>
            <w:pPr>
              <w:pStyle w:val="TableContents"/>
              <w:bidi w:val="0"/>
              <w:spacing w:before="0" w:after="283"/>
              <w:jc w:val="left"/>
              <w:rPr/>
            </w:pPr>
            <w:r>
              <w:rPr/>
              <w:t xml:space="preserve">We intend to grant the underwriters an option for a period of 30 days to purchase up to $15.0 million of additional shares of our common stock. The underwriters can exercise this option at any time within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$     million, after deducting estimated underwriting discounts and commissions and estimated offering expenses payable by us (or approximately $    million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(i) further advance the commercialization of XDEMVY for the treatment of </w:t>
            </w:r>
            <w:r>
              <w:rPr>
                <w:i/>
              </w:rPr>
              <w:t>Demodex</w:t>
            </w:r>
            <w:r>
              <w:rPr/>
              <w:t xml:space="preserve"> blepharitis in the United States, including expanding our direct to consumer efforts, (ii) develop our product pipeline, TP-04 for the potential treatment of Ocular Rosacea, and TP-05 for potential Lyme disease prophylaxis, generate additional evidence including XDEMVY post-marketing studies with patients that have </w:t>
            </w:r>
            <w:r>
              <w:rPr>
                <w:i/>
              </w:rPr>
              <w:t>Demodex</w:t>
            </w:r>
            <w:r>
              <w:rPr/>
              <w:t xml:space="preserve"> blepharitis and with patients that have </w:t>
            </w:r>
            <w:r>
              <w:rPr>
                <w:i/>
              </w:rPr>
              <w:t>Demodex</w:t>
            </w:r>
            <w:r>
              <w:rPr/>
              <w:t xml:space="preserve"> blepharitis with MGD, and fund other internal innovation, and (iii)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 See Use of Proceeds on page S-11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See Risk Factors on page S-7 of this prospectus supplement, page 5 of the accompanying prospectus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8" w:type="dxa"/>
            <w:tcBorders/>
          </w:tcPr>
          <w:p>
            <w:pPr>
              <w:pStyle w:val="TableContents"/>
              <w:bidi w:val="0"/>
              <w:spacing w:before="0" w:after="283"/>
              <w:jc w:val="left"/>
              <w:rPr/>
            </w:pPr>
            <w:r>
              <w:rPr/>
              <w:t xml:space="preserve">Our common stock is listed on The Nasdaq Global Select Market under the symbol TARS.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is based on 38,349,826 shares of our common stock outstanding as of December 31, 2024, and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5,007,908 shares of common stock issuable upon the exercise of options outstanding as of December 31, 2024, with a weighted-average exercise price of $19.29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1,915,281 shares of common stock underlying restricted stock units outstanding as of December 31,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456,823 shares of common stock issuable upon the exercise of options granted after December 31, 2024, with a weighted-average exercise price of $44.88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312,500 shares of common stock issuable upon the exercise of pre-funded warrants outstanding as of December 31,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7,204,677 shares of common stock reserved for future issuance under our 2020 Equity Incentive Plan, or the 2020 Plan, as of December 31, 2024, as well as any automatic increases in the number of shares of common stock reserved for future issuance under the 2020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2,765,942 shares of common stock reserved for issuance under our 2020 Employee Stock Purchase Plan, or the 2020 ESPP, as of December 31, 2024, as well as any automatic increases in the number of shares of common stock reserved for future issuance under the 2020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the outstanding options or restricted stock units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859610_4"/>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is speculative and involves a high degree of risk. Before investing in our securities, you should consider carefully the risks described below, together with the risks described in the section entitled Risk Factors in our Annual Report on Form 10-K for the year ended December 31, 2024,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our securities in this offering, you will incur immediate and substantial dilution in the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securities in this offering will pay a price per share that substantially exceeds the as adjusted net tangible book value per share of our common stock. As a result, investors purchasing securities in this offering will incur immediate dilution of $     per share (or $     per share if the underwriters exercise their option to purchase additional shares in full), representing the difference between the public offering price of $     and our as adjusted net tangible book value per share as of December 31, 2024. To the extent outstanding options to purchase shares of our common stock are exercised, or restricted stock units are settled in shares of our common stock, investors in this offering may incur further dilution. For more information on the dilution you may suffer as a result of investing in this offering, see the section of this prospectus supplement entitled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or the perception that such sales may occur, could depress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could decline if there are substantial sales of our common stock, particularly sales by our directors, executive officers and significant stockholders, or if there is a large number of shares of our common stock available for sale (including under our Open Market Sale AgreementSM with Jefferies LLC dated November 1, 2021) and the market perceives that sales will occur. After this offering, we will have outstanding shares of our common stock, based on the number of shares outstanding as of December 31, 2024 and assuming that the underwriters do not exercise their option to purchase additional shares of common stock. All of the shares of common stock sold in this offering will be available for sale in the public market, unless purchased by our affiliates or existing stockholders who are subject to lock-up restrictions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our executive officers and directors and certain of our stockholders have agreed that, among other things and subject to certain exceptions, during the period ending 90 days after the date of this prospectus supplement, we and they will not offer, sell, dispose of or hedge any shares of our common stock, subject to specified limited exceptions, without, in each case, the prior written consent of Goldman Sachs &amp; Co. LLC, BofA Securities and Barclays Capital Inc.,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that future sales of common stock or other equity-related securities would have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859610_5"/>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successfully commercialize XDEMVY®, formerly known as TP-03, for the treatment of </w:t>
            </w:r>
            <w:r>
              <w:rPr>
                <w:rFonts w:ascii="Times New Roman" w:hAnsi="Times New Roman"/>
                <w:i/>
                <w:sz w:val="20"/>
              </w:rPr>
              <w:t>Demodex</w:t>
            </w:r>
            <w:r>
              <w:rPr>
                <w:rFonts w:ascii="Times New Roman" w:hAnsi="Times New Roman"/>
                <w:sz w:val="20"/>
              </w:rPr>
              <w:t xml:space="preserve"> blepharitis;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of </w:t>
            </w:r>
            <w:r>
              <w:rPr>
                <w:rFonts w:ascii="Times New Roman" w:hAnsi="Times New Roman"/>
                <w:i/>
                <w:sz w:val="20"/>
              </w:rPr>
              <w:t>Demodex</w:t>
            </w:r>
            <w:r>
              <w:rPr>
                <w:rFonts w:ascii="Times New Roman" w:hAnsi="Times New Roman"/>
                <w:sz w:val="20"/>
              </w:rPr>
              <w:t xml:space="preserve"> blepharitis and the size of the market opportunity for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continue commercializing XDEMVY and our product candidates, if approved, including commercialization timelines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XDEMVY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our clinical trials demonstrating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our current clinical trials and timing of initiation of our future clinical trials, and the reporting of data from our current and future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 for our product candidates and our ability to meet existing or future regulatory standards or comply with post-approval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current and future product candidates, including the size, number and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health epidemics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unfavorable global and geopolitical economic conditions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or globally, as applicable, who suffer from </w:t>
            </w:r>
            <w:r>
              <w:rPr>
                <w:rFonts w:ascii="Times New Roman" w:hAnsi="Times New Roman"/>
                <w:i/>
                <w:sz w:val="20"/>
              </w:rPr>
              <w:t>Demodex</w:t>
            </w:r>
            <w:r>
              <w:rPr>
                <w:rFonts w:ascii="Times New Roman" w:hAnsi="Times New Roman"/>
                <w:sz w:val="20"/>
              </w:rPr>
              <w:t xml:space="preserve"> blepharitis, Ocular Rosacea, Lyme disease and malaria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therapeutic effects and potential advantages of our product and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and our product candidates to meet existing or future regulatory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and product candidates, including additional indications for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maintain, and/or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and our ability to attract and retain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capital resources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resources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 and Results of Operations in our Annual Report on Form 10-K for the year ended December 31, 2024 incorporated by reference herein, and in other reports we file with the SEC. While forward-looking statements are based on the reasonable expectations of our management at the time that they are made, you should not rely on them unduly. We undertake no obligation to revise or update publicly any forward-looking statements for any reason,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859610_6"/>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net proceeds from this offering will be approximately $    million, or approximately $     million if the underwriters exercise their option to purchase additional shares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 of this offering is to increase our financial flexibility. We currently intend to use the net proceeds from this offering, together with our existing cash, cash equivalents and marketable securities, to (i) further advance the commercialization of XDEMVY for the treatment of </w:t>
      </w:r>
      <w:r>
        <w:rPr>
          <w:rFonts w:ascii="Times New Roman" w:hAnsi="Times New Roman"/>
          <w:i/>
          <w:sz w:val="20"/>
        </w:rPr>
        <w:t>Demodex</w:t>
      </w:r>
      <w:r>
        <w:rPr>
          <w:rFonts w:ascii="Times New Roman" w:hAnsi="Times New Roman"/>
          <w:sz w:val="20"/>
        </w:rPr>
        <w:t xml:space="preserve"> blepharitis in the United States, including expanding our direct to consumer efforts, (ii) develop our product pipeline, TP-04 for the potential treatment of Ocular Rosacea, and TP-05 for potential Lyme disease prophylaxis, generate additional evidence including XDEMVY post-marketing studies with patients that have </w:t>
      </w:r>
      <w:r>
        <w:rPr>
          <w:rFonts w:ascii="Times New Roman" w:hAnsi="Times New Roman"/>
          <w:i/>
          <w:sz w:val="20"/>
        </w:rPr>
        <w:t>Demodex</w:t>
      </w:r>
      <w:r>
        <w:rPr>
          <w:rFonts w:ascii="Times New Roman" w:hAnsi="Times New Roman"/>
          <w:sz w:val="20"/>
        </w:rPr>
        <w:t xml:space="preserve"> blepharitis and with patients that have </w:t>
      </w:r>
      <w:r>
        <w:rPr>
          <w:rFonts w:ascii="Times New Roman" w:hAnsi="Times New Roman"/>
          <w:i/>
          <w:sz w:val="20"/>
        </w:rPr>
        <w:t>Demodex</w:t>
      </w:r>
      <w:r>
        <w:rPr>
          <w:rFonts w:ascii="Times New Roman" w:hAnsi="Times New Roman"/>
          <w:sz w:val="20"/>
        </w:rPr>
        <w:t xml:space="preserve"> blepharitis with MGD, and fund other internal innovation, and (iii)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commercial and preclinical, clinical and future development activities may vary significantly depending on numerous factors, including the progress and results of our commercialization and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products for commercialization, as well as any collaborations that we may enter into with third parties for our product candidates and any unforeseen cash needs. As a result, our management will retain broad discretion over the allocation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use a portion of the net proceeds from this offering for the development, acquisition or in-license of other products, product candidates, businesses or technologies, our cash resources could be depleted earlier than we currently expect. Pending the application of the net proceeds from this offering, we plan to invest the net proceeds from this offering in bank and investment accounts with the primary goal of capital preservation. These include operating bank accounts, short-term interest-bearing investment-grade securities and money market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859610_7"/>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for use in the operation of our business and do not anticipate paying any cash dividends on our common stock in the foreseeable future. Additionally, the terms of our credit facility with Pharmakon Advisors, LP restrict our ability to pay dividends under certain circumstances. Any future determination to declare dividends will be made at the discretion of our board of directors, will be subject to restrictions in our current or any future debt facility and will depend on our financial condition, operating results, capital requirements,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859610_8"/>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December 31, 2024, our historical net tangible book value was approximately $216.2 million, or $5.64 per share of common stock, based on 38,349,826 shares of common stock outstanding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    shares of common stock at the public offering price of $     per share, and after deducting estimated underwriting discounts and commissions and estimated offering expenses payable by us, our as adjusted net tangible book value as of December 31, 2024 would have been approximately $     million, or $     per share of our common stock. This amount represents an immediate increase in as adjusted net tangible book value of $     per share to our existing stockholders and an immediate dilution of $     per share to investors participating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88"/>
        <w:gridCol w:w="212"/>
        <w:gridCol w:w="140"/>
        <w:gridCol w:w="819"/>
        <w:gridCol w:w="60"/>
        <w:gridCol w:w="212"/>
        <w:gridCol w:w="140"/>
        <w:gridCol w:w="819"/>
        <w:gridCol w:w="65"/>
      </w:tblGrid>
      <w:tr>
        <w:trPr/>
        <w:tc>
          <w:tcPr>
            <w:tcW w:w="528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288"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December 31, 2024</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 </w:t>
            </w:r>
            <w:r>
              <w:rPr/>
              <w:t>5.64</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new investors in this offering</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28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28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December 31, 2024, immediately after this offering</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28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28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adjusted net tangible book value would be $      per share, the increase in the net tangible book value per share for existing stockholders would be $     per share and the dilution to new investors participating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the historical net tangible book value calculation) are based on 38,349,826 shares of our common stock outstanding as of December 31, 2024,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5,007,908 shares of common stock issuable upon the exercise of options outstanding as of December 31, 2024, with a weighted-average exercise price of $19.29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1,915,281 shares of common stock underlying restricted stock units outstanding as of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456,823 shares of common stock issuable upon the exercise of options granted after December 31, 2024, with a weighted-average exercise price of $44.88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312,500 shares of common stock issuable upon the exercise of pre-funded warrants outstanding as of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7,204,677 shares of common stock reserved for future issuance under our 2020 Plan as of December 31, 2024, as well as any automatic increases in the number of shares of common stock reserved for future issuance under the 2020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2,765,942 shares of common stock reserved for issuance under our 2020 ESPP as of December 31, 2024, as well as any automatic increases in the number of shares of common stock reserved for future issuance under the 2020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859610_9"/>
      <w:bookmarkEnd w:id="10"/>
      <w:r>
        <w:rPr>
          <w:rFonts w:ascii="Times New Roman" w:hAnsi="Times New Roman"/>
          <w:b/>
          <w:sz w:val="20"/>
        </w:rPr>
        <w:t xml:space="preserve">MATERIAL U.S. FEDERAL INCOME AND ESTATE TAX CONSEQUENCES FOR 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certain material U.S. federal income tax consequences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the United States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includable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Internal Revenue Code of 1986, as amended, or the Code, existing, temporary and proposed Treasury Regulations promulgated thereunder, published administrative pronouncements of the Internal Revenue Service or, the IRS, and other applicable authorities, all of which are subject to change or to differing interpretation, possibly with retroactive effect. Any such change or differing interpretation could alter the tax consequences described in this discussion. There can be no assurance that the IRS will not challenge one or more of the tax consequences described herein, and we have not obtained, nor do we intend to obtain, a ruling with respect to the U.S. federal income tax consequences to a holder of the ownership or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the special tax accounting rules under Section 451(b) of the Code,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of the purchase, ownership and disposition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SHOULD CONSULT THEIR OWN TAX ADVISORS REGARDING THE APPLICATION OF THE U.S. FEDERAL INCOME AND ESTATE TAX LAWS TO THEIR PARTICULAR SITUATIONS AND THE CONSEQUENCES OF NON-U.S., STATE, OR LOCAL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amount distributed in excess of basis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that such dividends are effectively connected with the non-U.S. holders conduct of a trade or business within the United States. Such effectively connected dividends, although not subject to withholding tax, are taxed at the same rates applicable to U.S. persons, net of certain deductions and credits. In addition, dividends received by a corporate non-U.S. holder that are effectively connected with a U.S. trade or business of the corporate non-U.S. holder may also be subject to a branch profits tax at a rate of 30% or such lower rate as may be specified by an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or Other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Foreign Account Tax Compliance Act, non-U.S. holders will generally not be subject to U.S. federal income tax on any gains realized on the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the sale, exchange or other disposition of our common stock, and certain other conditions are met (in which case the net gain would be subject to a flat 30% tax, or such reduced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as may be specified by an applicable income tax treaty, which may be offset by U.S. source capital losses of such non-U.S. holder, if any, provided the non-U.S. holder has timely filed U.S. federal income tax returns with respect to such losses,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of the Foreign Investment in Real Property Tax Act, or FIRPTA, treat the gain as effectively connected with a U.S. trade or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and to each non-U.S. holder the amount of distributions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generally be subject to backup withholding on distributions on our common stock paid to such holder unless such holder certifies under penalties of perjury that, among other things, it is a non-U.S. holder, generally by providing an applicable and properly completed IRS Form W-8BEN, IRS Form W-8BEN-E, or IRS Form W-8ECI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OWN TAX ADVISORS REGARDING THE POTENTIAL APPLICATION OF WITHHOLDING UNDER FATCA TO THEIR INVESTMENT IN OUR COMMON STOCK. THE PRECEDING DISCUSSION OF U.S. FEDERAL INCOME TAX CONSEQUENCES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859610_10"/>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intend to enter into an underwriting agreement with respect to the shares being offered. Subject to certain conditions, each underwriter will severally agree to purchase the number of shares indicated in the following table. Goldman Sachs &amp; Co. LLC, BofA Securities, Inc. and Barclays Capital Inc. are the representatives of the underwriters.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60"/>
        <w:gridCol w:w="315"/>
        <w:gridCol w:w="74"/>
        <w:gridCol w:w="1827"/>
        <w:gridCol w:w="63"/>
      </w:tblGrid>
      <w:tr>
        <w:trPr/>
        <w:tc>
          <w:tcPr>
            <w:tcW w:w="46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60" w:type="dxa"/>
            <w:tcBorders/>
            <w:vAlign w:val="bottom"/>
          </w:tcPr>
          <w:p>
            <w:pPr>
              <w:pStyle w:val="TableContents"/>
              <w:bidi w:val="0"/>
              <w:spacing w:before="0" w:after="283"/>
              <w:jc w:val="left"/>
              <w:rPr>
                <w:b/>
              </w:rPr>
            </w:pPr>
            <w:r>
              <w:rPr>
                <w:b/>
              </w:rPr>
              <w:t>Underwriter</w:t>
            </w:r>
          </w:p>
        </w:tc>
        <w:tc>
          <w:tcPr>
            <w:tcW w:w="315" w:type="dxa"/>
            <w:tcBorders/>
            <w:vAlign w:val="bottom"/>
          </w:tcPr>
          <w:p>
            <w:pPr>
              <w:pStyle w:val="TableContents"/>
              <w:bidi w:val="0"/>
              <w:spacing w:before="0" w:after="283"/>
              <w:jc w:val="left"/>
              <w:rPr/>
            </w:pPr>
            <w:r>
              <w:rPr/>
              <w:t>  </w:t>
            </w:r>
          </w:p>
        </w:tc>
        <w:tc>
          <w:tcPr>
            <w:tcW w:w="1901" w:type="dxa"/>
            <w:gridSpan w:val="2"/>
            <w:tcBorders/>
            <w:vAlign w:val="bottom"/>
          </w:tcPr>
          <w:p>
            <w:pPr>
              <w:pStyle w:val="TableContents"/>
              <w:bidi w:val="0"/>
              <w:spacing w:before="0" w:after="283"/>
              <w:jc w:val="center"/>
              <w:rPr>
                <w:b/>
              </w:rPr>
            </w:pPr>
            <w:r>
              <w:rPr>
                <w:b/>
              </w:rPr>
              <w:t>Number of Shares</w:t>
            </w:r>
          </w:p>
        </w:tc>
        <w:tc>
          <w:tcPr>
            <w:tcW w:w="63" w:type="dxa"/>
            <w:tcBorders/>
            <w:vAlign w:val="bottom"/>
          </w:tcPr>
          <w:p>
            <w:pPr>
              <w:pStyle w:val="TableContents"/>
              <w:bidi w:val="0"/>
              <w:spacing w:before="0" w:after="283"/>
              <w:jc w:val="left"/>
              <w:rPr/>
            </w:pPr>
            <w:r>
              <w:rPr/>
              <w:t> </w:t>
            </w:r>
          </w:p>
        </w:tc>
      </w:tr>
      <w:tr>
        <w:trPr/>
        <w:tc>
          <w:tcPr>
            <w:tcW w:w="4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1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1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82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31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82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31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82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6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82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will be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us. Such amounts are shown assuming both no exercise and full exercise of the underwriters option to purchase up to an additional      shares of our common stock from 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3"/>
        <w:gridCol w:w="643"/>
        <w:gridCol w:w="247"/>
        <w:gridCol w:w="1007"/>
        <w:gridCol w:w="60"/>
        <w:gridCol w:w="643"/>
        <w:gridCol w:w="268"/>
        <w:gridCol w:w="1080"/>
        <w:gridCol w:w="64"/>
      </w:tblGrid>
      <w:tr>
        <w:trPr/>
        <w:tc>
          <w:tcPr>
            <w:tcW w:w="3743" w:type="dxa"/>
            <w:tcBorders/>
            <w:vAlign w:val="center"/>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3"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64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4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underwriters to the public will initially be offered at the public offering price set forth on the cover of this prospectus supplement.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and our executive officers, directors, and certain other stockholders have agreed or will agree with the underwriters, among other things and subject to certain exceptions, not to dispose of or hedge any of our or their common stock or securities convertible into or exchangeable for shares of our common stock during the period from the date of this prospectus supplement continuing through the date 90 days after the date of this prospectus supplement, or the Lock-Up Period, except with the prior written consent of Goldman Sachs &amp; Co. LLC, BofA Securities, Inc. and Barclays Capital Inc., or the representatives. This agreement does not apply to any existing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us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by us upon the exercise of an option or warrant or the conversion of a security, in each case, outstanding on the date of this prospectus supplement and referred to herein or in a document incorporated herein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reacquisition or withholding of all or a portion of shares of common stock subject to a stock award to satisfy a tax withholding obligation of us in connection with the vesting or exercise of such stock award or to satisfy the purchase price or exercise price of such stock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compensatory equity-based awards, and/or the issuance of shares of common stock with respect thereto, made pursuant to compensatory equity-based plans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pursuant to any non-employee director compensation plan or program or dividend reinvestment plan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registration statement on Form S-8 relating to the registration of securities to be offered under any of our employee benefit or equity incentive plans referred to herein or in a document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restricted stock awards or securities convertible into or exercisable or exchangeable for shares of common stock in connection with (A) the acquisition of the securities, business, property or other assets of another person or pursuant to any employee benefit plan assumed in connection with any such acquisition, (B) joint ventures, (C) commercial relationships or (D) other strategic transactions, </w:t>
            </w:r>
            <w:r>
              <w:rPr>
                <w:rFonts w:ascii="Times New Roman" w:hAnsi="Times New Roman"/>
                <w:i/>
                <w:sz w:val="20"/>
              </w:rPr>
              <w:t>provided</w:t>
            </w:r>
            <w:r>
              <w:rPr>
                <w:rFonts w:ascii="Times New Roman" w:hAnsi="Times New Roman"/>
                <w:sz w:val="20"/>
              </w:rPr>
              <w:t xml:space="preserve"> that the aggregate number of shares of our common stock, restricted stock awards and shares of common stock issuable upon the conversion, exercise or exchange of securities (on an as converted or as exercised basis, as the case may be) issued pursuant to this clause (vii) shall not exceed 5% of the total number of shares of our common stock issued and outstanding immediately following the issuance and sale of the shares of common stock in this offering and that each recipient of such securities shall execute a lock-up agreement substantially in the same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on the 61st day from the date of this prospectus supplement, the shares of common stock sold pursuant to that certain Open Market Sale AgreementSM by and between us and Jefferies LLC (provided that no public filings regarding such sales or announcement regarding such sales shall be required or be voluntarily made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our executive officers, directors and certain of our stockholders who entered into a lock-up agreement with respect to, among other things and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any trust for the direct or indirect benefit of the stockholder or the immediate family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as distributions to any general or limited partners, members, stockholders or other equity holders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stockholders affiliates or to any investment fund or other entity that, directly or indirectly, controls or manages, is controlled or managed by, or is under common control or management with,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will or intestate succession upon the death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court of regulatory agency order,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in connection with the settlement of restricted stock units or exercise of options, warrants or other rights to acquire shares of common stock or any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jc w:val="left"/>
              <w:rPr/>
            </w:pPr>
            <w:r>
              <w:rPr/>
              <w:t> </w:t>
            </w:r>
          </w:p>
        </w:tc>
        <w:tc>
          <w:tcPr>
            <w:tcW w:w="8373" w:type="dxa"/>
            <w:tcBorders/>
          </w:tcPr>
          <w:p>
            <w:pPr>
              <w:pStyle w:val="TableContents"/>
              <w:bidi w:val="0"/>
              <w:spacing w:before="0" w:after="283"/>
              <w:jc w:val="left"/>
              <w:rPr/>
            </w:pPr>
            <w:r>
              <w:rPr/>
              <w:t xml:space="preserve">convertible, exercisable for or settled into shares of our common stock by way of net exercise, net settlement and/or to cover withholding tax obligations in connection with such exercise or settlement pursuant to an employee benefit plan, option, restricted stock unit or warrant or other right disclosed herein or any document incorporated by reference herein, </w:t>
            </w:r>
            <w:r>
              <w:rPr>
                <w:i/>
              </w:rPr>
              <w:t>provided</w:t>
            </w:r>
            <w:r>
              <w:rPr/>
              <w:t xml:space="preserve"> that any such shares of the common stock issued upon settlement of such restricted stock unit or exercise of such option, warrant or other right shall be subject to the same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us pursuant to agreements under which we have exercised an option to repurchase such shares or has exercised a right of first refusal with respect to transfers of such shares upon termination of service of the stockholder, so long as such agreement or right of first refusal is disclosed herein or in any document incorporated by reference herein, for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 bona fide third party pursuant to a merger, consolidation, tender offer or other similar transaction made to all holders of shares of the common stock and involving a Change of Control of us and approved by our board of directors; provided that, in the event that such Change of Control is not completed, the stockholders securities subject to such lock-up restrictions shall remain subject to such restrictions, </w:t>
            </w:r>
            <w:r>
              <w:rPr>
                <w:rFonts w:ascii="Times New Roman" w:hAnsi="Times New Roman"/>
                <w:i/>
                <w:sz w:val="20"/>
              </w:rPr>
              <w:t>provided</w:t>
            </w:r>
            <w:r>
              <w:rPr>
                <w:rFonts w:ascii="Times New Roman" w:hAnsi="Times New Roman"/>
                <w:sz w:val="20"/>
              </w:rPr>
              <w:t xml:space="preserve">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our outstanding voting securities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the sale on the open market of up to 100,000 shares (in the aggregate for all of our directors and executive officers) of common stock underlying restricted stock units held by such person that will vest during the Lock-Up Period and settle during the Lock-Up Period, but solely to the extent necessary to satisfy income tax withholding and remittance obligations in connection with the vesting and settlement of such restricted stock units that are outstanding as of the date of this prospectus supplement and described herein or in a document incorporated herein by reference and pursuant to an equity incentive plan or other equity award plan described in this prospectus supplement or in a document incorporated therein by reference; provided that any remaining shares of common stock issued upon vesting of such restricted stock units shall be subject to the same lock-up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(xi)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shares of common stock acquired in this offering or other securities acquired in open market transactions after the completion of this offering, provided that such sales are not required to be reported in any public report or filing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pursuant to Rule 10b5-1 under the Exchange Act, provided that (1) any required filing under the Exchange Act made by us or any person regarding the establishment of such plan during the Lock-Up Period shall state that the stockholder is not permitted to sell, transfer or otherwise dispose of securities under such plan during the Lock-Up Period in contravention of the lock-up agreement relating thereto and (2) no sales are made during the Lock-Up Period pursuant to such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Rule 10b5-1 trading plan that has been entered into prior to the entry into the applicable lock-up agreement and provided to the representatives, provided that any filing under Section 16(a) of the Exchange Act that is made in connection with any such sales during the Lock-Up Period shall state that such sales have been executed under a 10b5-1 Trading Plan and shall also state the date such 10b5-1 Trading Plan was adopted.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and subject to the conditions above, the executive officer, director or stockholder may transfer the Lock-Up Securities without the prior written consent of the representatives, provided that (1) in the case of clause (i) through (vi) and (ix) above, the representatives receive a signed lock-up agreement for the balance of the Lock-Up Period from each donee, trustee, distributee or transferee, as the case may be, (2) (A) in the clauses (i) through (v) above, any such transfer shall not involve a disposition for value, (B) in the cases of clauses (i) through (iv) above, such transfers are not required to be reported during the Lock-Up Period with the SEC on Form 4 in accordance with Section 16 of the Exchange Act, and (C) in the cases of clauses (v) through (x) above, any filing under Section 16 of the Exchange Act made during the Lock-Up Period shall clearly indicate in the footnotes the circumstances of the transfer, and (3) such person does not otherwise voluntarily effect any public filing or report regarding such transfers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and commissions, will be approximately $0.4 million. We have agreed to reimburse the underwriters for certain of their expenses in an amount up to $30,000.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us or any of the underwriters or any of their respective affiliates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the securities shall require the Company and/ or any underwriters or any of their affiliates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securities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securities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purposes of its obligations pursuant to Section 309B of the SFA, we have determined, and hereby notify all relevant persons (as defined in the CMP Regulations 2018),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ASIC, in relation to the offering.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We have not and will not register with the Swiss Financial Market Supervisory Authority, or the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859610_11"/>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offered in this prospectus supplement will be passed upon for us by Gunderson Dettmer Stough Villeneuve Franklin &amp; Hachigian, LLP, San Diego, California. Cooley LLP, San Francisco, California is acting as counsel for the underwriters in connection with this offering. Certain partners of Gunderson Dettmer Stough Villeneuve Franklin  &amp; Hachigian, LLP, collectively own an interest representing less than one percent of the shares of our common stock. </w:t>
      </w:r>
    </w:p>
    <w:p>
      <w:pPr>
        <w:pStyle w:val="TextBody"/>
        <w:bidi w:val="0"/>
        <w:spacing w:before="480" w:after="0"/>
        <w:jc w:val="center"/>
        <w:rPr>
          <w:rFonts w:ascii="Times New Roman" w:hAnsi="Times New Roman"/>
          <w:b/>
          <w:sz w:val="20"/>
        </w:rPr>
      </w:pPr>
      <w:bookmarkStart w:id="13" w:name="s859610_12"/>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4" w:name="s859610_13"/>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859610_14"/>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our Current Report on </w:t>
            </w:r>
            <w:hyperlink r:id="rId4">
              <w:r>
                <w:rPr>
                  <w:rStyle w:val="InternetLink"/>
                  <w:rFonts w:ascii="Times New Roman" w:hAnsi="Times New Roman"/>
                  <w:sz w:val="20"/>
                </w:rPr>
                <w:t>Form 8-K</w:t>
              </w:r>
            </w:hyperlink>
            <w:r>
              <w:rPr>
                <w:rFonts w:ascii="Times New Roman" w:hAnsi="Times New Roman"/>
                <w:sz w:val="20"/>
              </w:rPr>
              <w:t xml:space="preserve"> filed, with the SEC on January 17, 2025 (to the extent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5">
              <w:r>
                <w:rPr>
                  <w:rStyle w:val="InternetLink"/>
                  <w:rFonts w:ascii="Times New Roman" w:hAnsi="Times New Roman"/>
                  <w:sz w:val="20"/>
                </w:rPr>
                <w:t>Exhibit 4.2</w:t>
              </w:r>
            </w:hyperlink>
            <w:r>
              <w:rPr>
                <w:rFonts w:ascii="Times New Roman" w:hAnsi="Times New Roman"/>
                <w:sz w:val="20"/>
              </w:rPr>
              <w:t xml:space="preserve"> to the Registrants Form 10-K for the year ended December 31, 2022, filed with the SEC on March 17, 2023,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upon written or oral request, at no cost to the requester, a copy of any and all of the information that is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418-1801 </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18"/>
        </w:rPr>
      </w:pPr>
      <w:r>
        <w:rPr>
          <w:rFonts w:ascii="Times New Roman" w:hAnsi="Times New Roman"/>
          <w:b/>
          <w:sz w:val="18"/>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1870" cy="15354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261870" cy="153543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18"/>
        </w:rPr>
      </w:pPr>
      <w:r>
        <w:rPr>
          <w:rFonts w:ascii="Times New Roman" w:hAnsi="Times New Roman"/>
          <w:sz w:val="18"/>
        </w:rPr>
        <w:t xml:space="preserve">We may offer and sell from time to time, in one or more series or issuances and on terms that we will determine at the time of the offering, our common stock, preferred stock, debt securities, warrants, units or any combination of these securities. </w:t>
      </w:r>
    </w:p>
    <w:p>
      <w:pPr>
        <w:pStyle w:val="TextBody"/>
        <w:bidi w:val="0"/>
        <w:spacing w:before="160" w:after="0"/>
        <w:jc w:val="left"/>
        <w:rPr>
          <w:rFonts w:ascii="Times New Roman" w:hAnsi="Times New Roman"/>
          <w:sz w:val="18"/>
        </w:rPr>
      </w:pPr>
      <w:r>
        <w:rPr>
          <w:rFonts w:ascii="Times New Roman" w:hAnsi="Times New Roman"/>
          <w:sz w:val="18"/>
        </w:rPr>
        <w:t xml:space="preserve">This prospectus provides you with a general description of the securities we may offer hereunder.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 </w:t>
      </w:r>
    </w:p>
    <w:p>
      <w:pPr>
        <w:pStyle w:val="TextBody"/>
        <w:bidi w:val="0"/>
        <w:spacing w:before="160" w:after="0"/>
        <w:jc w:val="left"/>
        <w:rPr>
          <w:rFonts w:ascii="Times New Roman" w:hAnsi="Times New Roman"/>
          <w:sz w:val="18"/>
        </w:rPr>
      </w:pPr>
      <w:r>
        <w:rPr>
          <w:rFonts w:ascii="Times New Roman" w:hAnsi="Times New Roman"/>
          <w:sz w:val="18"/>
        </w:rPr>
        <w:t xml:space="preserve">We may offer and sell these securities in the same offering or in separate offerings;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 </w:t>
      </w:r>
    </w:p>
    <w:p>
      <w:pPr>
        <w:pStyle w:val="TextBody"/>
        <w:bidi w:val="0"/>
        <w:spacing w:before="160" w:after="0"/>
        <w:jc w:val="left"/>
        <w:rPr>
          <w:rFonts w:ascii="Times New Roman" w:hAnsi="Times New Roman"/>
          <w:sz w:val="18"/>
        </w:rPr>
      </w:pPr>
      <w:r>
        <w:rPr>
          <w:rFonts w:ascii="Times New Roman" w:hAnsi="Times New Roman"/>
          <w:sz w:val="18"/>
        </w:rPr>
        <w:t xml:space="preserve">Our common stock is listed on the Nasdaq Global Select Market, or Nasdaq, under the symbol TARS. On February 28, 2024, the last reported sale price for our common stock was $37.87 per share. This prospectus may not be used to consummate a sale of any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pPr>
      <w:r>
        <w:rPr>
          <w:rFonts w:ascii="Times New Roman" w:hAnsi="Times New Roman"/>
          <w:b/>
          <w:sz w:val="22"/>
        </w:rPr>
        <w:t>INVESTING IN OUR SECURITIES INVOLVES SIGNIFICANT RISKS. SEE </w:t>
      </w:r>
      <w:hyperlink w:anchor="tx859610_3">
        <w:r>
          <w:rPr>
            <w:rStyle w:val="InternetLink"/>
            <w:rFonts w:ascii="Times New Roman" w:hAnsi="Times New Roman"/>
            <w:b/>
            <w:sz w:val="22"/>
          </w:rPr>
          <w:t>RISK FACTORS</w:t>
        </w:r>
      </w:hyperlink>
      <w:r>
        <w:rPr>
          <w:rFonts w:ascii="Times New Roman" w:hAnsi="Times New Roman"/>
          <w:b/>
          <w:sz w:val="22"/>
        </w:rPr>
        <w:t xml:space="preserve">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18"/>
        </w:rPr>
      </w:pPr>
      <w:r>
        <w:rPr>
          <w:rFonts w:ascii="Times New Roman" w:hAnsi="Times New Roman"/>
          <w:b/>
          <w:sz w:val="18"/>
        </w:rPr>
        <w:t xml:space="preserve">The date of this prospectus is February 28,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59610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859610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United States Securities and Exchange Commission, or the SEC, as a well-known seasoned issuer as defined in Rule 405 under the Securities Act of 1933, as amended, or the Securities Act, using a shelf registration process. Under this shelf registration process, we may, from time to time, offer and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We take no responsibility for, and can provide no assurance as to the reliability of, any information that others may give you.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x859610_2"/>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biopharmaceutical company focused on the development and commercialization of therapeutics, starting with eye care. Our lead commercial product, XDEMVY® (lotilaner ophthalmic solution) 0.25%, formerly known as TP-03, was approved by the U.S. Food and Drug Administration, or the FDA, on July 24, 2023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 eyelid margin disease characterized by inflammation, redness and ocular irritation. There are an estimated 25 million people in the U.S. who suffer from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XDEMVY is the first and only FDA-approved therapeutic for the treatment of </w:t>
      </w:r>
      <w:r>
        <w:rPr>
          <w:rFonts w:ascii="Times New Roman" w:hAnsi="Times New Roman"/>
          <w:i/>
          <w:sz w:val="20"/>
          <w:bdr w:val="single" w:sz="8" w:space="1" w:color="000000"/>
        </w:rPr>
        <w:t>Demodex</w:t>
      </w:r>
      <w:r>
        <w:rPr>
          <w:rFonts w:ascii="Times New Roman" w:hAnsi="Times New Roman"/>
          <w:sz w:val="20"/>
          <w:bdr w:val="single" w:sz="8" w:space="1" w:color="000000"/>
        </w:rPr>
        <w:t xml:space="preserve"> blepharitis and we believe it is the definitive standard of care.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418-1801. Our website is www.tarsusrx.com. The information on, or that can be accessed through, our website address is an inactive textual reference and is not part of this prospectus and is not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common stock, preferred stock, debt securities and warrants in one or more offerings and in any combination, including in units from time to time. This prospectus provides you with a general description of the securities that may be offered hereunder. A prospectus supplement, which we will provide each time we offer securities, will describe the specific amounts, prices and terms of these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warrants for the purchase of common stock, preferred stock or debt securities. We may issue warrants independently or together with other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859610_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859610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859610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the net proceeds from the sale by us of the securities will be used for general corporate purposes, which may include working capital, sales and marketing activities, research and development, general and administrative matters, and capital expenditures.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859610_6"/>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ComputerShare Trust Company, N.A. Its address is 462 South 4th Street, Suite 1600, Louisville, KY 40202.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859610_7"/>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Senior or subordinated debt securities will be issued by us under an indenture or indentures, as supplemented from time to time, between us, as issuer, and the trustee identified in the relevant prospectus supplement, or the trustee. The debt securities may be guaranteed by one or more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be subject to and governed by the Trust Indenture Act of 1939, as amended, or the TIA. The terms we, our and us, when used to refer to an issuer of securities, means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Provisions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prospectus supplement or term sheet for the material terms of the offered debt securities and any underlying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 debt securities will be senior securities or subordinated securities of Tarsus;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of the series and any limit on such total principal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not the principal amount of the debt securities, the portion of the principal amount payable upon acceleration of the maturity of the debt securities or how this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how the date or dates will be determined or may be extended, when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in which we will issue the debt securities and whether we will have the option of issuing debt securities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 which the debt securities are denominated and/or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$2,000 or any integral multiple of $1,000 above the minimum denomination in the case of registered securities issued in certificated form, the denominations in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provisions of Article Fourteen of the indenture described under defeasance are not applicable and any provisions in modification of, in addition to or in lieu of any of these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subordinated and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upon the occurrence of specified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any other securities and the applicable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the debt securities will include additional amounts if required by the terms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we repurchase a significant amount of equity or effect a recapitalization,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or term sheet, the debt securities will be denominated in U.S. dollars and all payments on the debt securities will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of the debt securities must be made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and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begin to accrue interest from the date it is originally issued. The related prospectus supplement or term sheet will describe the method of determining the interest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with respect to the debt securities of any series is defined in the indenture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payment of any interest on the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payment of principal of or any premium on the debt securities of such series at maturity or upon redemption or repayment when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us in the performance of any other covenant contained in the applicable indenture for the benefit of the debt securities of such series that has not been remedied by the end of a specified period of time after notice is given as specified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of Tarsus.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events of default included in the indenture and will be subject to negotiation between the holder and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without the consent of the holders of the debt securities issued under such indenture, enter into supplemental indentures for, among others,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us and the assumption by such successor of its obligations under the indenture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of Tarsus or surrender any of its rights, or add any rights for the benefit of the holders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any other series of debt securities, including any subordinated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guarantee of one or more series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or term sheet that the provisions of covenant defeasance and full defeasance will not be applicable to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240" w:after="0"/>
        <w:jc w:val="left"/>
        <w:rPr>
          <w:rFonts w:ascii="Times New Roman" w:hAnsi="Times New Roman"/>
          <w:sz w:val="20"/>
        </w:rPr>
      </w:pPr>
      <w:r>
        <w:rPr>
          <w:rFonts w:ascii="Times New Roman" w:hAnsi="Times New Roman"/>
          <w:sz w:val="20"/>
        </w:rPr>
        <w:t xml:space="preserve">Covenant defeasance and full defeasance are both subject to certain conditions, such as no default or event of default occurring and continuing, and no breach of any material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trustee for cancellation all outstanding debt securities or by depositing with the trustee or the paying agent after the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have become due and payable, whether at stated maturity, or any redemption or repayment date, or otherwise, cash sufficient to pay all of the outstanding debt securities and paying all other sums payable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or term sheet, in a minimum denomination of $2,000 and amounts above the minimum denomination that are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859610_8"/>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Any series of warrants may be issued under a separate warrant agreement to be entered into between us and a bank or trust company, as warrant agent. Any such warrant agent will act solely as our agent in connection with the warrants and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series of warrants to purchase such securities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basic terms of the securities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warrants to purchase debt securities will not be entitled to payments of principal of, or any premium or interest on, the debt securities purchasable on exercise, or to exercise any of the rights of the holders of such debt securities until such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warrants may exercise the warrants by delivering the warrant certificate representing the warrants to be exercised together with specified information, and paying the required amount to us or the warrant agent, if any,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if any, or any other office, including ours,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859610_9"/>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240" w:after="0"/>
        <w:jc w:val="left"/>
        <w:rPr>
          <w:rFonts w:ascii="Times New Roman" w:hAnsi="Times New Roman"/>
          <w:sz w:val="20"/>
        </w:rPr>
      </w:pPr>
      <w:r>
        <w:rPr>
          <w:rFonts w:ascii="Times New Roman" w:hAnsi="Times New Roman"/>
          <w:sz w:val="20"/>
        </w:rPr>
        <w:t xml:space="preserve">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859610_10"/>
      <w:bookmarkEnd w:id="26"/>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legal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859610_11"/>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859610_12"/>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9" w:name="tx859610_13"/>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30" w:name="tx859610_14"/>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859610_15"/>
      <w:bookmarkEnd w:id="31"/>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2023, filed with the SEC on </w:t>
            </w:r>
            <w:hyperlink r:id="rId7">
              <w:r>
                <w:rPr>
                  <w:rStyle w:val="InternetLink"/>
                  <w:rFonts w:ascii="Times New Roman" w:hAnsi="Times New Roman"/>
                  <w:sz w:val="20"/>
                </w:rPr>
                <w:t>February 27,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8">
              <w:r>
                <w:rPr>
                  <w:rStyle w:val="InternetLink"/>
                  <w:rFonts w:ascii="Times New Roman" w:hAnsi="Times New Roman"/>
                  <w:sz w:val="20"/>
                </w:rPr>
                <w:t>January 18, 2024</w:t>
              </w:r>
            </w:hyperlink>
            <w:r>
              <w:rPr>
                <w:rFonts w:ascii="Times New Roman" w:hAnsi="Times New Roman"/>
                <w:sz w:val="20"/>
              </w:rPr>
              <w:t xml:space="preserve"> (to the extent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as updated by </w:t>
            </w:r>
            <w:hyperlink r:id="rId10">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418-1801 </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20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87270" cy="1562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2287270" cy="1562735"/>
                    </a:xfrm>
                    <a:prstGeom prst="rect">
                      <a:avLst/>
                    </a:prstGeom>
                  </pic:spPr>
                </pic:pic>
              </a:graphicData>
            </a:graphic>
          </wp:inline>
        </w:drawing>
      </w:r>
      <w:r>
        <w:rPr/>
        <w:t xml:space="preserve"> </w:t>
      </w:r>
    </w:p>
    <w:p>
      <w:pPr>
        <w:pStyle w:val="TextBody"/>
        <w:bidi w:val="0"/>
        <w:spacing w:before="6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Barclays</w:t>
            </w:r>
          </w:p>
        </w:tc>
      </w:tr>
      <w:tr>
        <w:trPr>
          <w:trHeight w:val="15"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Oppenheimer &amp; Co.</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bl>
    <w:p>
      <w:pPr>
        <w:pStyle w:val="TextBody"/>
        <w:bidi w:val="0"/>
        <w:spacing w:before="84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5000011/tars-20241231.htm" TargetMode="External"/><Relationship Id="rId4" Type="http://schemas.openxmlformats.org/officeDocument/2006/relationships/hyperlink" Target="http://www.sec.gov/Archives/edgar/data/../../../ix?doc=/Archives/edgar/data/1819790/000181979025000003/tars-20250115.htm" TargetMode="External"/><Relationship Id="rId5" Type="http://schemas.openxmlformats.org/officeDocument/2006/relationships/hyperlink" Target="http://www.sec.gov/Archives/edgar/data/1819790/000181979022000010/tarsus-form10xkxex42descri.htm" TargetMode="External"/><Relationship Id="rId6" Type="http://schemas.openxmlformats.org/officeDocument/2006/relationships/image" Target="media/image2.jpeg"/><Relationship Id="rId7" Type="http://schemas.openxmlformats.org/officeDocument/2006/relationships/hyperlink" Target="http://www.sec.gov/Archives/edgar/data/../../../ix?doc=/Archives/edgar/data/1819790/000181979024000018/tars-20231231.htm" TargetMode="External"/><Relationship Id="rId8" Type="http://schemas.openxmlformats.org/officeDocument/2006/relationships/hyperlink" Target="http://www.sec.gov/Archives/edgar/data/../../../ix?doc=/Archives/edgar/data/1819790/000181979024000006/tars-20240111.htm" TargetMode="External"/><Relationship Id="rId9" Type="http://schemas.openxmlformats.org/officeDocument/2006/relationships/hyperlink" Target="http://www.sec.gov/Archives/edgar/data/1819790/000119312520267409/d68419d8a12b.htm" TargetMode="External"/><Relationship Id="rId10" Type="http://schemas.openxmlformats.org/officeDocument/2006/relationships/hyperlink" Target="http://www.sec.gov/Archives/edgar/data/1819790/000181979022000010/tarsus-form10xkxex42descri.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30549</Words>
  <Characters>159184</Characters>
  <CharactersWithSpaces>189975</CharactersWithSpaces>
  <Paragraphs>1932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