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5"/>
          <w:szCs w:val="15"/>
          <w:b w:val="1"/>
          <w:bCs w:val="1"/>
          <w:u w:val="single" w:color="auto"/>
          <w:color w:val="0000EE"/>
        </w:rPr>
      </w:pP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October 9, 2020.</w:t>
      </w:r>
    </w:p>
    <w:p>
      <w:pPr>
        <w:spacing w:after="0" w:line="5"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Registration No. 333-249076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76835</wp:posOffset>
            </wp:positionV>
            <wp:extent cx="11931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24"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86995</wp:posOffset>
            </wp:positionV>
            <wp:extent cx="11931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25"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2"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2"/>
          <w:szCs w:val="22"/>
          <w:b w:val="1"/>
          <w:bCs w:val="1"/>
          <w:color w:val="auto"/>
        </w:rPr>
        <w:t>FORM S-1</w:t>
      </w:r>
    </w:p>
    <w:p>
      <w:pPr>
        <w:jc w:val="center"/>
        <w:ind w:right="-899"/>
        <w:spacing w:after="0" w:line="238"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10"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88265</wp:posOffset>
            </wp:positionV>
            <wp:extent cx="1193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25"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28"/>
          <w:szCs w:val="28"/>
          <w:b w:val="1"/>
          <w:bCs w:val="1"/>
          <w:color w:val="auto"/>
        </w:rPr>
        <w:t>TARSUS PHARMACEUTICALS, INC.</w:t>
      </w:r>
    </w:p>
    <w:p>
      <w:pPr>
        <w:spacing w:after="0" w:line="2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76835</wp:posOffset>
            </wp:positionV>
            <wp:extent cx="11931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49" w:lineRule="exact"/>
        <w:rPr>
          <w:sz w:val="24"/>
          <w:szCs w:val="24"/>
          <w:color w:val="auto"/>
        </w:rPr>
      </w:pPr>
    </w:p>
    <w:tbl>
      <w:tblPr>
        <w:tblLayout w:type="fixed"/>
        <w:tblInd w:w="1720" w:type="dxa"/>
        <w:tblCellMar>
          <w:top w:w="0" w:type="dxa"/>
          <w:left w:w="0" w:type="dxa"/>
          <w:bottom w:w="0" w:type="dxa"/>
          <w:right w:w="0" w:type="dxa"/>
        </w:tblCellMar>
      </w:tblPr>
      <w:tr>
        <w:trPr>
          <w:trHeight w:val="138"/>
        </w:trPr>
        <w:tc>
          <w:tcPr>
            <w:tcW w:w="2400" w:type="dxa"/>
            <w:vAlign w:val="bottom"/>
          </w:tcPr>
          <w:p>
            <w:pPr>
              <w:jc w:val="center"/>
              <w:ind w:right="759"/>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2836</w:t>
            </w:r>
          </w:p>
        </w:tc>
        <w:tc>
          <w:tcPr>
            <w:tcW w:w="2080" w:type="dxa"/>
            <w:vAlign w:val="bottom"/>
          </w:tcPr>
          <w:p>
            <w:pPr>
              <w:jc w:val="center"/>
              <w:ind w:left="779"/>
              <w:spacing w:after="0"/>
              <w:rPr>
                <w:sz w:val="20"/>
                <w:szCs w:val="20"/>
                <w:color w:val="auto"/>
              </w:rPr>
            </w:pPr>
            <w:r>
              <w:rPr>
                <w:rFonts w:ascii="Times New Roman" w:cs="Times New Roman" w:eastAsia="Times New Roman" w:hAnsi="Times New Roman"/>
                <w:sz w:val="12"/>
                <w:szCs w:val="12"/>
                <w:b w:val="1"/>
                <w:bCs w:val="1"/>
                <w:color w:val="auto"/>
              </w:rPr>
              <w:t>81-4717861</w:t>
            </w:r>
          </w:p>
        </w:tc>
      </w:tr>
      <w:tr>
        <w:trPr>
          <w:trHeight w:val="127"/>
        </w:trPr>
        <w:tc>
          <w:tcPr>
            <w:tcW w:w="2400" w:type="dxa"/>
            <w:vAlign w:val="bottom"/>
          </w:tcPr>
          <w:p>
            <w:pPr>
              <w:jc w:val="center"/>
              <w:ind w:right="759"/>
              <w:spacing w:after="0" w:line="127"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2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(Primary Standard Industrial</w:t>
            </w:r>
          </w:p>
        </w:tc>
        <w:tc>
          <w:tcPr>
            <w:tcW w:w="2080" w:type="dxa"/>
            <w:vAlign w:val="bottom"/>
          </w:tcPr>
          <w:p>
            <w:pPr>
              <w:jc w:val="center"/>
              <w:ind w:left="779"/>
              <w:spacing w:after="0" w:line="127"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2400" w:type="dxa"/>
            <w:vAlign w:val="bottom"/>
          </w:tcPr>
          <w:p>
            <w:pPr>
              <w:jc w:val="center"/>
              <w:ind w:right="739"/>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Classification Code Number)</w:t>
            </w:r>
          </w:p>
        </w:tc>
        <w:tc>
          <w:tcPr>
            <w:tcW w:w="2080" w:type="dxa"/>
            <w:vAlign w:val="bottom"/>
          </w:tcPr>
          <w:p>
            <w:pPr>
              <w:jc w:val="center"/>
              <w:ind w:left="799"/>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79375</wp:posOffset>
            </wp:positionV>
            <wp:extent cx="11931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18"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2"/>
          <w:szCs w:val="12"/>
          <w:b w:val="1"/>
          <w:bCs w:val="1"/>
          <w:color w:val="auto"/>
        </w:rPr>
        <w:t>15440 Laguna Canyon Road, Suite 160</w:t>
      </w:r>
    </w:p>
    <w:p>
      <w:pPr>
        <w:jc w:val="center"/>
        <w:ind w:right="-899"/>
        <w:spacing w:after="0" w:line="228" w:lineRule="auto"/>
        <w:rPr>
          <w:sz w:val="20"/>
          <w:szCs w:val="20"/>
          <w:color w:val="auto"/>
        </w:rPr>
      </w:pPr>
      <w:r>
        <w:rPr>
          <w:rFonts w:ascii="Times New Roman" w:cs="Times New Roman" w:eastAsia="Times New Roman" w:hAnsi="Times New Roman"/>
          <w:sz w:val="12"/>
          <w:szCs w:val="12"/>
          <w:b w:val="1"/>
          <w:bCs w:val="1"/>
          <w:color w:val="auto"/>
        </w:rPr>
        <w:t>Irvine, California 92618</w:t>
      </w:r>
    </w:p>
    <w:p>
      <w:pPr>
        <w:jc w:val="center"/>
        <w:ind w:right="-899"/>
        <w:spacing w:after="0" w:line="221" w:lineRule="auto"/>
        <w:rPr>
          <w:sz w:val="20"/>
          <w:szCs w:val="20"/>
          <w:color w:val="auto"/>
        </w:rPr>
      </w:pPr>
      <w:r>
        <w:rPr>
          <w:rFonts w:ascii="Times New Roman" w:cs="Times New Roman" w:eastAsia="Times New Roman" w:hAnsi="Times New Roman"/>
          <w:sz w:val="12"/>
          <w:szCs w:val="12"/>
          <w:b w:val="1"/>
          <w:bCs w:val="1"/>
          <w:color w:val="auto"/>
        </w:rPr>
        <w:t>(949) 409-9820</w:t>
      </w:r>
    </w:p>
    <w:p>
      <w:pPr>
        <w:jc w:val="center"/>
        <w:ind w:right="-899"/>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76835</wp:posOffset>
            </wp:positionV>
            <wp:extent cx="11931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26"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2"/>
          <w:szCs w:val="12"/>
          <w:b w:val="1"/>
          <w:bCs w:val="1"/>
          <w:color w:val="auto"/>
        </w:rPr>
        <w:t>Bobak Azamian, M.D., Ph.D.</w:t>
      </w:r>
    </w:p>
    <w:p>
      <w:pPr>
        <w:jc w:val="center"/>
        <w:ind w:right="-899"/>
        <w:spacing w:after="0" w:line="228" w:lineRule="auto"/>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jc w:val="center"/>
        <w:ind w:right="-899"/>
        <w:spacing w:after="0" w:line="221" w:lineRule="auto"/>
        <w:rPr>
          <w:sz w:val="20"/>
          <w:szCs w:val="20"/>
          <w:color w:val="auto"/>
        </w:rPr>
      </w:pPr>
      <w:r>
        <w:rPr>
          <w:rFonts w:ascii="Times New Roman" w:cs="Times New Roman" w:eastAsia="Times New Roman" w:hAnsi="Times New Roman"/>
          <w:sz w:val="12"/>
          <w:szCs w:val="12"/>
          <w:b w:val="1"/>
          <w:bCs w:val="1"/>
          <w:color w:val="auto"/>
        </w:rPr>
        <w:t>Tarsus Pharmaceuticals, Inc.</w:t>
      </w:r>
    </w:p>
    <w:p>
      <w:pPr>
        <w:jc w:val="center"/>
        <w:ind w:right="-899"/>
        <w:spacing w:after="0" w:line="221" w:lineRule="auto"/>
        <w:rPr>
          <w:sz w:val="20"/>
          <w:szCs w:val="20"/>
          <w:color w:val="auto"/>
        </w:rPr>
      </w:pPr>
      <w:r>
        <w:rPr>
          <w:rFonts w:ascii="Times New Roman" w:cs="Times New Roman" w:eastAsia="Times New Roman" w:hAnsi="Times New Roman"/>
          <w:sz w:val="12"/>
          <w:szCs w:val="12"/>
          <w:b w:val="1"/>
          <w:bCs w:val="1"/>
          <w:color w:val="auto"/>
        </w:rPr>
        <w:t>15440 Laguna Canyon Road, Suite 160</w:t>
      </w:r>
    </w:p>
    <w:p>
      <w:pPr>
        <w:jc w:val="center"/>
        <w:ind w:right="-899"/>
        <w:spacing w:after="0" w:line="220" w:lineRule="auto"/>
        <w:rPr>
          <w:sz w:val="20"/>
          <w:szCs w:val="20"/>
          <w:color w:val="auto"/>
        </w:rPr>
      </w:pPr>
      <w:r>
        <w:rPr>
          <w:rFonts w:ascii="Times New Roman" w:cs="Times New Roman" w:eastAsia="Times New Roman" w:hAnsi="Times New Roman"/>
          <w:sz w:val="12"/>
          <w:szCs w:val="12"/>
          <w:b w:val="1"/>
          <w:bCs w:val="1"/>
          <w:color w:val="auto"/>
        </w:rPr>
        <w:t>Irvine, California 92618</w:t>
      </w:r>
    </w:p>
    <w:p>
      <w:pPr>
        <w:jc w:val="center"/>
        <w:ind w:right="-899"/>
        <w:spacing w:after="0" w:line="221" w:lineRule="auto"/>
        <w:rPr>
          <w:sz w:val="20"/>
          <w:szCs w:val="20"/>
          <w:color w:val="auto"/>
        </w:rPr>
      </w:pPr>
      <w:r>
        <w:rPr>
          <w:rFonts w:ascii="Times New Roman" w:cs="Times New Roman" w:eastAsia="Times New Roman" w:hAnsi="Times New Roman"/>
          <w:sz w:val="12"/>
          <w:szCs w:val="12"/>
          <w:b w:val="1"/>
          <w:bCs w:val="1"/>
          <w:color w:val="auto"/>
        </w:rPr>
        <w:t>(949) 409-9820</w:t>
      </w:r>
    </w:p>
    <w:p>
      <w:pPr>
        <w:jc w:val="center"/>
        <w:ind w:right="-899"/>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76835</wp:posOffset>
            </wp:positionV>
            <wp:extent cx="11931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26" w:lineRule="exact"/>
        <w:rPr>
          <w:sz w:val="24"/>
          <w:szCs w:val="24"/>
          <w:color w:val="auto"/>
        </w:rPr>
      </w:pPr>
    </w:p>
    <w:tbl>
      <w:tblPr>
        <w:tblLayout w:type="fixed"/>
        <w:tblInd w:w="14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040" w:type="dxa"/>
            <w:vAlign w:val="bottom"/>
          </w:tcPr>
          <w:p>
            <w:pPr>
              <w:ind w:left="110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c>
          <w:tcPr>
            <w:tcW w:w="2240" w:type="dxa"/>
            <w:vAlign w:val="bottom"/>
          </w:tcPr>
          <w:p>
            <w:pPr>
              <w:spacing w:after="0"/>
              <w:rPr>
                <w:sz w:val="14"/>
                <w:szCs w:val="14"/>
                <w:color w:val="auto"/>
              </w:rPr>
            </w:pP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Ilan Lovinsky</w:t>
            </w:r>
          </w:p>
        </w:tc>
        <w:tc>
          <w:tcPr>
            <w:tcW w:w="30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b w:val="1"/>
                <w:bCs w:val="1"/>
                <w:color w:val="auto"/>
              </w:rPr>
              <w:t>Leo M. Greenstein</w:t>
            </w:r>
          </w:p>
        </w:tc>
        <w:tc>
          <w:tcPr>
            <w:tcW w:w="2240" w:type="dxa"/>
            <w:vAlign w:val="bottom"/>
          </w:tcPr>
          <w:p>
            <w:pPr>
              <w:jc w:val="center"/>
              <w:ind w:left="759"/>
              <w:spacing w:after="0" w:line="127" w:lineRule="exact"/>
              <w:rPr>
                <w:sz w:val="20"/>
                <w:szCs w:val="20"/>
                <w:color w:val="auto"/>
              </w:rPr>
            </w:pPr>
            <w:r>
              <w:rPr>
                <w:rFonts w:ascii="Times New Roman" w:cs="Times New Roman" w:eastAsia="Times New Roman" w:hAnsi="Times New Roman"/>
                <w:sz w:val="12"/>
                <w:szCs w:val="12"/>
                <w:b w:val="1"/>
                <w:bCs w:val="1"/>
                <w:color w:val="auto"/>
              </w:rPr>
              <w:t>Ilir Mujalovic</w:t>
            </w: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Jeffrey R. Vetter</w:t>
            </w:r>
          </w:p>
        </w:tc>
        <w:tc>
          <w:tcPr>
            <w:tcW w:w="3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b w:val="1"/>
                <w:bCs w:val="1"/>
                <w:color w:val="auto"/>
              </w:rPr>
              <w:t>Chief Financial Officer</w:t>
            </w:r>
          </w:p>
        </w:tc>
        <w:tc>
          <w:tcPr>
            <w:tcW w:w="2240" w:type="dxa"/>
            <w:vAlign w:val="bottom"/>
          </w:tcPr>
          <w:p>
            <w:pPr>
              <w:jc w:val="center"/>
              <w:ind w:left="759"/>
              <w:spacing w:after="0" w:line="127" w:lineRule="exact"/>
              <w:rPr>
                <w:sz w:val="20"/>
                <w:szCs w:val="20"/>
                <w:color w:val="auto"/>
              </w:rPr>
            </w:pPr>
            <w:r>
              <w:rPr>
                <w:rFonts w:ascii="Times New Roman" w:cs="Times New Roman" w:eastAsia="Times New Roman" w:hAnsi="Times New Roman"/>
                <w:sz w:val="12"/>
                <w:szCs w:val="12"/>
                <w:b w:val="1"/>
                <w:bCs w:val="1"/>
                <w:color w:val="auto"/>
              </w:rPr>
              <w:t>Ana Aur</w:t>
            </w:r>
          </w:p>
        </w:tc>
      </w:tr>
      <w:tr>
        <w:trPr>
          <w:trHeight w:val="127"/>
        </w:trPr>
        <w:tc>
          <w:tcPr>
            <w:tcW w:w="2780" w:type="dxa"/>
            <w:vAlign w:val="bottom"/>
          </w:tcPr>
          <w:p>
            <w:pPr>
              <w:jc w:val="center"/>
              <w:ind w:right="659"/>
              <w:spacing w:after="0" w:line="127" w:lineRule="exact"/>
              <w:rPr>
                <w:sz w:val="20"/>
                <w:szCs w:val="20"/>
                <w:color w:val="auto"/>
              </w:rPr>
            </w:pPr>
            <w:r>
              <w:rPr>
                <w:rFonts w:ascii="Times New Roman" w:cs="Times New Roman" w:eastAsia="Times New Roman" w:hAnsi="Times New Roman"/>
                <w:sz w:val="12"/>
                <w:szCs w:val="12"/>
                <w:b w:val="1"/>
                <w:bCs w:val="1"/>
                <w:color w:val="auto"/>
              </w:rPr>
              <w:t>Ryan J. Gunderson</w:t>
            </w:r>
          </w:p>
        </w:tc>
        <w:tc>
          <w:tcPr>
            <w:tcW w:w="3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b w:val="1"/>
                <w:bCs w:val="1"/>
                <w:color w:val="auto"/>
              </w:rPr>
              <w:t>Tarsus Pharmaceuticals, Inc.</w:t>
            </w:r>
          </w:p>
        </w:tc>
        <w:tc>
          <w:tcPr>
            <w:tcW w:w="2240" w:type="dxa"/>
            <w:vAlign w:val="bottom"/>
          </w:tcPr>
          <w:p>
            <w:pPr>
              <w:jc w:val="center"/>
              <w:ind w:left="739"/>
              <w:spacing w:after="0" w:line="127" w:lineRule="exact"/>
              <w:rPr>
                <w:sz w:val="20"/>
                <w:szCs w:val="20"/>
                <w:color w:val="auto"/>
              </w:rPr>
            </w:pPr>
            <w:r>
              <w:rPr>
                <w:rFonts w:ascii="Times New Roman" w:cs="Times New Roman" w:eastAsia="Times New Roman" w:hAnsi="Times New Roman"/>
                <w:sz w:val="12"/>
                <w:szCs w:val="12"/>
                <w:b w:val="1"/>
                <w:bCs w:val="1"/>
                <w:color w:val="auto"/>
              </w:rPr>
              <w:t>Shearman &amp; Sterling LLP</w:t>
            </w: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Gunderson Dettmer Stough Villeneuve</w:t>
            </w:r>
          </w:p>
        </w:tc>
        <w:tc>
          <w:tcPr>
            <w:tcW w:w="3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b w:val="1"/>
                <w:bCs w:val="1"/>
                <w:color w:val="auto"/>
              </w:rPr>
              <w:t>15440 Laguna Canyon Road</w:t>
            </w:r>
          </w:p>
        </w:tc>
        <w:tc>
          <w:tcPr>
            <w:tcW w:w="2240" w:type="dxa"/>
            <w:vAlign w:val="bottom"/>
          </w:tcPr>
          <w:p>
            <w:pPr>
              <w:jc w:val="center"/>
              <w:ind w:left="739"/>
              <w:spacing w:after="0" w:line="127" w:lineRule="exact"/>
              <w:rPr>
                <w:sz w:val="20"/>
                <w:szCs w:val="20"/>
                <w:color w:val="auto"/>
              </w:rPr>
            </w:pPr>
            <w:r>
              <w:rPr>
                <w:rFonts w:ascii="Times New Roman" w:cs="Times New Roman" w:eastAsia="Times New Roman" w:hAnsi="Times New Roman"/>
                <w:sz w:val="12"/>
                <w:szCs w:val="12"/>
                <w:b w:val="1"/>
                <w:bCs w:val="1"/>
                <w:color w:val="auto"/>
              </w:rPr>
              <w:t>599 Lexington Avenue</w:t>
            </w: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Franklin &amp; Hachigian, LLP</w:t>
            </w:r>
          </w:p>
        </w:tc>
        <w:tc>
          <w:tcPr>
            <w:tcW w:w="30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b w:val="1"/>
                <w:bCs w:val="1"/>
                <w:color w:val="auto"/>
              </w:rPr>
              <w:t>Irvine, California 92618</w:t>
            </w:r>
          </w:p>
        </w:tc>
        <w:tc>
          <w:tcPr>
            <w:tcW w:w="2240" w:type="dxa"/>
            <w:vAlign w:val="bottom"/>
          </w:tcPr>
          <w:p>
            <w:pPr>
              <w:jc w:val="center"/>
              <w:ind w:left="739"/>
              <w:spacing w:after="0" w:line="127" w:lineRule="exact"/>
              <w:rPr>
                <w:sz w:val="20"/>
                <w:szCs w:val="20"/>
                <w:color w:val="auto"/>
              </w:rPr>
            </w:pPr>
            <w:r>
              <w:rPr>
                <w:rFonts w:ascii="Times New Roman" w:cs="Times New Roman" w:eastAsia="Times New Roman" w:hAnsi="Times New Roman"/>
                <w:sz w:val="12"/>
                <w:szCs w:val="12"/>
                <w:b w:val="1"/>
                <w:bCs w:val="1"/>
                <w:color w:val="auto"/>
              </w:rPr>
              <w:t>New York, New York 10022</w:t>
            </w: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3570 Carmel Mountain Road, Suite 200</w:t>
            </w:r>
          </w:p>
        </w:tc>
        <w:tc>
          <w:tcPr>
            <w:tcW w:w="3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b w:val="1"/>
                <w:bCs w:val="1"/>
                <w:color w:val="auto"/>
              </w:rPr>
              <w:t>(949) 409-9820</w:t>
            </w:r>
          </w:p>
        </w:tc>
        <w:tc>
          <w:tcPr>
            <w:tcW w:w="2240" w:type="dxa"/>
            <w:vAlign w:val="bottom"/>
          </w:tcPr>
          <w:p>
            <w:pPr>
              <w:jc w:val="center"/>
              <w:ind w:left="739"/>
              <w:spacing w:after="0" w:line="127" w:lineRule="exact"/>
              <w:rPr>
                <w:sz w:val="20"/>
                <w:szCs w:val="20"/>
                <w:color w:val="auto"/>
              </w:rPr>
            </w:pPr>
            <w:r>
              <w:rPr>
                <w:rFonts w:ascii="Times New Roman" w:cs="Times New Roman" w:eastAsia="Times New Roman" w:hAnsi="Times New Roman"/>
                <w:sz w:val="12"/>
                <w:szCs w:val="12"/>
                <w:b w:val="1"/>
                <w:bCs w:val="1"/>
                <w:color w:val="auto"/>
              </w:rPr>
              <w:t>(212) 848-4000</w:t>
            </w:r>
          </w:p>
        </w:tc>
      </w:tr>
      <w:tr>
        <w:trPr>
          <w:trHeight w:val="127"/>
        </w:trPr>
        <w:tc>
          <w:tcPr>
            <w:tcW w:w="2780" w:type="dxa"/>
            <w:vAlign w:val="bottom"/>
          </w:tcPr>
          <w:p>
            <w:pPr>
              <w:jc w:val="center"/>
              <w:ind w:right="639"/>
              <w:spacing w:after="0" w:line="127" w:lineRule="exact"/>
              <w:rPr>
                <w:sz w:val="20"/>
                <w:szCs w:val="20"/>
                <w:color w:val="auto"/>
              </w:rPr>
            </w:pPr>
            <w:r>
              <w:rPr>
                <w:rFonts w:ascii="Times New Roman" w:cs="Times New Roman" w:eastAsia="Times New Roman" w:hAnsi="Times New Roman"/>
                <w:sz w:val="12"/>
                <w:szCs w:val="12"/>
                <w:b w:val="1"/>
                <w:bCs w:val="1"/>
                <w:color w:val="auto"/>
              </w:rPr>
              <w:t>San Diego, California 92130</w:t>
            </w:r>
          </w:p>
        </w:tc>
        <w:tc>
          <w:tcPr>
            <w:tcW w:w="304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61"/>
        </w:trPr>
        <w:tc>
          <w:tcPr>
            <w:tcW w:w="2780" w:type="dxa"/>
            <w:vAlign w:val="bottom"/>
          </w:tcPr>
          <w:p>
            <w:pPr>
              <w:jc w:val="center"/>
              <w:ind w:right="639"/>
              <w:spacing w:after="0"/>
              <w:rPr>
                <w:sz w:val="20"/>
                <w:szCs w:val="20"/>
                <w:color w:val="auto"/>
              </w:rPr>
            </w:pPr>
            <w:r>
              <w:rPr>
                <w:rFonts w:ascii="Times New Roman" w:cs="Times New Roman" w:eastAsia="Times New Roman" w:hAnsi="Times New Roman"/>
                <w:sz w:val="12"/>
                <w:szCs w:val="12"/>
                <w:b w:val="1"/>
                <w:bCs w:val="1"/>
                <w:color w:val="auto"/>
              </w:rPr>
              <w:t>(858) 436-8000</w:t>
            </w:r>
          </w:p>
        </w:tc>
        <w:tc>
          <w:tcPr>
            <w:tcW w:w="30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79375</wp:posOffset>
            </wp:positionV>
            <wp:extent cx="1193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 As soon as practicable after the effective date of this registration statement.</w:t>
      </w:r>
    </w:p>
    <w:p>
      <w:pPr>
        <w:spacing w:after="0" w:line="25" w:lineRule="exact"/>
        <w:rPr>
          <w:sz w:val="24"/>
          <w:szCs w:val="24"/>
          <w:color w:val="auto"/>
        </w:rPr>
      </w:pPr>
    </w:p>
    <w:p>
      <w:pPr>
        <w:ind w:left="920" w:right="440" w:firstLine="753"/>
        <w:spacing w:after="0" w:line="15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ind w:left="920" w:right="160" w:firstLine="753"/>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920" w:right="300" w:firstLine="753"/>
        <w:spacing w:after="0" w:line="150"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920" w:right="300" w:firstLine="753"/>
        <w:spacing w:after="0" w:line="15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920" w:right="420" w:firstLine="753"/>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920" w:type="dxa"/>
        <w:tblCellMar>
          <w:top w:w="0" w:type="dxa"/>
          <w:left w:w="0" w:type="dxa"/>
          <w:bottom w:w="0" w:type="dxa"/>
          <w:right w:w="0" w:type="dxa"/>
        </w:tblCellMar>
      </w:tblPr>
      <w:tr>
        <w:trPr>
          <w:trHeight w:val="191"/>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3000"/>
              <w:spacing w:after="0"/>
              <w:rPr>
                <w:sz w:val="20"/>
                <w:szCs w:val="20"/>
                <w:color w:val="auto"/>
              </w:rPr>
            </w:pPr>
            <w:r>
              <w:rPr>
                <w:rFonts w:ascii="Times New Roman" w:cs="Times New Roman" w:eastAsia="Times New Roman" w:hAnsi="Times New Roman"/>
                <w:sz w:val="12"/>
                <w:szCs w:val="12"/>
                <w:color w:val="auto"/>
              </w:rPr>
              <w:t>Accelerated filer</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2"/>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30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6"/>
        </w:trPr>
        <w:tc>
          <w:tcPr>
            <w:tcW w:w="1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520" w:type="dxa"/>
            <w:vAlign w:val="bottom"/>
          </w:tcPr>
          <w:p>
            <w:pPr>
              <w:ind w:left="30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bl>
    <w:p>
      <w:pPr>
        <w:ind w:left="920" w:right="140" w:firstLine="753"/>
        <w:spacing w:after="0" w:line="15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71120</wp:posOffset>
            </wp:positionV>
            <wp:extent cx="11931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1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CALCULATION OF REGISTRATION FEE</w:t>
      </w:r>
    </w:p>
    <w:p>
      <w:pPr>
        <w:spacing w:after="0" w:line="25" w:lineRule="exact"/>
        <w:rPr>
          <w:sz w:val="24"/>
          <w:szCs w:val="24"/>
          <w:color w:val="auto"/>
        </w:rPr>
      </w:pPr>
    </w:p>
    <w:tbl>
      <w:tblPr>
        <w:tblLayout w:type="fixed"/>
        <w:tblInd w:w="9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80"/>
        </w:trPr>
        <w:tc>
          <w:tcPr>
            <w:tcW w:w="20" w:type="dxa"/>
            <w:vAlign w:val="bottom"/>
          </w:tcPr>
          <w:p>
            <w:pPr>
              <w:spacing w:after="0"/>
              <w:rPr>
                <w:sz w:val="6"/>
                <w:szCs w:val="6"/>
                <w:color w:val="auto"/>
              </w:rPr>
            </w:pPr>
          </w:p>
        </w:tc>
        <w:tc>
          <w:tcPr>
            <w:tcW w:w="44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jc w:val="center"/>
              <w:ind w:left="22"/>
              <w:spacing w:after="0" w:line="80" w:lineRule="exact"/>
              <w:rPr>
                <w:sz w:val="20"/>
                <w:szCs w:val="20"/>
                <w:color w:val="auto"/>
              </w:rPr>
            </w:pPr>
            <w:r>
              <w:rPr>
                <w:rFonts w:ascii="Times New Roman" w:cs="Times New Roman" w:eastAsia="Times New Roman" w:hAnsi="Times New Roman"/>
                <w:sz w:val="9"/>
                <w:szCs w:val="9"/>
                <w:b w:val="1"/>
                <w:bCs w:val="1"/>
                <w:color w:val="auto"/>
              </w:rPr>
              <w:t>Proposed Maximum</w:t>
            </w:r>
          </w:p>
        </w:tc>
        <w:tc>
          <w:tcPr>
            <w:tcW w:w="1360" w:type="dxa"/>
            <w:vAlign w:val="bottom"/>
            <w:tcBorders>
              <w:right w:val="single" w:sz="8" w:color="auto"/>
            </w:tcBorders>
          </w:tcPr>
          <w:p>
            <w:pPr>
              <w:jc w:val="center"/>
              <w:ind w:left="22"/>
              <w:spacing w:after="0" w:line="80" w:lineRule="exact"/>
              <w:rPr>
                <w:sz w:val="20"/>
                <w:szCs w:val="20"/>
                <w:color w:val="auto"/>
              </w:rPr>
            </w:pPr>
            <w:r>
              <w:rPr>
                <w:rFonts w:ascii="Times New Roman" w:cs="Times New Roman" w:eastAsia="Times New Roman" w:hAnsi="Times New Roman"/>
                <w:sz w:val="9"/>
                <w:szCs w:val="9"/>
                <w:b w:val="1"/>
                <w:bCs w:val="1"/>
                <w:color w:val="auto"/>
              </w:rPr>
              <w:t>Proposed Maximum</w:t>
            </w:r>
          </w:p>
        </w:tc>
        <w:tc>
          <w:tcPr>
            <w:tcW w:w="1240" w:type="dxa"/>
            <w:vAlign w:val="bottom"/>
          </w:tcPr>
          <w:p>
            <w:pPr>
              <w:spacing w:after="0"/>
              <w:rPr>
                <w:sz w:val="6"/>
                <w:szCs w:val="6"/>
                <w:color w:val="auto"/>
              </w:rPr>
            </w:pPr>
          </w:p>
        </w:tc>
      </w:tr>
      <w:tr>
        <w:trPr>
          <w:trHeight w:val="137"/>
        </w:trPr>
        <w:tc>
          <w:tcPr>
            <w:tcW w:w="20" w:type="dxa"/>
            <w:vAlign w:val="bottom"/>
          </w:tcPr>
          <w:p>
            <w:pPr>
              <w:spacing w:after="0"/>
              <w:rPr>
                <w:sz w:val="11"/>
                <w:szCs w:val="11"/>
                <w:color w:val="auto"/>
              </w:rPr>
            </w:pPr>
          </w:p>
        </w:tc>
        <w:tc>
          <w:tcPr>
            <w:tcW w:w="4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Title of Each Class of</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Amount to</w:t>
            </w:r>
          </w:p>
        </w:tc>
        <w:tc>
          <w:tcPr>
            <w:tcW w:w="1360" w:type="dxa"/>
            <w:vAlign w:val="bottom"/>
            <w:tcBorders>
              <w:right w:val="single" w:sz="8" w:color="auto"/>
            </w:tcBorders>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rPr>
              <w:t>Offering Price Per</w:t>
            </w:r>
          </w:p>
        </w:tc>
        <w:tc>
          <w:tcPr>
            <w:tcW w:w="1360" w:type="dxa"/>
            <w:vAlign w:val="bottom"/>
            <w:tcBorders>
              <w:right w:val="single" w:sz="8" w:color="auto"/>
            </w:tcBorders>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1240" w:type="dxa"/>
            <w:vAlign w:val="bottom"/>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Amount of</w:t>
            </w:r>
          </w:p>
        </w:tc>
      </w:tr>
      <w:tr>
        <w:trPr>
          <w:trHeight w:val="150"/>
        </w:trPr>
        <w:tc>
          <w:tcPr>
            <w:tcW w:w="20" w:type="dxa"/>
            <w:vAlign w:val="bottom"/>
          </w:tcPr>
          <w:p>
            <w:pPr>
              <w:spacing w:after="0"/>
              <w:rPr>
                <w:sz w:val="13"/>
                <w:szCs w:val="13"/>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Securities to be Registered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be registered </w:t>
            </w:r>
            <w:r>
              <w:rPr>
                <w:rFonts w:ascii="Times New Roman" w:cs="Times New Roman" w:eastAsia="Times New Roman" w:hAnsi="Times New Roman"/>
                <w:sz w:val="10"/>
                <w:szCs w:val="10"/>
                <w:b w:val="1"/>
                <w:bCs w:val="1"/>
                <w:color w:val="auto"/>
              </w:rPr>
              <w:t>(1)</w:t>
            </w:r>
          </w:p>
        </w:tc>
        <w:tc>
          <w:tcPr>
            <w:tcW w:w="136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8"/>
              </w:rPr>
              <w:t xml:space="preserve">Share </w:t>
            </w:r>
            <w:r>
              <w:rPr>
                <w:rFonts w:ascii="Times New Roman" w:cs="Times New Roman" w:eastAsia="Times New Roman" w:hAnsi="Times New Roman"/>
                <w:sz w:val="10"/>
                <w:szCs w:val="10"/>
                <w:b w:val="1"/>
                <w:bCs w:val="1"/>
                <w:color w:val="auto"/>
                <w:w w:val="98"/>
              </w:rPr>
              <w:t>(2)</w:t>
            </w:r>
          </w:p>
        </w:tc>
        <w:tc>
          <w:tcPr>
            <w:tcW w:w="136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rPr>
              <w:t xml:space="preserve">Offering Price </w:t>
            </w:r>
            <w:r>
              <w:rPr>
                <w:rFonts w:ascii="Times New Roman" w:cs="Times New Roman" w:eastAsia="Times New Roman" w:hAnsi="Times New Roman"/>
                <w:sz w:val="10"/>
                <w:szCs w:val="10"/>
                <w:b w:val="1"/>
                <w:bCs w:val="1"/>
                <w:color w:val="auto"/>
              </w:rPr>
              <w:t>(2)</w:t>
            </w:r>
          </w:p>
        </w:tc>
        <w:tc>
          <w:tcPr>
            <w:tcW w:w="12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 xml:space="preserve">Registration Fee </w:t>
            </w:r>
            <w:r>
              <w:rPr>
                <w:rFonts w:ascii="Times New Roman" w:cs="Times New Roman" w:eastAsia="Times New Roman" w:hAnsi="Times New Roman"/>
                <w:sz w:val="10"/>
                <w:szCs w:val="10"/>
                <w:b w:val="1"/>
                <w:bCs w:val="1"/>
                <w:color w:val="auto"/>
              </w:rPr>
              <w:t>(3)</w:t>
            </w:r>
          </w:p>
        </w:tc>
      </w:tr>
      <w:tr>
        <w:trPr>
          <w:trHeight w:val="118"/>
        </w:trPr>
        <w:tc>
          <w:tcPr>
            <w:tcW w:w="20" w:type="dxa"/>
            <w:vAlign w:val="bottom"/>
            <w:tcBorders>
              <w:bottom w:val="single" w:sz="8" w:color="auto"/>
            </w:tcBorders>
          </w:tcPr>
          <w:p>
            <w:pPr>
              <w:spacing w:after="0"/>
              <w:rPr>
                <w:sz w:val="10"/>
                <w:szCs w:val="10"/>
                <w:color w:val="auto"/>
              </w:rPr>
            </w:pPr>
          </w:p>
        </w:tc>
        <w:tc>
          <w:tcPr>
            <w:tcW w:w="4420" w:type="dxa"/>
            <w:vAlign w:val="bottom"/>
            <w:tcBorders>
              <w:bottom w:val="single" w:sz="8" w:color="auto"/>
              <w:right w:val="single" w:sz="8" w:color="auto"/>
            </w:tcBorders>
          </w:tcPr>
          <w:p>
            <w:pPr>
              <w:spacing w:after="0" w:line="118" w:lineRule="exact"/>
              <w:rPr>
                <w:sz w:val="20"/>
                <w:szCs w:val="20"/>
                <w:color w:val="auto"/>
              </w:rPr>
            </w:pPr>
            <w:r>
              <w:rPr>
                <w:rFonts w:ascii="Times New Roman" w:cs="Times New Roman" w:eastAsia="Times New Roman" w:hAnsi="Times New Roman"/>
                <w:sz w:val="12"/>
                <w:szCs w:val="12"/>
                <w:color w:val="auto"/>
              </w:rPr>
              <w:t>Common Stock, $0.0001 par value per share</w:t>
            </w:r>
          </w:p>
        </w:tc>
        <w:tc>
          <w:tcPr>
            <w:tcW w:w="1020" w:type="dxa"/>
            <w:vAlign w:val="bottom"/>
            <w:tcBorders>
              <w:bottom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color w:val="auto"/>
              </w:rPr>
              <w:t>5,750,000</w:t>
            </w:r>
          </w:p>
        </w:tc>
        <w:tc>
          <w:tcPr>
            <w:tcW w:w="1360" w:type="dxa"/>
            <w:vAlign w:val="bottom"/>
            <w:tcBorders>
              <w:bottom w:val="single" w:sz="8" w:color="auto"/>
              <w:right w:val="single" w:sz="8" w:color="auto"/>
            </w:tcBorders>
          </w:tcPr>
          <w:p>
            <w:pPr>
              <w:jc w:val="center"/>
              <w:ind w:left="22"/>
              <w:spacing w:after="0" w:line="118" w:lineRule="exact"/>
              <w:rPr>
                <w:sz w:val="20"/>
                <w:szCs w:val="20"/>
                <w:color w:val="auto"/>
              </w:rPr>
            </w:pPr>
            <w:r>
              <w:rPr>
                <w:rFonts w:ascii="Times New Roman" w:cs="Times New Roman" w:eastAsia="Times New Roman" w:hAnsi="Times New Roman"/>
                <w:sz w:val="12"/>
                <w:szCs w:val="12"/>
                <w:color w:val="auto"/>
                <w:w w:val="96"/>
              </w:rPr>
              <w:t>$17.00</w:t>
            </w:r>
          </w:p>
        </w:tc>
        <w:tc>
          <w:tcPr>
            <w:tcW w:w="1360" w:type="dxa"/>
            <w:vAlign w:val="bottom"/>
            <w:tcBorders>
              <w:bottom w:val="single" w:sz="8" w:color="auto"/>
              <w:right w:val="single" w:sz="8" w:color="auto"/>
            </w:tcBorders>
          </w:tcPr>
          <w:p>
            <w:pPr>
              <w:jc w:val="center"/>
              <w:ind w:left="22"/>
              <w:spacing w:after="0" w:line="118" w:lineRule="exact"/>
              <w:rPr>
                <w:sz w:val="20"/>
                <w:szCs w:val="20"/>
                <w:color w:val="auto"/>
              </w:rPr>
            </w:pPr>
            <w:r>
              <w:rPr>
                <w:rFonts w:ascii="Times New Roman" w:cs="Times New Roman" w:eastAsia="Times New Roman" w:hAnsi="Times New Roman"/>
                <w:sz w:val="12"/>
                <w:szCs w:val="12"/>
                <w:color w:val="auto"/>
                <w:w w:val="99"/>
              </w:rPr>
              <w:t>$97,750,000</w:t>
            </w:r>
          </w:p>
        </w:tc>
        <w:tc>
          <w:tcPr>
            <w:tcW w:w="1240" w:type="dxa"/>
            <w:vAlign w:val="bottom"/>
            <w:tcBorders>
              <w:bottom w:val="single" w:sz="8" w:color="auto"/>
            </w:tcBorders>
          </w:tcPr>
          <w:p>
            <w:pPr>
              <w:jc w:val="center"/>
              <w:ind w:left="39"/>
              <w:spacing w:after="0" w:line="118" w:lineRule="exact"/>
              <w:rPr>
                <w:sz w:val="20"/>
                <w:szCs w:val="20"/>
                <w:color w:val="auto"/>
              </w:rPr>
            </w:pPr>
            <w:r>
              <w:rPr>
                <w:rFonts w:ascii="Times New Roman" w:cs="Times New Roman" w:eastAsia="Times New Roman" w:hAnsi="Times New Roman"/>
                <w:sz w:val="12"/>
                <w:szCs w:val="12"/>
                <w:color w:val="auto"/>
                <w:w w:val="99"/>
              </w:rPr>
              <w:t>$10,664.53</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1280" w:hanging="360"/>
        <w:spacing w:after="0"/>
        <w:tabs>
          <w:tab w:leader="none" w:pos="1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750,000 additional shares that the underwriters have the option to purchase from the Registrant.</w:t>
      </w:r>
    </w:p>
    <w:p>
      <w:pPr>
        <w:spacing w:after="0" w:line="84"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computing the amount of the registration fee pursuant to Rule 457(a) under the Securities Act of 1933, as amended.</w:t>
      </w:r>
    </w:p>
    <w:p>
      <w:pPr>
        <w:spacing w:after="0" w:line="92" w:lineRule="exact"/>
        <w:rPr>
          <w:rFonts w:ascii="Times New Roman" w:cs="Times New Roman" w:eastAsia="Times New Roman" w:hAnsi="Times New Roman"/>
          <w:sz w:val="12"/>
          <w:szCs w:val="12"/>
          <w:color w:val="auto"/>
        </w:rPr>
      </w:pPr>
    </w:p>
    <w:p>
      <w:pPr>
        <w:ind w:left="1280" w:right="60" w:hanging="360"/>
        <w:spacing w:after="0" w:line="257" w:lineRule="auto"/>
        <w:tabs>
          <w:tab w:leader="none" w:pos="12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pursuant to Rule 457(a) under the Securities Act of 1933, as amended. The Registrant previously paid $11,195.25 in connection with the filing of its Registration Statement of Form S-1 on September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2974340</wp:posOffset>
            </wp:positionH>
            <wp:positionV relativeFrom="paragraph">
              <wp:posOffset>66675</wp:posOffset>
            </wp:positionV>
            <wp:extent cx="11931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109" w:lineRule="exact"/>
        <w:rPr>
          <w:sz w:val="24"/>
          <w:szCs w:val="24"/>
          <w:color w:val="auto"/>
        </w:rPr>
      </w:pPr>
    </w:p>
    <w:p>
      <w:pPr>
        <w:jc w:val="both"/>
        <w:ind w:left="920" w:right="20" w:firstLine="753"/>
        <w:spacing w:after="0" w:line="241"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0340"/>
          </w:cols>
          <w:pgMar w:left="320" w:top="214" w:right="1239" w:bottom="1440"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both"/>
        <w:ind w:left="920" w:right="160"/>
        <w:spacing w:after="0" w:line="277" w:lineRule="auto"/>
        <w:rPr>
          <w:sz w:val="20"/>
          <w:szCs w:val="20"/>
          <w:color w:val="auto"/>
        </w:rPr>
      </w:pPr>
      <w:r>
        <w:rPr>
          <w:rFonts w:ascii="Times New Roman" w:cs="Times New Roman" w:eastAsia="Times New Roman" w:hAnsi="Times New Roman"/>
          <w:sz w:val="15"/>
          <w:szCs w:val="15"/>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8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FF4338"/>
        </w:rPr>
        <w:t>Subject to Completion</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FF4338"/>
        </w:rPr>
        <w:t>Preliminary Prospectus dated October 9, 2020</w:t>
      </w:r>
    </w:p>
    <w:p>
      <w:pPr>
        <w:spacing w:after="0" w:line="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u w:val="single" w:color="auto"/>
          <w:color w:val="auto"/>
        </w:rPr>
        <w:t>PROSPECTUS</w:t>
      </w:r>
    </w:p>
    <w:p>
      <w:pPr>
        <w:spacing w:after="0" w:line="2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8"/>
          <w:szCs w:val="28"/>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127635</wp:posOffset>
            </wp:positionV>
            <wp:extent cx="1544955" cy="336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4955"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37"/>
          <w:szCs w:val="37"/>
          <w:b w:val="1"/>
          <w:bCs w:val="1"/>
          <w:color w:val="auto"/>
        </w:rPr>
        <w:t>Tarsus Pharmaceuticals, Inc.</w:t>
      </w:r>
    </w:p>
    <w:p>
      <w:pPr>
        <w:spacing w:after="0" w:line="11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147320</wp:posOffset>
            </wp:positionV>
            <wp:extent cx="12515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30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This is Tarsus Pharmaceuticals, Inc.’s initial public offering. We are selling 5,000,000 shares of our common stock.</w:t>
      </w:r>
    </w:p>
    <w:p>
      <w:pPr>
        <w:spacing w:after="0" w:line="104" w:lineRule="exact"/>
        <w:rPr>
          <w:sz w:val="20"/>
          <w:szCs w:val="20"/>
          <w:color w:val="auto"/>
        </w:rPr>
      </w:pPr>
    </w:p>
    <w:p>
      <w:pPr>
        <w:ind w:left="920" w:right="380" w:firstLine="753"/>
        <w:spacing w:after="0" w:line="293" w:lineRule="auto"/>
        <w:rPr>
          <w:sz w:val="20"/>
          <w:szCs w:val="20"/>
          <w:color w:val="auto"/>
        </w:rPr>
      </w:pPr>
      <w:r>
        <w:rPr>
          <w:rFonts w:ascii="Times New Roman" w:cs="Times New Roman" w:eastAsia="Times New Roman" w:hAnsi="Times New Roman"/>
          <w:sz w:val="15"/>
          <w:szCs w:val="15"/>
          <w:color w:val="auto"/>
        </w:rPr>
        <w:t>We expect the public offering price to be between $15.00 and $17.00 per share. Currently, no public market exists for the shares of our common stock. We have applied to list our common stock on the Nasdaq Global Market under the symbol “TARS.”</w:t>
      </w:r>
    </w:p>
    <w:p>
      <w:pPr>
        <w:spacing w:after="0" w:line="28"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37" w:lineRule="exact"/>
        <w:rPr>
          <w:sz w:val="20"/>
          <w:szCs w:val="20"/>
          <w:color w:val="auto"/>
        </w:rPr>
      </w:pPr>
    </w:p>
    <w:p>
      <w:pPr>
        <w:ind w:left="920" w:right="300" w:firstLine="753"/>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common stock involves risks that are described in the “</w:t>
      </w:r>
      <w:hyperlink w:anchor="page19">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section beginning on page 16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95250</wp:posOffset>
            </wp:positionV>
            <wp:extent cx="12515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258"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2000" w:type="dxa"/>
            <w:vAlign w:val="bottom"/>
            <w:gridSpan w:val="2"/>
          </w:tcPr>
          <w:p>
            <w:pPr>
              <w:ind w:left="1480"/>
              <w:spacing w:after="0"/>
              <w:rPr>
                <w:sz w:val="20"/>
                <w:szCs w:val="20"/>
                <w:color w:val="auto"/>
              </w:rPr>
            </w:pPr>
            <w:r>
              <w:rPr>
                <w:rFonts w:ascii="Times New Roman" w:cs="Times New Roman" w:eastAsia="Times New Roman" w:hAnsi="Times New Roman"/>
                <w:sz w:val="12"/>
                <w:szCs w:val="12"/>
                <w:b w:val="1"/>
                <w:bCs w:val="1"/>
                <w:color w:val="auto"/>
                <w:w w:val="97"/>
              </w:rPr>
              <w:t>Per Share</w:t>
            </w:r>
          </w:p>
        </w:tc>
        <w:tc>
          <w:tcPr>
            <w:tcW w:w="400" w:type="dxa"/>
            <w:vAlign w:val="bottom"/>
          </w:tcPr>
          <w:p>
            <w:pPr>
              <w:spacing w:after="0"/>
              <w:rPr>
                <w:sz w:val="12"/>
                <w:szCs w:val="12"/>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4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22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Underwriting discounts and commissions </w:t>
            </w:r>
            <w:r>
              <w:rPr>
                <w:rFonts w:ascii="Times New Roman" w:cs="Times New Roman" w:eastAsia="Times New Roman" w:hAnsi="Times New Roman"/>
                <w:sz w:val="13"/>
                <w:szCs w:val="13"/>
                <w:color w:val="auto"/>
              </w:rPr>
              <w:t>(1)</w:t>
            </w:r>
          </w:p>
        </w:tc>
        <w:tc>
          <w:tcPr>
            <w:tcW w:w="2000" w:type="dxa"/>
            <w:vAlign w:val="bottom"/>
            <w:gridSpan w:val="2"/>
          </w:tcPr>
          <w:p>
            <w:pPr>
              <w:ind w:left="14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20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r>
    </w:tbl>
    <w:p>
      <w:pPr>
        <w:spacing w:after="0" w:line="84" w:lineRule="exact"/>
        <w:rPr>
          <w:sz w:val="20"/>
          <w:szCs w:val="20"/>
          <w:color w:val="auto"/>
        </w:rPr>
      </w:pPr>
    </w:p>
    <w:p>
      <w:pPr>
        <w:ind w:left="2300" w:right="1940" w:hanging="250"/>
        <w:spacing w:after="0" w:line="257" w:lineRule="auto"/>
        <w:tabs>
          <w:tab w:leader="none" w:pos="2289"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you to “Underwriting” beginning on page 204 of this prospectus for additional information regarding underwriting compensation.</w:t>
      </w:r>
    </w:p>
    <w:p>
      <w:pPr>
        <w:spacing w:after="0" w:line="67" w:lineRule="exact"/>
        <w:rPr>
          <w:sz w:val="20"/>
          <w:szCs w:val="20"/>
          <w:color w:val="auto"/>
        </w:rPr>
      </w:pPr>
    </w:p>
    <w:p>
      <w:pPr>
        <w:ind w:left="920" w:right="360" w:firstLine="753"/>
        <w:spacing w:after="0" w:line="293" w:lineRule="auto"/>
        <w:rPr>
          <w:sz w:val="20"/>
          <w:szCs w:val="20"/>
          <w:color w:val="auto"/>
        </w:rPr>
      </w:pPr>
      <w:r>
        <w:rPr>
          <w:rFonts w:ascii="Times New Roman" w:cs="Times New Roman" w:eastAsia="Times New Roman" w:hAnsi="Times New Roman"/>
          <w:sz w:val="15"/>
          <w:szCs w:val="15"/>
          <w:color w:val="auto"/>
        </w:rPr>
        <w:t>The underwriters may also exercise their option to purchase up to an additional 750,000 shares of common stock from us, at the public offering price, less the underwriting discounts and commissions, for 30 days after the date of this prospectus.</w:t>
      </w:r>
    </w:p>
    <w:p>
      <w:pPr>
        <w:spacing w:after="0" w:line="36" w:lineRule="exact"/>
        <w:rPr>
          <w:sz w:val="20"/>
          <w:szCs w:val="20"/>
          <w:color w:val="auto"/>
        </w:rPr>
      </w:pPr>
    </w:p>
    <w:p>
      <w:pPr>
        <w:ind w:left="920" w:right="580" w:firstLine="753"/>
        <w:spacing w:after="0" w:line="298"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7" w:lineRule="exact"/>
        <w:rPr>
          <w:sz w:val="20"/>
          <w:szCs w:val="20"/>
          <w:color w:val="auto"/>
        </w:rPr>
      </w:pPr>
    </w:p>
    <w:tbl>
      <w:tblPr>
        <w:tblLayout w:type="fixed"/>
        <w:tblInd w:w="1680" w:type="dxa"/>
        <w:tblCellMar>
          <w:top w:w="0" w:type="dxa"/>
          <w:left w:w="0" w:type="dxa"/>
          <w:bottom w:w="0" w:type="dxa"/>
          <w:right w:w="0" w:type="dxa"/>
        </w:tblCellMar>
      </w:tblPr>
      <w:tr>
        <w:trPr>
          <w:trHeight w:val="199"/>
        </w:trPr>
        <w:tc>
          <w:tcPr>
            <w:tcW w:w="4500" w:type="dxa"/>
            <w:vAlign w:val="bottom"/>
          </w:tcPr>
          <w:p>
            <w:pPr>
              <w:spacing w:after="0"/>
              <w:rPr>
                <w:sz w:val="20"/>
                <w:szCs w:val="20"/>
                <w:color w:val="auto"/>
              </w:rPr>
            </w:pPr>
            <w:r>
              <w:rPr>
                <w:rFonts w:ascii="Times New Roman" w:cs="Times New Roman" w:eastAsia="Times New Roman" w:hAnsi="Times New Roman"/>
                <w:sz w:val="15"/>
                <w:szCs w:val="15"/>
                <w:color w:val="auto"/>
              </w:rPr>
              <w:t>The shares of common stock will be ready for delivery on or about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124460</wp:posOffset>
            </wp:positionV>
            <wp:extent cx="12515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spacing w:after="0" w:line="294" w:lineRule="exact"/>
        <w:rPr>
          <w:sz w:val="20"/>
          <w:szCs w:val="20"/>
          <w:color w:val="auto"/>
        </w:rPr>
      </w:pPr>
    </w:p>
    <w:tbl>
      <w:tblPr>
        <w:tblLayout w:type="fixed"/>
        <w:tblInd w:w="920" w:type="dxa"/>
        <w:tblCellMar>
          <w:top w:w="0" w:type="dxa"/>
          <w:left w:w="0" w:type="dxa"/>
          <w:bottom w:w="0" w:type="dxa"/>
          <w:right w:w="0" w:type="dxa"/>
        </w:tblCellMar>
      </w:tblPr>
      <w:tr>
        <w:trPr>
          <w:trHeight w:val="325"/>
        </w:trPr>
        <w:tc>
          <w:tcPr>
            <w:tcW w:w="16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w w:val="97"/>
              </w:rPr>
              <w:t>BofA Securities</w:t>
            </w:r>
          </w:p>
        </w:tc>
        <w:tc>
          <w:tcPr>
            <w:tcW w:w="2080" w:type="dxa"/>
            <w:vAlign w:val="bottom"/>
          </w:tcPr>
          <w:p>
            <w:pPr>
              <w:spacing w:after="0"/>
              <w:rPr>
                <w:sz w:val="24"/>
                <w:szCs w:val="24"/>
                <w:color w:val="auto"/>
              </w:rPr>
            </w:pPr>
          </w:p>
        </w:tc>
        <w:tc>
          <w:tcPr>
            <w:tcW w:w="1960" w:type="dxa"/>
            <w:vAlign w:val="bottom"/>
          </w:tcPr>
          <w:p>
            <w:pPr>
              <w:ind w:left="460"/>
              <w:spacing w:after="0"/>
              <w:rPr>
                <w:sz w:val="20"/>
                <w:szCs w:val="20"/>
                <w:color w:val="auto"/>
              </w:rPr>
            </w:pPr>
            <w:r>
              <w:rPr>
                <w:rFonts w:ascii="Times New Roman" w:cs="Times New Roman" w:eastAsia="Times New Roman" w:hAnsi="Times New Roman"/>
                <w:sz w:val="25"/>
                <w:szCs w:val="25"/>
                <w:b w:val="1"/>
                <w:bCs w:val="1"/>
                <w:color w:val="auto"/>
              </w:rPr>
              <w:t>Jefferies</w:t>
            </w:r>
          </w:p>
        </w:tc>
        <w:tc>
          <w:tcPr>
            <w:tcW w:w="37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Raymond James</w:t>
            </w:r>
          </w:p>
        </w:tc>
      </w:tr>
      <w:tr>
        <w:trPr>
          <w:trHeight w:val="359"/>
        </w:trPr>
        <w:tc>
          <w:tcPr>
            <w:tcW w:w="164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LifeSci Capital</w:t>
            </w:r>
          </w:p>
        </w:tc>
        <w:tc>
          <w:tcPr>
            <w:tcW w:w="3720" w:type="dxa"/>
            <w:vAlign w:val="bottom"/>
          </w:tcPr>
          <w:p>
            <w:pPr>
              <w:jc w:val="right"/>
              <w:ind w:right="1178"/>
              <w:spacing w:after="0"/>
              <w:rPr>
                <w:sz w:val="20"/>
                <w:szCs w:val="20"/>
                <w:color w:val="auto"/>
              </w:rPr>
            </w:pPr>
            <w:r>
              <w:rPr>
                <w:rFonts w:ascii="Times New Roman" w:cs="Times New Roman" w:eastAsia="Times New Roman" w:hAnsi="Times New Roman"/>
                <w:sz w:val="22"/>
                <w:szCs w:val="22"/>
                <w:b w:val="1"/>
                <w:bCs w:val="1"/>
                <w:color w:val="auto"/>
              </w:rPr>
              <w:t>Ladenburg Thalmann</w:t>
            </w:r>
          </w:p>
        </w:tc>
      </w:tr>
      <w:tr>
        <w:trPr>
          <w:trHeight w:val="190"/>
        </w:trPr>
        <w:tc>
          <w:tcPr>
            <w:tcW w:w="1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3720" w:type="dxa"/>
            <w:vAlign w:val="bottom"/>
          </w:tcPr>
          <w:p>
            <w:pPr>
              <w:spacing w:after="0"/>
              <w:rPr>
                <w:sz w:val="16"/>
                <w:szCs w:val="16"/>
                <w:color w:val="auto"/>
              </w:rPr>
            </w:pPr>
          </w:p>
        </w:tc>
      </w:tr>
      <w:tr>
        <w:trPr>
          <w:trHeight w:val="268"/>
        </w:trPr>
        <w:tc>
          <w:tcPr>
            <w:tcW w:w="1640" w:type="dxa"/>
            <w:vAlign w:val="bottom"/>
          </w:tcPr>
          <w:p>
            <w:pPr>
              <w:spacing w:after="0"/>
              <w:rPr>
                <w:sz w:val="23"/>
                <w:szCs w:val="23"/>
                <w:color w:val="auto"/>
              </w:rPr>
            </w:pPr>
          </w:p>
        </w:tc>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5"/>
                <w:szCs w:val="15"/>
                <w:color w:val="auto"/>
              </w:rPr>
              <w:t>The date of this prospectus is</w:t>
            </w:r>
          </w:p>
        </w:tc>
        <w:tc>
          <w:tcPr>
            <w:tcW w:w="3720" w:type="dxa"/>
            <w:vAlign w:val="bottom"/>
          </w:tcPr>
          <w:p>
            <w:pPr>
              <w:jc w:val="right"/>
              <w:ind w:right="3078"/>
              <w:spacing w:after="0"/>
              <w:rPr>
                <w:sz w:val="20"/>
                <w:szCs w:val="20"/>
                <w:color w:val="auto"/>
              </w:rPr>
            </w:pPr>
            <w:r>
              <w:rPr>
                <w:rFonts w:ascii="Times New Roman" w:cs="Times New Roman" w:eastAsia="Times New Roman" w:hAnsi="Times New Roman"/>
                <w:sz w:val="15"/>
                <w:szCs w:val="15"/>
                <w:color w:val="auto"/>
              </w:rPr>
              <w:t>, 2020.</w:t>
            </w:r>
          </w:p>
        </w:tc>
      </w:tr>
    </w:tbl>
    <w:p>
      <w:pPr>
        <w:sectPr>
          <w:pgSz w:w="11900" w:h="16838" w:orient="portrait"/>
          <w:cols w:equalWidth="0" w:num="1">
            <w:col w:w="10320"/>
          </w:cols>
          <w:pgMar w:left="320" w:top="410" w:right="12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9340" w:type="dxa"/>
            <w:vAlign w:val="bottom"/>
          </w:tcPr>
          <w:p>
            <w:pPr>
              <w:spacing w:after="0"/>
              <w:rPr>
                <w:rFonts w:ascii="Times New Roman" w:cs="Times New Roman" w:eastAsia="Times New Roman" w:hAnsi="Times New Roman"/>
                <w:sz w:val="15"/>
                <w:szCs w:val="15"/>
                <w:b w:val="1"/>
                <w:bCs w:val="1"/>
                <w:u w:val="single" w:color="auto"/>
                <w:color w:val="0000EE"/>
              </w:rPr>
            </w:pPr>
            <w:hyperlink w:anchor="page3">
              <w:r>
                <w:rPr>
                  <w:rFonts w:ascii="Times New Roman" w:cs="Times New Roman" w:eastAsia="Times New Roman" w:hAnsi="Times New Roman"/>
                  <w:sz w:val="15"/>
                  <w:szCs w:val="15"/>
                  <w:b w:val="1"/>
                  <w:bCs w:val="1"/>
                  <w:u w:val="single" w:color="auto"/>
                  <w:color w:val="0000EE"/>
                </w:rPr>
                <w:t>Table of Contents</w:t>
              </w:r>
            </w:hyperlink>
          </w:p>
        </w:tc>
        <w:tc>
          <w:tcPr>
            <w:tcW w:w="940" w:type="dxa"/>
            <w:vAlign w:val="bottom"/>
          </w:tcPr>
          <w:p>
            <w:pPr>
              <w:spacing w:after="0"/>
              <w:rPr>
                <w:sz w:val="17"/>
                <w:szCs w:val="17"/>
                <w:color w:val="auto"/>
              </w:rPr>
            </w:pPr>
          </w:p>
        </w:tc>
      </w:tr>
      <w:tr>
        <w:trPr>
          <w:trHeight w:val="438"/>
        </w:trPr>
        <w:tc>
          <w:tcPr>
            <w:tcW w:w="9340" w:type="dxa"/>
            <w:vAlign w:val="bottom"/>
          </w:tcPr>
          <w:p>
            <w:pPr>
              <w:ind w:left="48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940" w:type="dxa"/>
            <w:vAlign w:val="bottom"/>
          </w:tcPr>
          <w:p>
            <w:pPr>
              <w:spacing w:after="0"/>
              <w:rPr>
                <w:sz w:val="24"/>
                <w:szCs w:val="24"/>
                <w:color w:val="auto"/>
              </w:rPr>
            </w:pPr>
          </w:p>
        </w:tc>
      </w:tr>
      <w:tr>
        <w:trPr>
          <w:trHeight w:val="378"/>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4">
              <w:r>
                <w:rPr>
                  <w:rFonts w:ascii="Times New Roman" w:cs="Times New Roman" w:eastAsia="Times New Roman" w:hAnsi="Times New Roman"/>
                  <w:sz w:val="15"/>
                  <w:szCs w:val="15"/>
                  <w:u w:val="single" w:color="auto"/>
                  <w:color w:val="0000EE"/>
                </w:rPr>
                <w:t>PROSPECTUS SUMMARY</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9">
              <w:r>
                <w:rPr>
                  <w:rFonts w:ascii="Times New Roman" w:cs="Times New Roman" w:eastAsia="Times New Roman" w:hAnsi="Times New Roman"/>
                  <w:sz w:val="15"/>
                  <w:szCs w:val="15"/>
                  <w:u w:val="single" w:color="auto"/>
                  <w:color w:val="0000EE"/>
                </w:rPr>
                <w:t>RISK FACTORS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89">
              <w:r>
                <w:rPr>
                  <w:rFonts w:ascii="Times New Roman" w:cs="Times New Roman" w:eastAsia="Times New Roman" w:hAnsi="Times New Roman"/>
                  <w:sz w:val="15"/>
                  <w:szCs w:val="15"/>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91">
              <w:r>
                <w:rPr>
                  <w:rFonts w:ascii="Times New Roman" w:cs="Times New Roman" w:eastAsia="Times New Roman" w:hAnsi="Times New Roman"/>
                  <w:sz w:val="15"/>
                  <w:szCs w:val="15"/>
                  <w:u w:val="single" w:color="auto"/>
                  <w:color w:val="0000EE"/>
                </w:rPr>
                <w:t>MARKET, INDUSTRY AND OTHER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92">
              <w:r>
                <w:rPr>
                  <w:rFonts w:ascii="Times New Roman" w:cs="Times New Roman" w:eastAsia="Times New Roman" w:hAnsi="Times New Roman"/>
                  <w:sz w:val="15"/>
                  <w:szCs w:val="15"/>
                  <w:u w:val="single" w:color="auto"/>
                  <w:color w:val="0000EE"/>
                </w:rPr>
                <w:t>USE OF PROCEEDS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94">
              <w:r>
                <w:rPr>
                  <w:rFonts w:ascii="Times New Roman" w:cs="Times New Roman" w:eastAsia="Times New Roman" w:hAnsi="Times New Roman"/>
                  <w:sz w:val="15"/>
                  <w:szCs w:val="15"/>
                  <w:u w:val="single" w:color="auto"/>
                  <w:color w:val="0000EE"/>
                </w:rPr>
                <w:t>DIVIDEND POLICY</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95">
              <w:r>
                <w:rPr>
                  <w:rFonts w:ascii="Times New Roman" w:cs="Times New Roman" w:eastAsia="Times New Roman" w:hAnsi="Times New Roman"/>
                  <w:sz w:val="15"/>
                  <w:szCs w:val="15"/>
                  <w:u w:val="single" w:color="auto"/>
                  <w:color w:val="0000EE"/>
                </w:rPr>
                <w:t>CAPITALIZATION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97">
              <w:r>
                <w:rPr>
                  <w:rFonts w:ascii="Times New Roman" w:cs="Times New Roman" w:eastAsia="Times New Roman" w:hAnsi="Times New Roman"/>
                  <w:sz w:val="15"/>
                  <w:szCs w:val="15"/>
                  <w:u w:val="single" w:color="auto"/>
                  <w:color w:val="0000EE"/>
                </w:rPr>
                <w:t>DILUTION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00">
              <w:r>
                <w:rPr>
                  <w:rFonts w:ascii="Times New Roman" w:cs="Times New Roman" w:eastAsia="Times New Roman" w:hAnsi="Times New Roman"/>
                  <w:sz w:val="15"/>
                  <w:szCs w:val="15"/>
                  <w:u w:val="single" w:color="auto"/>
                  <w:color w:val="0000EE"/>
                </w:rPr>
                <w:t>SELECTED FINANCIAL DATA</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02">
              <w:r>
                <w:rPr>
                  <w:rFonts w:ascii="Times New Roman" w:cs="Times New Roman" w:eastAsia="Times New Roman" w:hAnsi="Times New Roman"/>
                  <w:sz w:val="15"/>
                  <w:szCs w:val="15"/>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18">
              <w:r>
                <w:rPr>
                  <w:rFonts w:ascii="Times New Roman" w:cs="Times New Roman" w:eastAsia="Times New Roman" w:hAnsi="Times New Roman"/>
                  <w:sz w:val="15"/>
                  <w:szCs w:val="15"/>
                  <w:u w:val="single" w:color="auto"/>
                  <w:color w:val="0000EE"/>
                </w:rPr>
                <w:t>BUSINESS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70">
              <w:r>
                <w:rPr>
                  <w:rFonts w:ascii="Times New Roman" w:cs="Times New Roman" w:eastAsia="Times New Roman" w:hAnsi="Times New Roman"/>
                  <w:sz w:val="15"/>
                  <w:szCs w:val="15"/>
                  <w:u w:val="single" w:color="auto"/>
                  <w:color w:val="0000EE"/>
                </w:rPr>
                <w:t>MANAGEMENT</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79">
              <w:r>
                <w:rPr>
                  <w:rFonts w:ascii="Times New Roman" w:cs="Times New Roman" w:eastAsia="Times New Roman" w:hAnsi="Times New Roman"/>
                  <w:sz w:val="15"/>
                  <w:szCs w:val="15"/>
                  <w:u w:val="single" w:color="auto"/>
                  <w:color w:val="0000EE"/>
                </w:rPr>
                <w:t>EXECUTIVE COMPENSATION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87">
              <w:r>
                <w:rPr>
                  <w:rFonts w:ascii="Times New Roman" w:cs="Times New Roman" w:eastAsia="Times New Roman" w:hAnsi="Times New Roman"/>
                  <w:sz w:val="15"/>
                  <w:szCs w:val="15"/>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92">
              <w:r>
                <w:rPr>
                  <w:rFonts w:ascii="Times New Roman" w:cs="Times New Roman" w:eastAsia="Times New Roman" w:hAnsi="Times New Roman"/>
                  <w:sz w:val="15"/>
                  <w:szCs w:val="15"/>
                  <w:u w:val="single" w:color="auto"/>
                  <w:color w:val="0000EE"/>
                </w:rPr>
                <w:t>PRINCIPAL STOCKHOLDERS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195">
              <w:r>
                <w:rPr>
                  <w:rFonts w:ascii="Times New Roman" w:cs="Times New Roman" w:eastAsia="Times New Roman" w:hAnsi="Times New Roman"/>
                  <w:sz w:val="15"/>
                  <w:szCs w:val="15"/>
                  <w:u w:val="single" w:color="auto"/>
                  <w:color w:val="0000EE"/>
                </w:rPr>
                <w:t>DESCRIPTION OF CAPITAL STOCK</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00">
              <w:r>
                <w:rPr>
                  <w:rFonts w:ascii="Times New Roman" w:cs="Times New Roman" w:eastAsia="Times New Roman" w:hAnsi="Times New Roman"/>
                  <w:sz w:val="15"/>
                  <w:szCs w:val="15"/>
                  <w:u w:val="single" w:color="auto"/>
                  <w:color w:val="0000EE"/>
                </w:rPr>
                <w:t>SHARES ELIGIBLE FOR FUTURE SALE</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03">
              <w:r>
                <w:rPr>
                  <w:rFonts w:ascii="Times New Roman" w:cs="Times New Roman" w:eastAsia="Times New Roman" w:hAnsi="Times New Roman"/>
                  <w:sz w:val="15"/>
                  <w:szCs w:val="15"/>
                  <w:u w:val="single" w:color="auto"/>
                  <w:color w:val="0000EE"/>
                </w:rPr>
                <w:t>MATERIAL U.S. FEDERAL INCOME TAX CONSEQUENCES FOR NON-U.S. HOLDERS OF OUR COMMON STOCK</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07">
              <w:r>
                <w:rPr>
                  <w:rFonts w:ascii="Times New Roman" w:cs="Times New Roman" w:eastAsia="Times New Roman" w:hAnsi="Times New Roman"/>
                  <w:sz w:val="15"/>
                  <w:szCs w:val="15"/>
                  <w:u w:val="single" w:color="auto"/>
                  <w:color w:val="0000EE"/>
                </w:rPr>
                <w:t>UNDERWRITING</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15">
              <w:r>
                <w:rPr>
                  <w:rFonts w:ascii="Times New Roman" w:cs="Times New Roman" w:eastAsia="Times New Roman" w:hAnsi="Times New Roman"/>
                  <w:sz w:val="15"/>
                  <w:szCs w:val="15"/>
                  <w:u w:val="single" w:color="auto"/>
                  <w:color w:val="0000EE"/>
                </w:rPr>
                <w:t>LEGAL MATTERS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15">
              <w:r>
                <w:rPr>
                  <w:rFonts w:ascii="Times New Roman" w:cs="Times New Roman" w:eastAsia="Times New Roman" w:hAnsi="Times New Roman"/>
                  <w:sz w:val="15"/>
                  <w:szCs w:val="15"/>
                  <w:u w:val="single" w:color="auto"/>
                  <w:color w:val="0000EE"/>
                </w:rPr>
                <w:t>EXPERTS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184"/>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15">
              <w:r>
                <w:rPr>
                  <w:rFonts w:ascii="Times New Roman" w:cs="Times New Roman" w:eastAsia="Times New Roman" w:hAnsi="Times New Roman"/>
                  <w:sz w:val="15"/>
                  <w:szCs w:val="15"/>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199"/>
        </w:trPr>
        <w:tc>
          <w:tcPr>
            <w:tcW w:w="9340" w:type="dxa"/>
            <w:vAlign w:val="bottom"/>
          </w:tcPr>
          <w:p>
            <w:pPr>
              <w:ind w:left="920"/>
              <w:spacing w:after="0"/>
              <w:rPr>
                <w:rFonts w:ascii="Times New Roman" w:cs="Times New Roman" w:eastAsia="Times New Roman" w:hAnsi="Times New Roman"/>
                <w:sz w:val="15"/>
                <w:szCs w:val="15"/>
                <w:u w:val="single" w:color="auto"/>
                <w:color w:val="0000EE"/>
              </w:rPr>
            </w:pPr>
            <w:hyperlink w:anchor="page216">
              <w:r>
                <w:rPr>
                  <w:rFonts w:ascii="Times New Roman" w:cs="Times New Roman" w:eastAsia="Times New Roman" w:hAnsi="Times New Roman"/>
                  <w:sz w:val="15"/>
                  <w:szCs w:val="15"/>
                  <w:u w:val="single" w:color="auto"/>
                  <w:color w:val="0000EE"/>
                </w:rPr>
                <w:t>INDEX TO FINANCIAL STATEMENTS</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F-1</w:t>
            </w:r>
          </w:p>
        </w:tc>
      </w:tr>
    </w:tbl>
    <w:p>
      <w:pPr>
        <w:spacing w:after="0" w:line="170" w:lineRule="exact"/>
        <w:rPr>
          <w:sz w:val="20"/>
          <w:szCs w:val="20"/>
          <w:color w:val="auto"/>
        </w:rPr>
      </w:pPr>
    </w:p>
    <w:p>
      <w:pPr>
        <w:ind w:left="920" w:firstLine="753"/>
        <w:spacing w:after="0" w:line="263" w:lineRule="auto"/>
        <w:rPr>
          <w:sz w:val="20"/>
          <w:szCs w:val="20"/>
          <w:color w:val="auto"/>
        </w:rPr>
      </w:pPr>
      <w:r>
        <w:rPr>
          <w:rFonts w:ascii="Times New Roman" w:cs="Times New Roman" w:eastAsia="Times New Roman" w:hAnsi="Times New Roman"/>
          <w:sz w:val="15"/>
          <w:szCs w:val="15"/>
          <w:color w:val="auto"/>
        </w:rPr>
        <w:t>Neither we nor the underwriters have authorized anyone to provide any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342"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300"/>
          </w:cols>
          <w:pgMar w:left="320" w:top="410" w:right="1279" w:bottom="1440" w:gutter="0" w:footer="0" w:header="0"/>
        </w:sectPr>
      </w:pPr>
    </w:p>
    <w:bookmarkStart w:id="3" w:name="page4"/>
    <w:bookmarkEnd w:id="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3995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9160" cy="39954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96" w:lineRule="exact"/>
        <w:rPr>
          <w:sz w:val="20"/>
          <w:szCs w:val="20"/>
          <w:color w:val="auto"/>
        </w:rPr>
      </w:pPr>
    </w:p>
    <w:p>
      <w:pPr>
        <w:ind w:left="1080" w:right="20" w:firstLine="727"/>
        <w:spacing w:after="0" w:line="265"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“Business,” “Management’s Discussion and Analysis of Financial Condition and Results of Operations” and our financial statements and related notes included elsewhere in this prospectus before making an investment decision. In this prospectus, unless context requires otherwise, references to “we,” “us,” “our,” “Tarsus,” or “the Company” refer to Tarsus Pharmaceuticals, Inc.</w:t>
      </w:r>
    </w:p>
    <w:p>
      <w:pPr>
        <w:spacing w:after="0" w:line="1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0" w:lineRule="exact"/>
        <w:rPr>
          <w:sz w:val="20"/>
          <w:szCs w:val="20"/>
          <w:color w:val="auto"/>
        </w:rPr>
      </w:pPr>
    </w:p>
    <w:p>
      <w:pPr>
        <w:ind w:left="1080" w:firstLine="727"/>
        <w:spacing w:after="0" w:line="259" w:lineRule="auto"/>
        <w:rPr>
          <w:sz w:val="20"/>
          <w:szCs w:val="20"/>
          <w:color w:val="auto"/>
        </w:rPr>
      </w:pPr>
      <w:r>
        <w:rPr>
          <w:rFonts w:ascii="Times New Roman" w:cs="Times New Roman" w:eastAsia="Times New Roman" w:hAnsi="Times New Roman"/>
          <w:sz w:val="15"/>
          <w:szCs w:val="15"/>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 new drug application, or NDA, to the Food and Drug Administration, or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59" w:lineRule="exact"/>
        <w:rPr>
          <w:sz w:val="20"/>
          <w:szCs w:val="20"/>
          <w:color w:val="auto"/>
        </w:rPr>
      </w:pPr>
    </w:p>
    <w:p>
      <w:pPr>
        <w:ind w:left="1080" w:right="40" w:firstLine="727"/>
        <w:spacing w:after="0" w:line="265" w:lineRule="auto"/>
        <w:rPr>
          <w:sz w:val="20"/>
          <w:szCs w:val="20"/>
          <w:color w:val="auto"/>
        </w:rPr>
      </w:pPr>
      <w:r>
        <w:rPr>
          <w:rFonts w:ascii="Times New Roman" w:cs="Times New Roman" w:eastAsia="Times New Roman" w:hAnsi="Times New Roman"/>
          <w:sz w:val="15"/>
          <w:szCs w:val="15"/>
          <w:color w:val="auto"/>
        </w:rPr>
        <w:t>Our current therapeutic strategy is focused on the clinical development of, for the first time in human medicine, the novel drug, lotilaner, which is designed to paralyze and eradicate mites and other parasites through the inhibition of parasite-specific g-aminobutyric acid-gated chloride channels, or GABA-Cl channels. We are advancing our pipeline to address a number of diseases across therapeutic categories including eye care, dermatology and other diseases with high, unmet needs. These diseases include Demodex blepharitis, Meibomian Gland Disease, or MGD, rosacea, Lyme disease and malaria.</w:t>
      </w:r>
    </w:p>
    <w:p>
      <w:pPr>
        <w:spacing w:after="0" w:line="200" w:lineRule="exact"/>
        <w:rPr>
          <w:sz w:val="20"/>
          <w:szCs w:val="20"/>
          <w:color w:val="auto"/>
        </w:rPr>
      </w:pPr>
    </w:p>
    <w:p>
      <w:pPr>
        <w:spacing w:after="0" w:line="3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- 1 -</w:t>
      </w:r>
    </w:p>
    <w:p>
      <w:pPr>
        <w:sectPr>
          <w:pgSz w:w="11900" w:h="16838" w:orient="portrait"/>
          <w:cols w:equalWidth="0" w:num="1">
            <w:col w:w="10180"/>
          </w:cols>
          <w:pgMar w:left="320" w:top="410" w:right="1399" w:bottom="1440" w:gutter="0" w:footer="0" w:header="0"/>
        </w:sectPr>
      </w:pPr>
    </w:p>
    <w:bookmarkStart w:id="4" w:name="page5"/>
    <w:bookmarkEnd w:id="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4983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79160" cy="498348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color w:val="auto"/>
        </w:rPr>
        <w:t>The following pipeline chart presents our wholly-owned product candidates and clinical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40" w:hanging="364"/>
        <w:spacing w:after="0"/>
        <w:tabs>
          <w:tab w:leader="none" w:pos="1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Anticipated milestones are subject to the impact of the ongoing COVID-19 pandemic on our business and those of our partners.</w:t>
      </w:r>
    </w:p>
    <w:p>
      <w:pPr>
        <w:spacing w:after="0" w:line="3" w:lineRule="exact"/>
        <w:rPr>
          <w:sz w:val="20"/>
          <w:szCs w:val="20"/>
          <w:color w:val="auto"/>
        </w:rPr>
      </w:pPr>
    </w:p>
    <w:p>
      <w:pPr>
        <w:ind w:left="1440" w:right="460" w:hanging="364"/>
        <w:spacing w:after="0" w:line="220" w:lineRule="auto"/>
        <w:tabs>
          <w:tab w:leader="none" w:pos="14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1440" w:right="240" w:hanging="364"/>
        <w:spacing w:after="0" w:line="220" w:lineRule="auto"/>
        <w:tabs>
          <w:tab w:leader="none" w:pos="14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intend to leverage all preclinical, Phase 2 and Phase 3 data from the TP-03 Demodex blepharitis program. We intend to conduct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bioequivalence studies with our preservative-free formulation to compare it to the current preserved formulation of TP-03 in Demodex blepharitis after NDA submission and file a supplement.</w:t>
      </w:r>
    </w:p>
    <w:p>
      <w:pPr>
        <w:spacing w:after="0" w:line="1" w:lineRule="exact"/>
        <w:rPr>
          <w:sz w:val="20"/>
          <w:szCs w:val="20"/>
          <w:color w:val="auto"/>
        </w:rPr>
      </w:pPr>
    </w:p>
    <w:p>
      <w:pPr>
        <w:ind w:left="1440" w:right="100" w:hanging="364"/>
        <w:spacing w:after="0" w:line="236" w:lineRule="auto"/>
        <w:tabs>
          <w:tab w:leader="none" w:pos="14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w:t>
      </w:r>
    </w:p>
    <w:p>
      <w:pPr>
        <w:spacing w:after="0" w:line="95" w:lineRule="exact"/>
        <w:rPr>
          <w:sz w:val="20"/>
          <w:szCs w:val="20"/>
          <w:color w:val="auto"/>
        </w:rPr>
      </w:pPr>
    </w:p>
    <w:p>
      <w:pPr>
        <w:ind w:left="1440" w:right="40" w:hanging="364"/>
        <w:spacing w:after="0" w:line="228" w:lineRule="auto"/>
        <w:tabs>
          <w:tab w:leader="none" w:pos="1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1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Blepharitis: A Significant, Underserved and Underdiagnosed Market</w:t>
      </w:r>
    </w:p>
    <w:p>
      <w:pPr>
        <w:spacing w:after="0" w:line="200" w:lineRule="exact"/>
        <w:rPr>
          <w:sz w:val="20"/>
          <w:szCs w:val="20"/>
          <w:color w:val="auto"/>
        </w:rPr>
      </w:pPr>
    </w:p>
    <w:p>
      <w:pPr>
        <w:ind w:left="1080" w:firstLine="727"/>
        <w:spacing w:after="0" w:line="260" w:lineRule="auto"/>
        <w:rPr>
          <w:sz w:val="20"/>
          <w:szCs w:val="20"/>
          <w:color w:val="auto"/>
        </w:rPr>
      </w:pPr>
      <w:r>
        <w:rPr>
          <w:rFonts w:ascii="Times New Roman" w:cs="Times New Roman" w:eastAsia="Times New Roman" w:hAnsi="Times New Roman"/>
          <w:sz w:val="15"/>
          <w:szCs w:val="15"/>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higher. In addition, there is growing awareness among eye care professionals, or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w:t>
      </w: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- 2 -</w:t>
      </w:r>
    </w:p>
    <w:p>
      <w:pPr>
        <w:sectPr>
          <w:pgSz w:w="11900" w:h="16838" w:orient="portrait"/>
          <w:cols w:equalWidth="0" w:num="1">
            <w:col w:w="10160"/>
          </w:cols>
          <w:pgMar w:left="320" w:top="410" w:right="141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3643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79160" cy="36436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80"/>
        <w:spacing w:after="0" w:line="293" w:lineRule="auto"/>
        <w:rPr>
          <w:sz w:val="20"/>
          <w:szCs w:val="20"/>
          <w:color w:val="auto"/>
        </w:rPr>
      </w:pPr>
      <w:r>
        <w:rPr>
          <w:rFonts w:ascii="Times New Roman" w:cs="Times New Roman" w:eastAsia="Times New Roman" w:hAnsi="Times New Roman"/>
          <w:sz w:val="15"/>
          <w:szCs w:val="15"/>
          <w:color w:val="auto"/>
        </w:rPr>
        <w:t>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32" w:lineRule="exact"/>
        <w:rPr>
          <w:sz w:val="20"/>
          <w:szCs w:val="20"/>
          <w:color w:val="auto"/>
        </w:rPr>
      </w:pPr>
    </w:p>
    <w:p>
      <w:pPr>
        <w:ind w:left="1080" w:right="40" w:firstLine="727"/>
        <w:spacing w:after="0" w:line="262" w:lineRule="auto"/>
        <w:rPr>
          <w:sz w:val="20"/>
          <w:szCs w:val="20"/>
          <w:color w:val="auto"/>
        </w:rPr>
      </w:pPr>
      <w:r>
        <w:rPr>
          <w:rFonts w:ascii="Times New Roman" w:cs="Times New Roman" w:eastAsia="Times New Roman" w:hAnsi="Times New Roman"/>
          <w:sz w:val="15"/>
          <w:szCs w:val="15"/>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International Classification of Diseases, Tenth Revision, Clinical Modification, or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58" w:lineRule="exact"/>
        <w:rPr>
          <w:sz w:val="20"/>
          <w:szCs w:val="20"/>
          <w:color w:val="auto"/>
        </w:rPr>
      </w:pPr>
    </w:p>
    <w:p>
      <w:pPr>
        <w:ind w:left="1080" w:firstLine="727"/>
        <w:spacing w:after="0" w:line="265" w:lineRule="auto"/>
        <w:rPr>
          <w:sz w:val="20"/>
          <w:szCs w:val="20"/>
          <w:color w:val="auto"/>
        </w:rPr>
      </w:pPr>
      <w:r>
        <w:rPr>
          <w:rFonts w:ascii="Times New Roman" w:cs="Times New Roman" w:eastAsia="Times New Roman" w:hAnsi="Times New Roman"/>
          <w:sz w:val="15"/>
          <w:szCs w:val="15"/>
          <w:color w:val="auto"/>
        </w:rPr>
        <w:t>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54" w:lineRule="exact"/>
        <w:rPr>
          <w:sz w:val="20"/>
          <w:szCs w:val="20"/>
          <w:color w:val="auto"/>
        </w:rPr>
      </w:pPr>
    </w:p>
    <w:p>
      <w:pPr>
        <w:ind w:left="1080" w:right="60" w:firstLine="727"/>
        <w:spacing w:after="0" w:line="264" w:lineRule="auto"/>
        <w:rPr>
          <w:sz w:val="20"/>
          <w:szCs w:val="20"/>
          <w:color w:val="auto"/>
        </w:rPr>
      </w:pPr>
      <w:r>
        <w:rPr>
          <w:rFonts w:ascii="Times New Roman" w:cs="Times New Roman" w:eastAsia="Times New Roman" w:hAnsi="Times New Roman"/>
          <w:sz w:val="15"/>
          <w:szCs w:val="15"/>
          <w:color w:val="auto"/>
        </w:rPr>
        <w:t>We have conducted market research studies that, although based on a small sample size and conducted internally, lead us to believe the blepharitis market has the potential to be analogous to other ophthalmic markets that grew significantly once there was a product to address the large, latent demand for an effective therapy, such as dry eye. Blepharitis already has 2.1 million diagnoses per year with blepharitis classified per the ICD-10-CM, despite no approved therapies to help with market awareness, but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4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Our Approach: TP-03</w:t>
      </w:r>
    </w:p>
    <w:p>
      <w:pPr>
        <w:spacing w:after="0" w:line="200" w:lineRule="exact"/>
        <w:rPr>
          <w:sz w:val="20"/>
          <w:szCs w:val="20"/>
          <w:color w:val="auto"/>
        </w:rPr>
      </w:pPr>
    </w:p>
    <w:p>
      <w:pPr>
        <w:ind w:left="1080" w:right="180" w:firstLine="727"/>
        <w:spacing w:after="0" w:line="275" w:lineRule="auto"/>
        <w:rPr>
          <w:sz w:val="20"/>
          <w:szCs w:val="20"/>
          <w:color w:val="auto"/>
        </w:rPr>
      </w:pPr>
      <w:r>
        <w:rPr>
          <w:rFonts w:ascii="Times New Roman" w:cs="Times New Roman" w:eastAsia="Times New Roman" w:hAnsi="Times New Roman"/>
          <w:sz w:val="15"/>
          <w:szCs w:val="15"/>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- 3 -</w:t>
      </w:r>
    </w:p>
    <w:p>
      <w:pPr>
        <w:sectPr>
          <w:pgSz w:w="11900" w:h="16838" w:orient="portrait"/>
          <w:cols w:equalWidth="0" w:num="1">
            <w:col w:w="10160"/>
          </w:cols>
          <w:pgMar w:left="320" w:top="410" w:right="141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078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9160" cy="50787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The following figure provides the characteristics of TP-03 in the Saturn-1 Phase 2b/3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80" w:firstLine="727"/>
        <w:spacing w:after="0" w:line="258" w:lineRule="auto"/>
        <w:rPr>
          <w:sz w:val="20"/>
          <w:szCs w:val="20"/>
          <w:color w:val="auto"/>
        </w:rPr>
      </w:pPr>
      <w:r>
        <w:rPr>
          <w:rFonts w:ascii="Times New Roman" w:cs="Times New Roman" w:eastAsia="Times New Roman" w:hAnsi="Times New Roman"/>
          <w:sz w:val="15"/>
          <w:szCs w:val="15"/>
          <w:color w:val="auto"/>
        </w:rPr>
        <w:t xml:space="preserve">We have completed four Phase 2 clinical trials to date, along with one additional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laurolkonium chloride, or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00" w:lineRule="exact"/>
        <w:rPr>
          <w:sz w:val="20"/>
          <w:szCs w:val="20"/>
          <w:color w:val="auto"/>
        </w:rPr>
      </w:pPr>
    </w:p>
    <w:p>
      <w:pPr>
        <w:spacing w:after="0" w:line="3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- 4 -</w:t>
      </w:r>
    </w:p>
    <w:p>
      <w:pPr>
        <w:sectPr>
          <w:pgSz w:w="11900" w:h="16838" w:orient="portrait"/>
          <w:cols w:equalWidth="0" w:num="1">
            <w:col w:w="10160"/>
          </w:cols>
          <w:pgMar w:left="320" w:top="410" w:right="141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737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9160" cy="573722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The following figure provides a summary of our completed and planned clinical investigations evaluating TP-03 for Demodex</w:t>
      </w:r>
    </w:p>
    <w:p>
      <w:pPr>
        <w:spacing w:after="0" w:line="2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blepharitis: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440" w:right="60" w:hanging="364"/>
        <w:spacing w:after="0" w:line="228" w:lineRule="auto"/>
        <w:tabs>
          <w:tab w:leader="none" w:pos="1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1440" w:hanging="364"/>
        <w:spacing w:after="0" w:line="222" w:lineRule="auto"/>
        <w:tabs>
          <w:tab w:leader="none" w:pos="1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Primary endpoint in Io, Europa, Saturn-1 and intended in Saturn-2 is collarette cure rate based on collarette grade.</w:t>
      </w:r>
    </w:p>
    <w:p>
      <w:pPr>
        <w:ind w:left="1440" w:hanging="364"/>
        <w:spacing w:after="0" w:line="221" w:lineRule="auto"/>
        <w:tabs>
          <w:tab w:leader="none" w:pos="1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our IND application, a no-objection letter was received from the FDA regarding the trial design of the Saturn-1 trial.</w:t>
      </w:r>
    </w:p>
    <w:p>
      <w:pPr>
        <w:ind w:left="1440" w:right="280" w:hanging="364"/>
        <w:spacing w:after="0" w:line="236" w:lineRule="auto"/>
        <w:tabs>
          <w:tab w:leader="none" w:pos="1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Saturn-2 design is highly comparable to that of Saturn-1 with respect to which the FDA raised no-objection and we expect to update the IND protocol prior to commencing Saturn-2.</w:t>
      </w:r>
    </w:p>
    <w:p>
      <w:pPr>
        <w:spacing w:after="0" w:line="158" w:lineRule="exact"/>
        <w:rPr>
          <w:sz w:val="20"/>
          <w:szCs w:val="20"/>
          <w:color w:val="auto"/>
        </w:rPr>
      </w:pPr>
    </w:p>
    <w:p>
      <w:pPr>
        <w:ind w:left="1080" w:firstLine="727"/>
        <w:spacing w:after="0" w:line="261" w:lineRule="auto"/>
        <w:rPr>
          <w:sz w:val="20"/>
          <w:szCs w:val="20"/>
          <w:color w:val="auto"/>
        </w:rPr>
      </w:pPr>
      <w:r>
        <w:rPr>
          <w:rFonts w:ascii="Times New Roman" w:cs="Times New Roman" w:eastAsia="Times New Roman" w:hAnsi="Times New Roman"/>
          <w:sz w:val="15"/>
          <w:szCs w:val="15"/>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56" w:lineRule="exact"/>
        <w:rPr>
          <w:sz w:val="20"/>
          <w:szCs w:val="20"/>
          <w:color w:val="auto"/>
        </w:rPr>
      </w:pPr>
    </w:p>
    <w:p>
      <w:pPr>
        <w:jc w:val="both"/>
        <w:ind w:left="1080" w:right="40" w:firstLine="727"/>
        <w:spacing w:after="0" w:line="275" w:lineRule="auto"/>
        <w:rPr>
          <w:sz w:val="20"/>
          <w:szCs w:val="20"/>
          <w:color w:val="auto"/>
        </w:rPr>
      </w:pPr>
      <w:r>
        <w:rPr>
          <w:rFonts w:ascii="Times New Roman" w:cs="Times New Roman" w:eastAsia="Times New Roman" w:hAnsi="Times New Roman"/>
          <w:sz w:val="15"/>
          <w:szCs w:val="15"/>
          <w:color w:val="auto"/>
        </w:rPr>
        <w:t>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w:t>
      </w:r>
    </w:p>
    <w:p>
      <w:pPr>
        <w:spacing w:after="0" w:line="200" w:lineRule="exact"/>
        <w:rPr>
          <w:sz w:val="20"/>
          <w:szCs w:val="20"/>
          <w:color w:val="auto"/>
        </w:rPr>
      </w:pPr>
    </w:p>
    <w:p>
      <w:pPr>
        <w:spacing w:after="0" w:line="3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- 5 -</w:t>
      </w:r>
    </w:p>
    <w:p>
      <w:pPr>
        <w:sectPr>
          <w:pgSz w:w="11900" w:h="16838" w:orient="portrait"/>
          <w:cols w:equalWidth="0" w:num="1">
            <w:col w:w="10140"/>
          </w:cols>
          <w:pgMar w:left="320" w:top="410" w:right="143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4719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79160" cy="47199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80"/>
        <w:spacing w:after="0" w:line="268" w:lineRule="auto"/>
        <w:rPr>
          <w:sz w:val="20"/>
          <w:szCs w:val="20"/>
          <w:color w:val="auto"/>
        </w:rPr>
      </w:pPr>
      <w:r>
        <w:rPr>
          <w:rFonts w:ascii="Times New Roman" w:cs="Times New Roman" w:eastAsia="Times New Roman" w:hAnsi="Times New Roman"/>
          <w:sz w:val="15"/>
          <w:szCs w:val="15"/>
          <w:color w:val="auto"/>
        </w:rPr>
        <w:t xml:space="preserve">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is known to infest the meibomian gland, and clinical signs of MGD have been shown to be correlated with infestation of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While dry eye is a multi-factorial disease, TP-03 is designed to relieve some of the key elements of MGD by virtue of causing the death of the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mites.</w:t>
      </w:r>
    </w:p>
    <w:p>
      <w:pPr>
        <w:spacing w:after="0" w:line="117" w:lineRule="exact"/>
        <w:rPr>
          <w:sz w:val="20"/>
          <w:szCs w:val="20"/>
          <w:color w:val="auto"/>
        </w:rPr>
      </w:pPr>
    </w:p>
    <w:p>
      <w:pPr>
        <w:jc w:val="both"/>
        <w:ind w:left="1080" w:right="100" w:firstLine="727"/>
        <w:spacing w:after="0" w:line="275" w:lineRule="auto"/>
        <w:rPr>
          <w:sz w:val="20"/>
          <w:szCs w:val="20"/>
          <w:color w:val="auto"/>
        </w:rPr>
      </w:pPr>
      <w:r>
        <w:rPr>
          <w:rFonts w:ascii="Times New Roman" w:cs="Times New Roman" w:eastAsia="Times New Roman" w:hAnsi="Times New Roman"/>
          <w:sz w:val="15"/>
          <w:szCs w:val="15"/>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22" w:lineRule="exact"/>
        <w:rPr>
          <w:sz w:val="20"/>
          <w:szCs w:val="20"/>
          <w:color w:val="auto"/>
        </w:rPr>
      </w:pPr>
    </w:p>
    <w:p>
      <w:pPr>
        <w:ind w:left="1080" w:right="80" w:firstLine="727"/>
        <w:spacing w:after="0" w:line="265" w:lineRule="auto"/>
        <w:rPr>
          <w:sz w:val="20"/>
          <w:szCs w:val="20"/>
          <w:color w:val="auto"/>
        </w:rPr>
      </w:pPr>
      <w:r>
        <w:rPr>
          <w:rFonts w:ascii="Times New Roman" w:cs="Times New Roman" w:eastAsia="Times New Roman" w:hAnsi="Times New Roman"/>
          <w:sz w:val="15"/>
          <w:szCs w:val="15"/>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20" w:lineRule="exact"/>
        <w:rPr>
          <w:sz w:val="20"/>
          <w:szCs w:val="20"/>
          <w:color w:val="auto"/>
        </w:rPr>
      </w:pPr>
    </w:p>
    <w:p>
      <w:pPr>
        <w:ind w:left="1080" w:right="20" w:firstLine="727"/>
        <w:spacing w:after="0" w:line="259" w:lineRule="auto"/>
        <w:rPr>
          <w:sz w:val="20"/>
          <w:szCs w:val="20"/>
          <w:color w:val="auto"/>
        </w:rPr>
      </w:pPr>
      <w:r>
        <w:rPr>
          <w:rFonts w:ascii="Times New Roman" w:cs="Times New Roman" w:eastAsia="Times New Roman" w:hAnsi="Times New Roman"/>
          <w:sz w:val="15"/>
          <w:szCs w:val="15"/>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Similar to its mechanism against Demodex, lotilaner, the API in TP-05 and an isoxazoline endectocide, is a potent non-competitive antagonist of tick and mosquito GABA-Cl channels. Lotilaner is designed to eradicate ticks and mosquitoes by selectively inhibiting GABA-Cl channels, causing their paralysis and eventual death. We are developing TP-05 as an oral formulation that is designed as a prophylactic drug against Lyme disease to eradicate the tick before it can transmit the Borrelia bacteria. Further, we are developing TP-05 as an oral formulation that is designed to cause the death or incapacity of a mosquito before it can infect another person and which is administered to a population. We believe TP-05 has the potential to significantly reduce malaria transmission through reducing the lifespan of mosquitos that transmit malaria. This may in turn provide herd protection against the spread of malaria. For instance, a modeling study on mosquito populations published in the Proceedings of the National Academy of Sciences of the United States of America in 2018, or the PNAS Study, indicated that an annual administration of an isoxazoline endectocide for only 30% population coverage is predicted to give a 66% reduction in malaria cases, as compared to no intervention. TP-05 is not intended to treat malaria, but to limit its transmission among a population. We plan to seek FDA feedback in a pre-IND meeting and submit an IND and initiate a Phase 1/2 trial of TP-05 for Lyme disease in 2021. For malaria, we may conduct the Phase 1/2 trial outside of the United States.</w:t>
      </w:r>
    </w:p>
    <w:p>
      <w:pPr>
        <w:spacing w:after="0" w:line="1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Our Team</w:t>
      </w:r>
    </w:p>
    <w:p>
      <w:pPr>
        <w:spacing w:after="0" w:line="177" w:lineRule="exact"/>
        <w:rPr>
          <w:sz w:val="20"/>
          <w:szCs w:val="20"/>
          <w:color w:val="auto"/>
        </w:rPr>
      </w:pPr>
    </w:p>
    <w:p>
      <w:pPr>
        <w:ind w:left="1080" w:right="80" w:firstLine="727"/>
        <w:spacing w:after="0" w:line="262" w:lineRule="auto"/>
        <w:rPr>
          <w:sz w:val="20"/>
          <w:szCs w:val="20"/>
          <w:color w:val="auto"/>
        </w:rPr>
      </w:pPr>
      <w:r>
        <w:rPr>
          <w:rFonts w:ascii="Times New Roman" w:cs="Times New Roman" w:eastAsia="Times New Roman" w:hAnsi="Times New Roman"/>
          <w:sz w:val="15"/>
          <w:szCs w:val="15"/>
          <w:color w:val="auto"/>
        </w:rPr>
        <w:t>We have assembled a team with extensive experience developing and commercializing leading ophthalmic products and therapies. Members of our management team and board of directors have founded and led several biopharmaceutical companies including those in the ophthalmic care space, such as Oyster Point Pharma, Inc., or Oyster Point Pharma (NASDAQ: OYST), and Oculeve Inc., or Oculeve, and have been pivotal in the development and commercialization of various leading ophthalmic products, including the dry eye therapy, Restasis. We intend to leverage this expertise and experience to rapidly pursue the development of TP-03 and any other future product candidates that we may identify and develop. We are supported by healthcare dedicated financial investors, which include Aperture Venture Partners, Flying L Ventures, Horowitz Limited Partnership, Frazier Life Sciences, Visionary Ventures and Vivo Capital.</w:t>
      </w:r>
    </w:p>
    <w:p>
      <w:pPr>
        <w:spacing w:after="0" w:line="200" w:lineRule="exact"/>
        <w:rPr>
          <w:sz w:val="20"/>
          <w:szCs w:val="20"/>
          <w:color w:val="auto"/>
        </w:rPr>
      </w:pPr>
    </w:p>
    <w:p>
      <w:pPr>
        <w:spacing w:after="0" w:line="3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- 6 -</w:t>
      </w:r>
    </w:p>
    <w:p>
      <w:pPr>
        <w:sectPr>
          <w:pgSz w:w="11900" w:h="16838" w:orient="portrait"/>
          <w:cols w:equalWidth="0" w:num="1">
            <w:col w:w="10160"/>
          </w:cols>
          <w:pgMar w:left="320" w:top="410" w:right="141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4726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79160" cy="47269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Our Strengths and Differentiation</w:t>
      </w:r>
    </w:p>
    <w:p>
      <w:pPr>
        <w:spacing w:after="0" w:line="1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We believe our company and our product candidates have the following key distinguishing characteristics:</w:t>
      </w:r>
    </w:p>
    <w:p>
      <w:pPr>
        <w:spacing w:after="0" w:line="192" w:lineRule="exact"/>
        <w:rPr>
          <w:sz w:val="20"/>
          <w:szCs w:val="20"/>
          <w:color w:val="auto"/>
        </w:rPr>
      </w:pPr>
    </w:p>
    <w:p>
      <w:pPr>
        <w:ind w:left="2140" w:hanging="257"/>
        <w:spacing w:after="0" w:line="260" w:lineRule="auto"/>
        <w:tabs>
          <w:tab w:leader="none" w:pos="21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TP-03 is currently in Phase 2b/3 and has met various endpoints for efficacy in Phase 2 trials. </w:t>
      </w:r>
      <w:r>
        <w:rPr>
          <w:rFonts w:ascii="Times New Roman" w:cs="Times New Roman" w:eastAsia="Times New Roman" w:hAnsi="Times New Roman"/>
          <w:sz w:val="15"/>
          <w:szCs w:val="15"/>
          <w:color w:val="auto"/>
        </w:rPr>
        <w:t>We have observed TP-03’s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clinical 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178" w:lineRule="exact"/>
        <w:rPr>
          <w:rFonts w:ascii="Times New Roman" w:cs="Times New Roman" w:eastAsia="Times New Roman" w:hAnsi="Times New Roman"/>
          <w:sz w:val="15"/>
          <w:szCs w:val="15"/>
          <w:color w:val="auto"/>
        </w:rPr>
      </w:pPr>
    </w:p>
    <w:p>
      <w:pPr>
        <w:ind w:left="2140" w:hanging="257"/>
        <w:spacing w:after="0" w:line="262" w:lineRule="auto"/>
        <w:tabs>
          <w:tab w:leader="none" w:pos="21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Large, underserved and underdiagnosed blepharitis market with a significant opportunity for growth. </w:t>
      </w:r>
      <w:r>
        <w:rPr>
          <w:rFonts w:ascii="Times New Roman" w:cs="Times New Roman" w:eastAsia="Times New Roman" w:hAnsi="Times New Roman"/>
          <w:sz w:val="15"/>
          <w:szCs w:val="15"/>
          <w:color w:val="auto"/>
        </w:rPr>
        <w:t>Although we believe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 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176" w:lineRule="exact"/>
        <w:rPr>
          <w:rFonts w:ascii="Times New Roman" w:cs="Times New Roman" w:eastAsia="Times New Roman" w:hAnsi="Times New Roman"/>
          <w:sz w:val="15"/>
          <w:szCs w:val="15"/>
          <w:color w:val="auto"/>
        </w:rPr>
      </w:pPr>
    </w:p>
    <w:p>
      <w:pPr>
        <w:ind w:left="2140" w:right="80" w:hanging="257"/>
        <w:spacing w:after="0" w:line="270" w:lineRule="auto"/>
        <w:tabs>
          <w:tab w:leader="none" w:pos="21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Novel chemistry developed for the first time in human medicine. </w:t>
      </w:r>
      <w:r>
        <w:rPr>
          <w:rFonts w:ascii="Times New Roman" w:cs="Times New Roman" w:eastAsia="Times New Roman" w:hAnsi="Times New Roman"/>
          <w:sz w:val="15"/>
          <w:szCs w:val="15"/>
          <w:color w:val="auto"/>
        </w:rPr>
        <w:t>Our current therapeutic strategy is focused on the clinical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69" w:lineRule="exact"/>
        <w:rPr>
          <w:rFonts w:ascii="Times New Roman" w:cs="Times New Roman" w:eastAsia="Times New Roman" w:hAnsi="Times New Roman"/>
          <w:sz w:val="15"/>
          <w:szCs w:val="15"/>
          <w:color w:val="auto"/>
        </w:rPr>
      </w:pPr>
    </w:p>
    <w:p>
      <w:pPr>
        <w:ind w:left="2140" w:right="160" w:hanging="257"/>
        <w:spacing w:after="0" w:line="263" w:lineRule="auto"/>
        <w:tabs>
          <w:tab w:leader="none" w:pos="21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Additional opportunities beyond Demodex blepharitis. </w:t>
      </w:r>
      <w:r>
        <w:rPr>
          <w:rFonts w:ascii="Times New Roman" w:cs="Times New Roman" w:eastAsia="Times New Roman" w:hAnsi="Times New Roman"/>
          <w:sz w:val="15"/>
          <w:szCs w:val="15"/>
          <w:color w:val="auto"/>
        </w:rPr>
        <w:t>Like blepharitis, MGD may also be caused by Demodex infestation,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we 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200" w:lineRule="exact"/>
        <w:rPr>
          <w:rFonts w:ascii="Times New Roman" w:cs="Times New Roman" w:eastAsia="Times New Roman" w:hAnsi="Times New Roman"/>
          <w:sz w:val="15"/>
          <w:szCs w:val="15"/>
          <w:color w:val="auto"/>
        </w:rPr>
      </w:pPr>
    </w:p>
    <w:p>
      <w:pPr>
        <w:spacing w:after="0" w:line="336" w:lineRule="exact"/>
        <w:rPr>
          <w:rFonts w:ascii="Times New Roman" w:cs="Times New Roman" w:eastAsia="Times New Roman" w:hAnsi="Times New Roman"/>
          <w:sz w:val="15"/>
          <w:szCs w:val="15"/>
          <w:color w:val="auto"/>
        </w:rPr>
      </w:pPr>
    </w:p>
    <w:p>
      <w:pPr>
        <w:ind w:left="5580" w:hanging="84"/>
        <w:spacing w:after="0"/>
        <w:tabs>
          <w:tab w:leader="none" w:pos="558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7 -</w:t>
      </w:r>
    </w:p>
    <w:p>
      <w:pPr>
        <w:sectPr>
          <w:pgSz w:w="11900" w:h="16838" w:orient="portrait"/>
          <w:cols w:equalWidth="0" w:num="1">
            <w:col w:w="10140"/>
          </w:cols>
          <w:pgMar w:left="320" w:top="410" w:right="143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239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79160" cy="52393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140" w:right="100" w:hanging="257"/>
        <w:spacing w:after="0" w:line="267" w:lineRule="auto"/>
        <w:tabs>
          <w:tab w:leader="none" w:pos="21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Experienced management team and board of directors supported by high quality investor base. </w:t>
      </w:r>
      <w:r>
        <w:rPr>
          <w:rFonts w:ascii="Times New Roman" w:cs="Times New Roman" w:eastAsia="Times New Roman" w:hAnsi="Times New Roman"/>
          <w:sz w:val="15"/>
          <w:szCs w:val="15"/>
          <w:color w:val="auto"/>
        </w:rPr>
        <w:t>We have built a leadership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team 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4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200" w:lineRule="exact"/>
        <w:rPr>
          <w:sz w:val="20"/>
          <w:szCs w:val="20"/>
          <w:color w:val="auto"/>
        </w:rPr>
      </w:pPr>
    </w:p>
    <w:p>
      <w:pPr>
        <w:ind w:left="1080" w:right="260" w:firstLine="727"/>
        <w:spacing w:after="0" w:line="275" w:lineRule="auto"/>
        <w:rPr>
          <w:sz w:val="20"/>
          <w:szCs w:val="20"/>
          <w:color w:val="auto"/>
        </w:rPr>
      </w:pPr>
      <w:r>
        <w:rPr>
          <w:rFonts w:ascii="Times New Roman" w:cs="Times New Roman" w:eastAsia="Times New Roman" w:hAnsi="Times New Roman"/>
          <w:sz w:val="15"/>
          <w:szCs w:val="15"/>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64" w:lineRule="exact"/>
        <w:rPr>
          <w:sz w:val="20"/>
          <w:szCs w:val="20"/>
          <w:color w:val="auto"/>
        </w:rPr>
      </w:pPr>
    </w:p>
    <w:p>
      <w:pPr>
        <w:ind w:left="2140" w:right="20" w:hanging="257"/>
        <w:spacing w:after="0" w:line="265" w:lineRule="auto"/>
        <w:tabs>
          <w:tab w:leader="none" w:pos="21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5"/>
          <w:szCs w:val="15"/>
          <w:color w:val="auto"/>
        </w:rPr>
        <w:t>We have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171" w:lineRule="exact"/>
        <w:rPr>
          <w:rFonts w:ascii="Times New Roman" w:cs="Times New Roman" w:eastAsia="Times New Roman" w:hAnsi="Times New Roman"/>
          <w:sz w:val="15"/>
          <w:szCs w:val="15"/>
          <w:color w:val="auto"/>
        </w:rPr>
      </w:pPr>
    </w:p>
    <w:p>
      <w:pPr>
        <w:ind w:left="2140" w:hanging="257"/>
        <w:spacing w:after="0" w:line="270" w:lineRule="auto"/>
        <w:tabs>
          <w:tab w:leader="none" w:pos="21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5"/>
          <w:szCs w:val="15"/>
          <w:color w:val="auto"/>
        </w:rPr>
        <w:t>If approved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169" w:lineRule="exact"/>
        <w:rPr>
          <w:rFonts w:ascii="Times New Roman" w:cs="Times New Roman" w:eastAsia="Times New Roman" w:hAnsi="Times New Roman"/>
          <w:sz w:val="15"/>
          <w:szCs w:val="15"/>
          <w:color w:val="auto"/>
        </w:rPr>
      </w:pPr>
    </w:p>
    <w:p>
      <w:pPr>
        <w:ind w:left="2140" w:right="280" w:hanging="257"/>
        <w:spacing w:after="0" w:line="298" w:lineRule="auto"/>
        <w:tabs>
          <w:tab w:leader="none" w:pos="21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 the label of TP-03 for other indications, including MGD. </w:t>
      </w:r>
      <w:r>
        <w:rPr>
          <w:rFonts w:ascii="Times New Roman" w:cs="Times New Roman" w:eastAsia="Times New Roman" w:hAnsi="Times New Roman"/>
          <w:sz w:val="15"/>
          <w:szCs w:val="15"/>
          <w:color w:val="auto"/>
        </w:rPr>
        <w:t>Like blepharitis, MGD may also be caused by Demodex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infestation, and we intend to explore the clinical potential for TP-03 in the indication.</w:t>
      </w:r>
    </w:p>
    <w:p>
      <w:pPr>
        <w:spacing w:after="0" w:line="148" w:lineRule="exact"/>
        <w:rPr>
          <w:rFonts w:ascii="Times New Roman" w:cs="Times New Roman" w:eastAsia="Times New Roman" w:hAnsi="Times New Roman"/>
          <w:sz w:val="15"/>
          <w:szCs w:val="15"/>
          <w:color w:val="auto"/>
        </w:rPr>
      </w:pPr>
    </w:p>
    <w:p>
      <w:pPr>
        <w:ind w:left="2140" w:right="40" w:hanging="257"/>
        <w:spacing w:after="0" w:line="264" w:lineRule="auto"/>
        <w:tabs>
          <w:tab w:leader="none" w:pos="21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5"/>
          <w:szCs w:val="15"/>
          <w:color w:val="auto"/>
        </w:rPr>
        <w:t>. We plan to expand our pipeline of novel, differentiated product candidates that target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parasites to treat or 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360" w:lineRule="exact"/>
        <w:rPr>
          <w:rFonts w:ascii="Times New Roman" w:cs="Times New Roman" w:eastAsia="Times New Roman" w:hAnsi="Times New Roman"/>
          <w:sz w:val="15"/>
          <w:szCs w:val="15"/>
          <w:color w:val="auto"/>
        </w:rPr>
      </w:pPr>
    </w:p>
    <w:p>
      <w:pPr>
        <w:ind w:left="2140" w:right="140" w:hanging="257"/>
        <w:spacing w:after="0" w:line="263" w:lineRule="auto"/>
        <w:tabs>
          <w:tab w:leader="none" w:pos="21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Evaluate and selectively enter into strategic collaborations to maximize the potential of our pipeline and the scope of our eye care product offerings. </w:t>
      </w:r>
      <w:r>
        <w:rPr>
          <w:rFonts w:ascii="Times New Roman" w:cs="Times New Roman" w:eastAsia="Times New Roman" w:hAnsi="Times New Roman"/>
          <w:sz w:val="15"/>
          <w:szCs w:val="15"/>
          <w:color w:val="auto"/>
        </w:rPr>
        <w:t>We have retained our rights globally to all of our indications for use in humans, including, our lead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 candidate, TP-03, for the potential treatment of Demodex blepharitis and MGD, TP-04 for the potential treatment of rosacea and TP-05 for potential prophylaxis of Lyme and community malaria reduction. We are dependent on licenses from Elanco Tiergesundheit AG, or Elanco, for the development and commercialization of these products. Given the potential to treat patients worldwide we may opportunistically enter into strategic collaborations around certain product candidates, disease or geographic regions.</w:t>
      </w:r>
    </w:p>
    <w:p>
      <w:pPr>
        <w:spacing w:after="0" w:line="200" w:lineRule="exact"/>
        <w:rPr>
          <w:rFonts w:ascii="Times New Roman" w:cs="Times New Roman" w:eastAsia="Times New Roman" w:hAnsi="Times New Roman"/>
          <w:sz w:val="15"/>
          <w:szCs w:val="15"/>
          <w:color w:val="auto"/>
        </w:rPr>
      </w:pPr>
    </w:p>
    <w:p>
      <w:pPr>
        <w:spacing w:after="0" w:line="325" w:lineRule="exact"/>
        <w:rPr>
          <w:rFonts w:ascii="Times New Roman" w:cs="Times New Roman" w:eastAsia="Times New Roman" w:hAnsi="Times New Roman"/>
          <w:sz w:val="15"/>
          <w:szCs w:val="15"/>
          <w:color w:val="auto"/>
        </w:rPr>
      </w:pPr>
    </w:p>
    <w:p>
      <w:pPr>
        <w:ind w:left="5580" w:hanging="84"/>
        <w:spacing w:after="0"/>
        <w:tabs>
          <w:tab w:leader="none" w:pos="558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8 -</w:t>
      </w:r>
    </w:p>
    <w:p>
      <w:pPr>
        <w:sectPr>
          <w:pgSz w:w="11900" w:h="16838" w:orient="portrait"/>
          <w:cols w:equalWidth="0" w:num="1">
            <w:col w:w="10160"/>
          </w:cols>
          <w:pgMar w:left="320" w:top="410" w:right="1419" w:bottom="1440" w:gutter="0" w:footer="0" w:header="0"/>
        </w:sectPr>
      </w:pPr>
    </w:p>
    <w:bookmarkStart w:id="11" w:name="page12"/>
    <w:bookmarkEnd w:id="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298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9160" cy="52984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200" w:lineRule="exact"/>
        <w:rPr>
          <w:sz w:val="20"/>
          <w:szCs w:val="20"/>
          <w:color w:val="auto"/>
        </w:rPr>
      </w:pPr>
    </w:p>
    <w:p>
      <w:pPr>
        <w:ind w:left="1080" w:right="100" w:firstLine="727"/>
        <w:spacing w:after="0" w:line="293" w:lineRule="auto"/>
        <w:rPr>
          <w:sz w:val="20"/>
          <w:szCs w:val="20"/>
          <w:color w:val="auto"/>
        </w:rPr>
      </w:pPr>
      <w:r>
        <w:rPr>
          <w:rFonts w:ascii="Times New Roman" w:cs="Times New Roman" w:eastAsia="Times New Roman" w:hAnsi="Times New Roman"/>
          <w:sz w:val="15"/>
          <w:szCs w:val="15"/>
          <w:color w:val="auto"/>
        </w:rPr>
        <w:t>Our ability to execute our business strategy is subject to numerous risks, as more fully described in the section entitled “Risk Factors” immediately following this prospectus summary. These risks include, among others:</w:t>
      </w:r>
    </w:p>
    <w:p>
      <w:pPr>
        <w:spacing w:after="0" w:line="151" w:lineRule="exact"/>
        <w:rPr>
          <w:sz w:val="20"/>
          <w:szCs w:val="20"/>
          <w:color w:val="auto"/>
        </w:rPr>
      </w:pPr>
    </w:p>
    <w:p>
      <w:pPr>
        <w:ind w:left="2140" w:hanging="257"/>
        <w:spacing w:after="0" w:line="277"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63" w:lineRule="exact"/>
        <w:rPr>
          <w:rFonts w:ascii="Times New Roman" w:cs="Times New Roman" w:eastAsia="Times New Roman" w:hAnsi="Times New Roman"/>
          <w:sz w:val="15"/>
          <w:szCs w:val="15"/>
          <w:b w:val="1"/>
          <w:bCs w:val="1"/>
          <w:color w:val="auto"/>
        </w:rPr>
      </w:pPr>
    </w:p>
    <w:p>
      <w:pPr>
        <w:ind w:left="2140" w:hanging="257"/>
        <w:spacing w:after="0" w:line="270"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69" w:lineRule="exact"/>
        <w:rPr>
          <w:rFonts w:ascii="Times New Roman" w:cs="Times New Roman" w:eastAsia="Times New Roman" w:hAnsi="Times New Roman"/>
          <w:sz w:val="15"/>
          <w:szCs w:val="15"/>
          <w:b w:val="1"/>
          <w:bCs w:val="1"/>
          <w:color w:val="auto"/>
        </w:rPr>
      </w:pPr>
    </w:p>
    <w:p>
      <w:pPr>
        <w:ind w:left="2140" w:hanging="257"/>
        <w:spacing w:after="0"/>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are heavily dependent on the success of our lead product candidate, TP-03 for the treatment of Demodex blepharitis.</w:t>
      </w:r>
    </w:p>
    <w:p>
      <w:pPr>
        <w:spacing w:after="0" w:line="219" w:lineRule="exact"/>
        <w:rPr>
          <w:rFonts w:ascii="Times New Roman" w:cs="Times New Roman" w:eastAsia="Times New Roman" w:hAnsi="Times New Roman"/>
          <w:sz w:val="15"/>
          <w:szCs w:val="15"/>
          <w:b w:val="1"/>
          <w:bCs w:val="1"/>
          <w:color w:val="auto"/>
        </w:rPr>
      </w:pPr>
    </w:p>
    <w:p>
      <w:pPr>
        <w:ind w:left="2140" w:right="120" w:hanging="257"/>
        <w:spacing w:after="0" w:line="277"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163" w:lineRule="exact"/>
        <w:rPr>
          <w:rFonts w:ascii="Times New Roman" w:cs="Times New Roman" w:eastAsia="Times New Roman" w:hAnsi="Times New Roman"/>
          <w:sz w:val="15"/>
          <w:szCs w:val="15"/>
          <w:b w:val="1"/>
          <w:bCs w:val="1"/>
          <w:color w:val="auto"/>
        </w:rPr>
      </w:pPr>
    </w:p>
    <w:p>
      <w:pPr>
        <w:ind w:left="2140" w:right="40" w:hanging="257"/>
        <w:spacing w:after="0" w:line="265"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Even if TP-03 or any other product candidate that we develop receives marketing approval, we may not be successful in educating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71" w:lineRule="exact"/>
        <w:rPr>
          <w:rFonts w:ascii="Times New Roman" w:cs="Times New Roman" w:eastAsia="Times New Roman" w:hAnsi="Times New Roman"/>
          <w:sz w:val="15"/>
          <w:szCs w:val="15"/>
          <w:b w:val="1"/>
          <w:bCs w:val="1"/>
          <w:color w:val="auto"/>
        </w:rPr>
      </w:pPr>
    </w:p>
    <w:p>
      <w:pPr>
        <w:ind w:left="2140" w:hanging="257"/>
        <w:spacing w:after="0" w:line="277"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are dependent on intellectual property we license from Elanco for the development and commercialization of our products, including our lead product candidate, TP-03 for the potential treatment of Demodex blepharitis and MGD, TP-04 for the potential treatment of rosacea and TP-05 for potential Lyme prophylaxis and community malaria reduction.</w:t>
      </w:r>
    </w:p>
    <w:p>
      <w:pPr>
        <w:spacing w:after="0" w:line="163" w:lineRule="exact"/>
        <w:rPr>
          <w:rFonts w:ascii="Times New Roman" w:cs="Times New Roman" w:eastAsia="Times New Roman" w:hAnsi="Times New Roman"/>
          <w:sz w:val="15"/>
          <w:szCs w:val="15"/>
          <w:b w:val="1"/>
          <w:bCs w:val="1"/>
          <w:color w:val="auto"/>
        </w:rPr>
      </w:pPr>
    </w:p>
    <w:p>
      <w:pPr>
        <w:ind w:left="2140" w:right="180" w:hanging="257"/>
        <w:spacing w:after="0" w:line="277"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will need to develop and expand our company in terms of operations and employees, which we expect to include our development, regulatory and operational capabilities and potentially implement sales, marketing and distribution capabilities and, as a result, we may encounter difficulties in managing our growth, which could disrupt our operations.</w:t>
      </w:r>
    </w:p>
    <w:p>
      <w:pPr>
        <w:spacing w:after="0" w:line="163" w:lineRule="exact"/>
        <w:rPr>
          <w:rFonts w:ascii="Times New Roman" w:cs="Times New Roman" w:eastAsia="Times New Roman" w:hAnsi="Times New Roman"/>
          <w:sz w:val="15"/>
          <w:szCs w:val="15"/>
          <w:b w:val="1"/>
          <w:bCs w:val="1"/>
          <w:color w:val="auto"/>
        </w:rPr>
      </w:pPr>
    </w:p>
    <w:p>
      <w:pPr>
        <w:ind w:left="2140" w:right="80" w:hanging="257"/>
        <w:spacing w:after="0" w:line="270"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69" w:lineRule="exact"/>
        <w:rPr>
          <w:rFonts w:ascii="Times New Roman" w:cs="Times New Roman" w:eastAsia="Times New Roman" w:hAnsi="Times New Roman"/>
          <w:sz w:val="15"/>
          <w:szCs w:val="15"/>
          <w:b w:val="1"/>
          <w:bCs w:val="1"/>
          <w:color w:val="auto"/>
        </w:rPr>
      </w:pPr>
    </w:p>
    <w:p>
      <w:pPr>
        <w:ind w:left="2140" w:right="20" w:hanging="257"/>
        <w:spacing w:after="0" w:line="298" w:lineRule="auto"/>
        <w:tabs>
          <w:tab w:leader="none" w:pos="214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Clinical drug development involves a lengthy and expensive process with uncertain timelines and uncertain outcomes, and results of earlier studies and trials may not be predictive of future results.</w:t>
      </w:r>
    </w:p>
    <w:p>
      <w:pPr>
        <w:spacing w:after="0" w:line="200" w:lineRule="exact"/>
        <w:rPr>
          <w:rFonts w:ascii="Times New Roman" w:cs="Times New Roman" w:eastAsia="Times New Roman" w:hAnsi="Times New Roman"/>
          <w:sz w:val="15"/>
          <w:szCs w:val="15"/>
          <w:b w:val="1"/>
          <w:bCs w:val="1"/>
          <w:color w:val="auto"/>
        </w:rPr>
      </w:pPr>
    </w:p>
    <w:p>
      <w:pPr>
        <w:spacing w:after="0" w:line="297" w:lineRule="exact"/>
        <w:rPr>
          <w:rFonts w:ascii="Times New Roman" w:cs="Times New Roman" w:eastAsia="Times New Roman" w:hAnsi="Times New Roman"/>
          <w:sz w:val="15"/>
          <w:szCs w:val="15"/>
          <w:b w:val="1"/>
          <w:bCs w:val="1"/>
          <w:color w:val="auto"/>
        </w:rPr>
      </w:pPr>
    </w:p>
    <w:p>
      <w:pPr>
        <w:ind w:left="5580" w:hanging="84"/>
        <w:spacing w:after="0"/>
        <w:tabs>
          <w:tab w:leader="none" w:pos="558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9 -</w:t>
      </w:r>
    </w:p>
    <w:p>
      <w:pPr>
        <w:sectPr>
          <w:pgSz w:w="11900" w:h="16838" w:orient="portrait"/>
          <w:cols w:equalWidth="0" w:num="1">
            <w:col w:w="10140"/>
          </w:cols>
          <w:pgMar w:left="320" w:top="410" w:right="1439" w:bottom="1440" w:gutter="0" w:footer="0" w:header="0"/>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4873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79160" cy="487362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140" w:right="20" w:hanging="257"/>
        <w:spacing w:after="0" w:line="298" w:lineRule="auto"/>
        <w:tabs>
          <w:tab w:leader="none" w:pos="2140"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48" w:lineRule="exact"/>
        <w:rPr>
          <w:rFonts w:ascii="Times New Roman" w:cs="Times New Roman" w:eastAsia="Times New Roman" w:hAnsi="Times New Roman"/>
          <w:sz w:val="15"/>
          <w:szCs w:val="15"/>
          <w:b w:val="1"/>
          <w:bCs w:val="1"/>
          <w:color w:val="auto"/>
        </w:rPr>
      </w:pPr>
    </w:p>
    <w:p>
      <w:pPr>
        <w:ind w:left="2140" w:hanging="257"/>
        <w:spacing w:after="0"/>
        <w:tabs>
          <w:tab w:leader="none" w:pos="2140"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We rely on third parties to conduct our clinical trials and perform some of our research and preclinical studies.</w:t>
      </w:r>
    </w:p>
    <w:p>
      <w:pPr>
        <w:spacing w:after="0" w:line="219" w:lineRule="exact"/>
        <w:rPr>
          <w:rFonts w:ascii="Times New Roman" w:cs="Times New Roman" w:eastAsia="Times New Roman" w:hAnsi="Times New Roman"/>
          <w:sz w:val="15"/>
          <w:szCs w:val="15"/>
          <w:b w:val="1"/>
          <w:bCs w:val="1"/>
          <w:color w:val="auto"/>
        </w:rPr>
      </w:pPr>
    </w:p>
    <w:p>
      <w:pPr>
        <w:ind w:left="2140" w:hanging="257"/>
        <w:spacing w:after="0" w:line="277" w:lineRule="auto"/>
        <w:tabs>
          <w:tab w:leader="none" w:pos="2140"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63" w:lineRule="exact"/>
        <w:rPr>
          <w:rFonts w:ascii="Times New Roman" w:cs="Times New Roman" w:eastAsia="Times New Roman" w:hAnsi="Times New Roman"/>
          <w:sz w:val="15"/>
          <w:szCs w:val="15"/>
          <w:b w:val="1"/>
          <w:bCs w:val="1"/>
          <w:color w:val="auto"/>
        </w:rPr>
      </w:pPr>
    </w:p>
    <w:p>
      <w:pPr>
        <w:ind w:left="2140" w:right="160" w:hanging="257"/>
        <w:spacing w:after="0" w:line="298" w:lineRule="auto"/>
        <w:tabs>
          <w:tab w:leader="none" w:pos="2140"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Patent terms may be inadequate to protect our competitive position on our product candidates and preclinical programs for an adequate amount of time.</w:t>
      </w:r>
    </w:p>
    <w:p>
      <w:pPr>
        <w:spacing w:after="0" w:line="148" w:lineRule="exact"/>
        <w:rPr>
          <w:rFonts w:ascii="Times New Roman" w:cs="Times New Roman" w:eastAsia="Times New Roman" w:hAnsi="Times New Roman"/>
          <w:sz w:val="15"/>
          <w:szCs w:val="15"/>
          <w:b w:val="1"/>
          <w:bCs w:val="1"/>
          <w:color w:val="auto"/>
        </w:rPr>
      </w:pPr>
    </w:p>
    <w:p>
      <w:pPr>
        <w:ind w:left="2140" w:right="60" w:hanging="257"/>
        <w:spacing w:after="0" w:line="298" w:lineRule="auto"/>
        <w:tabs>
          <w:tab w:leader="none" w:pos="2140" w:val="left"/>
        </w:tabs>
        <w:numPr>
          <w:ilvl w:val="0"/>
          <w:numId w:val="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200" w:lineRule="exact"/>
        <w:rPr>
          <w:sz w:val="20"/>
          <w:szCs w:val="20"/>
          <w:color w:val="auto"/>
        </w:rPr>
      </w:pPr>
    </w:p>
    <w:p>
      <w:pPr>
        <w:ind w:left="1080" w:right="20" w:firstLine="727"/>
        <w:spacing w:after="0" w:line="268" w:lineRule="auto"/>
        <w:rPr>
          <w:sz w:val="20"/>
          <w:szCs w:val="20"/>
          <w:color w:val="auto"/>
        </w:rPr>
      </w:pPr>
      <w:r>
        <w:rPr>
          <w:rFonts w:ascii="Times New Roman" w:cs="Times New Roman" w:eastAsia="Times New Roman" w:hAnsi="Times New Roman"/>
          <w:sz w:val="15"/>
          <w:szCs w:val="15"/>
          <w:color w:val="auto"/>
        </w:rPr>
        <w:t>We were incorporated under the laws of the State of Delaware in November 2016. Our principal executive offices are located at 15440 Laguna Canyon Road, Suite 160, Irvine, California 92618. Our telephone number is (949) 409-9820. Our website address is www.tarsusrx.com. Information contained on the website is not incorporated by reference into this prospectus. We have included our website address in this prospectus solely as an inactive textual reference.</w:t>
      </w:r>
    </w:p>
    <w:p>
      <w:pPr>
        <w:spacing w:after="0" w:line="152" w:lineRule="exact"/>
        <w:rPr>
          <w:sz w:val="20"/>
          <w:szCs w:val="20"/>
          <w:color w:val="auto"/>
        </w:rPr>
      </w:pPr>
    </w:p>
    <w:p>
      <w:pPr>
        <w:ind w:left="1080" w:right="80" w:firstLine="727"/>
        <w:spacing w:after="0" w:line="262" w:lineRule="auto"/>
        <w:rPr>
          <w:sz w:val="20"/>
          <w:szCs w:val="20"/>
          <w:color w:val="auto"/>
        </w:rPr>
      </w:pPr>
      <w:r>
        <w:rPr>
          <w:rFonts w:ascii="Times New Roman" w:cs="Times New Roman" w:eastAsia="Times New Roman" w:hAnsi="Times New Roman"/>
          <w:sz w:val="15"/>
          <w:szCs w:val="15"/>
          <w:color w:val="auto"/>
        </w:rPr>
        <w:t xml:space="preserve">Tarsus Pharmaceuticals, Tarsus, and Tarsus Pharmaceuticals, Inc., our logo and other registered or common law trade names, trademarks or service markets of Tarsus appearing in this prospectus are the property of Tarsus.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3"/>
          <w:szCs w:val="13"/>
          <w:color w:val="auto"/>
        </w:rPr>
        <w:t>SM</w:t>
      </w:r>
      <w:r>
        <w:rPr>
          <w:rFonts w:ascii="Times New Roman" w:cs="Times New Roman" w:eastAsia="Times New Roman" w:hAnsi="Times New Roman"/>
          <w:sz w:val="15"/>
          <w:szCs w:val="15"/>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15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Implications of Being an Emerging Growth Company</w:t>
      </w:r>
    </w:p>
    <w:p>
      <w:pPr>
        <w:spacing w:after="0" w:line="200" w:lineRule="exact"/>
        <w:rPr>
          <w:sz w:val="20"/>
          <w:szCs w:val="20"/>
          <w:color w:val="auto"/>
        </w:rPr>
      </w:pPr>
    </w:p>
    <w:p>
      <w:pPr>
        <w:ind w:left="1080" w:right="140" w:firstLine="727"/>
        <w:spacing w:after="0" w:line="266" w:lineRule="auto"/>
        <w:rPr>
          <w:sz w:val="20"/>
          <w:szCs w:val="20"/>
          <w:color w:val="auto"/>
        </w:rPr>
      </w:pPr>
      <w:r>
        <w:rPr>
          <w:rFonts w:ascii="Times New Roman" w:cs="Times New Roman" w:eastAsia="Times New Roman" w:hAnsi="Times New Roman"/>
          <w:sz w:val="15"/>
          <w:szCs w:val="15"/>
          <w:color w:val="auto"/>
        </w:rPr>
        <w:t>We are an “emerging growth company” as defined in the Jumpstart Our Business Startups Act of 2012, as amended, or the JOBS Act. We will remain an emerging growth company until the earliest to occur of: (i) the last day of the fiscal year in which we have more than</w:t>
      </w:r>
    </w:p>
    <w:p>
      <w:pPr>
        <w:spacing w:after="0" w:line="1" w:lineRule="exact"/>
        <w:rPr>
          <w:sz w:val="20"/>
          <w:szCs w:val="20"/>
          <w:color w:val="auto"/>
        </w:rPr>
      </w:pPr>
    </w:p>
    <w:p>
      <w:pPr>
        <w:ind w:left="1080" w:right="140"/>
        <w:spacing w:after="0" w:line="260" w:lineRule="auto"/>
        <w:rPr>
          <w:sz w:val="20"/>
          <w:szCs w:val="20"/>
          <w:color w:val="auto"/>
        </w:rPr>
      </w:pPr>
      <w:r>
        <w:rPr>
          <w:rFonts w:ascii="Times New Roman" w:cs="Times New Roman" w:eastAsia="Times New Roman" w:hAnsi="Times New Roman"/>
          <w:sz w:val="15"/>
          <w:szCs w:val="15"/>
          <w:color w:val="auto"/>
        </w:rPr>
        <w:t>$1.07 billion in annual gross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or (iv) the last day of the fiscal year ending after the fifth anniversary of our initial public offering. As a result of this status, we have taken advantage of certain exemptions from various reporting requirements in this prospectus that are applicable to other publicly-traded entities that are not emerging growth companies and may elect to take advantage of other exemptions from</w:t>
      </w:r>
    </w:p>
    <w:p>
      <w:pPr>
        <w:spacing w:after="0" w:line="200" w:lineRule="exact"/>
        <w:rPr>
          <w:sz w:val="20"/>
          <w:szCs w:val="20"/>
          <w:color w:val="auto"/>
        </w:rPr>
      </w:pPr>
    </w:p>
    <w:p>
      <w:pPr>
        <w:spacing w:after="0" w:line="3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60"/>
          </w:cols>
          <w:pgMar w:left="320" w:top="410" w:right="141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3468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79160" cy="346837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reporting requirements in our future filings with the SEC. In particular, in this prospectus, these exemptions include:</w:t>
      </w:r>
    </w:p>
    <w:p>
      <w:pPr>
        <w:spacing w:after="0" w:line="219" w:lineRule="exact"/>
        <w:rPr>
          <w:sz w:val="20"/>
          <w:szCs w:val="20"/>
          <w:color w:val="auto"/>
        </w:rPr>
      </w:pPr>
    </w:p>
    <w:p>
      <w:pPr>
        <w:ind w:left="2140" w:right="40" w:hanging="257"/>
        <w:spacing w:after="0" w:line="293" w:lineRule="auto"/>
        <w:tabs>
          <w:tab w:leader="none" w:pos="2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to present only two years of audited financial statements and only two years of Management’s Discussion and Analysis of Financial Condition and Results of Operations;</w:t>
      </w:r>
    </w:p>
    <w:p>
      <w:pPr>
        <w:spacing w:after="0" w:line="155" w:lineRule="exact"/>
        <w:rPr>
          <w:rFonts w:ascii="Times New Roman" w:cs="Times New Roman" w:eastAsia="Times New Roman" w:hAnsi="Times New Roman"/>
          <w:sz w:val="15"/>
          <w:szCs w:val="15"/>
          <w:color w:val="auto"/>
        </w:rPr>
      </w:pPr>
    </w:p>
    <w:p>
      <w:pPr>
        <w:ind w:left="2140" w:right="220" w:hanging="257"/>
        <w:spacing w:after="0" w:line="293" w:lineRule="auto"/>
        <w:tabs>
          <w:tab w:leader="none" w:pos="2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404(b) of the Sarbanes-Oxley Act of 2002, as amended, or the Sarbanes Oxley Act;</w:t>
      </w:r>
    </w:p>
    <w:p>
      <w:pPr>
        <w:spacing w:after="0" w:line="155" w:lineRule="exact"/>
        <w:rPr>
          <w:rFonts w:ascii="Times New Roman" w:cs="Times New Roman" w:eastAsia="Times New Roman" w:hAnsi="Times New Roman"/>
          <w:sz w:val="15"/>
          <w:szCs w:val="15"/>
          <w:color w:val="auto"/>
        </w:rPr>
      </w:pPr>
    </w:p>
    <w:p>
      <w:pPr>
        <w:ind w:left="2140" w:right="560" w:hanging="257"/>
        <w:spacing w:after="0" w:line="293" w:lineRule="auto"/>
        <w:tabs>
          <w:tab w:leader="none" w:pos="2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submit certain executive compensation matters to stockholder advisory votes, such as “say-on-pay,” “say-on-frequency,” and “say-on-golden parachutes;” and</w:t>
      </w:r>
    </w:p>
    <w:p>
      <w:pPr>
        <w:spacing w:after="0" w:line="155" w:lineRule="exact"/>
        <w:rPr>
          <w:rFonts w:ascii="Times New Roman" w:cs="Times New Roman" w:eastAsia="Times New Roman" w:hAnsi="Times New Roman"/>
          <w:sz w:val="15"/>
          <w:szCs w:val="15"/>
          <w:color w:val="auto"/>
        </w:rPr>
      </w:pPr>
    </w:p>
    <w:p>
      <w:pPr>
        <w:ind w:left="2140" w:right="800" w:hanging="257"/>
        <w:spacing w:after="0" w:line="275" w:lineRule="auto"/>
        <w:tabs>
          <w:tab w:leader="none" w:pos="21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disclose certain executive compensation-related items such as the correlation between executive compensation and performance and comparisons of the chief executive officer’s compensation to median employee compensation.</w:t>
      </w:r>
    </w:p>
    <w:p>
      <w:pPr>
        <w:spacing w:after="0" w:line="145" w:lineRule="exact"/>
        <w:rPr>
          <w:sz w:val="20"/>
          <w:szCs w:val="20"/>
          <w:color w:val="auto"/>
        </w:rPr>
      </w:pPr>
    </w:p>
    <w:p>
      <w:pPr>
        <w:ind w:left="1080" w:right="20" w:firstLine="727"/>
        <w:spacing w:after="0" w:line="293" w:lineRule="auto"/>
        <w:rPr>
          <w:sz w:val="20"/>
          <w:szCs w:val="20"/>
          <w:color w:val="auto"/>
        </w:rPr>
      </w:pPr>
      <w:r>
        <w:rPr>
          <w:rFonts w:ascii="Times New Roman" w:cs="Times New Roman" w:eastAsia="Times New Roman" w:hAnsi="Times New Roman"/>
          <w:sz w:val="15"/>
          <w:szCs w:val="15"/>
          <w:color w:val="auto"/>
        </w:rPr>
        <w:t>As a result, we do not know if some investors will find our common stock less attractive. The result may be a less active trading market for our common stock, and the price of our common stock may become more volatile.</w:t>
      </w:r>
    </w:p>
    <w:p>
      <w:pPr>
        <w:spacing w:after="0" w:line="132" w:lineRule="exact"/>
        <w:rPr>
          <w:sz w:val="20"/>
          <w:szCs w:val="20"/>
          <w:color w:val="auto"/>
        </w:rPr>
      </w:pPr>
    </w:p>
    <w:p>
      <w:pPr>
        <w:ind w:left="1080" w:firstLine="727"/>
        <w:spacing w:after="0" w:line="261" w:lineRule="auto"/>
        <w:rPr>
          <w:sz w:val="20"/>
          <w:szCs w:val="20"/>
          <w:color w:val="auto"/>
        </w:rPr>
      </w:pPr>
      <w:r>
        <w:rPr>
          <w:rFonts w:ascii="Times New Roman" w:cs="Times New Roman" w:eastAsia="Times New Roman" w:hAnsi="Times New Roman"/>
          <w:sz w:val="15"/>
          <w:szCs w:val="15"/>
          <w:color w:val="auto"/>
        </w:rPr>
        <w:t>In addition, Section 107 of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 Even after we no longer qualify as an emerging growth company, we may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60"/>
          </w:cols>
          <w:pgMar w:left="320" w:top="410" w:right="141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59" w:lineRule="exact"/>
        <w:rPr>
          <w:sz w:val="20"/>
          <w:szCs w:val="20"/>
          <w:color w:val="auto"/>
        </w:rPr>
      </w:pPr>
    </w:p>
    <w:tbl>
      <w:tblPr>
        <w:tblLayout w:type="fixed"/>
        <w:tblInd w:w="930" w:type="dxa"/>
        <w:tblCellMar>
          <w:top w:w="0" w:type="dxa"/>
          <w:left w:w="0" w:type="dxa"/>
          <w:bottom w:w="0" w:type="dxa"/>
          <w:right w:w="0" w:type="dxa"/>
        </w:tblCellMar>
      </w:tblPr>
      <w:tr>
        <w:trPr>
          <w:trHeight w:val="350"/>
        </w:trPr>
        <w:tc>
          <w:tcPr>
            <w:tcW w:w="3440" w:type="dxa"/>
            <w:vAlign w:val="bottom"/>
            <w:tcBorders>
              <w:top w:val="single" w:sz="8" w:color="auto"/>
              <w:left w:val="single" w:sz="8" w:color="auto"/>
            </w:tcBorders>
          </w:tcPr>
          <w:p>
            <w:pPr>
              <w:spacing w:after="0"/>
              <w:rPr>
                <w:sz w:val="24"/>
                <w:szCs w:val="24"/>
                <w:color w:val="auto"/>
              </w:rPr>
            </w:pPr>
          </w:p>
        </w:tc>
        <w:tc>
          <w:tcPr>
            <w:tcW w:w="598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THE OFFERING</w:t>
            </w:r>
          </w:p>
        </w:tc>
      </w:tr>
      <w:tr>
        <w:trPr>
          <w:trHeight w:val="392"/>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Issuer</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Tarsus Pharmaceuticals, Inc.</w:t>
            </w:r>
          </w:p>
        </w:tc>
      </w:tr>
      <w:tr>
        <w:trPr>
          <w:trHeight w:val="404"/>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Shares of common stock offered by us</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5,000,000 shares</w:t>
            </w:r>
          </w:p>
        </w:tc>
      </w:tr>
      <w:tr>
        <w:trPr>
          <w:trHeight w:val="389"/>
        </w:trPr>
        <w:tc>
          <w:tcPr>
            <w:tcW w:w="942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Shares of common stock to be outstanding immediately 18,759,014 shares (or 19,509,014 shares if the underwriters exercise their option to</w:t>
            </w:r>
          </w:p>
        </w:tc>
      </w:tr>
      <w:tr>
        <w:trPr>
          <w:trHeight w:val="199"/>
        </w:trPr>
        <w:tc>
          <w:tcPr>
            <w:tcW w:w="34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after this offering</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purchase additional shares in full)</w:t>
            </w:r>
          </w:p>
        </w:tc>
      </w:tr>
      <w:tr>
        <w:trPr>
          <w:trHeight w:val="389"/>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Underwriters’ option to purchase additional shares</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We have granted the underwriters an option for a period of 30 days to purchase up to</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750,000 additional shares of our common stock. The underwriters can exercise this option</w:t>
            </w:r>
          </w:p>
        </w:tc>
      </w:tr>
      <w:tr>
        <w:trPr>
          <w:trHeight w:val="199"/>
        </w:trPr>
        <w:tc>
          <w:tcPr>
            <w:tcW w:w="3440" w:type="dxa"/>
            <w:vAlign w:val="bottom"/>
            <w:tcBorders>
              <w:left w:val="single" w:sz="8" w:color="auto"/>
            </w:tcBorders>
          </w:tcPr>
          <w:p>
            <w:pPr>
              <w:spacing w:after="0"/>
              <w:rPr>
                <w:sz w:val="17"/>
                <w:szCs w:val="17"/>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at any time within 30 days after the date of this prospectus.</w:t>
            </w:r>
          </w:p>
        </w:tc>
      </w:tr>
      <w:tr>
        <w:trPr>
          <w:trHeight w:val="378"/>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Use of proceeds</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We estimate that the net proceeds from this offering will be approximately $72.1 million,</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or $83.3 million if the underwriters exercise their option to purchase additional shares in</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full, after deducting estimated underwriting discounts and commissions and estimated</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offering expenses payable by us, assuming an initial public offering price of $16.00 per</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share, which is the midpoint of the estimated price range set forth on the cover page of this</w:t>
            </w:r>
          </w:p>
        </w:tc>
      </w:tr>
      <w:tr>
        <w:trPr>
          <w:trHeight w:val="199"/>
        </w:trPr>
        <w:tc>
          <w:tcPr>
            <w:tcW w:w="3440" w:type="dxa"/>
            <w:vAlign w:val="bottom"/>
            <w:tcBorders>
              <w:left w:val="single" w:sz="8" w:color="auto"/>
            </w:tcBorders>
          </w:tcPr>
          <w:p>
            <w:pPr>
              <w:spacing w:after="0"/>
              <w:rPr>
                <w:sz w:val="17"/>
                <w:szCs w:val="17"/>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prospectus.</w:t>
            </w:r>
          </w:p>
        </w:tc>
      </w:tr>
      <w:tr>
        <w:trPr>
          <w:trHeight w:val="378"/>
        </w:trPr>
        <w:tc>
          <w:tcPr>
            <w:tcW w:w="344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We intend to use the net proceeds from this offering to complete the development and</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regulatory approval of TP-03 for the treatment of Demodex blepharitis and the remaining</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proceeds to fund the development of our product pipeline, as well as for other general</w:t>
            </w:r>
          </w:p>
        </w:tc>
      </w:tr>
      <w:tr>
        <w:trPr>
          <w:trHeight w:val="199"/>
        </w:trPr>
        <w:tc>
          <w:tcPr>
            <w:tcW w:w="3440" w:type="dxa"/>
            <w:vAlign w:val="bottom"/>
            <w:tcBorders>
              <w:left w:val="single" w:sz="8" w:color="auto"/>
            </w:tcBorders>
          </w:tcPr>
          <w:p>
            <w:pPr>
              <w:spacing w:after="0"/>
              <w:rPr>
                <w:sz w:val="17"/>
                <w:szCs w:val="17"/>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corporate purposes. See “Use of Proceeds” on page 89 for additional information.</w:t>
            </w:r>
          </w:p>
        </w:tc>
      </w:tr>
      <w:tr>
        <w:trPr>
          <w:trHeight w:val="378"/>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Risk Factors</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See “Risk Factors” beginning on page 16 and the other information included in this</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prospectus for a discussion of factors you should consider carefully before deciding to</w:t>
            </w:r>
          </w:p>
        </w:tc>
      </w:tr>
      <w:tr>
        <w:trPr>
          <w:trHeight w:val="199"/>
        </w:trPr>
        <w:tc>
          <w:tcPr>
            <w:tcW w:w="3440" w:type="dxa"/>
            <w:vAlign w:val="bottom"/>
            <w:tcBorders>
              <w:left w:val="single" w:sz="8" w:color="auto"/>
            </w:tcBorders>
          </w:tcPr>
          <w:p>
            <w:pPr>
              <w:spacing w:after="0"/>
              <w:rPr>
                <w:sz w:val="17"/>
                <w:szCs w:val="17"/>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invest in our common stock.</w:t>
            </w:r>
          </w:p>
        </w:tc>
      </w:tr>
      <w:tr>
        <w:trPr>
          <w:trHeight w:val="378"/>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Reserved Share Program</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At our request, an affiliate of BofA Securities, Inc., a participating underwriter, has</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reserved for sale, at the initial public offering price, up to 3.7% of the shares offered by this</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prospectus for sale to some of our business associates and certain other persons associated</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with us. If these persons purchase reserved shares, it will reduce the number of shares</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available for sale to the general public. Any reserved shares that are not so purchased will</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be offered by the underwriters to the general public on the same terms as the other shares</w:t>
            </w:r>
          </w:p>
        </w:tc>
      </w:tr>
      <w:tr>
        <w:trPr>
          <w:trHeight w:val="184"/>
        </w:trPr>
        <w:tc>
          <w:tcPr>
            <w:tcW w:w="3440" w:type="dxa"/>
            <w:vAlign w:val="bottom"/>
            <w:tcBorders>
              <w:left w:val="single" w:sz="8" w:color="auto"/>
            </w:tcBorders>
          </w:tcPr>
          <w:p>
            <w:pPr>
              <w:spacing w:after="0"/>
              <w:rPr>
                <w:sz w:val="16"/>
                <w:szCs w:val="16"/>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offered by this prospectus. See section titled “Underwriting – Reserved Share Program” for</w:t>
            </w:r>
          </w:p>
        </w:tc>
      </w:tr>
      <w:tr>
        <w:trPr>
          <w:trHeight w:val="199"/>
        </w:trPr>
        <w:tc>
          <w:tcPr>
            <w:tcW w:w="3440" w:type="dxa"/>
            <w:vAlign w:val="bottom"/>
            <w:tcBorders>
              <w:left w:val="single" w:sz="8" w:color="auto"/>
            </w:tcBorders>
          </w:tcPr>
          <w:p>
            <w:pPr>
              <w:spacing w:after="0"/>
              <w:rPr>
                <w:sz w:val="17"/>
                <w:szCs w:val="17"/>
                <w:color w:val="auto"/>
              </w:rPr>
            </w:pP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additional information.</w:t>
            </w:r>
          </w:p>
        </w:tc>
      </w:tr>
      <w:tr>
        <w:trPr>
          <w:trHeight w:val="392"/>
        </w:trPr>
        <w:tc>
          <w:tcPr>
            <w:tcW w:w="3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Proposed Nasdaq Global Market trading symbol</w:t>
            </w:r>
          </w:p>
        </w:tc>
        <w:tc>
          <w:tcPr>
            <w:tcW w:w="59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“TARS”</w:t>
            </w:r>
          </w:p>
        </w:tc>
      </w:tr>
      <w:tr>
        <w:trPr>
          <w:trHeight w:val="215"/>
        </w:trPr>
        <w:tc>
          <w:tcPr>
            <w:tcW w:w="3440" w:type="dxa"/>
            <w:vAlign w:val="bottom"/>
            <w:tcBorders>
              <w:left w:val="single" w:sz="8" w:color="auto"/>
              <w:bottom w:val="single" w:sz="8" w:color="auto"/>
            </w:tcBorders>
          </w:tcPr>
          <w:p>
            <w:pPr>
              <w:spacing w:after="0"/>
              <w:rPr>
                <w:sz w:val="18"/>
                <w:szCs w:val="18"/>
                <w:color w:val="auto"/>
              </w:rPr>
            </w:pPr>
          </w:p>
        </w:tc>
        <w:tc>
          <w:tcPr>
            <w:tcW w:w="5980" w:type="dxa"/>
            <w:vAlign w:val="bottom"/>
            <w:tcBorders>
              <w:bottom w:val="single" w:sz="8" w:color="auto"/>
              <w:right w:val="single" w:sz="8" w:color="auto"/>
            </w:tcBorders>
          </w:tcPr>
          <w:p>
            <w:pPr>
              <w:spacing w:after="0"/>
              <w:rPr>
                <w:sz w:val="18"/>
                <w:szCs w:val="18"/>
                <w:color w:val="auto"/>
              </w:rPr>
            </w:pPr>
          </w:p>
        </w:tc>
      </w:tr>
      <w:tr>
        <w:trPr>
          <w:trHeight w:val="514"/>
        </w:trPr>
        <w:tc>
          <w:tcPr>
            <w:tcW w:w="3440" w:type="dxa"/>
            <w:vAlign w:val="bottom"/>
          </w:tcPr>
          <w:p>
            <w:pPr>
              <w:spacing w:after="0"/>
              <w:rPr>
                <w:sz w:val="24"/>
                <w:szCs w:val="24"/>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5"/>
                <w:szCs w:val="15"/>
                <w:color w:val="auto"/>
              </w:rPr>
              <w:t>-12-</w:t>
            </w:r>
          </w:p>
        </w:tc>
      </w:tr>
    </w:tbl>
    <w:p>
      <w:pPr>
        <w:sectPr>
          <w:pgSz w:w="11900" w:h="16838" w:orient="portrait"/>
          <w:cols w:equalWidth="0" w:num="1">
            <w:col w:w="10340"/>
          </w:cols>
          <w:pgMar w:left="320" w:top="410" w:right="123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6934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9160" cy="56934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80" w:firstLine="727"/>
        <w:spacing w:after="0" w:line="268"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is based on 13,759,014 shares of our common stock outstanding as of June 30, 2020, assuming the conversion of all of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175" w:lineRule="exact"/>
        <w:rPr>
          <w:sz w:val="20"/>
          <w:szCs w:val="20"/>
          <w:color w:val="auto"/>
        </w:rPr>
      </w:pPr>
    </w:p>
    <w:p>
      <w:pPr>
        <w:ind w:left="2140" w:hanging="257"/>
        <w:spacing w:after="0" w:line="293"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1,230,701 shares of common stock issuable upon the exercise of options outstanding as of June 30, 2020, with a weighted-average exercise price of $1.60 per share;</w:t>
      </w:r>
    </w:p>
    <w:p>
      <w:pPr>
        <w:spacing w:after="0" w:line="155" w:lineRule="exact"/>
        <w:rPr>
          <w:rFonts w:ascii="Times New Roman" w:cs="Times New Roman" w:eastAsia="Times New Roman" w:hAnsi="Times New Roman"/>
          <w:sz w:val="15"/>
          <w:szCs w:val="15"/>
          <w:color w:val="auto"/>
        </w:rPr>
      </w:pPr>
    </w:p>
    <w:p>
      <w:pPr>
        <w:ind w:left="2140" w:hanging="257"/>
        <w:spacing w:after="0" w:line="275"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737,517 shares of common stock issuable upon the exercise of options granted after June 30, 2020, at a weighted-average exercise price of $7.08 per share (112,059 shares of which have been issued as of the date of this prospectus upon early exercise of stock options, but are not outstanding as they are subject to a right of repurchase);</w:t>
      </w:r>
    </w:p>
    <w:p>
      <w:pPr>
        <w:spacing w:after="0" w:line="167" w:lineRule="exact"/>
        <w:rPr>
          <w:rFonts w:ascii="Times New Roman" w:cs="Times New Roman" w:eastAsia="Times New Roman" w:hAnsi="Times New Roman"/>
          <w:sz w:val="15"/>
          <w:szCs w:val="15"/>
          <w:color w:val="auto"/>
        </w:rPr>
      </w:pPr>
    </w:p>
    <w:p>
      <w:pPr>
        <w:ind w:left="2140" w:right="20" w:hanging="257"/>
        <w:spacing w:after="0" w:line="293"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67,316 shares of common stock, issued as of June 30, 2020 upon the early exercise of certain stock options, but not outstanding as they are subject to a right of repurchase;</w:t>
      </w:r>
    </w:p>
    <w:p>
      <w:pPr>
        <w:spacing w:after="0" w:line="155" w:lineRule="exact"/>
        <w:rPr>
          <w:rFonts w:ascii="Times New Roman" w:cs="Times New Roman" w:eastAsia="Times New Roman" w:hAnsi="Times New Roman"/>
          <w:sz w:val="15"/>
          <w:szCs w:val="15"/>
          <w:color w:val="auto"/>
        </w:rPr>
      </w:pPr>
    </w:p>
    <w:p>
      <w:pPr>
        <w:jc w:val="both"/>
        <w:ind w:left="2140" w:right="200" w:hanging="257"/>
        <w:spacing w:after="0" w:line="275"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1,148,915 shares of common stock reserved for future issuance under our 2016 Stock Plan, as amended, or the 2016 Plan, as of June 30, 2020, which shares will be added to the shares to be reserved under our 2020 Equity Incentive Plan, or the 2020 Plan, upon its effectiveness; and</w:t>
      </w:r>
    </w:p>
    <w:p>
      <w:pPr>
        <w:spacing w:after="0" w:line="167" w:lineRule="exact"/>
        <w:rPr>
          <w:rFonts w:ascii="Times New Roman" w:cs="Times New Roman" w:eastAsia="Times New Roman" w:hAnsi="Times New Roman"/>
          <w:sz w:val="15"/>
          <w:szCs w:val="15"/>
          <w:color w:val="auto"/>
        </w:rPr>
      </w:pPr>
    </w:p>
    <w:p>
      <w:pPr>
        <w:ind w:left="2140" w:right="60" w:hanging="257"/>
        <w:spacing w:after="0" w:line="275"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7" w:lineRule="exact"/>
        <w:rPr>
          <w:rFonts w:ascii="Times New Roman" w:cs="Times New Roman" w:eastAsia="Times New Roman" w:hAnsi="Times New Roman"/>
          <w:sz w:val="15"/>
          <w:szCs w:val="15"/>
          <w:color w:val="auto"/>
        </w:rPr>
      </w:pPr>
    </w:p>
    <w:p>
      <w:pPr>
        <w:jc w:val="both"/>
        <w:ind w:left="2140" w:right="20" w:hanging="257"/>
        <w:spacing w:after="0" w:line="268"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2,300,000 shares of common stock reserved for issuance under our 2020 Employee Stock Purchase Plan, or the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74" w:lineRule="exact"/>
        <w:rPr>
          <w:rFonts w:ascii="Times New Roman" w:cs="Times New Roman" w:eastAsia="Times New Roman" w:hAnsi="Times New Roman"/>
          <w:sz w:val="15"/>
          <w:szCs w:val="15"/>
          <w:color w:val="auto"/>
        </w:rPr>
      </w:pPr>
    </w:p>
    <w:p>
      <w:pPr>
        <w:ind w:left="2140" w:right="340" w:hanging="257"/>
        <w:spacing w:after="0" w:line="293" w:lineRule="auto"/>
        <w:tabs>
          <w:tab w:leader="none" w:pos="2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222,460 shares of common stock issued to Elanco in September 2020 pursuant to the All Human Uses Elanco Agreement (as described in “Business—License Agreements—All Human Uses Elanco Agreement”).</w:t>
      </w:r>
    </w:p>
    <w:p>
      <w:pPr>
        <w:spacing w:after="0" w:line="1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Unless otherwise indicated, all information in this prospectus assumes:</w:t>
      </w:r>
    </w:p>
    <w:p>
      <w:pPr>
        <w:spacing w:after="0" w:line="219" w:lineRule="exact"/>
        <w:rPr>
          <w:sz w:val="20"/>
          <w:szCs w:val="20"/>
          <w:color w:val="auto"/>
        </w:rPr>
      </w:pPr>
    </w:p>
    <w:p>
      <w:pPr>
        <w:ind w:left="2140" w:hanging="257"/>
        <w:spacing w:after="0"/>
        <w:tabs>
          <w:tab w:leader="none" w:pos="21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one-for-7.4276 reverse stock split of our common stock and our preferred stock which became effective on October 9, 2020;</w:t>
      </w:r>
    </w:p>
    <w:p>
      <w:pPr>
        <w:spacing w:after="0" w:line="219" w:lineRule="exact"/>
        <w:rPr>
          <w:rFonts w:ascii="Times New Roman" w:cs="Times New Roman" w:eastAsia="Times New Roman" w:hAnsi="Times New Roman"/>
          <w:sz w:val="15"/>
          <w:szCs w:val="15"/>
          <w:color w:val="auto"/>
        </w:rPr>
      </w:pPr>
    </w:p>
    <w:p>
      <w:pPr>
        <w:ind w:left="2140" w:right="20" w:hanging="257"/>
        <w:spacing w:after="0" w:line="275" w:lineRule="auto"/>
        <w:tabs>
          <w:tab w:leader="none" w:pos="21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of our 11,107,018 outstanding shares of our preferred stock, including 2,857,079 shares of Series C preferred stock issued in September 2020, into an aggregate of 11,107,018 shares of common stock immediately prior to and in connection with the completion of this offering;</w:t>
      </w:r>
    </w:p>
    <w:p>
      <w:pPr>
        <w:spacing w:after="0" w:line="167" w:lineRule="exact"/>
        <w:rPr>
          <w:rFonts w:ascii="Times New Roman" w:cs="Times New Roman" w:eastAsia="Times New Roman" w:hAnsi="Times New Roman"/>
          <w:sz w:val="15"/>
          <w:szCs w:val="15"/>
          <w:color w:val="auto"/>
        </w:rPr>
      </w:pPr>
    </w:p>
    <w:p>
      <w:pPr>
        <w:ind w:left="2140" w:right="60" w:hanging="257"/>
        <w:spacing w:after="0" w:line="293" w:lineRule="auto"/>
        <w:tabs>
          <w:tab w:leader="none" w:pos="21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filing and effectiveness of our amended and restated certificate of incorporation and the adoption of our amended and restated bylaws, each of which will occur immediately prior to the completion of this offering;</w:t>
      </w:r>
    </w:p>
    <w:p>
      <w:pPr>
        <w:spacing w:after="0" w:line="155" w:lineRule="exact"/>
        <w:rPr>
          <w:rFonts w:ascii="Times New Roman" w:cs="Times New Roman" w:eastAsia="Times New Roman" w:hAnsi="Times New Roman"/>
          <w:sz w:val="15"/>
          <w:szCs w:val="15"/>
          <w:color w:val="auto"/>
        </w:rPr>
      </w:pPr>
    </w:p>
    <w:p>
      <w:pPr>
        <w:ind w:left="2140" w:hanging="257"/>
        <w:spacing w:after="0"/>
        <w:tabs>
          <w:tab w:leader="none" w:pos="21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underwriters’ option to purchase additional shares; and</w:t>
      </w:r>
    </w:p>
    <w:p>
      <w:pPr>
        <w:spacing w:after="0" w:line="219" w:lineRule="exact"/>
        <w:rPr>
          <w:rFonts w:ascii="Times New Roman" w:cs="Times New Roman" w:eastAsia="Times New Roman" w:hAnsi="Times New Roman"/>
          <w:sz w:val="15"/>
          <w:szCs w:val="15"/>
          <w:color w:val="auto"/>
        </w:rPr>
      </w:pPr>
    </w:p>
    <w:p>
      <w:pPr>
        <w:ind w:left="2140" w:hanging="257"/>
        <w:spacing w:after="0"/>
        <w:tabs>
          <w:tab w:leader="none" w:pos="21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the outstanding options described above after June 30, 2020.</w:t>
      </w:r>
    </w:p>
    <w:p>
      <w:pPr>
        <w:spacing w:after="0" w:line="200" w:lineRule="exact"/>
        <w:rPr>
          <w:rFonts w:ascii="Times New Roman" w:cs="Times New Roman" w:eastAsia="Times New Roman" w:hAnsi="Times New Roman"/>
          <w:sz w:val="15"/>
          <w:szCs w:val="15"/>
          <w:color w:val="auto"/>
        </w:rPr>
      </w:pPr>
    </w:p>
    <w:p>
      <w:pPr>
        <w:spacing w:after="0" w:line="365"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13 -</w:t>
      </w:r>
    </w:p>
    <w:p>
      <w:pPr>
        <w:sectPr>
          <w:pgSz w:w="11900" w:h="16838" w:orient="portrait"/>
          <w:cols w:equalWidth="0" w:num="1">
            <w:col w:w="10160"/>
          </w:cols>
          <w:pgMar w:left="320" w:top="410" w:right="141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5049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79160" cy="50495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b w:val="1"/>
          <w:bCs w:val="1"/>
          <w:color w:val="auto"/>
        </w:rPr>
        <w:t>SUMMARY FINANCIAL DATA</w:t>
      </w:r>
    </w:p>
    <w:p>
      <w:pPr>
        <w:spacing w:after="0" w:line="200" w:lineRule="exact"/>
        <w:rPr>
          <w:sz w:val="20"/>
          <w:szCs w:val="20"/>
          <w:color w:val="auto"/>
        </w:rPr>
      </w:pPr>
    </w:p>
    <w:p>
      <w:pPr>
        <w:ind w:left="1080" w:right="200" w:firstLine="727"/>
        <w:spacing w:after="0" w:line="260" w:lineRule="auto"/>
        <w:rPr>
          <w:sz w:val="20"/>
          <w:szCs w:val="20"/>
          <w:color w:val="auto"/>
        </w:rPr>
      </w:pPr>
      <w:r>
        <w:rPr>
          <w:rFonts w:ascii="Times New Roman" w:cs="Times New Roman" w:eastAsia="Times New Roman" w:hAnsi="Times New Roman"/>
          <w:sz w:val="15"/>
          <w:szCs w:val="15"/>
          <w:color w:val="auto"/>
        </w:rPr>
        <w:t>The summary statements of operations data for the years ended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results that may be expected in the future, and the results for the six months ended June 30, 2020, are not necessarily indicative of results that may be expected for the full year or any other period. You should read these summary financial data together with our financial statements and related notes appearing elsewhere in this prospectus and the information in the sections titled “Selected Financial Data” and “Management’s Discussion and Analysis of Financial Condition and Results of Operations.” The selected financial data in this section are not intended to replace our financial statements and the related notes and are qualified in their entirety by the financial statements and related notes included elsewhere in this prospectus.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6"/>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0" w:type="dxa"/>
            <w:vAlign w:val="bottom"/>
          </w:tcPr>
          <w:p>
            <w:pPr>
              <w:spacing w:after="0"/>
              <w:rPr>
                <w:sz w:val="12"/>
                <w:szCs w:val="12"/>
                <w:color w:val="auto"/>
              </w:rPr>
            </w:pPr>
          </w:p>
        </w:tc>
        <w:tc>
          <w:tcPr>
            <w:tcW w:w="2120" w:type="dxa"/>
            <w:vAlign w:val="bottom"/>
            <w:gridSpan w:val="6"/>
          </w:tcPr>
          <w:p>
            <w:pPr>
              <w:ind w:left="1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18"/>
        </w:trPr>
        <w:tc>
          <w:tcPr>
            <w:tcW w:w="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4"/>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65"/>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2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7"/>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Statement of Operations Data:</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901</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3,162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2,066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3,249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1,136</w:t>
            </w:r>
          </w:p>
        </w:tc>
        <w:tc>
          <w:tcPr>
            <w:tcW w:w="8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514</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2,132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1,350</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4,298</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2,580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5,381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Loss from operations before other income (expense) and income taxes</w:t>
            </w:r>
          </w:p>
        </w:tc>
        <w:tc>
          <w:tcPr>
            <w:tcW w:w="3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4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4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Loss on extinguishment of related party convertible notes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(371)</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0" w:type="dxa"/>
            <w:vAlign w:val="bottom"/>
          </w:tcPr>
          <w:p>
            <w:pPr>
              <w:spacing w:after="0"/>
              <w:rPr>
                <w:sz w:val="16"/>
                <w:szCs w:val="16"/>
                <w:color w:val="auto"/>
              </w:rPr>
            </w:pPr>
          </w:p>
        </w:tc>
        <w:tc>
          <w:tcPr>
            <w:tcW w:w="43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(1,319)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(4,670)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(2,576)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(5,207)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xml:space="preserve">diluted </w:t>
            </w:r>
            <w:r>
              <w:rPr>
                <w:rFonts w:ascii="Times New Roman" w:cs="Times New Roman" w:eastAsia="Times New Roman" w:hAnsi="Times New Roman"/>
                <w:sz w:val="13"/>
                <w:szCs w:val="13"/>
                <w:color w:val="auto"/>
              </w:rPr>
              <w:t>(1)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(0.75)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(1.98)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4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Weighted-average shares outstanding used in computing net loss per</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xml:space="preserve">share attributable to common stockholders, basic and diluted </w:t>
            </w:r>
            <w:r>
              <w:rPr>
                <w:rFonts w:ascii="Times New Roman" w:cs="Times New Roman" w:eastAsia="Times New Roman" w:hAnsi="Times New Roman"/>
                <w:sz w:val="13"/>
                <w:szCs w:val="13"/>
                <w:color w:val="auto"/>
              </w:rPr>
              <w:t>(1)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9"/>
              </w:rPr>
              <w:t>1,759,495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w w:val="99"/>
              </w:rPr>
              <w:t>2,362,768</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w w:val="99"/>
              </w:rPr>
              <w:t>2,238,793</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2,650,843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Pro forma net loss per share attributable to common stockholders,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 xml:space="preserve">basic and diluted (unaudited) </w:t>
            </w:r>
            <w:r>
              <w:rPr>
                <w:rFonts w:ascii="Times New Roman" w:cs="Times New Roman" w:eastAsia="Times New Roman" w:hAnsi="Times New Roman"/>
                <w:sz w:val="13"/>
                <w:szCs w:val="13"/>
                <w:color w:val="auto"/>
              </w:rPr>
              <w:t>(1)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(1.09)</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4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Weighted-average shares outstanding used in computing pro forma net</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loss per share attributable to common stockholders, basic and</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xml:space="preserve">diluted (unaudited) </w:t>
            </w:r>
            <w:r>
              <w:rPr>
                <w:rFonts w:ascii="Times New Roman" w:cs="Times New Roman" w:eastAsia="Times New Roman" w:hAnsi="Times New Roman"/>
                <w:sz w:val="13"/>
                <w:szCs w:val="13"/>
                <w:color w:val="auto"/>
              </w:rPr>
              <w:t>(1)</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w w:val="99"/>
              </w:rPr>
              <w:t>4,285,262</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10,900,782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14"/>
        </w:trPr>
        <w:tc>
          <w:tcPr>
            <w:tcW w:w="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177165</wp:posOffset>
            </wp:positionV>
            <wp:extent cx="5979160" cy="4404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9160" cy="440499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440" w:right="339" w:hanging="364"/>
        <w:spacing w:after="0" w:line="257" w:lineRule="auto"/>
        <w:tabs>
          <w:tab w:leader="none" w:pos="1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calculation of our basic and diluted net loss per share attributable to common stockholders, unaudited basic and diluted pro forma net loss per share and weighted-average number of shares used in the computation of the per share amounts, see Note 6 and Note 7 to our financial statements included elsewhere in this prospectus.</w:t>
      </w:r>
    </w:p>
    <w:p>
      <w:pPr>
        <w:spacing w:after="0" w:line="1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The following table presents our balance sheet data as of June 30, 2020:</w:t>
      </w:r>
    </w:p>
    <w:p>
      <w:pPr>
        <w:spacing w:after="0" w:line="219" w:lineRule="exact"/>
        <w:rPr>
          <w:sz w:val="20"/>
          <w:szCs w:val="20"/>
          <w:color w:val="auto"/>
        </w:rPr>
      </w:pPr>
    </w:p>
    <w:p>
      <w:pPr>
        <w:ind w:left="2140" w:hanging="257"/>
        <w:spacing w:after="0"/>
        <w:tabs>
          <w:tab w:leader="none" w:pos="21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219" w:lineRule="exact"/>
        <w:rPr>
          <w:rFonts w:ascii="Times New Roman" w:cs="Times New Roman" w:eastAsia="Times New Roman" w:hAnsi="Times New Roman"/>
          <w:sz w:val="15"/>
          <w:szCs w:val="15"/>
          <w:color w:val="auto"/>
        </w:rPr>
      </w:pPr>
    </w:p>
    <w:p>
      <w:pPr>
        <w:ind w:left="2140" w:right="239" w:hanging="257"/>
        <w:spacing w:after="0" w:line="268" w:lineRule="auto"/>
        <w:tabs>
          <w:tab w:leader="none" w:pos="21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to give effect to: (i) the issuance of 2,857,079 shares of Series C preferred stock for net cash proceeds of $39.8 million in September 2020; and (ii) the conversion of all of our outstanding shares of convertible preferred stock into an aggregate of 11,107,018 shares of our common stock, which includes our Series C preferred stock issued in September 2020, immediately prior to the completion of this offering; and</w:t>
      </w:r>
    </w:p>
    <w:p>
      <w:pPr>
        <w:spacing w:after="0" w:line="174" w:lineRule="exact"/>
        <w:rPr>
          <w:rFonts w:ascii="Times New Roman" w:cs="Times New Roman" w:eastAsia="Times New Roman" w:hAnsi="Times New Roman"/>
          <w:sz w:val="15"/>
          <w:szCs w:val="15"/>
          <w:color w:val="auto"/>
        </w:rPr>
      </w:pPr>
    </w:p>
    <w:p>
      <w:pPr>
        <w:ind w:left="2140" w:right="79" w:hanging="257"/>
        <w:spacing w:after="0" w:line="268" w:lineRule="auto"/>
        <w:tabs>
          <w:tab w:leader="none" w:pos="21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(i) the pro forma adjustments set forth above and (ii) our sale of 5,000,000 shares of our common stock in this offering at an assumed initial public offering price of $16.00 per share, which is the midpoint of the price range set forth on the cover page of this prospectus, after deducting estimated underwriting discounts and commissions and estimated offering expenses payable by us.</w:t>
      </w:r>
    </w:p>
    <w:p>
      <w:pPr>
        <w:spacing w:after="0" w:line="168" w:lineRule="exact"/>
        <w:rPr>
          <w:sz w:val="20"/>
          <w:szCs w:val="20"/>
          <w:color w:val="auto"/>
        </w:rPr>
      </w:pPr>
    </w:p>
    <w:tbl>
      <w:tblPr>
        <w:tblLayout w:type="fixed"/>
        <w:tblInd w:w="174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2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As of June 30, 2020 (unaudited)</w:t>
            </w:r>
          </w:p>
        </w:tc>
        <w:tc>
          <w:tcPr>
            <w:tcW w:w="0" w:type="dxa"/>
            <w:vAlign w:val="bottom"/>
          </w:tcPr>
          <w:p>
            <w:pPr>
              <w:spacing w:after="0"/>
              <w:rPr>
                <w:sz w:val="1"/>
                <w:szCs w:val="1"/>
                <w:color w:val="auto"/>
              </w:rPr>
            </w:pPr>
          </w:p>
        </w:tc>
      </w:tr>
      <w:tr>
        <w:trPr>
          <w:trHeight w:val="97"/>
        </w:trPr>
        <w:tc>
          <w:tcPr>
            <w:tcW w:w="4840" w:type="dxa"/>
            <w:vAlign w:val="bottom"/>
          </w:tcPr>
          <w:p>
            <w:pPr>
              <w:spacing w:after="0"/>
              <w:rPr>
                <w:sz w:val="8"/>
                <w:szCs w:val="8"/>
                <w:color w:val="auto"/>
              </w:rPr>
            </w:pPr>
          </w:p>
        </w:tc>
        <w:tc>
          <w:tcPr>
            <w:tcW w:w="60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138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9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Pro Forma As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xml:space="preserve">Adjusted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8"/>
        </w:trPr>
        <w:tc>
          <w:tcPr>
            <w:tcW w:w="48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left="229"/>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$ 53,135</w:t>
            </w:r>
          </w:p>
        </w:tc>
        <w:tc>
          <w:tcPr>
            <w:tcW w:w="1380" w:type="dxa"/>
            <w:vAlign w:val="bottom"/>
          </w:tcPr>
          <w:p>
            <w:pPr>
              <w:jc w:val="center"/>
              <w:ind w:left="249"/>
              <w:spacing w:after="0"/>
              <w:rPr>
                <w:sz w:val="20"/>
                <w:szCs w:val="20"/>
                <w:color w:val="auto"/>
              </w:rPr>
            </w:pPr>
            <w:r>
              <w:rPr>
                <w:rFonts w:ascii="Times New Roman" w:cs="Times New Roman" w:eastAsia="Times New Roman" w:hAnsi="Times New Roman"/>
                <w:sz w:val="15"/>
                <w:szCs w:val="15"/>
                <w:color w:val="auto"/>
              </w:rPr>
              <w:t>92,890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165,001</w:t>
            </w:r>
          </w:p>
        </w:tc>
        <w:tc>
          <w:tcPr>
            <w:tcW w:w="0" w:type="dxa"/>
            <w:vAlign w:val="bottom"/>
          </w:tcPr>
          <w:p>
            <w:pPr>
              <w:spacing w:after="0"/>
              <w:rPr>
                <w:sz w:val="1"/>
                <w:szCs w:val="1"/>
                <w:color w:val="auto"/>
              </w:rPr>
            </w:pPr>
          </w:p>
        </w:tc>
      </w:tr>
      <w:tr>
        <w:trPr>
          <w:trHeight w:val="18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Working capital </w:t>
            </w:r>
            <w:r>
              <w:rPr>
                <w:rFonts w:ascii="Times New Roman" w:cs="Times New Roman" w:eastAsia="Times New Roman" w:hAnsi="Times New Roman"/>
                <w:sz w:val="13"/>
                <w:szCs w:val="13"/>
                <w:color w:val="auto"/>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51,631</w:t>
            </w:r>
          </w:p>
        </w:tc>
        <w:tc>
          <w:tcPr>
            <w:tcW w:w="138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5"/>
                <w:szCs w:val="15"/>
                <w:color w:val="auto"/>
              </w:rPr>
              <w:t>91,386</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163,497</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56,239</w:t>
            </w:r>
          </w:p>
        </w:tc>
        <w:tc>
          <w:tcPr>
            <w:tcW w:w="1380" w:type="dxa"/>
            <w:vAlign w:val="bottom"/>
          </w:tcPr>
          <w:p>
            <w:pPr>
              <w:jc w:val="center"/>
              <w:ind w:left="249"/>
              <w:spacing w:after="0"/>
              <w:rPr>
                <w:sz w:val="20"/>
                <w:szCs w:val="20"/>
                <w:color w:val="auto"/>
              </w:rPr>
            </w:pPr>
            <w:r>
              <w:rPr>
                <w:rFonts w:ascii="Times New Roman" w:cs="Times New Roman" w:eastAsia="Times New Roman" w:hAnsi="Times New Roman"/>
                <w:sz w:val="15"/>
                <w:szCs w:val="15"/>
                <w:color w:val="auto"/>
              </w:rPr>
              <w:t>95,994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168,105</w:t>
            </w:r>
          </w:p>
        </w:tc>
        <w:tc>
          <w:tcPr>
            <w:tcW w:w="0" w:type="dxa"/>
            <w:vAlign w:val="bottom"/>
          </w:tcPr>
          <w:p>
            <w:pPr>
              <w:spacing w:after="0"/>
              <w:rPr>
                <w:sz w:val="1"/>
                <w:szCs w:val="1"/>
                <w:color w:val="auto"/>
              </w:rPr>
            </w:pPr>
          </w:p>
        </w:tc>
      </w:tr>
      <w:tr>
        <w:trPr>
          <w:trHeight w:val="18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63,402</w:t>
            </w: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(deficit)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(11,035)</w:t>
            </w:r>
          </w:p>
        </w:tc>
        <w:tc>
          <w:tcPr>
            <w:tcW w:w="1380" w:type="dxa"/>
            <w:vAlign w:val="bottom"/>
          </w:tcPr>
          <w:p>
            <w:pPr>
              <w:jc w:val="center"/>
              <w:ind w:left="249"/>
              <w:spacing w:after="0"/>
              <w:rPr>
                <w:sz w:val="20"/>
                <w:szCs w:val="20"/>
                <w:color w:val="auto"/>
              </w:rPr>
            </w:pPr>
            <w:r>
              <w:rPr>
                <w:rFonts w:ascii="Times New Roman" w:cs="Times New Roman" w:eastAsia="Times New Roman" w:hAnsi="Times New Roman"/>
                <w:sz w:val="15"/>
                <w:szCs w:val="15"/>
                <w:color w:val="auto"/>
              </w:rPr>
              <w:t>92,122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164,233</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40" w:right="59" w:hanging="364"/>
        <w:spacing w:after="0" w:line="227" w:lineRule="auto"/>
        <w:tabs>
          <w:tab w:leader="none" w:pos="1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(decrease) in the assumed initial public offering price of $16.00 per share, the midpoint of the price range set forth on the cover of this prospectus, would increase (decrease) the pro forma as adjusted amount of each of cash, cash equivalents and marketable securities, working capital, total assets and total stockholders’ equity by $4.7 million, assuming that the number of shares offered by us, as set forth on the cover of this prospectus, remains the same and after deducting estimated underwriting discounts and commissions and estimated offering expenses payable by us. We may also increase (decrease) the number of shares we are offering. Similarly, each increase (decrease) of 1.0 million in the number of shares offered by us in this offering would increase (decrease) the pro forma as adjusted amount of each of cash, cash equivalents and marketable securities, working capital, total assets and total stockholders’ equity by $14.9 million, assuming the initial offering price remains the same and after deducting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75" w:lineRule="exact"/>
        <w:rPr>
          <w:rFonts w:ascii="Times New Roman" w:cs="Times New Roman" w:eastAsia="Times New Roman" w:hAnsi="Times New Roman"/>
          <w:sz w:val="12"/>
          <w:szCs w:val="12"/>
          <w:color w:val="auto"/>
        </w:rPr>
      </w:pPr>
    </w:p>
    <w:p>
      <w:pPr>
        <w:ind w:left="1440" w:right="219" w:hanging="364"/>
        <w:spacing w:after="0" w:line="261" w:lineRule="auto"/>
        <w:tabs>
          <w:tab w:leader="none" w:pos="1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define working capital as current assets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current liabilities. See our unaudited financial statements and related notes appearing at the end of this prospectus for further details regarding our current assets and current liabilities.</w:t>
      </w:r>
    </w:p>
    <w:p>
      <w:pPr>
        <w:spacing w:after="0" w:line="200" w:lineRule="exact"/>
        <w:rPr>
          <w:rFonts w:ascii="Times New Roman" w:cs="Times New Roman" w:eastAsia="Times New Roman" w:hAnsi="Times New Roman"/>
          <w:sz w:val="12"/>
          <w:szCs w:val="12"/>
          <w:color w:val="auto"/>
        </w:rPr>
      </w:pPr>
    </w:p>
    <w:p>
      <w:pPr>
        <w:spacing w:after="0" w:line="325" w:lineRule="exact"/>
        <w:rPr>
          <w:rFonts w:ascii="Times New Roman" w:cs="Times New Roman" w:eastAsia="Times New Roman" w:hAnsi="Times New Roman"/>
          <w:sz w:val="12"/>
          <w:szCs w:val="12"/>
          <w:color w:val="auto"/>
        </w:rPr>
      </w:pPr>
    </w:p>
    <w:p>
      <w:pPr>
        <w:ind w:left="5540" w:hanging="82"/>
        <w:spacing w:after="0"/>
        <w:tabs>
          <w:tab w:leader="none" w:pos="554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15 -</w:t>
      </w:r>
    </w:p>
    <w:p>
      <w:pPr>
        <w:sectPr>
          <w:pgSz w:w="11900" w:h="16838" w:orient="portrait"/>
          <w:cols w:equalWidth="0" w:num="1">
            <w:col w:w="10139"/>
          </w:cols>
          <w:pgMar w:left="320" w:top="410" w:right="1440"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6" w:lineRule="exact"/>
        <w:rPr>
          <w:sz w:val="20"/>
          <w:szCs w:val="20"/>
          <w:color w:val="auto"/>
        </w:rPr>
      </w:pPr>
    </w:p>
    <w:p>
      <w:pPr>
        <w:ind w:left="920" w:right="20" w:firstLine="753"/>
        <w:spacing w:after="0" w:line="263" w:lineRule="auto"/>
        <w:rPr>
          <w:sz w:val="20"/>
          <w:szCs w:val="20"/>
          <w:color w:val="auto"/>
        </w:rPr>
      </w:pPr>
      <w:r>
        <w:rPr>
          <w:rFonts w:ascii="Times New Roman" w:cs="Times New Roman" w:eastAsia="Times New Roman" w:hAnsi="Times New Roman"/>
          <w:sz w:val="15"/>
          <w:szCs w:val="15"/>
          <w:i w:val="1"/>
          <w:iCs w:val="1"/>
          <w:color w:val="auto"/>
        </w:rPr>
        <w:t>Investing in our common stock is speculative and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our Financial Position and Need for Additional Capital</w:t>
      </w:r>
    </w:p>
    <w:p>
      <w:pPr>
        <w:spacing w:after="0" w:line="196" w:lineRule="exact"/>
        <w:rPr>
          <w:sz w:val="20"/>
          <w:szCs w:val="20"/>
          <w:color w:val="auto"/>
        </w:rPr>
      </w:pPr>
    </w:p>
    <w:p>
      <w:pPr>
        <w:ind w:left="920" w:right="4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2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and convertible promissory notes. For the years ended December 31, 2019 and 2018, our net losses were $4.7 million and $1.3 million, respectively. For the six months ended June 30, 2019 and 2020, our net losses were $2.6 million and $5.2 million, respectively. As of December 31, 2019 and June 30, 2020, we had an accumulated deficit of $6.0 million and $11.2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6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We expect to continue incurring significant expenses and increasing operating losses for the foreseeable future. We expect that our expenses will increase substantially if and as we:</w:t>
      </w:r>
    </w:p>
    <w:p>
      <w:pPr>
        <w:spacing w:after="0" w:line="155" w:lineRule="exact"/>
        <w:rPr>
          <w:sz w:val="20"/>
          <w:szCs w:val="20"/>
          <w:color w:val="auto"/>
        </w:rPr>
      </w:pPr>
    </w:p>
    <w:p>
      <w:pPr>
        <w:ind w:left="2040" w:hanging="278"/>
        <w:spacing w:after="0"/>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for and initiate additional preclinical, clinical and other studies for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or add additional manufacturers or suppliers, some of which may require additional permits or other governmental approvals;</w:t>
      </w:r>
    </w:p>
    <w:p>
      <w:pPr>
        <w:spacing w:after="0" w:line="219" w:lineRule="exact"/>
        <w:rPr>
          <w:rFonts w:ascii="Times New Roman" w:cs="Times New Roman" w:eastAsia="Times New Roman" w:hAnsi="Times New Roman"/>
          <w:sz w:val="15"/>
          <w:szCs w:val="15"/>
          <w:color w:val="auto"/>
        </w:rPr>
      </w:pPr>
    </w:p>
    <w:p>
      <w:pPr>
        <w:ind w:left="2040" w:right="780" w:hanging="278"/>
        <w:spacing w:after="0" w:line="293" w:lineRule="auto"/>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additional infrastructure to support our operations as a public company, including adding operational, financial and management information systems and personnel;</w:t>
      </w:r>
    </w:p>
    <w:p>
      <w:pPr>
        <w:spacing w:after="0" w:line="155" w:lineRule="exact"/>
        <w:rPr>
          <w:rFonts w:ascii="Times New Roman" w:cs="Times New Roman" w:eastAsia="Times New Roman" w:hAnsi="Times New Roman"/>
          <w:sz w:val="15"/>
          <w:szCs w:val="15"/>
          <w:color w:val="auto"/>
        </w:rPr>
      </w:pPr>
    </w:p>
    <w:p>
      <w:pPr>
        <w:ind w:left="2040" w:right="580" w:hanging="278"/>
        <w:spacing w:after="0" w:line="293" w:lineRule="auto"/>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 our product development and planned future commercialization efforts, including through hiring additional clinical, regulatory, quality control and scientific personnel;</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marketing approvals and reimbursement for our product candidates;</w:t>
      </w:r>
    </w:p>
    <w:p>
      <w:pPr>
        <w:spacing w:after="0" w:line="219" w:lineRule="exact"/>
        <w:rPr>
          <w:rFonts w:ascii="Times New Roman" w:cs="Times New Roman" w:eastAsia="Times New Roman" w:hAnsi="Times New Roman"/>
          <w:sz w:val="15"/>
          <w:szCs w:val="15"/>
          <w:color w:val="auto"/>
        </w:rPr>
      </w:pPr>
    </w:p>
    <w:p>
      <w:pPr>
        <w:ind w:left="2040" w:right="480" w:hanging="278"/>
        <w:spacing w:after="0" w:line="293" w:lineRule="auto"/>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 sales, marketing, and distribution infrastructure to commercialize any products for which we may obtain marketing approval;</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identify, assess, acquire or develop additional product candidates;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16 -</w:t>
      </w:r>
    </w:p>
    <w:p>
      <w:pPr>
        <w:sectPr>
          <w:pgSz w:w="11900" w:h="16838" w:orient="portrait"/>
          <w:cols w:equalWidth="0" w:num="1">
            <w:col w:w="10280"/>
          </w:cols>
          <w:pgMar w:left="320" w:top="410" w:right="1299"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or in-license other product candidates and technologies;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milestone or other payments in connection with the development or approval of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protect, enforce and expand our intellectual property portfolio;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any delays or encounter issues with any of the above.</w:t>
      </w:r>
    </w:p>
    <w:p>
      <w:pPr>
        <w:spacing w:after="0" w:line="196" w:lineRule="exact"/>
        <w:rPr>
          <w:sz w:val="20"/>
          <w:szCs w:val="20"/>
          <w:color w:val="auto"/>
        </w:rPr>
      </w:pPr>
    </w:p>
    <w:p>
      <w:pPr>
        <w:jc w:val="both"/>
        <w:ind w:left="920" w:right="360" w:firstLine="753"/>
        <w:spacing w:after="0" w:line="275"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68" w:lineRule="exact"/>
        <w:rPr>
          <w:sz w:val="20"/>
          <w:szCs w:val="20"/>
          <w:color w:val="auto"/>
        </w:rPr>
      </w:pPr>
    </w:p>
    <w:p>
      <w:pPr>
        <w:ind w:left="2040" w:hanging="278"/>
        <w:spacing w:after="0"/>
        <w:tabs>
          <w:tab w:leader="none" w:pos="20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required by regulatory authorities to perform trials or studies in addition to, or different than, those that we currently expect;</w:t>
      </w:r>
    </w:p>
    <w:p>
      <w:pPr>
        <w:spacing w:after="0" w:line="219"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any delays in establishing appropriate manufacturing arrangements for or completing the development of any of our product candidates; or</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any third-party challenges to our intellectual property or we need to defend against any intellectual property-related claim.</w:t>
      </w:r>
    </w:p>
    <w:p>
      <w:pPr>
        <w:spacing w:after="0" w:line="196"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300"/>
          </w:cols>
          <w:pgMar w:left="320" w:top="410" w:right="127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45"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57" w:lineRule="exact"/>
        <w:rPr>
          <w:sz w:val="20"/>
          <w:szCs w:val="20"/>
          <w:color w:val="auto"/>
        </w:rPr>
      </w:pPr>
    </w:p>
    <w:p>
      <w:pPr>
        <w:jc w:val="both"/>
        <w:ind w:left="920" w:right="14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45"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Since our inception, we have funded our operations through private placements of preferred stock and convertible promissory notes.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upon the completion of this offering, we expect to incur additional costs associated with operating as a public company.</w:t>
      </w:r>
    </w:p>
    <w:p>
      <w:pPr>
        <w:spacing w:after="0" w:line="153" w:lineRule="exact"/>
        <w:rPr>
          <w:sz w:val="20"/>
          <w:szCs w:val="20"/>
          <w:color w:val="auto"/>
        </w:rPr>
      </w:pPr>
    </w:p>
    <w:p>
      <w:pPr>
        <w:ind w:left="920" w:right="20" w:firstLine="753"/>
        <w:spacing w:after="0" w:line="260" w:lineRule="auto"/>
        <w:rPr>
          <w:sz w:val="20"/>
          <w:szCs w:val="20"/>
          <w:color w:val="auto"/>
        </w:rPr>
      </w:pPr>
      <w:r>
        <w:rPr>
          <w:rFonts w:ascii="Times New Roman" w:cs="Times New Roman" w:eastAsia="Times New Roman" w:hAnsi="Times New Roman"/>
          <w:sz w:val="15"/>
          <w:szCs w:val="15"/>
          <w:color w:val="auto"/>
        </w:rPr>
        <w:t>As of June 30, 2020, we had $53.1 million in cash and cash equivalents. We raised an additional $39.8 million in net cash proceeds from the sale of Series C preferred stock in September 2020. Based on our current business plans, we believe that our existing cash and cash equivalents will be sufficient to fund our anticipated level of operations through at least the next 12 months without the proceeds from this offering. With the expected net proceeds from this offering, we believe that our cash and cash equivalents will be sufficient to fund our operating expenses and capital expenditure requirements into the fourth quarter of 2022. Accordingly, the expected net proceeds from this offering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320"/>
          </w:cols>
          <w:pgMar w:left="320" w:top="410" w:right="125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40" w:firstLine="753"/>
        <w:spacing w:after="0" w:line="275" w:lineRule="auto"/>
        <w:rPr>
          <w:sz w:val="20"/>
          <w:szCs w:val="20"/>
          <w:color w:val="auto"/>
        </w:rPr>
      </w:pPr>
      <w:r>
        <w:rPr>
          <w:rFonts w:ascii="Times New Roman" w:cs="Times New Roman" w:eastAsia="Times New Roman" w:hAnsi="Times New Roman"/>
          <w:sz w:val="15"/>
          <w:szCs w:val="15"/>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68" w:lineRule="exact"/>
        <w:rPr>
          <w:sz w:val="20"/>
          <w:szCs w:val="20"/>
          <w:color w:val="auto"/>
        </w:rPr>
      </w:pPr>
    </w:p>
    <w:p>
      <w:pPr>
        <w:ind w:left="2040" w:right="160" w:hanging="278"/>
        <w:spacing w:after="0" w:line="293" w:lineRule="auto"/>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rate of progress, costs and results of our drug discovery, preclinical development activities, laboratory testing and clinical trials for our product candidates;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clinical programs we decide to pursue;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and costs of manufacturing development and commercial manufacturing activities and our ability to scale them up;</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we acquire or in-license other product candidates and technologies;</w:t>
      </w:r>
    </w:p>
    <w:p>
      <w:pPr>
        <w:spacing w:after="0" w:line="219" w:lineRule="exact"/>
        <w:rPr>
          <w:rFonts w:ascii="Times New Roman" w:cs="Times New Roman" w:eastAsia="Times New Roman" w:hAnsi="Times New Roman"/>
          <w:sz w:val="15"/>
          <w:szCs w:val="15"/>
          <w:color w:val="auto"/>
        </w:rPr>
      </w:pPr>
    </w:p>
    <w:p>
      <w:pPr>
        <w:ind w:left="2040" w:right="100" w:hanging="278"/>
        <w:spacing w:after="0" w:line="275" w:lineRule="auto"/>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changes in the regulatory environment and enforcement rules;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timing of establishing sales and marketing capabilities, if any of our product candidates receive marketing approval;</w:t>
      </w:r>
    </w:p>
    <w:p>
      <w:pPr>
        <w:spacing w:after="0" w:line="219" w:lineRule="exact"/>
        <w:rPr>
          <w:rFonts w:ascii="Times New Roman" w:cs="Times New Roman" w:eastAsia="Times New Roman" w:hAnsi="Times New Roman"/>
          <w:sz w:val="15"/>
          <w:szCs w:val="15"/>
          <w:color w:val="auto"/>
        </w:rPr>
      </w:pPr>
    </w:p>
    <w:p>
      <w:pPr>
        <w:ind w:left="2040" w:right="440" w:hanging="278"/>
        <w:spacing w:after="0" w:line="293" w:lineRule="auto"/>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and prosecuting patent applications, maintaining and enforcing our intellectual property rights and defending intellectual property-related claims;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collaborations on favorable terms, if at all;</w:t>
      </w:r>
    </w:p>
    <w:p>
      <w:pPr>
        <w:spacing w:after="0" w:line="219" w:lineRule="exact"/>
        <w:rPr>
          <w:rFonts w:ascii="Times New Roman" w:cs="Times New Roman" w:eastAsia="Times New Roman" w:hAnsi="Times New Roman"/>
          <w:sz w:val="15"/>
          <w:szCs w:val="15"/>
          <w:color w:val="auto"/>
        </w:rPr>
      </w:pPr>
    </w:p>
    <w:p>
      <w:pPr>
        <w:ind w:left="2040" w:right="20" w:hanging="278"/>
        <w:spacing w:after="0" w:line="293" w:lineRule="auto"/>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efforts to enhance operational systems and our ability to attract, hire and retain qualified personnel, including personnel to support the development of our product candidates;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changes in pharmaceutical pricing and reimbursement infrastructure;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being a public company;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associated with commercializing our product candidates, if they receive marketing approval.</w:t>
      </w:r>
    </w:p>
    <w:p>
      <w:pPr>
        <w:spacing w:after="0" w:line="196"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300"/>
          </w:cols>
          <w:pgMar w:left="320" w:top="410" w:right="127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20"/>
        <w:spacing w:after="0" w:line="293" w:lineRule="auto"/>
        <w:rPr>
          <w:sz w:val="20"/>
          <w:szCs w:val="20"/>
          <w:color w:val="auto"/>
        </w:rPr>
      </w:pPr>
      <w:r>
        <w:rPr>
          <w:rFonts w:ascii="Times New Roman" w:cs="Times New Roman" w:eastAsia="Times New Roman" w:hAnsi="Times New Roman"/>
          <w:sz w:val="15"/>
          <w:szCs w:val="15"/>
          <w:color w:val="auto"/>
        </w:rPr>
        <w:t>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currently generate no revenues from sales of any products and may never generate revenue or be profitable.</w:t>
      </w:r>
    </w:p>
    <w:p>
      <w:pPr>
        <w:spacing w:after="0" w:line="200" w:lineRule="exact"/>
        <w:rPr>
          <w:sz w:val="20"/>
          <w:szCs w:val="20"/>
          <w:color w:val="auto"/>
        </w:rPr>
      </w:pPr>
    </w:p>
    <w:p>
      <w:pPr>
        <w:jc w:val="both"/>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We have no products approved for commercial sale and do not anticipate generating any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68" w:lineRule="exact"/>
        <w:rPr>
          <w:sz w:val="20"/>
          <w:szCs w:val="20"/>
          <w:color w:val="auto"/>
        </w:rPr>
      </w:pPr>
    </w:p>
    <w:p>
      <w:pPr>
        <w:ind w:left="2040" w:right="580" w:hanging="278"/>
        <w:spacing w:after="0" w:line="29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55" w:lineRule="exact"/>
        <w:rPr>
          <w:rFonts w:ascii="Times New Roman" w:cs="Times New Roman" w:eastAsia="Times New Roman" w:hAnsi="Times New Roman"/>
          <w:sz w:val="15"/>
          <w:szCs w:val="15"/>
          <w:color w:val="auto"/>
        </w:rPr>
      </w:pPr>
    </w:p>
    <w:p>
      <w:pPr>
        <w:ind w:left="2040" w:right="760" w:hanging="278"/>
        <w:spacing w:after="0" w:line="29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maintaining relationships with contract research organizations, or CROs, and clinical sites for the clinical development, both in the United States and internationally, of our product candidates;</w:t>
      </w:r>
    </w:p>
    <w:p>
      <w:pPr>
        <w:spacing w:after="0" w:line="155" w:lineRule="exact"/>
        <w:rPr>
          <w:rFonts w:ascii="Times New Roman" w:cs="Times New Roman" w:eastAsia="Times New Roman" w:hAnsi="Times New Roman"/>
          <w:sz w:val="15"/>
          <w:szCs w:val="15"/>
          <w:color w:val="auto"/>
        </w:rPr>
      </w:pPr>
    </w:p>
    <w:p>
      <w:pPr>
        <w:ind w:left="2040" w:right="120" w:hanging="278"/>
        <w:spacing w:after="0" w:line="29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timely receipt of regulatory approvals from applicable regulatory authorities for TP-03 or any other product candidates for which we successfully complete clinical development;</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any required post-marketing approval commitments to applicable regulatory authorities;</w:t>
      </w:r>
    </w:p>
    <w:p>
      <w:pPr>
        <w:spacing w:after="0" w:line="219" w:lineRule="exact"/>
        <w:rPr>
          <w:rFonts w:ascii="Times New Roman" w:cs="Times New Roman" w:eastAsia="Times New Roman" w:hAnsi="Times New Roman"/>
          <w:sz w:val="15"/>
          <w:szCs w:val="15"/>
          <w:color w:val="auto"/>
        </w:rPr>
      </w:pPr>
    </w:p>
    <w:p>
      <w:pPr>
        <w:jc w:val="both"/>
        <w:ind w:left="2040" w:hanging="278"/>
        <w:spacing w:after="0" w:line="275"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67" w:lineRule="exact"/>
        <w:rPr>
          <w:rFonts w:ascii="Times New Roman" w:cs="Times New Roman" w:eastAsia="Times New Roman" w:hAnsi="Times New Roman"/>
          <w:sz w:val="15"/>
          <w:szCs w:val="15"/>
          <w:color w:val="auto"/>
        </w:rPr>
      </w:pPr>
    </w:p>
    <w:p>
      <w:pPr>
        <w:ind w:left="2040" w:right="100" w:hanging="278"/>
        <w:spacing w:after="0" w:line="275"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 IND prior to commencing clinical trials in the United States for a particular indication, such as TP-04 for the potential treatment of rosacea (although for TP-04 we first intend to conduct a Phase 1/2 trial outside the United States and thus do not plan to submit an IND prior to this trial) and TP-05 for potential Lyme prophylaxis and community malaria reduction;</w:t>
      </w:r>
    </w:p>
    <w:p>
      <w:pPr>
        <w:spacing w:after="0" w:line="167"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commercial launch following any regulatory approval, including the development of a commercial infrastructure, whether in-house or with one or more collaborators;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continued acceptable safety and efficacy profile both prior to and following any marketing approval of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successfully educating ECPs about Demodex blepharitis and related diagnosis;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commercial acceptance of TP-03 and any of our other product candidates by patients, the medical community and third-party payors;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assessing and developing new product candidates;</w:t>
      </w:r>
    </w:p>
    <w:p>
      <w:pPr>
        <w:spacing w:after="0" w:line="219" w:lineRule="exact"/>
        <w:rPr>
          <w:rFonts w:ascii="Times New Roman" w:cs="Times New Roman" w:eastAsia="Times New Roman" w:hAnsi="Times New Roman"/>
          <w:sz w:val="15"/>
          <w:szCs w:val="15"/>
          <w:color w:val="auto"/>
        </w:rPr>
      </w:pPr>
    </w:p>
    <w:p>
      <w:pPr>
        <w:ind w:left="2040" w:right="180" w:hanging="278"/>
        <w:spacing w:after="0" w:line="293" w:lineRule="auto"/>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maintaining and expanding patent protection, trade secret protection and regulatory exclusivity, both in the United States and internationally;</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our rights in our intellectual property portfolio;</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w:t>
      </w:r>
    </w:p>
    <w:p>
      <w:pPr>
        <w:sectPr>
          <w:pgSz w:w="11900" w:h="16838" w:orient="portrait"/>
          <w:cols w:equalWidth="0" w:num="1">
            <w:col w:w="10300"/>
          </w:cols>
          <w:pgMar w:left="320" w:top="410" w:right="1279"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defending against third-party interference or infringement claims, if any;</w:t>
      </w:r>
    </w:p>
    <w:p>
      <w:pPr>
        <w:spacing w:after="0" w:line="219" w:lineRule="exact"/>
        <w:rPr>
          <w:rFonts w:ascii="Times New Roman" w:cs="Times New Roman" w:eastAsia="Times New Roman" w:hAnsi="Times New Roman"/>
          <w:sz w:val="15"/>
          <w:szCs w:val="15"/>
          <w:color w:val="auto"/>
        </w:rPr>
      </w:pPr>
    </w:p>
    <w:p>
      <w:pPr>
        <w:ind w:left="2040" w:right="540" w:hanging="278"/>
        <w:spacing w:after="0" w:line="293" w:lineRule="auto"/>
        <w:tabs>
          <w:tab w:leader="none" w:pos="20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favorable terms in any collaboration, licensing or other arrangements that may be necessary or desirable to develop, manufacture or commercialize our existing or acquired product candidates;</w:t>
      </w:r>
    </w:p>
    <w:p>
      <w:pPr>
        <w:spacing w:after="0" w:line="155" w:lineRule="exact"/>
        <w:rPr>
          <w:rFonts w:ascii="Times New Roman" w:cs="Times New Roman" w:eastAsia="Times New Roman" w:hAnsi="Times New Roman"/>
          <w:sz w:val="15"/>
          <w:szCs w:val="15"/>
          <w:color w:val="auto"/>
        </w:rPr>
      </w:pPr>
    </w:p>
    <w:p>
      <w:pPr>
        <w:ind w:left="2040" w:right="400" w:hanging="278"/>
        <w:spacing w:after="0" w:line="293" w:lineRule="auto"/>
        <w:tabs>
          <w:tab w:leader="none" w:pos="20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coverage and adequate reimbursement for customers and patients from government and third-party payors for product candidates that we develop;</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addressing any competing therapies and technological and market developments;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attracting, hiring and retaining qualified personnel.</w:t>
      </w:r>
    </w:p>
    <w:p>
      <w:pPr>
        <w:spacing w:after="0" w:line="196" w:lineRule="exact"/>
        <w:rPr>
          <w:sz w:val="20"/>
          <w:szCs w:val="20"/>
          <w:color w:val="auto"/>
        </w:rPr>
      </w:pPr>
    </w:p>
    <w:p>
      <w:pPr>
        <w:ind w:left="920" w:right="140" w:firstLine="753"/>
        <w:spacing w:after="0" w:line="264" w:lineRule="auto"/>
        <w:rPr>
          <w:sz w:val="20"/>
          <w:szCs w:val="20"/>
          <w:color w:val="auto"/>
        </w:rPr>
      </w:pPr>
      <w:r>
        <w:rPr>
          <w:rFonts w:ascii="Times New Roman" w:cs="Times New Roman" w:eastAsia="Times New Roman" w:hAnsi="Times New Roman"/>
          <w:sz w:val="15"/>
          <w:szCs w:val="15"/>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49" w:lineRule="exact"/>
        <w:rPr>
          <w:sz w:val="20"/>
          <w:szCs w:val="20"/>
          <w:color w:val="auto"/>
        </w:rPr>
      </w:pPr>
    </w:p>
    <w:p>
      <w:pPr>
        <w:ind w:left="920" w:right="2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50"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53"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320"/>
          </w:cols>
          <w:pgMar w:left="320" w:top="410" w:right="1259"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58" w:lineRule="exact"/>
        <w:rPr>
          <w:sz w:val="20"/>
          <w:szCs w:val="20"/>
          <w:color w:val="auto"/>
        </w:rPr>
      </w:pPr>
    </w:p>
    <w:p>
      <w:pPr>
        <w:jc w:val="both"/>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may experience disruptions that could severely impact our business, preclinical studies, and clinical trials, including:</w:t>
      </w:r>
    </w:p>
    <w:p>
      <w:pPr>
        <w:spacing w:after="0" w:line="219" w:lineRule="exact"/>
        <w:rPr>
          <w:sz w:val="20"/>
          <w:szCs w:val="20"/>
          <w:color w:val="auto"/>
        </w:rPr>
      </w:pPr>
    </w:p>
    <w:p>
      <w:pPr>
        <w:ind w:left="2040" w:right="180" w:hanging="278"/>
        <w:spacing w:after="0" w:line="293"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receiving approval from local regulatory authorities to initiate our planned clinical trials, including receiving any required investigational new drug applications, or INDs;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difficulties in enrolling and retaining patients in our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or difficulties in clinical site initiation, including difficulties in recruiting clinical site investigators and clinical site staff;</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disruptions;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clinical sites receiving the supplies and materials needed to conduct our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the transport of clinical trial materials;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55" w:lineRule="exact"/>
        <w:rPr>
          <w:rFonts w:ascii="Times New Roman" w:cs="Times New Roman" w:eastAsia="Times New Roman" w:hAnsi="Times New Roman"/>
          <w:sz w:val="15"/>
          <w:szCs w:val="15"/>
          <w:color w:val="auto"/>
        </w:rPr>
      </w:pPr>
    </w:p>
    <w:p>
      <w:pPr>
        <w:ind w:left="2040" w:right="140" w:hanging="278"/>
        <w:spacing w:after="0" w:line="293"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healthcare resources away from the conduct of clinical trials, including the diversion of hospitals serving as our clinical trial sites and hospital staff supporting the conduct of our clinical trials;</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recruiting or retaining patients for our planned clinical trials if patients are affected by the virus or are fearful of visiting or traveling to clinical trial sites because of the outbreak;</w:t>
      </w:r>
    </w:p>
    <w:p>
      <w:pPr>
        <w:spacing w:after="0" w:line="155" w:lineRule="exact"/>
        <w:rPr>
          <w:rFonts w:ascii="Times New Roman" w:cs="Times New Roman" w:eastAsia="Times New Roman" w:hAnsi="Times New Roman"/>
          <w:sz w:val="15"/>
          <w:szCs w:val="15"/>
          <w:color w:val="auto"/>
        </w:rPr>
      </w:pPr>
    </w:p>
    <w:p>
      <w:pPr>
        <w:ind w:left="2040" w:right="60" w:hanging="278"/>
        <w:spacing w:after="0" w:line="268"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74" w:lineRule="exact"/>
        <w:rPr>
          <w:rFonts w:ascii="Times New Roman" w:cs="Times New Roman" w:eastAsia="Times New Roman" w:hAnsi="Times New Roman"/>
          <w:sz w:val="15"/>
          <w:szCs w:val="15"/>
          <w:color w:val="auto"/>
        </w:rPr>
      </w:pPr>
    </w:p>
    <w:p>
      <w:pPr>
        <w:ind w:left="2040" w:right="140" w:hanging="278"/>
        <w:spacing w:after="0" w:line="293" w:lineRule="auto"/>
        <w:tabs>
          <w:tab w:leader="none" w:pos="20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22 -</w:t>
      </w:r>
    </w:p>
    <w:p>
      <w:pPr>
        <w:sectPr>
          <w:pgSz w:w="11900" w:h="16838" w:orient="portrait"/>
          <w:cols w:equalWidth="0" w:num="1">
            <w:col w:w="10300"/>
          </w:cols>
          <w:pgMar w:left="320" w:top="410" w:right="1279"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580" w:hanging="278"/>
        <w:spacing w:after="0" w:line="293" w:lineRule="auto"/>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necessary interactions with local regulators, ethics committees and other important agencies and contractors due to limitations in employee resources or forced furlough of government employees;</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interruption or delays in the operations of the FDA which may impact review and approval timelines;</w:t>
      </w:r>
    </w:p>
    <w:p>
      <w:pPr>
        <w:spacing w:after="0" w:line="219"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regulatory approvals for our product candidates due to the FDA focusing on clinical trials related to therapies and vaccines targeting COVID-19;</w:t>
      </w:r>
    </w:p>
    <w:p>
      <w:pPr>
        <w:spacing w:after="0" w:line="155" w:lineRule="exact"/>
        <w:rPr>
          <w:rFonts w:ascii="Times New Roman" w:cs="Times New Roman" w:eastAsia="Times New Roman" w:hAnsi="Times New Roman"/>
          <w:sz w:val="15"/>
          <w:szCs w:val="15"/>
          <w:color w:val="auto"/>
        </w:rPr>
      </w:pPr>
    </w:p>
    <w:p>
      <w:pPr>
        <w:ind w:left="2040" w:right="440" w:hanging="278"/>
        <w:spacing w:after="0" w:line="293" w:lineRule="auto"/>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interruption or delays to our sourced discovery and clinical activities.</w:t>
      </w:r>
    </w:p>
    <w:p>
      <w:pPr>
        <w:spacing w:after="0" w:line="196"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53"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ultimate impact of the COVID-19 pandemic or a similar health epidemic is highly uncertain and subject to change.</w:t>
      </w:r>
    </w:p>
    <w:p>
      <w:pPr>
        <w:spacing w:after="0" w:line="192" w:lineRule="exact"/>
        <w:rPr>
          <w:sz w:val="20"/>
          <w:szCs w:val="20"/>
          <w:color w:val="auto"/>
        </w:rPr>
      </w:pPr>
    </w:p>
    <w:p>
      <w:pPr>
        <w:ind w:left="920" w:right="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2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260"/>
          </w:cols>
          <w:pgMar w:left="320" w:top="410" w:right="1319"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future success depends on our ability to retain key employees, consultants and advisors and to attract, retain and motivate qualified personnel.</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45"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5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58" w:lineRule="exact"/>
        <w:rPr>
          <w:sz w:val="20"/>
          <w:szCs w:val="20"/>
          <w:color w:val="auto"/>
        </w:rPr>
      </w:pPr>
    </w:p>
    <w:p>
      <w:pPr>
        <w:ind w:left="920" w:right="280" w:firstLine="753"/>
        <w:spacing w:after="0" w:line="265" w:lineRule="auto"/>
        <w:rPr>
          <w:sz w:val="20"/>
          <w:szCs w:val="20"/>
          <w:color w:val="auto"/>
        </w:rPr>
      </w:pPr>
      <w:r>
        <w:rPr>
          <w:rFonts w:ascii="Times New Roman" w:cs="Times New Roman" w:eastAsia="Times New Roman" w:hAnsi="Times New Roman"/>
          <w:sz w:val="15"/>
          <w:szCs w:val="15"/>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320"/>
          </w:cols>
          <w:pgMar w:left="320" w:top="410" w:right="125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3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will need to develop and expand our company, and we may encounter difficulties in managing this development and expansion, which could disrupt our operations.</w:t>
      </w:r>
    </w:p>
    <w:p>
      <w:pPr>
        <w:spacing w:after="0" w:line="129"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may not realize the benefits of any acquisitions, in-license or other collaborations or strategic alliances that we enter into.</w:t>
      </w:r>
    </w:p>
    <w:p>
      <w:pPr>
        <w:spacing w:after="0" w:line="200" w:lineRule="exact"/>
        <w:rPr>
          <w:sz w:val="20"/>
          <w:szCs w:val="20"/>
          <w:color w:val="auto"/>
        </w:rPr>
      </w:pPr>
    </w:p>
    <w:p>
      <w:pPr>
        <w:ind w:left="920" w:right="100" w:firstLine="753"/>
        <w:spacing w:after="0" w:line="259" w:lineRule="auto"/>
        <w:rPr>
          <w:sz w:val="20"/>
          <w:szCs w:val="20"/>
          <w:color w:val="auto"/>
        </w:rPr>
      </w:pPr>
      <w:r>
        <w:rPr>
          <w:rFonts w:ascii="Times New Roman" w:cs="Times New Roman" w:eastAsia="Times New Roman" w:hAnsi="Times New Roman"/>
          <w:sz w:val="15"/>
          <w:szCs w:val="15"/>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0" w:lineRule="exact"/>
        <w:rPr>
          <w:sz w:val="20"/>
          <w:szCs w:val="20"/>
          <w:color w:val="auto"/>
        </w:rPr>
      </w:pPr>
    </w:p>
    <w:p>
      <w:pPr>
        <w:ind w:left="920" w:right="68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29"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As of June 30, 2020, we had 12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175" w:lineRule="exact"/>
        <w:rPr>
          <w:sz w:val="20"/>
          <w:szCs w:val="20"/>
          <w:color w:val="auto"/>
        </w:rPr>
      </w:pPr>
    </w:p>
    <w:p>
      <w:pPr>
        <w:ind w:left="2040" w:hanging="278"/>
        <w:spacing w:after="0"/>
        <w:tabs>
          <w:tab w:leader="none" w:pos="20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recruit, integrate, maintain and motivate additional qualified personnel;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 our development efforts effectively, including the initiation and conduct of clinical trials for our product candidates;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 our operational, financial and management controls, reporting systems and procedures.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25 -</w:t>
      </w:r>
    </w:p>
    <w:p>
      <w:pPr>
        <w:sectPr>
          <w:pgSz w:w="11900" w:h="16838" w:orient="portrait"/>
          <w:cols w:equalWidth="0" w:num="1">
            <w:col w:w="10320"/>
          </w:cols>
          <w:pgMar w:left="320" w:top="410" w:right="125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58"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5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49" w:lineRule="exact"/>
        <w:rPr>
          <w:sz w:val="20"/>
          <w:szCs w:val="20"/>
          <w:color w:val="auto"/>
        </w:rPr>
      </w:pPr>
    </w:p>
    <w:p>
      <w:pPr>
        <w:ind w:left="920" w:right="2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29" w:lineRule="exact"/>
        <w:rPr>
          <w:sz w:val="20"/>
          <w:szCs w:val="20"/>
          <w:color w:val="auto"/>
        </w:rPr>
      </w:pPr>
    </w:p>
    <w:p>
      <w:pPr>
        <w:ind w:left="920" w:right="60" w:firstLine="753"/>
        <w:spacing w:after="0" w:line="260" w:lineRule="auto"/>
        <w:rPr>
          <w:sz w:val="20"/>
          <w:szCs w:val="20"/>
          <w:color w:val="auto"/>
        </w:rPr>
      </w:pPr>
      <w:r>
        <w:rPr>
          <w:rFonts w:ascii="Times New Roman" w:cs="Times New Roman" w:eastAsia="Times New Roman" w:hAnsi="Times New Roman"/>
          <w:sz w:val="15"/>
          <w:szCs w:val="15"/>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license agreement with Elanco granting us a worldwide, sublicensable license for the development and marketing of lotilaner for all applications in humans outside the treatment or cure of any eye or skin condition in humans, or the All Human Uses Elanco Agreement, if is not terminated, or if we have not provided notice to terminate the All Human Uses Elanco Agreement, within 18 months of its effective date, we will be required to issue Elanco additional shares of our common stock equating to $3.0 million of aggregate value, based on the per share value of the price in this offering.</w:t>
      </w:r>
    </w:p>
    <w:p>
      <w:pPr>
        <w:spacing w:after="0" w:line="160" w:lineRule="exact"/>
        <w:rPr>
          <w:sz w:val="20"/>
          <w:szCs w:val="20"/>
          <w:color w:val="auto"/>
        </w:rPr>
      </w:pPr>
    </w:p>
    <w:p>
      <w:pPr>
        <w:ind w:left="920" w:right="620" w:firstLine="753"/>
        <w:spacing w:after="0" w:line="275" w:lineRule="auto"/>
        <w:rPr>
          <w:sz w:val="20"/>
          <w:szCs w:val="20"/>
          <w:color w:val="auto"/>
        </w:rPr>
      </w:pPr>
      <w:r>
        <w:rPr>
          <w:rFonts w:ascii="Times New Roman" w:cs="Times New Roman" w:eastAsia="Times New Roman" w:hAnsi="Times New Roman"/>
          <w:sz w:val="15"/>
          <w:szCs w:val="15"/>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300"/>
          </w:cols>
          <w:pgMar w:left="320" w:top="410" w:right="127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both"/>
        <w:ind w:left="920"/>
        <w:spacing w:after="0" w:line="275" w:lineRule="auto"/>
        <w:rPr>
          <w:sz w:val="20"/>
          <w:szCs w:val="20"/>
          <w:color w:val="auto"/>
        </w:rPr>
      </w:pPr>
      <w:r>
        <w:rPr>
          <w:rFonts w:ascii="Times New Roman" w:cs="Times New Roman" w:eastAsia="Times New Roman" w:hAnsi="Times New Roman"/>
          <w:sz w:val="15"/>
          <w:szCs w:val="15"/>
          <w:color w:val="auto"/>
        </w:rPr>
        <w:t>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41" w:lineRule="exact"/>
        <w:rPr>
          <w:sz w:val="20"/>
          <w:szCs w:val="20"/>
          <w:color w:val="auto"/>
        </w:rPr>
      </w:pPr>
    </w:p>
    <w:p>
      <w:pPr>
        <w:ind w:left="920" w:right="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29"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5"/>
          <w:szCs w:val="15"/>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Unfavorable global economic conditions could adversely affect our business, financial condition or results of operations.</w:t>
      </w:r>
    </w:p>
    <w:p>
      <w:pPr>
        <w:spacing w:after="0" w:line="200"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use our net operating loss carryforwards and certain other tax attributes may be limited.</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We have incurred substantial losses during our history which we expect to continue, do not expect to become profitable in the near future, and we may never achieve profitability. 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U.S. federal income tax reform and the implementation of such reforms could adversely affect us.</w:t>
      </w:r>
    </w:p>
    <w:p>
      <w:pPr>
        <w:spacing w:after="0" w:line="200" w:lineRule="exact"/>
        <w:rPr>
          <w:sz w:val="20"/>
          <w:szCs w:val="20"/>
          <w:color w:val="auto"/>
        </w:rPr>
      </w:pPr>
    </w:p>
    <w:p>
      <w:pPr>
        <w:ind w:left="920" w:right="320" w:firstLine="753"/>
        <w:spacing w:after="0" w:line="293" w:lineRule="auto"/>
        <w:rPr>
          <w:sz w:val="20"/>
          <w:szCs w:val="20"/>
          <w:color w:val="auto"/>
        </w:rPr>
      </w:pPr>
      <w:r>
        <w:rPr>
          <w:rFonts w:ascii="Times New Roman" w:cs="Times New Roman" w:eastAsia="Times New Roman" w:hAnsi="Times New Roman"/>
          <w:sz w:val="15"/>
          <w:szCs w:val="15"/>
          <w:color w:val="auto"/>
        </w:rPr>
        <w:t>On December 22, 2017, the United States enacted the “Tax Cuts and Jobs Act,” or the TCJA, that significantly reformed the Code. The TCJA, among other things, includes contained significant changes to</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0300"/>
          </w:cols>
          <w:pgMar w:left="320" w:top="410" w:right="127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5"/>
          <w:szCs w:val="15"/>
          <w:color w:val="auto"/>
        </w:rPr>
        <w:t>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56"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58"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Development and Commercialization of Our Product Candidates</w:t>
      </w:r>
    </w:p>
    <w:p>
      <w:pPr>
        <w:spacing w:after="0" w:line="196" w:lineRule="exact"/>
        <w:rPr>
          <w:sz w:val="20"/>
          <w:szCs w:val="20"/>
          <w:color w:val="auto"/>
        </w:rPr>
      </w:pPr>
    </w:p>
    <w:p>
      <w:pPr>
        <w:ind w:left="920" w:right="10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5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2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0280"/>
          </w:cols>
          <w:pgMar w:left="320" w:top="410" w:right="129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firstLine="753"/>
        <w:spacing w:after="0" w:line="259" w:lineRule="auto"/>
        <w:rPr>
          <w:sz w:val="20"/>
          <w:szCs w:val="20"/>
          <w:color w:val="auto"/>
        </w:rPr>
      </w:pPr>
      <w:r>
        <w:rPr>
          <w:rFonts w:ascii="Times New Roman" w:cs="Times New Roman" w:eastAsia="Times New Roman" w:hAnsi="Times New Roman"/>
          <w:sz w:val="15"/>
          <w:szCs w:val="15"/>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342" w:lineRule="exact"/>
        <w:rPr>
          <w:sz w:val="20"/>
          <w:szCs w:val="20"/>
          <w:color w:val="auto"/>
        </w:rPr>
      </w:pPr>
    </w:p>
    <w:p>
      <w:pPr>
        <w:ind w:left="920" w:right="20" w:firstLine="753"/>
        <w:spacing w:after="0" w:line="260" w:lineRule="auto"/>
        <w:rPr>
          <w:sz w:val="20"/>
          <w:szCs w:val="20"/>
          <w:color w:val="auto"/>
        </w:rPr>
      </w:pPr>
      <w:r>
        <w:rPr>
          <w:rFonts w:ascii="Times New Roman" w:cs="Times New Roman" w:eastAsia="Times New Roman" w:hAnsi="Times New Roman"/>
          <w:sz w:val="15"/>
          <w:szCs w:val="15"/>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345"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320"/>
          </w:cols>
          <w:pgMar w:left="320" w:top="410" w:right="125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receive marketing approval or commercialize TP-03, our other product candidates, or any other product candidates that we may develop, including:</w:t>
      </w:r>
    </w:p>
    <w:p>
      <w:pPr>
        <w:spacing w:after="0" w:line="219" w:lineRule="exact"/>
        <w:rPr>
          <w:sz w:val="20"/>
          <w:szCs w:val="20"/>
          <w:color w:val="auto"/>
        </w:rPr>
      </w:pPr>
    </w:p>
    <w:p>
      <w:pPr>
        <w:ind w:left="2040" w:right="4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55" w:lineRule="exact"/>
        <w:rPr>
          <w:rFonts w:ascii="Times New Roman" w:cs="Times New Roman" w:eastAsia="Times New Roman" w:hAnsi="Times New Roman"/>
          <w:sz w:val="15"/>
          <w:szCs w:val="15"/>
          <w:color w:val="auto"/>
        </w:rPr>
      </w:pPr>
    </w:p>
    <w:p>
      <w:pPr>
        <w:ind w:left="2040" w:right="60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obtain sufficient enrollment in our clinical trials, our enrollment needs may grow larger than we anticipate, or participants may fail to complete our clinical trials at a higher rate than we anticipate;</w:t>
      </w:r>
    </w:p>
    <w:p>
      <w:pPr>
        <w:spacing w:after="0" w:line="155" w:lineRule="exact"/>
        <w:rPr>
          <w:rFonts w:ascii="Times New Roman" w:cs="Times New Roman" w:eastAsia="Times New Roman" w:hAnsi="Times New Roman"/>
          <w:sz w:val="15"/>
          <w:szCs w:val="15"/>
          <w:color w:val="auto"/>
        </w:rPr>
      </w:pPr>
    </w:p>
    <w:p>
      <w:pPr>
        <w:ind w:left="2040" w:right="14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trials of our product candidates may produce negative or inconclusive results, and we may decide, or regulators may require us, to conduct additional clinical trials or abandon product development programs;</w:t>
      </w:r>
    </w:p>
    <w:p>
      <w:pPr>
        <w:spacing w:after="0" w:line="155" w:lineRule="exact"/>
        <w:rPr>
          <w:rFonts w:ascii="Times New Roman" w:cs="Times New Roman" w:eastAsia="Times New Roman" w:hAnsi="Times New Roman"/>
          <w:sz w:val="15"/>
          <w:szCs w:val="15"/>
          <w:color w:val="auto"/>
        </w:rPr>
      </w:pPr>
    </w:p>
    <w:p>
      <w:pPr>
        <w:ind w:left="2040" w:right="360" w:hanging="278"/>
        <w:spacing w:after="0" w:line="275"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67" w:lineRule="exact"/>
        <w:rPr>
          <w:rFonts w:ascii="Times New Roman" w:cs="Times New Roman" w:eastAsia="Times New Roman" w:hAnsi="Times New Roman"/>
          <w:sz w:val="15"/>
          <w:szCs w:val="15"/>
          <w:color w:val="auto"/>
        </w:rPr>
      </w:pPr>
    </w:p>
    <w:p>
      <w:pPr>
        <w:jc w:val="both"/>
        <w:ind w:left="2040" w:right="20" w:hanging="278"/>
        <w:spacing w:after="0" w:line="275"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may revise the requirements for approving our product candidates, or such requirements may not be as we anticipate;</w:t>
      </w:r>
    </w:p>
    <w:p>
      <w:pPr>
        <w:spacing w:after="0" w:line="219" w:lineRule="exact"/>
        <w:rPr>
          <w:rFonts w:ascii="Times New Roman" w:cs="Times New Roman" w:eastAsia="Times New Roman" w:hAnsi="Times New Roman"/>
          <w:sz w:val="15"/>
          <w:szCs w:val="15"/>
          <w:color w:val="auto"/>
        </w:rPr>
      </w:pPr>
    </w:p>
    <w:p>
      <w:pPr>
        <w:ind w:left="2040" w:right="24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55"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supply or quality of our product candidates or other materials necessary to conduct clinical trials of our product candidates may be insufficient or inadequate or may be delayed;</w:t>
      </w:r>
    </w:p>
    <w:p>
      <w:pPr>
        <w:spacing w:after="0" w:line="155" w:lineRule="exact"/>
        <w:rPr>
          <w:rFonts w:ascii="Times New Roman" w:cs="Times New Roman" w:eastAsia="Times New Roman" w:hAnsi="Times New Roman"/>
          <w:sz w:val="15"/>
          <w:szCs w:val="15"/>
          <w:color w:val="auto"/>
        </w:rPr>
      </w:pPr>
    </w:p>
    <w:p>
      <w:pPr>
        <w:ind w:left="2040" w:right="56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determine that the planned design of our clinical trials is flawed or inadequate;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suspend or withdraw their approval of a product or impose restrictions on its distribution;</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timely or at all obtain INDs for a product candidate;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modify a preclinical study or clinical trial protocol;</w:t>
      </w:r>
    </w:p>
    <w:p>
      <w:pPr>
        <w:spacing w:after="0" w:line="219" w:lineRule="exact"/>
        <w:rPr>
          <w:rFonts w:ascii="Times New Roman" w:cs="Times New Roman" w:eastAsia="Times New Roman" w:hAnsi="Times New Roman"/>
          <w:sz w:val="15"/>
          <w:szCs w:val="15"/>
          <w:color w:val="auto"/>
        </w:rPr>
      </w:pPr>
    </w:p>
    <w:p>
      <w:pPr>
        <w:ind w:left="2040" w:right="2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may fail to comply with regulatory requirements or meet their contractual obligations to us in a timely manner, or at all;</w:t>
      </w:r>
    </w:p>
    <w:p>
      <w:pPr>
        <w:spacing w:after="0" w:line="155" w:lineRule="exact"/>
        <w:rPr>
          <w:rFonts w:ascii="Times New Roman" w:cs="Times New Roman" w:eastAsia="Times New Roman" w:hAnsi="Times New Roman"/>
          <w:sz w:val="15"/>
          <w:szCs w:val="15"/>
          <w:color w:val="auto"/>
        </w:rPr>
      </w:pPr>
    </w:p>
    <w:p>
      <w:pPr>
        <w:ind w:left="2040" w:right="160" w:hanging="278"/>
        <w:spacing w:after="0" w:line="293" w:lineRule="auto"/>
        <w:tabs>
          <w:tab w:leader="none" w:pos="20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30 -</w:t>
      </w:r>
    </w:p>
    <w:p>
      <w:pPr>
        <w:sectPr>
          <w:pgSz w:w="11900" w:h="16838" w:orient="portrait"/>
          <w:cols w:equalWidth="0" w:num="1">
            <w:col w:w="10280"/>
          </w:cols>
          <w:pgMar w:left="320" w:top="410" w:right="129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140" w:hanging="278"/>
        <w:spacing w:after="0" w:line="275" w:lineRule="auto"/>
        <w:tabs>
          <w:tab w:leader="none" w:pos="20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167" w:lineRule="exact"/>
        <w:rPr>
          <w:rFonts w:ascii="Times New Roman" w:cs="Times New Roman" w:eastAsia="Times New Roman" w:hAnsi="Times New Roman"/>
          <w:sz w:val="15"/>
          <w:szCs w:val="15"/>
          <w:color w:val="auto"/>
        </w:rPr>
      </w:pPr>
    </w:p>
    <w:p>
      <w:pPr>
        <w:ind w:left="2040" w:right="100" w:hanging="278"/>
        <w:spacing w:after="0" w:line="275" w:lineRule="auto"/>
        <w:tabs>
          <w:tab w:leader="none" w:pos="20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45"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75" w:lineRule="exact"/>
        <w:rPr>
          <w:sz w:val="20"/>
          <w:szCs w:val="20"/>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unplanned costs;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delayed in obtaining marketing approval for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obtain marketing approval at all;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marketing approval in some countries and not in others;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for indications or patient populations that are not as broad as intended or desired;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with labeling that includes significant use or distribution restrictions or safety warnings;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subject to additional post-marketing testing requirements; or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the product removed from the market after obtaining marketing approval.</w:t>
      </w:r>
    </w:p>
    <w:p>
      <w:pPr>
        <w:spacing w:after="0" w:line="196"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52" w:lineRule="exact"/>
        <w:rPr>
          <w:sz w:val="20"/>
          <w:szCs w:val="20"/>
          <w:color w:val="auto"/>
        </w:rPr>
      </w:pPr>
    </w:p>
    <w:p>
      <w:pPr>
        <w:ind w:left="920" w:right="40"/>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51" w:lineRule="exact"/>
        <w:rPr>
          <w:sz w:val="20"/>
          <w:szCs w:val="20"/>
          <w:color w:val="auto"/>
        </w:rPr>
      </w:pPr>
    </w:p>
    <w:p>
      <w:pPr>
        <w:ind w:left="920" w:right="340" w:firstLine="753"/>
        <w:spacing w:after="0" w:line="293" w:lineRule="auto"/>
        <w:rPr>
          <w:sz w:val="20"/>
          <w:szCs w:val="20"/>
          <w:color w:val="auto"/>
        </w:rPr>
      </w:pPr>
      <w:r>
        <w:rPr>
          <w:rFonts w:ascii="Times New Roman" w:cs="Times New Roman" w:eastAsia="Times New Roman" w:hAnsi="Times New Roman"/>
          <w:sz w:val="15"/>
          <w:szCs w:val="15"/>
          <w:color w:val="auto"/>
        </w:rPr>
        <w:t>If TP-03 or any other product candidate that we are developing or develop receives marketing approval, it may nonetheless fail to gain sufficient market acceptance by ECPs or other healthcare providers, patients,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0280"/>
          </w:cols>
          <w:pgMar w:left="320" w:top="410" w:right="129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68" w:lineRule="auto"/>
        <w:rPr>
          <w:sz w:val="20"/>
          <w:szCs w:val="20"/>
          <w:color w:val="auto"/>
        </w:rPr>
      </w:pPr>
      <w:r>
        <w:rPr>
          <w:rFonts w:ascii="Times New Roman" w:cs="Times New Roman" w:eastAsia="Times New Roman" w:hAnsi="Times New Roman"/>
          <w:sz w:val="15"/>
          <w:szCs w:val="15"/>
          <w:color w:val="auto"/>
        </w:rPr>
        <w:t>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152"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347" w:lineRule="exact"/>
        <w:rPr>
          <w:sz w:val="20"/>
          <w:szCs w:val="20"/>
          <w:color w:val="auto"/>
        </w:rPr>
      </w:pPr>
    </w:p>
    <w:p>
      <w:pPr>
        <w:jc w:val="both"/>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45"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68" w:lineRule="exact"/>
        <w:rPr>
          <w:sz w:val="20"/>
          <w:szCs w:val="20"/>
          <w:color w:val="auto"/>
        </w:rPr>
      </w:pPr>
    </w:p>
    <w:p>
      <w:pPr>
        <w:ind w:left="2040" w:right="360" w:hanging="278"/>
        <w:spacing w:after="0" w:line="293" w:lineRule="auto"/>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our products for sale at competitive prices, particularly in light of the lower cost of alternative treatments;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the product is approved;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convenience and ease of administration compared to alternative treatments;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willingness of the target patient population to try new therapies and of ECPs to prescribe these therapies;</w:t>
      </w:r>
    </w:p>
    <w:p>
      <w:pPr>
        <w:spacing w:after="0" w:line="219" w:lineRule="exact"/>
        <w:rPr>
          <w:rFonts w:ascii="Times New Roman" w:cs="Times New Roman" w:eastAsia="Times New Roman" w:hAnsi="Times New Roman"/>
          <w:sz w:val="15"/>
          <w:szCs w:val="15"/>
          <w:color w:val="auto"/>
        </w:rPr>
      </w:pPr>
    </w:p>
    <w:p>
      <w:pPr>
        <w:ind w:left="2040" w:right="520" w:hanging="278"/>
        <w:spacing w:after="0" w:line="293" w:lineRule="auto"/>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strength and effectiveness of our marketing and distribution support, which may be adversely impacted by the COVID-19 pandemic;</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publicity concerning our products or competing products and treatments;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market introduction of competitive products;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perception by patients or physicians that the diseases we are targeting, including Demodex blepharitis, are not burdensome;</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32 -</w:t>
      </w:r>
    </w:p>
    <w:p>
      <w:pPr>
        <w:sectPr>
          <w:pgSz w:w="11900" w:h="16838" w:orient="portrait"/>
          <w:cols w:equalWidth="0" w:num="1">
            <w:col w:w="10280"/>
          </w:cols>
          <w:pgMar w:left="320" w:top="410" w:right="129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our competitors to limit our access to the market through anti-competitive contracts or other arrangements;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third-party formulary coverage and adequate reimbursement;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labeling or product insert requirements of the FDA or other regulatory authorities;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any side effects;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the use of our products, if approved, together with other medications.</w:t>
      </w:r>
    </w:p>
    <w:p>
      <w:pPr>
        <w:spacing w:after="0" w:line="192" w:lineRule="exact"/>
        <w:rPr>
          <w:sz w:val="20"/>
          <w:szCs w:val="20"/>
          <w:color w:val="auto"/>
        </w:rPr>
      </w:pPr>
    </w:p>
    <w:p>
      <w:pPr>
        <w:ind w:left="920" w:right="1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product candidates still require significant testing. We only recently began clinical trials to test TP-03 in humans and, as a company, we have limited experience in this area.</w:t>
      </w:r>
    </w:p>
    <w:p>
      <w:pPr>
        <w:spacing w:after="0" w:line="129"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Most of our operations to date have been limited to preclinical studies and clinical trials. We have completed Phase 2 clinical trials for TP-03 for the treatment of Demodex blepharitis and have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152" w:lineRule="exact"/>
        <w:rPr>
          <w:sz w:val="20"/>
          <w:szCs w:val="20"/>
          <w:color w:val="auto"/>
        </w:rPr>
      </w:pPr>
    </w:p>
    <w:p>
      <w:pPr>
        <w:ind w:left="920" w:firstLine="753"/>
        <w:spacing w:after="0" w:line="258" w:lineRule="auto"/>
        <w:rPr>
          <w:sz w:val="20"/>
          <w:szCs w:val="20"/>
          <w:color w:val="auto"/>
        </w:rPr>
      </w:pPr>
      <w:r>
        <w:rPr>
          <w:rFonts w:ascii="Times New Roman" w:cs="Times New Roman" w:eastAsia="Times New Roman" w:hAnsi="Times New Roman"/>
          <w:sz w:val="15"/>
          <w:szCs w:val="15"/>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65" w:lineRule="exact"/>
        <w:rPr>
          <w:sz w:val="20"/>
          <w:szCs w:val="20"/>
          <w:color w:val="auto"/>
        </w:rPr>
      </w:pPr>
    </w:p>
    <w:p>
      <w:pPr>
        <w:jc w:val="both"/>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0280"/>
          </w:cols>
          <w:pgMar w:left="320" w:top="410" w:right="129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980"/>
        <w:spacing w:after="0" w:line="293" w:lineRule="auto"/>
        <w:rPr>
          <w:sz w:val="20"/>
          <w:szCs w:val="20"/>
          <w:color w:val="auto"/>
        </w:rPr>
      </w:pPr>
      <w:r>
        <w:rPr>
          <w:rFonts w:ascii="Times New Roman" w:cs="Times New Roman" w:eastAsia="Times New Roman" w:hAnsi="Times New Roman"/>
          <w:sz w:val="15"/>
          <w:szCs w:val="15"/>
          <w:color w:val="auto"/>
        </w:rPr>
        <w:t>the FDA or other comparable foreign regulatory authorities, or that, if approval is obtained, such product candidates can be successfully commercialized.</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clinical trials to date have been small, and we may not be able to replicate our results from completed trials in Phase 3 trials.</w:t>
      </w:r>
    </w:p>
    <w:p>
      <w:pPr>
        <w:spacing w:after="0" w:line="200" w:lineRule="exact"/>
        <w:rPr>
          <w:sz w:val="20"/>
          <w:szCs w:val="20"/>
          <w:color w:val="auto"/>
        </w:rPr>
      </w:pPr>
    </w:p>
    <w:p>
      <w:pPr>
        <w:ind w:left="920" w:right="120" w:firstLine="753"/>
        <w:spacing w:after="0" w:line="261" w:lineRule="auto"/>
        <w:rPr>
          <w:sz w:val="20"/>
          <w:szCs w:val="20"/>
          <w:color w:val="auto"/>
        </w:rPr>
      </w:pPr>
      <w:r>
        <w:rPr>
          <w:rFonts w:ascii="Times New Roman" w:cs="Times New Roman" w:eastAsia="Times New Roman" w:hAnsi="Times New Roman"/>
          <w:sz w:val="15"/>
          <w:szCs w:val="15"/>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152" w:lineRule="exact"/>
        <w:rPr>
          <w:sz w:val="20"/>
          <w:szCs w:val="20"/>
          <w:color w:val="auto"/>
        </w:rPr>
      </w:pPr>
    </w:p>
    <w:p>
      <w:pPr>
        <w:ind w:left="920" w:right="4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encounter difficulties or delays enrolling patients in our clinical trials, our clinical development activities could be delayed or otherwise adversely affected.</w:t>
      </w:r>
    </w:p>
    <w:p>
      <w:pPr>
        <w:spacing w:after="0" w:line="129"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75" w:lineRule="exact"/>
        <w:rPr>
          <w:sz w:val="20"/>
          <w:szCs w:val="20"/>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patient eligibility criteria defined in the protocol;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size of the patient population required for analysis of the trial’s primary endpoints;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proximity of patients to study sites;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 of the trial;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recruit clinical trial investigators with the appropriate competencies and experience;</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patient consents;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or lack of adequate compensation for, prospective patients;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of enrolling patients or patients continuing to participate in follow-up visits due to the ongoing COVID-19 pandemic;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patients enrolled in clinical trials will drop out of the trials before completion.</w:t>
      </w:r>
    </w:p>
    <w:p>
      <w:pPr>
        <w:spacing w:after="0" w:line="196" w:lineRule="exact"/>
        <w:rPr>
          <w:sz w:val="20"/>
          <w:szCs w:val="20"/>
          <w:color w:val="auto"/>
        </w:rPr>
      </w:pPr>
    </w:p>
    <w:p>
      <w:pPr>
        <w:ind w:left="920" w:right="300" w:firstLine="753"/>
        <w:spacing w:after="0" w:line="293" w:lineRule="auto"/>
        <w:rPr>
          <w:sz w:val="20"/>
          <w:szCs w:val="20"/>
          <w:color w:val="auto"/>
        </w:rPr>
      </w:pPr>
      <w:r>
        <w:rPr>
          <w:rFonts w:ascii="Times New Roman" w:cs="Times New Roman" w:eastAsia="Times New Roman" w:hAnsi="Times New Roman"/>
          <w:sz w:val="15"/>
          <w:szCs w:val="15"/>
          <w:color w:val="auto"/>
        </w:rPr>
        <w:t>In addition, our clinical trials may compete with other clinical trials for product candidates that are in the same therapeutic areas as our product candidates, and this competition would reduce the number and types of</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0260"/>
          </w:cols>
          <w:pgMar w:left="320" w:top="410" w:right="131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8" w:lineRule="auto"/>
        <w:rPr>
          <w:sz w:val="20"/>
          <w:szCs w:val="20"/>
          <w:color w:val="auto"/>
        </w:rPr>
      </w:pPr>
      <w:r>
        <w:rPr>
          <w:rFonts w:ascii="Times New Roman" w:cs="Times New Roman" w:eastAsia="Times New Roman" w:hAnsi="Times New Roman"/>
          <w:sz w:val="15"/>
          <w:szCs w:val="15"/>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52"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28" w:lineRule="exact"/>
        <w:rPr>
          <w:sz w:val="20"/>
          <w:szCs w:val="20"/>
          <w:color w:val="auto"/>
        </w:rPr>
      </w:pPr>
    </w:p>
    <w:p>
      <w:pPr>
        <w:jc w:val="both"/>
        <w:ind w:left="920" w:right="34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5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45"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53"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58" w:lineRule="exact"/>
        <w:rPr>
          <w:sz w:val="20"/>
          <w:szCs w:val="20"/>
          <w:color w:val="auto"/>
        </w:rPr>
      </w:pPr>
    </w:p>
    <w:p>
      <w:pPr>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55" w:lineRule="exact"/>
        <w:rPr>
          <w:sz w:val="20"/>
          <w:szCs w:val="20"/>
          <w:color w:val="auto"/>
        </w:rPr>
      </w:pPr>
    </w:p>
    <w:p>
      <w:pPr>
        <w:ind w:left="2040" w:right="380" w:hanging="278"/>
        <w:spacing w:after="0" w:line="275" w:lineRule="auto"/>
        <w:tabs>
          <w:tab w:leader="none" w:pos="20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product may be seized by regulatory authorities;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a recall of the product;</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35 -</w:t>
      </w:r>
    </w:p>
    <w:p>
      <w:pPr>
        <w:sectPr>
          <w:pgSz w:w="11900" w:h="16838" w:orient="portrait"/>
          <w:cols w:equalWidth="0" w:num="1">
            <w:col w:w="10300"/>
          </w:cols>
          <w:pgMar w:left="320" w:top="410" w:right="127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change the way the product is administered or conduct additional clinical trials or post-approval studies;</w:t>
      </w:r>
    </w:p>
    <w:p>
      <w:pPr>
        <w:spacing w:after="0" w:line="219" w:lineRule="exact"/>
        <w:rPr>
          <w:rFonts w:ascii="Times New Roman" w:cs="Times New Roman" w:eastAsia="Times New Roman" w:hAnsi="Times New Roman"/>
          <w:sz w:val="15"/>
          <w:szCs w:val="15"/>
          <w:color w:val="auto"/>
        </w:rPr>
      </w:pPr>
    </w:p>
    <w:p>
      <w:pPr>
        <w:ind w:left="2040" w:right="220" w:hanging="278"/>
        <w:spacing w:after="0" w:line="275" w:lineRule="auto"/>
        <w:tabs>
          <w:tab w:leader="none" w:pos="20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create and implement a Risk Evaluation and Mitigation Strategy, or REMS, plan, which could include a medication guide outlining the risks of such side effects for distribution to patients, a communication plan for healthcare providers, including ECPs, and/or other elements to assure safe use;</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product may become less competitive;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sued and held liable for harm caused to patients;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reputation may suffer and there may be resulting harm to physician or patient acceptance of our product.</w:t>
      </w:r>
    </w:p>
    <w:p>
      <w:pPr>
        <w:spacing w:after="0" w:line="196"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28" w:lineRule="exact"/>
        <w:rPr>
          <w:sz w:val="20"/>
          <w:szCs w:val="20"/>
          <w:color w:val="auto"/>
        </w:rPr>
      </w:pPr>
    </w:p>
    <w:p>
      <w:pPr>
        <w:ind w:left="920" w:right="8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2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or CMC, and our proposed clinical trial protocol, as part of an IND. The initiation of clinical trials in the European Union, or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76" w:lineRule="exact"/>
        <w:rPr>
          <w:sz w:val="20"/>
          <w:szCs w:val="20"/>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placing the clinical trial on hold;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subjects failing to enroll or remain in our trial at the rate we expect;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subjects choosing an alternative treatment or other product candidates, or participating in competing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adequate funding to continue the clinical trial;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subjects experiencing severe or unexpected drug-related adverse effects;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demonstrate efficacy of the product;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interruptions or delays in the supply of our product candidates for our clinical trials;</w:t>
      </w:r>
    </w:p>
    <w:p>
      <w:pPr>
        <w:spacing w:after="0" w:line="219" w:lineRule="exact"/>
        <w:rPr>
          <w:rFonts w:ascii="Times New Roman" w:cs="Times New Roman" w:eastAsia="Times New Roman" w:hAnsi="Times New Roman"/>
          <w:sz w:val="15"/>
          <w:szCs w:val="15"/>
          <w:color w:val="auto"/>
        </w:rPr>
      </w:pPr>
    </w:p>
    <w:p>
      <w:pPr>
        <w:ind w:left="2040" w:right="200" w:hanging="278"/>
        <w:spacing w:after="0" w:line="268" w:lineRule="auto"/>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facility manufacturing any of our product candidates or any of their components being ordered by the FDA or comparable foreign regulatory authorities to temporarily or permanently shut down due to violations of good manufacturing practice, or cGMP, regulations or other applicable requirements, or infections or cross-contaminations of product candidates in the manufacturing process;</w:t>
      </w:r>
    </w:p>
    <w:p>
      <w:pPr>
        <w:spacing w:after="0" w:line="174"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changes to our manufacturing process that may be necessary or desired;</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36 -</w:t>
      </w:r>
    </w:p>
    <w:p>
      <w:pPr>
        <w:sectPr>
          <w:pgSz w:w="11900" w:h="16838" w:orient="portrait"/>
          <w:cols w:equalWidth="0" w:num="1">
            <w:col w:w="10320"/>
          </w:cols>
          <w:pgMar w:left="320" w:top="410" w:right="125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failure or delay in reaching an agreement with CROs, vendors and clinical trial sites;</w:t>
      </w:r>
    </w:p>
    <w:p>
      <w:pPr>
        <w:spacing w:after="0" w:line="219" w:lineRule="exact"/>
        <w:rPr>
          <w:rFonts w:ascii="Times New Roman" w:cs="Times New Roman" w:eastAsia="Times New Roman" w:hAnsi="Times New Roman"/>
          <w:sz w:val="15"/>
          <w:szCs w:val="15"/>
          <w:color w:val="auto"/>
        </w:rPr>
      </w:pPr>
    </w:p>
    <w:p>
      <w:pPr>
        <w:ind w:left="2040" w:right="320" w:hanging="278"/>
        <w:spacing w:after="0" w:line="275" w:lineRule="auto"/>
        <w:tabs>
          <w:tab w:leader="none" w:pos="2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clinical investigators losing the licenses or permits necessary to perform our clinical trials, not performing our clinical trials on our anticipated schedule or consistent with the clinical trial protocol, good clinical practices, or GCP, or regulatory requirements or other third parties not performing data collection or analysis in a timely or accurate manner;</w:t>
      </w:r>
    </w:p>
    <w:p>
      <w:pPr>
        <w:spacing w:after="0" w:line="167" w:lineRule="exact"/>
        <w:rPr>
          <w:rFonts w:ascii="Times New Roman" w:cs="Times New Roman" w:eastAsia="Times New Roman" w:hAnsi="Times New Roman"/>
          <w:sz w:val="15"/>
          <w:szCs w:val="15"/>
          <w:color w:val="auto"/>
        </w:rPr>
      </w:pPr>
    </w:p>
    <w:p>
      <w:pPr>
        <w:jc w:val="both"/>
        <w:ind w:left="2040" w:right="60" w:hanging="278"/>
        <w:spacing w:after="0" w:line="275" w:lineRule="auto"/>
        <w:tabs>
          <w:tab w:leader="none" w:pos="2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67"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Institutional Review Boards, or IRBs, other ethics committees refusing to approve, suspending or terminating the trial at an investigational site, precluding enrollment of additional subjects, or withdrawing its approval of the trial; or</w:t>
      </w:r>
    </w:p>
    <w:p>
      <w:pPr>
        <w:spacing w:after="0" w:line="155"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32" w:lineRule="exact"/>
        <w:rPr>
          <w:sz w:val="20"/>
          <w:szCs w:val="20"/>
          <w:color w:val="auto"/>
        </w:rPr>
      </w:pPr>
    </w:p>
    <w:p>
      <w:pPr>
        <w:ind w:left="920" w:right="40" w:firstLine="753"/>
        <w:spacing w:after="0" w:line="263" w:lineRule="auto"/>
        <w:rPr>
          <w:sz w:val="20"/>
          <w:szCs w:val="20"/>
          <w:color w:val="auto"/>
        </w:rPr>
      </w:pPr>
      <w:r>
        <w:rPr>
          <w:rFonts w:ascii="Times New Roman" w:cs="Times New Roman" w:eastAsia="Times New Roman" w:hAnsi="Times New Roman"/>
          <w:sz w:val="15"/>
          <w:szCs w:val="15"/>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342"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49" w:lineRule="exact"/>
        <w:rPr>
          <w:sz w:val="20"/>
          <w:szCs w:val="20"/>
          <w:color w:val="auto"/>
        </w:rPr>
      </w:pPr>
    </w:p>
    <w:p>
      <w:pPr>
        <w:ind w:left="920" w:right="1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29"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52" w:lineRule="exact"/>
        <w:rPr>
          <w:sz w:val="20"/>
          <w:szCs w:val="20"/>
          <w:color w:val="auto"/>
        </w:rPr>
      </w:pPr>
    </w:p>
    <w:p>
      <w:pPr>
        <w:jc w:val="both"/>
        <w:ind w:left="920" w:right="300" w:firstLine="753"/>
        <w:spacing w:after="0" w:line="275" w:lineRule="auto"/>
        <w:rPr>
          <w:sz w:val="20"/>
          <w:szCs w:val="20"/>
          <w:color w:val="auto"/>
        </w:rPr>
      </w:pPr>
      <w:r>
        <w:rPr>
          <w:rFonts w:ascii="Times New Roman" w:cs="Times New Roman" w:eastAsia="Times New Roman" w:hAnsi="Times New Roman"/>
          <w:sz w:val="15"/>
          <w:szCs w:val="15"/>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0300"/>
          </w:cols>
          <w:pgMar w:left="320" w:top="410" w:right="127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61" w:lineRule="auto"/>
        <w:rPr>
          <w:sz w:val="20"/>
          <w:szCs w:val="20"/>
          <w:color w:val="auto"/>
        </w:rPr>
      </w:pPr>
      <w:r>
        <w:rPr>
          <w:rFonts w:ascii="Times New Roman" w:cs="Times New Roman" w:eastAsia="Times New Roman" w:hAnsi="Times New Roman"/>
          <w:sz w:val="15"/>
          <w:szCs w:val="15"/>
          <w:color w:val="auto"/>
        </w:rPr>
        <w:t>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5" w:lineRule="exact"/>
        <w:rPr>
          <w:sz w:val="20"/>
          <w:szCs w:val="20"/>
          <w:color w:val="auto"/>
        </w:rPr>
      </w:pPr>
    </w:p>
    <w:p>
      <w:pPr>
        <w:ind w:left="920"/>
        <w:spacing w:after="0" w:line="274" w:lineRule="auto"/>
        <w:rPr>
          <w:sz w:val="20"/>
          <w:szCs w:val="20"/>
          <w:color w:val="auto"/>
        </w:rPr>
      </w:pPr>
      <w:r>
        <w:rPr>
          <w:rFonts w:ascii="Times New Roman" w:cs="Times New Roman" w:eastAsia="Times New Roman" w:hAnsi="Times New Roman"/>
          <w:sz w:val="15"/>
          <w:szCs w:val="15"/>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336"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61"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The market for blepharitis and Demodex blepharitis may be not be similar to the market for dry eye.</w:t>
      </w:r>
    </w:p>
    <w:p>
      <w:pPr>
        <w:spacing w:after="0" w:line="200"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0320"/>
          </w:cols>
          <w:pgMar w:left="320" w:top="410" w:right="125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00"/>
        <w:spacing w:after="0" w:line="265" w:lineRule="auto"/>
        <w:rPr>
          <w:sz w:val="20"/>
          <w:szCs w:val="20"/>
          <w:color w:val="auto"/>
        </w:rPr>
      </w:pPr>
      <w:r>
        <w:rPr>
          <w:rFonts w:ascii="Times New Roman" w:cs="Times New Roman" w:eastAsia="Times New Roman" w:hAnsi="Times New Roman"/>
          <w:sz w:val="15"/>
          <w:szCs w:val="15"/>
          <w:color w:val="auto"/>
        </w:rPr>
        <w:t>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150" w:lineRule="exact"/>
        <w:rPr>
          <w:sz w:val="20"/>
          <w:szCs w:val="20"/>
          <w:color w:val="auto"/>
        </w:rPr>
      </w:pPr>
    </w:p>
    <w:p>
      <w:pPr>
        <w:ind w:left="920" w:right="4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29" w:lineRule="exact"/>
        <w:rPr>
          <w:sz w:val="20"/>
          <w:szCs w:val="20"/>
          <w:color w:val="auto"/>
        </w:rPr>
      </w:pPr>
    </w:p>
    <w:p>
      <w:pPr>
        <w:ind w:left="920" w:right="120" w:firstLine="753"/>
        <w:spacing w:after="0" w:line="264" w:lineRule="auto"/>
        <w:rPr>
          <w:sz w:val="20"/>
          <w:szCs w:val="20"/>
          <w:color w:val="auto"/>
        </w:rPr>
      </w:pPr>
      <w:r>
        <w:rPr>
          <w:rFonts w:ascii="Times New Roman" w:cs="Times New Roman" w:eastAsia="Times New Roman" w:hAnsi="Times New Roman"/>
          <w:sz w:val="15"/>
          <w:szCs w:val="15"/>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149" w:lineRule="exact"/>
        <w:rPr>
          <w:sz w:val="20"/>
          <w:szCs w:val="20"/>
          <w:color w:val="auto"/>
        </w:rPr>
      </w:pPr>
    </w:p>
    <w:p>
      <w:pPr>
        <w:ind w:left="920" w:right="28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45" w:lineRule="exact"/>
        <w:rPr>
          <w:sz w:val="20"/>
          <w:szCs w:val="20"/>
          <w:color w:val="auto"/>
        </w:rPr>
      </w:pPr>
    </w:p>
    <w:p>
      <w:pPr>
        <w:ind w:left="920" w:right="340" w:firstLine="753"/>
        <w:spacing w:after="0" w:line="265" w:lineRule="auto"/>
        <w:rPr>
          <w:sz w:val="20"/>
          <w:szCs w:val="20"/>
          <w:color w:val="auto"/>
        </w:rPr>
      </w:pPr>
      <w:r>
        <w:rPr>
          <w:rFonts w:ascii="Times New Roman" w:cs="Times New Roman" w:eastAsia="Times New Roman" w:hAnsi="Times New Roman"/>
          <w:sz w:val="15"/>
          <w:szCs w:val="15"/>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4" w:lineRule="exact"/>
        <w:rPr>
          <w:sz w:val="20"/>
          <w:szCs w:val="20"/>
          <w:color w:val="auto"/>
        </w:rPr>
      </w:pPr>
    </w:p>
    <w:p>
      <w:pPr>
        <w:ind w:left="920" w:right="280" w:firstLine="753"/>
        <w:spacing w:after="0" w:line="268" w:lineRule="auto"/>
        <w:rPr>
          <w:sz w:val="20"/>
          <w:szCs w:val="20"/>
          <w:color w:val="auto"/>
        </w:rPr>
      </w:pPr>
      <w:r>
        <w:rPr>
          <w:rFonts w:ascii="Times New Roman" w:cs="Times New Roman" w:eastAsia="Times New Roman" w:hAnsi="Times New Roman"/>
          <w:sz w:val="15"/>
          <w:szCs w:val="15"/>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52"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45"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0300"/>
          </w:cols>
          <w:pgMar w:left="320" w:top="410" w:right="127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48" w:lineRule="exact"/>
        <w:rPr>
          <w:sz w:val="20"/>
          <w:szCs w:val="20"/>
          <w:color w:val="auto"/>
        </w:rPr>
      </w:pPr>
    </w:p>
    <w:p>
      <w:pPr>
        <w:ind w:left="920" w:right="7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2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81" w:lineRule="exact"/>
        <w:rPr>
          <w:sz w:val="20"/>
          <w:szCs w:val="20"/>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variation or termination of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any product candidates or products that we may develop;</w:t>
      </w:r>
    </w:p>
    <w:p>
      <w:pPr>
        <w:spacing w:after="0" w:line="219" w:lineRule="exact"/>
        <w:rPr>
          <w:rFonts w:ascii="Times New Roman" w:cs="Times New Roman" w:eastAsia="Times New Roman" w:hAnsi="Times New Roman"/>
          <w:sz w:val="15"/>
          <w:szCs w:val="15"/>
          <w:color w:val="auto"/>
        </w:rPr>
      </w:pPr>
    </w:p>
    <w:p>
      <w:pPr>
        <w:ind w:left="2040" w:right="240" w:hanging="278"/>
        <w:spacing w:after="0" w:line="293" w:lineRule="auto"/>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regulatory approval, recall, restriction on the approval or a “black box” warning or contraindication for an approved drug;</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injury to our reputation and significant negative media attention;</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subjects;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initiation of investigations by regulators;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costs to defend the related litigation and diversion of management’s time and our resources;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to study subjects or patients;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withdrawals or labeling, marketing or promotional restrictions;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or delay of our efforts to commercialize any products that we may develop.</w:t>
      </w:r>
    </w:p>
    <w:p>
      <w:pPr>
        <w:spacing w:after="0" w:line="196"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0300"/>
          </w:cols>
          <w:pgMar w:left="320" w:top="410" w:right="127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1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2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54" w:lineRule="exact"/>
        <w:rPr>
          <w:sz w:val="20"/>
          <w:szCs w:val="20"/>
          <w:color w:val="auto"/>
        </w:rPr>
      </w:pPr>
    </w:p>
    <w:p>
      <w:pPr>
        <w:ind w:left="920"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future growth may depend, in part, on our ability to penetrate foreign markets, where we would be subject to additional regulatory burdens and other risks and uncertainties.</w:t>
      </w:r>
    </w:p>
    <w:p>
      <w:pPr>
        <w:spacing w:after="0" w:line="129"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83" w:lineRule="exact"/>
        <w:rPr>
          <w:sz w:val="20"/>
          <w:szCs w:val="20"/>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customers’ ability to obtain reimbursement for our product candidates in foreign markets;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directly control commercial activities if we are relying on third parties;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burden of complying with complex and changing foreign regulatory, tax, accounting and legal requirements;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medical practices and customs in foreign countries affecting acceptance in the marketplace;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import or export licensing requirements;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accounts receivable collection times;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lead times for shipping;</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language barriers for technical training and the need for language translations;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41 -</w:t>
      </w:r>
    </w:p>
    <w:p>
      <w:pPr>
        <w:sectPr>
          <w:pgSz w:w="11900" w:h="16838" w:orient="portrait"/>
          <w:cols w:equalWidth="0" w:num="1">
            <w:col w:w="10280"/>
          </w:cols>
          <w:pgMar w:left="320" w:top="410" w:right="129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of intellectual property rights in some foreign countries;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of additional potentially relevant third-party intellectual property rights;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exchange rate fluctuations;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interpretation of contractual provisions governed by foreign laws in the event of a contract dispute.</w:t>
      </w:r>
    </w:p>
    <w:p>
      <w:pPr>
        <w:spacing w:after="0" w:line="196"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49" w:lineRule="exact"/>
        <w:rPr>
          <w:sz w:val="20"/>
          <w:szCs w:val="20"/>
          <w:color w:val="auto"/>
        </w:rPr>
      </w:pPr>
    </w:p>
    <w:p>
      <w:pPr>
        <w:ind w:left="9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29"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53" w:lineRule="exact"/>
        <w:rPr>
          <w:sz w:val="20"/>
          <w:szCs w:val="20"/>
          <w:color w:val="auto"/>
        </w:rPr>
      </w:pPr>
    </w:p>
    <w:p>
      <w:pPr>
        <w:ind w:left="920" w:right="40" w:firstLine="753"/>
        <w:spacing w:after="0" w:line="260" w:lineRule="auto"/>
        <w:rPr>
          <w:sz w:val="20"/>
          <w:szCs w:val="20"/>
          <w:color w:val="auto"/>
        </w:rPr>
      </w:pPr>
      <w:r>
        <w:rPr>
          <w:rFonts w:ascii="Times New Roman" w:cs="Times New Roman" w:eastAsia="Times New Roman" w:hAnsi="Times New Roman"/>
          <w:sz w:val="15"/>
          <w:szCs w:val="15"/>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160" w:lineRule="exact"/>
        <w:rPr>
          <w:sz w:val="20"/>
          <w:szCs w:val="20"/>
          <w:color w:val="auto"/>
        </w:rPr>
      </w:pPr>
    </w:p>
    <w:p>
      <w:pPr>
        <w:ind w:left="920" w:right="40" w:firstLine="753"/>
        <w:spacing w:after="0" w:line="293" w:lineRule="auto"/>
        <w:rPr>
          <w:sz w:val="20"/>
          <w:szCs w:val="20"/>
          <w:color w:val="auto"/>
        </w:rPr>
      </w:pPr>
      <w:r>
        <w:rPr>
          <w:rFonts w:ascii="Times New Roman" w:cs="Times New Roman" w:eastAsia="Times New Roman" w:hAnsi="Times New Roman"/>
          <w:sz w:val="15"/>
          <w:szCs w:val="15"/>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55" w:lineRule="exact"/>
        <w:rPr>
          <w:sz w:val="20"/>
          <w:szCs w:val="20"/>
          <w:color w:val="auto"/>
        </w:rPr>
      </w:pPr>
    </w:p>
    <w:p>
      <w:pPr>
        <w:ind w:left="2040" w:right="320" w:hanging="278"/>
        <w:spacing w:after="0" w:line="293" w:lineRule="auto"/>
        <w:tabs>
          <w:tab w:leader="none" w:pos="20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and administrative requirements of the jurisdiction where the trial is conducted that could burden or limit our ability to conduct our clinical trials;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exchange rate fluctuations;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42 -</w:t>
      </w:r>
    </w:p>
    <w:p>
      <w:pPr>
        <w:sectPr>
          <w:pgSz w:w="11900" w:h="16838" w:orient="portrait"/>
          <w:cols w:equalWidth="0" w:num="1">
            <w:col w:w="10320"/>
          </w:cols>
          <w:pgMar w:left="320" w:top="410" w:right="125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customs, shipment and storage requirements;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cultural differences in medical practice and clinical research;</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diminished protection of intellectual property in some countries;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cultural attitudes to self-reported adverse events (such as burning, stinging, blurry vision) leading to a different safety profile; and</w:t>
      </w:r>
    </w:p>
    <w:p>
      <w:pPr>
        <w:spacing w:after="0" w:line="155" w:lineRule="exact"/>
        <w:rPr>
          <w:rFonts w:ascii="Times New Roman" w:cs="Times New Roman" w:eastAsia="Times New Roman" w:hAnsi="Times New Roman"/>
          <w:sz w:val="15"/>
          <w:szCs w:val="15"/>
          <w:color w:val="auto"/>
        </w:rPr>
      </w:pPr>
    </w:p>
    <w:p>
      <w:pPr>
        <w:ind w:left="2040" w:right="120" w:hanging="278"/>
        <w:spacing w:after="0" w:line="293" w:lineRule="auto"/>
        <w:tabs>
          <w:tab w:leader="none" w:pos="20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 that the patient populations in such trials are not considered representative as compared to the patient population in the target markets where approval is being sought.</w:t>
      </w:r>
    </w:p>
    <w:p>
      <w:pPr>
        <w:spacing w:after="0" w:line="128" w:lineRule="exact"/>
        <w:rPr>
          <w:sz w:val="20"/>
          <w:szCs w:val="20"/>
          <w:color w:val="auto"/>
        </w:rPr>
      </w:pPr>
    </w:p>
    <w:p>
      <w:pPr>
        <w:ind w:left="920" w:right="34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45" w:lineRule="exact"/>
        <w:rPr>
          <w:sz w:val="20"/>
          <w:szCs w:val="20"/>
          <w:color w:val="auto"/>
        </w:rPr>
      </w:pPr>
    </w:p>
    <w:p>
      <w:pPr>
        <w:ind w:left="920" w:right="40" w:firstLine="753"/>
        <w:spacing w:after="0" w:line="260" w:lineRule="auto"/>
        <w:rPr>
          <w:sz w:val="20"/>
          <w:szCs w:val="20"/>
          <w:color w:val="auto"/>
        </w:rPr>
      </w:pPr>
      <w:r>
        <w:rPr>
          <w:rFonts w:ascii="Times New Roman" w:cs="Times New Roman" w:eastAsia="Times New Roman" w:hAnsi="Times New Roman"/>
          <w:sz w:val="15"/>
          <w:szCs w:val="15"/>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Changes in methods of product candidate manufacturing or formulation may result in additional costs or delay.</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0320"/>
          </w:cols>
          <w:pgMar w:left="320" w:top="410" w:right="125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3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Managing our obligations under our in-license agreements and other strategic agreements may divert management time and attention, causing delays or disruptions to our business.</w:t>
      </w:r>
    </w:p>
    <w:p>
      <w:pPr>
        <w:spacing w:after="0" w:line="129"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We have entered into two license agreements with Elanco: (i) an agreement granting us a worldwide, sublicensable license for the development and marketing of lotilaner for the treatment or cure of any eye or skin condition in humans, or, as amended, the Eye and Derm Elanco Agreement, and (ii) the All Human Uses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58" w:lineRule="exact"/>
        <w:rPr>
          <w:sz w:val="20"/>
          <w:szCs w:val="20"/>
          <w:color w:val="auto"/>
        </w:rPr>
      </w:pPr>
    </w:p>
    <w:p>
      <w:pPr>
        <w:ind w:left="920" w:right="240" w:firstLine="753"/>
        <w:spacing w:after="0" w:line="268" w:lineRule="auto"/>
        <w:rPr>
          <w:sz w:val="20"/>
          <w:szCs w:val="20"/>
          <w:color w:val="auto"/>
        </w:rPr>
      </w:pPr>
      <w:r>
        <w:rPr>
          <w:rFonts w:ascii="Times New Roman" w:cs="Times New Roman" w:eastAsia="Times New Roman" w:hAnsi="Times New Roman"/>
          <w:sz w:val="15"/>
          <w:szCs w:val="15"/>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48" w:lineRule="exact"/>
        <w:rPr>
          <w:sz w:val="20"/>
          <w:szCs w:val="20"/>
          <w:color w:val="auto"/>
        </w:rPr>
      </w:pPr>
    </w:p>
    <w:p>
      <w:pPr>
        <w:ind w:left="9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operating activities may be restricted by certain covenants in our license and other strategic agreements, which could limit our development and commercial opportunities.</w:t>
      </w:r>
    </w:p>
    <w:p>
      <w:pPr>
        <w:spacing w:after="0" w:line="129"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In connection with our in-license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50" w:lineRule="exact"/>
        <w:rPr>
          <w:sz w:val="20"/>
          <w:szCs w:val="20"/>
          <w:color w:val="auto"/>
        </w:rPr>
      </w:pPr>
    </w:p>
    <w:p>
      <w:pPr>
        <w:ind w:left="920" w:right="4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29" w:lineRule="exact"/>
        <w:rPr>
          <w:sz w:val="20"/>
          <w:szCs w:val="20"/>
          <w:color w:val="auto"/>
        </w:rPr>
      </w:pPr>
    </w:p>
    <w:p>
      <w:pPr>
        <w:ind w:left="920" w:right="60" w:firstLine="753"/>
        <w:spacing w:after="0" w:line="261" w:lineRule="auto"/>
        <w:rPr>
          <w:sz w:val="20"/>
          <w:szCs w:val="20"/>
          <w:color w:val="auto"/>
        </w:rPr>
      </w:pPr>
      <w:r>
        <w:rPr>
          <w:rFonts w:ascii="Times New Roman" w:cs="Times New Roman" w:eastAsia="Times New Roman" w:hAnsi="Times New Roman"/>
          <w:sz w:val="15"/>
          <w:szCs w:val="15"/>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5" w:lineRule="exact"/>
        <w:rPr>
          <w:sz w:val="20"/>
          <w:szCs w:val="20"/>
          <w:color w:val="auto"/>
        </w:rPr>
      </w:pPr>
    </w:p>
    <w:p>
      <w:pPr>
        <w:jc w:val="both"/>
        <w:ind w:left="920"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45" w:lineRule="exact"/>
        <w:rPr>
          <w:sz w:val="20"/>
          <w:szCs w:val="20"/>
          <w:color w:val="auto"/>
        </w:rPr>
      </w:pPr>
    </w:p>
    <w:p>
      <w:pPr>
        <w:ind w:left="920" w:right="440" w:firstLine="753"/>
        <w:spacing w:after="0" w:line="293" w:lineRule="auto"/>
        <w:rPr>
          <w:sz w:val="20"/>
          <w:szCs w:val="20"/>
          <w:color w:val="auto"/>
        </w:rPr>
      </w:pPr>
      <w:r>
        <w:rPr>
          <w:rFonts w:ascii="Times New Roman" w:cs="Times New Roman" w:eastAsia="Times New Roman" w:hAnsi="Times New Roman"/>
          <w:sz w:val="15"/>
          <w:szCs w:val="15"/>
          <w:color w:val="auto"/>
        </w:rPr>
        <w:t>Any product candidate for which we obtain regulatory approval, along with the manufacturing processes, post-approval clinical data, labeling, advertising, and promotional activities for such product, will be</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0300"/>
          </w:cols>
          <w:pgMar w:left="320" w:top="410" w:right="127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00"/>
        <w:spacing w:after="0" w:line="264" w:lineRule="auto"/>
        <w:rPr>
          <w:sz w:val="20"/>
          <w:szCs w:val="20"/>
          <w:color w:val="auto"/>
        </w:rPr>
      </w:pPr>
      <w:r>
        <w:rPr>
          <w:rFonts w:ascii="Times New Roman" w:cs="Times New Roman" w:eastAsia="Times New Roman" w:hAnsi="Times New Roman"/>
          <w:sz w:val="15"/>
          <w:szCs w:val="15"/>
          <w:color w:val="auto"/>
        </w:rPr>
        <w:t>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53"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49" w:lineRule="exact"/>
        <w:rPr>
          <w:sz w:val="20"/>
          <w:szCs w:val="20"/>
          <w:color w:val="auto"/>
        </w:rPr>
      </w:pPr>
    </w:p>
    <w:p>
      <w:pPr>
        <w:ind w:left="920" w:right="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2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Reliance on Third Parties</w:t>
      </w:r>
    </w:p>
    <w:p>
      <w:pPr>
        <w:spacing w:after="0" w:line="196" w:lineRule="exact"/>
        <w:rPr>
          <w:sz w:val="20"/>
          <w:szCs w:val="20"/>
          <w:color w:val="auto"/>
        </w:rPr>
      </w:pPr>
    </w:p>
    <w:p>
      <w:pPr>
        <w:ind w:left="920" w:right="8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45"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58"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Our reliance on these third parties for such development activities will reduce our control over these activities but will not relieve us of our regulatory responsibilities. For example, we will remain responsible for</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0320"/>
          </w:cols>
          <w:pgMar w:left="320" w:top="410" w:right="125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80"/>
        <w:spacing w:after="0" w:line="260" w:lineRule="auto"/>
        <w:rPr>
          <w:sz w:val="20"/>
          <w:szCs w:val="20"/>
          <w:color w:val="auto"/>
        </w:rPr>
      </w:pPr>
      <w:r>
        <w:rPr>
          <w:rFonts w:ascii="Times New Roman" w:cs="Times New Roman" w:eastAsia="Times New Roman" w:hAnsi="Times New Roman"/>
          <w:sz w:val="15"/>
          <w:szCs w:val="15"/>
          <w:color w:val="auto"/>
        </w:rPr>
        <w:t>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342" w:lineRule="exact"/>
        <w:rPr>
          <w:sz w:val="20"/>
          <w:szCs w:val="20"/>
          <w:color w:val="auto"/>
        </w:rPr>
      </w:pPr>
    </w:p>
    <w:p>
      <w:pPr>
        <w:ind w:left="920" w:right="220" w:firstLine="753"/>
        <w:spacing w:after="0" w:line="265" w:lineRule="auto"/>
        <w:rPr>
          <w:sz w:val="20"/>
          <w:szCs w:val="20"/>
          <w:color w:val="auto"/>
        </w:rPr>
      </w:pPr>
      <w:r>
        <w:rPr>
          <w:rFonts w:ascii="Times New Roman" w:cs="Times New Roman" w:eastAsia="Times New Roman" w:hAnsi="Times New Roman"/>
          <w:sz w:val="15"/>
          <w:szCs w:val="15"/>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4"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58"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49" w:lineRule="exact"/>
        <w:rPr>
          <w:sz w:val="20"/>
          <w:szCs w:val="20"/>
          <w:color w:val="auto"/>
        </w:rPr>
      </w:pPr>
    </w:p>
    <w:p>
      <w:pPr>
        <w:ind w:left="920" w:right="70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50" w:lineRule="exact"/>
        <w:rPr>
          <w:sz w:val="20"/>
          <w:szCs w:val="20"/>
          <w:color w:val="auto"/>
        </w:rPr>
      </w:pPr>
    </w:p>
    <w:p>
      <w:pPr>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0320"/>
          </w:cols>
          <w:pgMar w:left="320" w:top="410" w:right="125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75" w:lineRule="auto"/>
        <w:rPr>
          <w:sz w:val="20"/>
          <w:szCs w:val="20"/>
          <w:color w:val="auto"/>
        </w:rPr>
      </w:pPr>
      <w:r>
        <w:rPr>
          <w:rFonts w:ascii="Times New Roman" w:cs="Times New Roman" w:eastAsia="Times New Roman" w:hAnsi="Times New Roman"/>
          <w:sz w:val="15"/>
          <w:szCs w:val="15"/>
          <w:color w:val="auto"/>
        </w:rPr>
        <w:t>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45" w:lineRule="exact"/>
        <w:rPr>
          <w:sz w:val="20"/>
          <w:szCs w:val="20"/>
          <w:color w:val="auto"/>
        </w:rPr>
      </w:pPr>
    </w:p>
    <w:p>
      <w:pPr>
        <w:ind w:left="920" w:right="20" w:firstLine="753"/>
        <w:spacing w:after="0" w:line="260" w:lineRule="auto"/>
        <w:rPr>
          <w:sz w:val="20"/>
          <w:szCs w:val="20"/>
          <w:color w:val="auto"/>
        </w:rPr>
      </w:pPr>
      <w:r>
        <w:rPr>
          <w:rFonts w:ascii="Times New Roman" w:cs="Times New Roman" w:eastAsia="Times New Roman" w:hAnsi="Times New Roman"/>
          <w:sz w:val="15"/>
          <w:szCs w:val="15"/>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342"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344"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Our or a third party’s failure to execute on our manufacturing requirements, to do so on commercially reasonable terms and comply with cGMP could adversely affect our business in a number of ways, including:</w:t>
      </w:r>
    </w:p>
    <w:p>
      <w:pPr>
        <w:spacing w:after="0" w:line="155" w:lineRule="exact"/>
        <w:rPr>
          <w:sz w:val="20"/>
          <w:szCs w:val="20"/>
          <w:color w:val="auto"/>
        </w:rPr>
      </w:pPr>
    </w:p>
    <w:p>
      <w:pPr>
        <w:ind w:left="2040" w:hanging="278"/>
        <w:spacing w:after="0"/>
        <w:tabs>
          <w:tab w:leader="none" w:pos="20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inability to initiate or continue clinical trials of our product candidates under development;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in submitting regulatory applications, or receiving marketing approvals, for our product candidates;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47 -</w:t>
      </w:r>
    </w:p>
    <w:p>
      <w:pPr>
        <w:sectPr>
          <w:pgSz w:w="11900" w:h="16838" w:orient="portrait"/>
          <w:cols w:equalWidth="0" w:num="1">
            <w:col w:w="10320"/>
          </w:cols>
          <w:pgMar w:left="320" w:top="410" w:right="125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the cooperation of an existing or future collaborator, including by Elanco under the license agreements with Elanco;</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subjecting third-party manufacturing facilities or our manufacturing facilities to additional inspections by regulatory authorities;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cease development or to recall batches of our product candidates; and</w:t>
      </w:r>
    </w:p>
    <w:p>
      <w:pPr>
        <w:spacing w:after="0" w:line="219" w:lineRule="exact"/>
        <w:rPr>
          <w:rFonts w:ascii="Times New Roman" w:cs="Times New Roman" w:eastAsia="Times New Roman" w:hAnsi="Times New Roman"/>
          <w:sz w:val="15"/>
          <w:szCs w:val="15"/>
          <w:color w:val="auto"/>
        </w:rPr>
      </w:pPr>
    </w:p>
    <w:p>
      <w:pPr>
        <w:ind w:left="2040" w:right="480" w:hanging="278"/>
        <w:spacing w:after="0" w:line="293" w:lineRule="auto"/>
        <w:tabs>
          <w:tab w:leader="none" w:pos="20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approval to market and commercialize our product candidates, an inability to meet commercial demands for our product or any other future product candidates.</w:t>
      </w:r>
    </w:p>
    <w:p>
      <w:pPr>
        <w:spacing w:after="0" w:line="132" w:lineRule="exact"/>
        <w:rPr>
          <w:sz w:val="20"/>
          <w:szCs w:val="20"/>
          <w:color w:val="auto"/>
        </w:rPr>
      </w:pPr>
    </w:p>
    <w:p>
      <w:pPr>
        <w:ind w:left="920" w:right="400" w:firstLine="753"/>
        <w:spacing w:after="0" w:line="268" w:lineRule="auto"/>
        <w:rPr>
          <w:sz w:val="20"/>
          <w:szCs w:val="20"/>
          <w:color w:val="auto"/>
        </w:rPr>
      </w:pPr>
      <w:r>
        <w:rPr>
          <w:rFonts w:ascii="Times New Roman" w:cs="Times New Roman" w:eastAsia="Times New Roman" w:hAnsi="Times New Roman"/>
          <w:sz w:val="15"/>
          <w:szCs w:val="15"/>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52" w:lineRule="exact"/>
        <w:rPr>
          <w:sz w:val="20"/>
          <w:szCs w:val="20"/>
          <w:color w:val="auto"/>
        </w:rPr>
      </w:pPr>
    </w:p>
    <w:p>
      <w:pPr>
        <w:ind w:left="920" w:right="240" w:firstLine="847"/>
        <w:spacing w:after="0" w:line="264" w:lineRule="auto"/>
        <w:rPr>
          <w:sz w:val="20"/>
          <w:szCs w:val="20"/>
          <w:color w:val="auto"/>
        </w:rPr>
      </w:pPr>
      <w:r>
        <w:rPr>
          <w:rFonts w:ascii="Times New Roman" w:cs="Times New Roman" w:eastAsia="Times New Roman" w:hAnsi="Times New Roman"/>
          <w:sz w:val="15"/>
          <w:szCs w:val="15"/>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49" w:lineRule="exact"/>
        <w:rPr>
          <w:sz w:val="20"/>
          <w:szCs w:val="20"/>
          <w:color w:val="auto"/>
        </w:rPr>
      </w:pPr>
    </w:p>
    <w:p>
      <w:pPr>
        <w:ind w:left="920"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145" w:lineRule="exact"/>
        <w:rPr>
          <w:sz w:val="20"/>
          <w:szCs w:val="20"/>
          <w:color w:val="auto"/>
        </w:rPr>
      </w:pPr>
    </w:p>
    <w:p>
      <w:pPr>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45"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Factors that may inhibit our efforts to commercialize our medicines on our own include:</w:t>
      </w:r>
    </w:p>
    <w:p>
      <w:pPr>
        <w:spacing w:after="0" w:line="219" w:lineRule="exact"/>
        <w:rPr>
          <w:sz w:val="20"/>
          <w:szCs w:val="20"/>
          <w:color w:val="auto"/>
        </w:rPr>
      </w:pPr>
    </w:p>
    <w:p>
      <w:pPr>
        <w:ind w:left="2040" w:right="80" w:hanging="278"/>
        <w:spacing w:after="0" w:line="293" w:lineRule="auto"/>
        <w:tabs>
          <w:tab w:leader="none" w:pos="20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recruit, train and retain adequate numbers of effective sales, marketing, coverage or reimbursement, customer service, medical affairs and other support personnel;</w:t>
      </w:r>
    </w:p>
    <w:p>
      <w:pPr>
        <w:spacing w:after="0" w:line="155" w:lineRule="exact"/>
        <w:rPr>
          <w:rFonts w:ascii="Times New Roman" w:cs="Times New Roman" w:eastAsia="Times New Roman" w:hAnsi="Times New Roman"/>
          <w:sz w:val="15"/>
          <w:szCs w:val="15"/>
          <w:color w:val="auto"/>
        </w:rPr>
      </w:pPr>
    </w:p>
    <w:p>
      <w:pPr>
        <w:ind w:left="2040" w:right="460" w:hanging="278"/>
        <w:spacing w:after="0" w:line="293" w:lineRule="auto"/>
        <w:tabs>
          <w:tab w:leader="none" w:pos="20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equip sales personnel with effective materials, including medical and sales literature to help them educate ECPs regarding the indications we are targeting and our products, if approved;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obtain access to ECPs or persuade adequate numbers of ECPs to prescribe any future medicines;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48 -</w:t>
      </w:r>
    </w:p>
    <w:p>
      <w:pPr>
        <w:sectPr>
          <w:pgSz w:w="11900" w:h="16838" w:orient="portrait"/>
          <w:cols w:equalWidth="0" w:num="1">
            <w:col w:w="10320"/>
          </w:cols>
          <w:pgMar w:left="320" w:top="410" w:right="125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120" w:hanging="278"/>
        <w:spacing w:after="0" w:line="293" w:lineRule="auto"/>
        <w:tabs>
          <w:tab w:leader="none" w:pos="20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reimbursement professionals to negotiate arrangements for formulary access, reimbursement and other acceptance by payors;</w:t>
      </w:r>
    </w:p>
    <w:p>
      <w:pPr>
        <w:spacing w:after="0" w:line="155" w:lineRule="exact"/>
        <w:rPr>
          <w:rFonts w:ascii="Times New Roman" w:cs="Times New Roman" w:eastAsia="Times New Roman" w:hAnsi="Times New Roman"/>
          <w:sz w:val="15"/>
          <w:szCs w:val="15"/>
          <w:color w:val="auto"/>
        </w:rPr>
      </w:pPr>
    </w:p>
    <w:p>
      <w:pPr>
        <w:ind w:left="2040" w:right="300" w:hanging="278"/>
        <w:spacing w:after="0" w:line="293" w:lineRule="auto"/>
        <w:tabs>
          <w:tab w:leader="none" w:pos="20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complementary medicines to be offered by sales personnel, which may put us at a competitive disadvantage relative to companies with more extensive product lines;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price our products at a sufficient price point to ensure an adequate and attractive level of profitability;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costs and expenses associated with creating an independent sales and marketing organization.</w:t>
      </w:r>
    </w:p>
    <w:p>
      <w:pPr>
        <w:spacing w:after="0" w:line="196"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54" w:lineRule="exact"/>
        <w:rPr>
          <w:sz w:val="20"/>
          <w:szCs w:val="20"/>
          <w:color w:val="auto"/>
        </w:rPr>
      </w:pPr>
    </w:p>
    <w:p>
      <w:pPr>
        <w:ind w:left="920" w:right="3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29" w:lineRule="exact"/>
        <w:rPr>
          <w:sz w:val="20"/>
          <w:szCs w:val="20"/>
          <w:color w:val="auto"/>
        </w:rPr>
      </w:pPr>
    </w:p>
    <w:p>
      <w:pPr>
        <w:ind w:left="920" w:right="60" w:firstLine="753"/>
        <w:spacing w:after="0" w:line="264" w:lineRule="auto"/>
        <w:rPr>
          <w:sz w:val="20"/>
          <w:szCs w:val="20"/>
          <w:color w:val="auto"/>
        </w:rPr>
      </w:pPr>
      <w:r>
        <w:rPr>
          <w:rFonts w:ascii="Times New Roman" w:cs="Times New Roman" w:eastAsia="Times New Roman" w:hAnsi="Times New Roman"/>
          <w:sz w:val="15"/>
          <w:szCs w:val="15"/>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Changes in methods of product candidate manufacturing or formulation may result in additional costs or delay.</w:t>
      </w:r>
    </w:p>
    <w:p>
      <w:pPr>
        <w:spacing w:after="0" w:line="200" w:lineRule="exact"/>
        <w:rPr>
          <w:sz w:val="20"/>
          <w:szCs w:val="20"/>
          <w:color w:val="auto"/>
        </w:rPr>
      </w:pPr>
    </w:p>
    <w:p>
      <w:pPr>
        <w:ind w:left="920" w:right="180" w:firstLine="753"/>
        <w:spacing w:after="0" w:line="262" w:lineRule="auto"/>
        <w:rPr>
          <w:sz w:val="20"/>
          <w:szCs w:val="20"/>
          <w:color w:val="auto"/>
        </w:rPr>
      </w:pPr>
      <w:r>
        <w:rPr>
          <w:rFonts w:ascii="Times New Roman" w:cs="Times New Roman" w:eastAsia="Times New Roman" w:hAnsi="Times New Roman"/>
          <w:sz w:val="15"/>
          <w:szCs w:val="15"/>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-49-</w:t>
      </w:r>
    </w:p>
    <w:p>
      <w:pPr>
        <w:sectPr>
          <w:pgSz w:w="11900" w:h="16838" w:orient="portrait"/>
          <w:cols w:equalWidth="0" w:num="1">
            <w:col w:w="10320"/>
          </w:cols>
          <w:pgMar w:left="320" w:top="410" w:right="125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196" w:lineRule="exact"/>
        <w:rPr>
          <w:sz w:val="20"/>
          <w:szCs w:val="20"/>
          <w:color w:val="auto"/>
        </w:rPr>
      </w:pPr>
    </w:p>
    <w:p>
      <w:pPr>
        <w:ind w:left="920" w:right="12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5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344" w:lineRule="exact"/>
        <w:rPr>
          <w:sz w:val="20"/>
          <w:szCs w:val="20"/>
          <w:color w:val="auto"/>
        </w:rPr>
      </w:pPr>
    </w:p>
    <w:p>
      <w:pPr>
        <w:ind w:left="920" w:right="20" w:firstLine="753"/>
        <w:spacing w:after="0" w:line="259" w:lineRule="auto"/>
        <w:rPr>
          <w:sz w:val="20"/>
          <w:szCs w:val="20"/>
          <w:color w:val="auto"/>
        </w:rPr>
      </w:pPr>
      <w:r>
        <w:rPr>
          <w:rFonts w:ascii="Times New Roman" w:cs="Times New Roman" w:eastAsia="Times New Roman" w:hAnsi="Times New Roman"/>
          <w:sz w:val="15"/>
          <w:szCs w:val="15"/>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153" w:lineRule="exact"/>
        <w:rPr>
          <w:sz w:val="20"/>
          <w:szCs w:val="20"/>
          <w:color w:val="auto"/>
        </w:rPr>
      </w:pPr>
    </w:p>
    <w:p>
      <w:pPr>
        <w:ind w:left="920" w:right="14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45" w:lineRule="exact"/>
        <w:rPr>
          <w:sz w:val="20"/>
          <w:szCs w:val="20"/>
          <w:color w:val="auto"/>
        </w:rPr>
      </w:pPr>
    </w:p>
    <w:p>
      <w:pPr>
        <w:ind w:left="920" w:right="280" w:firstLine="753"/>
        <w:spacing w:after="0" w:line="275" w:lineRule="auto"/>
        <w:rPr>
          <w:sz w:val="20"/>
          <w:szCs w:val="20"/>
          <w:color w:val="auto"/>
        </w:rPr>
      </w:pPr>
      <w:r>
        <w:rPr>
          <w:rFonts w:ascii="Times New Roman" w:cs="Times New Roman" w:eastAsia="Times New Roman" w:hAnsi="Times New Roman"/>
          <w:sz w:val="15"/>
          <w:szCs w:val="15"/>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-50-</w:t>
      </w:r>
    </w:p>
    <w:p>
      <w:pPr>
        <w:sectPr>
          <w:pgSz w:w="11900" w:h="16838" w:orient="portrait"/>
          <w:cols w:equalWidth="0" w:num="1">
            <w:col w:w="10320"/>
          </w:cols>
          <w:pgMar w:left="320" w:top="410" w:right="125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75" w:lineRule="auto"/>
        <w:rPr>
          <w:sz w:val="20"/>
          <w:szCs w:val="20"/>
          <w:color w:val="auto"/>
        </w:rPr>
      </w:pPr>
      <w:r>
        <w:rPr>
          <w:rFonts w:ascii="Times New Roman" w:cs="Times New Roman" w:eastAsia="Times New Roman" w:hAnsi="Times New Roman"/>
          <w:sz w:val="15"/>
          <w:szCs w:val="15"/>
          <w:color w:val="auto"/>
        </w:rPr>
        <w:t>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145"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5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58" w:lineRule="exact"/>
        <w:rPr>
          <w:sz w:val="20"/>
          <w:szCs w:val="20"/>
          <w:color w:val="auto"/>
        </w:rPr>
      </w:pPr>
    </w:p>
    <w:p>
      <w:pPr>
        <w:ind w:left="920" w:firstLine="753"/>
        <w:spacing w:after="0" w:line="258" w:lineRule="auto"/>
        <w:rPr>
          <w:sz w:val="20"/>
          <w:szCs w:val="20"/>
          <w:color w:val="auto"/>
        </w:rPr>
      </w:pPr>
      <w:r>
        <w:rPr>
          <w:rFonts w:ascii="Times New Roman" w:cs="Times New Roman" w:eastAsia="Times New Roman" w:hAnsi="Times New Roman"/>
          <w:sz w:val="15"/>
          <w:szCs w:val="15"/>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w:t>
      </w:r>
    </w:p>
    <w:p>
      <w:pPr>
        <w:spacing w:after="0" w:line="10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-51-</w:t>
      </w:r>
    </w:p>
    <w:p>
      <w:pPr>
        <w:sectPr>
          <w:pgSz w:w="11900" w:h="16838" w:orient="portrait"/>
          <w:cols w:equalWidth="0" w:num="1">
            <w:col w:w="10320"/>
          </w:cols>
          <w:pgMar w:left="320" w:top="410" w:right="125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80"/>
        <w:spacing w:after="0" w:line="293" w:lineRule="auto"/>
        <w:rPr>
          <w:sz w:val="20"/>
          <w:szCs w:val="20"/>
          <w:color w:val="auto"/>
        </w:rPr>
      </w:pPr>
      <w:r>
        <w:rPr>
          <w:rFonts w:ascii="Times New Roman" w:cs="Times New Roman" w:eastAsia="Times New Roman" w:hAnsi="Times New Roman"/>
          <w:sz w:val="15"/>
          <w:szCs w:val="15"/>
          <w:color w:val="auto"/>
        </w:rPr>
        <w:t>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32"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64" w:lineRule="exact"/>
        <w:rPr>
          <w:sz w:val="20"/>
          <w:szCs w:val="20"/>
          <w:color w:val="auto"/>
        </w:rPr>
      </w:pPr>
    </w:p>
    <w:p>
      <w:pPr>
        <w:ind w:left="920" w:right="40" w:firstLine="753"/>
        <w:spacing w:after="0" w:line="258" w:lineRule="auto"/>
        <w:rPr>
          <w:sz w:val="20"/>
          <w:szCs w:val="20"/>
          <w:color w:val="auto"/>
        </w:rPr>
      </w:pPr>
      <w:r>
        <w:rPr>
          <w:rFonts w:ascii="Times New Roman" w:cs="Times New Roman" w:eastAsia="Times New Roman" w:hAnsi="Times New Roman"/>
          <w:sz w:val="15"/>
          <w:szCs w:val="15"/>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2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10320"/>
          </w:cols>
          <w:pgMar w:left="320" w:top="410" w:right="125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both"/>
        <w:ind w:left="920" w:right="26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5" w:lineRule="exact"/>
        <w:rPr>
          <w:sz w:val="20"/>
          <w:szCs w:val="20"/>
          <w:color w:val="auto"/>
        </w:rPr>
      </w:pPr>
    </w:p>
    <w:p>
      <w:pPr>
        <w:ind w:left="920" w:right="60" w:firstLine="753"/>
        <w:spacing w:after="0" w:line="260" w:lineRule="auto"/>
        <w:rPr>
          <w:sz w:val="20"/>
          <w:szCs w:val="20"/>
          <w:color w:val="auto"/>
        </w:rPr>
      </w:pPr>
      <w:r>
        <w:rPr>
          <w:rFonts w:ascii="Times New Roman" w:cs="Times New Roman" w:eastAsia="Times New Roman" w:hAnsi="Times New Roman"/>
          <w:sz w:val="15"/>
          <w:szCs w:val="15"/>
          <w:color w:val="auto"/>
        </w:rPr>
        <w:t>Periodic maintenance fees, renewal fees, annuities fees and various other governmental fees on patents and/or patent applications are due to be paid to the U.S. Patent and Trademark Office, or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338" w:lineRule="exact"/>
        <w:rPr>
          <w:sz w:val="20"/>
          <w:szCs w:val="20"/>
          <w:color w:val="auto"/>
        </w:rPr>
      </w:pPr>
    </w:p>
    <w:p>
      <w:pPr>
        <w:ind w:left="920" w:right="1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29"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15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49" w:lineRule="exact"/>
        <w:rPr>
          <w:sz w:val="20"/>
          <w:szCs w:val="20"/>
          <w:color w:val="auto"/>
        </w:rPr>
      </w:pPr>
    </w:p>
    <w:p>
      <w:pPr>
        <w:ind w:left="920" w:right="1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29" w:lineRule="exact"/>
        <w:rPr>
          <w:sz w:val="20"/>
          <w:szCs w:val="20"/>
          <w:color w:val="auto"/>
        </w:rPr>
      </w:pPr>
    </w:p>
    <w:p>
      <w:pPr>
        <w:jc w:val="both"/>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-53-</w:t>
      </w:r>
    </w:p>
    <w:p>
      <w:pPr>
        <w:sectPr>
          <w:pgSz w:w="11900" w:h="16838" w:orient="portrait"/>
          <w:cols w:equalWidth="0" w:num="1">
            <w:col w:w="10320"/>
          </w:cols>
          <w:pgMar w:left="320" w:top="410" w:right="125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1" w:lineRule="auto"/>
        <w:rPr>
          <w:sz w:val="20"/>
          <w:szCs w:val="20"/>
          <w:color w:val="auto"/>
        </w:rPr>
      </w:pPr>
      <w:r>
        <w:rPr>
          <w:rFonts w:ascii="Times New Roman" w:cs="Times New Roman" w:eastAsia="Times New Roman" w:hAnsi="Times New Roman"/>
          <w:sz w:val="15"/>
          <w:szCs w:val="15"/>
          <w:color w:val="auto"/>
        </w:rPr>
        <w:t>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83" w:lineRule="exact"/>
        <w:rPr>
          <w:sz w:val="20"/>
          <w:szCs w:val="20"/>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 or results of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approval by the FDA or comparable foreign regulatory authorities;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market for the product candidate;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complexities of manufacturing and delivering such product candidate to patients;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of competing products;</w:t>
      </w:r>
    </w:p>
    <w:p>
      <w:pPr>
        <w:spacing w:after="0" w:line="219"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existence of uncertainty with respect to our ownership of technology or other rights, which can exist if there is a challenge to such ownership without regard to the merits of the challenge;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industry and market conditions generally.</w:t>
      </w:r>
    </w:p>
    <w:p>
      <w:pPr>
        <w:spacing w:after="0" w:line="196"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8" w:lineRule="exact"/>
        <w:rPr>
          <w:sz w:val="20"/>
          <w:szCs w:val="20"/>
          <w:color w:val="auto"/>
        </w:rPr>
      </w:pPr>
    </w:p>
    <w:p>
      <w:pPr>
        <w:ind w:left="920" w:right="740" w:firstLine="753"/>
        <w:spacing w:after="0" w:line="293" w:lineRule="auto"/>
        <w:rPr>
          <w:sz w:val="20"/>
          <w:szCs w:val="20"/>
          <w:color w:val="auto"/>
        </w:rPr>
      </w:pPr>
      <w:r>
        <w:rPr>
          <w:rFonts w:ascii="Times New Roman" w:cs="Times New Roman" w:eastAsia="Times New Roman" w:hAnsi="Times New Roman"/>
          <w:sz w:val="15"/>
          <w:szCs w:val="15"/>
          <w:color w:val="auto"/>
        </w:rPr>
        <w:t>Collaborations that we enter into may not be successful, and any success will depend heavily on the efforts and activities of such collaborators. Collaborations pose a number of risks, including the following:</w:t>
      </w:r>
    </w:p>
    <w:p>
      <w:pPr>
        <w:spacing w:after="0" w:line="155" w:lineRule="exact"/>
        <w:rPr>
          <w:sz w:val="20"/>
          <w:szCs w:val="20"/>
          <w:color w:val="auto"/>
        </w:rPr>
      </w:pPr>
    </w:p>
    <w:p>
      <w:pPr>
        <w:ind w:left="2040" w:right="240" w:hanging="278"/>
        <w:spacing w:after="0" w:line="293" w:lineRule="auto"/>
        <w:tabs>
          <w:tab w:leader="none" w:pos="20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have significant discretion in determining the amount and timing of efforts and resources that they will apply to these collaborations;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perform their obligations as expected;</w:t>
      </w:r>
    </w:p>
    <w:p>
      <w:pPr>
        <w:spacing w:after="0" w:line="219" w:lineRule="exact"/>
        <w:rPr>
          <w:rFonts w:ascii="Times New Roman" w:cs="Times New Roman" w:eastAsia="Times New Roman" w:hAnsi="Times New Roman"/>
          <w:sz w:val="15"/>
          <w:szCs w:val="15"/>
          <w:color w:val="auto"/>
        </w:rPr>
      </w:pPr>
    </w:p>
    <w:p>
      <w:pPr>
        <w:ind w:left="2040" w:right="260" w:hanging="278"/>
        <w:spacing w:after="0" w:line="293" w:lineRule="auto"/>
        <w:tabs>
          <w:tab w:leader="none" w:pos="20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pursue development of our product candidates or may elect not to continue or renew development programs based on results of clinical trials or other studies, changes in the</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54 -</w:t>
      </w:r>
    </w:p>
    <w:p>
      <w:pPr>
        <w:sectPr>
          <w:pgSz w:w="11900" w:h="16838" w:orient="portrait"/>
          <w:cols w:equalWidth="0" w:num="1">
            <w:col w:w="10320"/>
          </w:cols>
          <w:pgMar w:left="320" w:top="410" w:right="125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380"/>
        <w:spacing w:after="0" w:line="293" w:lineRule="auto"/>
        <w:rPr>
          <w:sz w:val="20"/>
          <w:szCs w:val="20"/>
          <w:color w:val="auto"/>
        </w:rPr>
      </w:pPr>
      <w:r>
        <w:rPr>
          <w:rFonts w:ascii="Times New Roman" w:cs="Times New Roman" w:eastAsia="Times New Roman" w:hAnsi="Times New Roman"/>
          <w:sz w:val="15"/>
          <w:szCs w:val="15"/>
          <w:color w:val="auto"/>
        </w:rPr>
        <w:t>collaborators’ strategic focus or available funding, or external factors, such as an acquisition or business combination, that divert resources or create competing priorities;</w:t>
      </w:r>
    </w:p>
    <w:p>
      <w:pPr>
        <w:spacing w:after="0" w:line="155" w:lineRule="exact"/>
        <w:rPr>
          <w:sz w:val="20"/>
          <w:szCs w:val="20"/>
          <w:color w:val="auto"/>
        </w:rPr>
      </w:pPr>
    </w:p>
    <w:p>
      <w:pPr>
        <w:ind w:left="2040" w:right="180" w:hanging="278"/>
        <w:spacing w:after="0" w:line="268"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74" w:lineRule="exact"/>
        <w:rPr>
          <w:rFonts w:ascii="Times New Roman" w:cs="Times New Roman" w:eastAsia="Times New Roman" w:hAnsi="Times New Roman"/>
          <w:sz w:val="15"/>
          <w:szCs w:val="15"/>
          <w:color w:val="auto"/>
        </w:rPr>
      </w:pPr>
    </w:p>
    <w:p>
      <w:pPr>
        <w:jc w:val="both"/>
        <w:ind w:left="2040" w:right="460" w:hanging="278"/>
        <w:spacing w:after="0" w:line="293"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5" w:lineRule="exact"/>
        <w:rPr>
          <w:rFonts w:ascii="Times New Roman" w:cs="Times New Roman" w:eastAsia="Times New Roman" w:hAnsi="Times New Roman"/>
          <w:sz w:val="15"/>
          <w:szCs w:val="15"/>
          <w:color w:val="auto"/>
        </w:rPr>
      </w:pPr>
    </w:p>
    <w:p>
      <w:pPr>
        <w:jc w:val="both"/>
        <w:ind w:left="2040" w:right="60" w:hanging="278"/>
        <w:spacing w:after="0" w:line="275"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67" w:lineRule="exact"/>
        <w:rPr>
          <w:rFonts w:ascii="Times New Roman" w:cs="Times New Roman" w:eastAsia="Times New Roman" w:hAnsi="Times New Roman"/>
          <w:sz w:val="15"/>
          <w:szCs w:val="15"/>
          <w:color w:val="auto"/>
        </w:rPr>
      </w:pPr>
    </w:p>
    <w:p>
      <w:pPr>
        <w:ind w:left="2040" w:right="60" w:hanging="278"/>
        <w:spacing w:after="0" w:line="275"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167" w:lineRule="exact"/>
        <w:rPr>
          <w:rFonts w:ascii="Times New Roman" w:cs="Times New Roman" w:eastAsia="Times New Roman" w:hAnsi="Times New Roman"/>
          <w:sz w:val="15"/>
          <w:szCs w:val="15"/>
          <w:color w:val="auto"/>
        </w:rPr>
      </w:pPr>
    </w:p>
    <w:p>
      <w:pPr>
        <w:ind w:left="2040" w:right="320" w:hanging="278"/>
        <w:spacing w:after="0" w:line="275"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7" w:lineRule="exact"/>
        <w:rPr>
          <w:rFonts w:ascii="Times New Roman" w:cs="Times New Roman" w:eastAsia="Times New Roman" w:hAnsi="Times New Roman"/>
          <w:sz w:val="15"/>
          <w:szCs w:val="15"/>
          <w:color w:val="auto"/>
        </w:rPr>
      </w:pPr>
    </w:p>
    <w:p>
      <w:pPr>
        <w:ind w:left="2040" w:right="260" w:hanging="278"/>
        <w:spacing w:after="0" w:line="293"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fail to comply with applicable regulatory requirements regarding the development, manufacture, distribution or marketing of a product candidate or product;</w:t>
      </w:r>
    </w:p>
    <w:p>
      <w:pPr>
        <w:spacing w:after="0" w:line="155" w:lineRule="exact"/>
        <w:rPr>
          <w:rFonts w:ascii="Times New Roman" w:cs="Times New Roman" w:eastAsia="Times New Roman" w:hAnsi="Times New Roman"/>
          <w:sz w:val="15"/>
          <w:szCs w:val="15"/>
          <w:color w:val="auto"/>
        </w:rPr>
      </w:pPr>
    </w:p>
    <w:p>
      <w:pPr>
        <w:ind w:left="2040" w:right="360" w:hanging="278"/>
        <w:spacing w:after="0" w:line="293"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seek to renegotiate or terminate their relationship with us due to unsatisfactory clinical results, manufacturing issues, a change in business strategy, a change of control or other reasons;</w:t>
      </w:r>
    </w:p>
    <w:p>
      <w:pPr>
        <w:spacing w:after="0" w:line="155" w:lineRule="exact"/>
        <w:rPr>
          <w:rFonts w:ascii="Times New Roman" w:cs="Times New Roman" w:eastAsia="Times New Roman" w:hAnsi="Times New Roman"/>
          <w:sz w:val="15"/>
          <w:szCs w:val="15"/>
          <w:color w:val="auto"/>
        </w:rPr>
      </w:pPr>
    </w:p>
    <w:p>
      <w:pPr>
        <w:ind w:left="2040" w:right="200" w:hanging="278"/>
        <w:spacing w:after="0" w:line="293"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55" w:lineRule="exact"/>
        <w:rPr>
          <w:rFonts w:ascii="Times New Roman" w:cs="Times New Roman" w:eastAsia="Times New Roman" w:hAnsi="Times New Roman"/>
          <w:sz w:val="15"/>
          <w:szCs w:val="15"/>
          <w:color w:val="auto"/>
        </w:rPr>
      </w:pPr>
    </w:p>
    <w:p>
      <w:pPr>
        <w:ind w:left="2040" w:hanging="278"/>
        <w:spacing w:after="0" w:line="268"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74" w:lineRule="exact"/>
        <w:rPr>
          <w:rFonts w:ascii="Times New Roman" w:cs="Times New Roman" w:eastAsia="Times New Roman" w:hAnsi="Times New Roman"/>
          <w:sz w:val="15"/>
          <w:szCs w:val="15"/>
          <w:color w:val="auto"/>
        </w:rPr>
      </w:pPr>
    </w:p>
    <w:p>
      <w:pPr>
        <w:ind w:left="2040" w:right="40" w:hanging="278"/>
        <w:spacing w:after="0" w:line="275" w:lineRule="auto"/>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may arise with respect to the ownership of intellectual property developed pursuant to our collaborations;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55 -</w:t>
      </w:r>
    </w:p>
    <w:p>
      <w:pPr>
        <w:sectPr>
          <w:pgSz w:w="11900" w:h="16838" w:orient="portrait"/>
          <w:cols w:equalWidth="0" w:num="1">
            <w:col w:w="10320"/>
          </w:cols>
          <w:pgMar w:left="320" w:top="410" w:right="125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180" w:hanging="278"/>
        <w:spacing w:after="0" w:line="293" w:lineRule="auto"/>
        <w:tabs>
          <w:tab w:leader="none" w:pos="20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collaborators may infringe, misappropriate or otherwise violate the intellectual property or proprietary rights of third parties, which may expose us to litigation and potential liability; and</w:t>
      </w:r>
    </w:p>
    <w:p>
      <w:pPr>
        <w:spacing w:after="0" w:line="155" w:lineRule="exact"/>
        <w:rPr>
          <w:rFonts w:ascii="Times New Roman" w:cs="Times New Roman" w:eastAsia="Times New Roman" w:hAnsi="Times New Roman"/>
          <w:sz w:val="15"/>
          <w:szCs w:val="15"/>
          <w:color w:val="auto"/>
        </w:rPr>
      </w:pPr>
    </w:p>
    <w:p>
      <w:pPr>
        <w:ind w:left="2040" w:right="100" w:hanging="278"/>
        <w:spacing w:after="0" w:line="293" w:lineRule="auto"/>
        <w:tabs>
          <w:tab w:leader="none" w:pos="20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32"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49" w:lineRule="exact"/>
        <w:rPr>
          <w:sz w:val="20"/>
          <w:szCs w:val="20"/>
          <w:color w:val="auto"/>
        </w:rPr>
      </w:pPr>
    </w:p>
    <w:p>
      <w:pPr>
        <w:ind w:left="920" w:right="5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29"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52"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54"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54"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-56-</w:t>
      </w:r>
    </w:p>
    <w:p>
      <w:pPr>
        <w:sectPr>
          <w:pgSz w:w="11900" w:h="16838" w:orient="portrait"/>
          <w:cols w:equalWidth="0" w:num="1">
            <w:col w:w="10280"/>
          </w:cols>
          <w:pgMar w:left="320" w:top="410" w:right="129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60"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5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Disputes may arise regarding intellectual property subject to a licensing agreement, including:</w:t>
      </w:r>
    </w:p>
    <w:p>
      <w:pPr>
        <w:spacing w:after="0" w:line="219" w:lineRule="exact"/>
        <w:rPr>
          <w:sz w:val="20"/>
          <w:szCs w:val="20"/>
          <w:color w:val="auto"/>
        </w:rPr>
      </w:pPr>
    </w:p>
    <w:p>
      <w:pPr>
        <w:ind w:left="2040" w:hanging="278"/>
        <w:spacing w:after="0"/>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rights granted under the license agreement and other interpretation related issues;</w:t>
      </w:r>
    </w:p>
    <w:p>
      <w:pPr>
        <w:spacing w:after="0" w:line="219" w:lineRule="exact"/>
        <w:rPr>
          <w:rFonts w:ascii="Times New Roman" w:cs="Times New Roman" w:eastAsia="Times New Roman" w:hAnsi="Times New Roman"/>
          <w:sz w:val="15"/>
          <w:szCs w:val="15"/>
          <w:color w:val="auto"/>
        </w:rPr>
      </w:pPr>
    </w:p>
    <w:p>
      <w:pPr>
        <w:ind w:left="2040" w:right="240" w:hanging="278"/>
        <w:spacing w:after="0" w:line="293" w:lineRule="auto"/>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technology and processes infringe on intellectual property of the licensor that is not subject to the licensing agreement;</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sublicensing of patent and other rights;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diligence obligations under the license agreement and what activities satisfy those diligence obligations;</w:t>
      </w:r>
    </w:p>
    <w:p>
      <w:pPr>
        <w:spacing w:after="0" w:line="219" w:lineRule="exact"/>
        <w:rPr>
          <w:rFonts w:ascii="Times New Roman" w:cs="Times New Roman" w:eastAsia="Times New Roman" w:hAnsi="Times New Roman"/>
          <w:sz w:val="15"/>
          <w:szCs w:val="15"/>
          <w:color w:val="auto"/>
        </w:rPr>
      </w:pPr>
    </w:p>
    <w:p>
      <w:pPr>
        <w:ind w:left="2040" w:right="260" w:hanging="278"/>
        <w:spacing w:after="0" w:line="293" w:lineRule="auto"/>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inventorship and ownership of inventions and know-how resulting from the joint creation or use of intellectual property by our licensors and us and our partners;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priority of invention of patented technology.</w:t>
      </w:r>
    </w:p>
    <w:p>
      <w:pPr>
        <w:spacing w:after="0" w:line="196"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-57-</w:t>
      </w:r>
    </w:p>
    <w:p>
      <w:pPr>
        <w:sectPr>
          <w:pgSz w:w="11900" w:h="16838" w:orient="portrait"/>
          <w:cols w:equalWidth="0" w:num="1">
            <w:col w:w="10320"/>
          </w:cols>
          <w:pgMar w:left="320" w:top="410" w:right="125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have pending U.S. and foreign patent applications in our portfolio, however, we cannot predict:</w:t>
      </w:r>
    </w:p>
    <w:p>
      <w:pPr>
        <w:spacing w:after="0" w:line="219" w:lineRule="exact"/>
        <w:rPr>
          <w:sz w:val="20"/>
          <w:szCs w:val="20"/>
          <w:color w:val="auto"/>
        </w:rPr>
      </w:pPr>
    </w:p>
    <w:p>
      <w:pPr>
        <w:ind w:left="2040" w:hanging="278"/>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when patents may issue based on our patent applications;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of any patent issuing based on our patent applications;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claims of any patent issuing based on our patent applications will provide protection against competitors;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third parties will find ways to invalidate or circumvent our patent rights;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others will obtain patents claiming aspects similar to those covered by our patents and patent applications;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need to initiate litigation or administrative proceedings to enforce and/or defend our patent rights which will be costly whether we win or lose; and/or</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patent applications that we own or in-license will result in issued patents with claims that cover our product candidates or uses thereof in the United States or in other foreign countries.</w:t>
      </w:r>
    </w:p>
    <w:p>
      <w:pPr>
        <w:spacing w:after="0" w:line="132"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341" w:lineRule="exact"/>
        <w:rPr>
          <w:sz w:val="20"/>
          <w:szCs w:val="20"/>
          <w:color w:val="auto"/>
        </w:rPr>
      </w:pPr>
    </w:p>
    <w:p>
      <w:pPr>
        <w:ind w:left="920" w:right="6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29"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-58-</w:t>
      </w:r>
    </w:p>
    <w:p>
      <w:pPr>
        <w:sectPr>
          <w:pgSz w:w="11900" w:h="16838" w:orient="portrait"/>
          <w:cols w:equalWidth="0" w:num="1">
            <w:col w:w="10300"/>
          </w:cols>
          <w:pgMar w:left="320" w:top="410" w:right="127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60"/>
        <w:spacing w:after="0" w:line="265" w:lineRule="auto"/>
        <w:rPr>
          <w:sz w:val="20"/>
          <w:szCs w:val="20"/>
          <w:color w:val="auto"/>
        </w:rPr>
      </w:pPr>
      <w:r>
        <w:rPr>
          <w:rFonts w:ascii="Times New Roman" w:cs="Times New Roman" w:eastAsia="Times New Roman" w:hAnsi="Times New Roman"/>
          <w:sz w:val="15"/>
          <w:szCs w:val="15"/>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4"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61"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If we do not obtain patent term extension for any product candidates we may develop, our business may be materially harmed.</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-59-</w:t>
      </w:r>
    </w:p>
    <w:p>
      <w:pPr>
        <w:sectPr>
          <w:pgSz w:w="11900" w:h="16838" w:orient="portrait"/>
          <w:cols w:equalWidth="0" w:num="1">
            <w:col w:w="10320"/>
          </w:cols>
          <w:pgMar w:left="320" w:top="410" w:right="125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60" w:lineRule="auto"/>
        <w:rPr>
          <w:sz w:val="20"/>
          <w:szCs w:val="20"/>
          <w:color w:val="auto"/>
        </w:rPr>
      </w:pPr>
      <w:r>
        <w:rPr>
          <w:rFonts w:ascii="Times New Roman" w:cs="Times New Roman" w:eastAsia="Times New Roman" w:hAnsi="Times New Roman"/>
          <w:sz w:val="15"/>
          <w:szCs w:val="15"/>
          <w:color w:val="auto"/>
        </w:rPr>
        <w:t>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338" w:lineRule="exact"/>
        <w:rPr>
          <w:sz w:val="20"/>
          <w:szCs w:val="20"/>
          <w:color w:val="auto"/>
        </w:rPr>
      </w:pPr>
    </w:p>
    <w:p>
      <w:pPr>
        <w:ind w:left="920" w:right="26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5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54"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56"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-60-</w:t>
      </w:r>
    </w:p>
    <w:p>
      <w:pPr>
        <w:sectPr>
          <w:pgSz w:w="11900" w:h="16838" w:orient="portrait"/>
          <w:cols w:equalWidth="0" w:num="1">
            <w:col w:w="10300"/>
          </w:cols>
          <w:pgMar w:left="320" w:top="410" w:right="127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61" w:lineRule="auto"/>
        <w:rPr>
          <w:sz w:val="20"/>
          <w:szCs w:val="20"/>
          <w:color w:val="auto"/>
        </w:rPr>
      </w:pPr>
      <w:r>
        <w:rPr>
          <w:rFonts w:ascii="Times New Roman" w:cs="Times New Roman" w:eastAsia="Times New Roman" w:hAnsi="Times New Roman"/>
          <w:sz w:val="15"/>
          <w:szCs w:val="15"/>
          <w:color w:val="auto"/>
        </w:rPr>
        <w:t>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55" w:lineRule="exact"/>
        <w:rPr>
          <w:sz w:val="20"/>
          <w:szCs w:val="20"/>
          <w:color w:val="auto"/>
        </w:rPr>
      </w:pPr>
    </w:p>
    <w:p>
      <w:pPr>
        <w:ind w:left="920" w:right="6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our patents and other intellectual property rights, which could be expensive, time consuming and unsuccessful.</w:t>
      </w:r>
    </w:p>
    <w:p>
      <w:pPr>
        <w:spacing w:after="0" w:line="129" w:lineRule="exact"/>
        <w:rPr>
          <w:sz w:val="20"/>
          <w:szCs w:val="20"/>
          <w:color w:val="auto"/>
        </w:rPr>
      </w:pPr>
    </w:p>
    <w:p>
      <w:pPr>
        <w:ind w:left="920" w:right="20" w:firstLine="753"/>
        <w:spacing w:after="0" w:line="258" w:lineRule="auto"/>
        <w:rPr>
          <w:sz w:val="20"/>
          <w:szCs w:val="20"/>
          <w:color w:val="auto"/>
        </w:rPr>
      </w:pPr>
      <w:r>
        <w:rPr>
          <w:rFonts w:ascii="Times New Roman" w:cs="Times New Roman" w:eastAsia="Times New Roman" w:hAnsi="Times New Roman"/>
          <w:sz w:val="15"/>
          <w:szCs w:val="15"/>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62"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-61-</w:t>
      </w:r>
    </w:p>
    <w:p>
      <w:pPr>
        <w:sectPr>
          <w:pgSz w:w="11900" w:h="16838" w:orient="portrait"/>
          <w:cols w:equalWidth="0" w:num="1">
            <w:col w:w="10300"/>
          </w:cols>
          <w:pgMar w:left="320" w:top="410" w:right="127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20"/>
        <w:spacing w:after="0" w:line="268" w:lineRule="auto"/>
        <w:rPr>
          <w:sz w:val="20"/>
          <w:szCs w:val="20"/>
          <w:color w:val="auto"/>
        </w:rPr>
      </w:pPr>
      <w:r>
        <w:rPr>
          <w:rFonts w:ascii="Times New Roman" w:cs="Times New Roman" w:eastAsia="Times New Roman" w:hAnsi="Times New Roman"/>
          <w:sz w:val="15"/>
          <w:szCs w:val="15"/>
          <w:color w:val="auto"/>
        </w:rPr>
        <w:t>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Because of the expense and uncertainty of litigation, we may not be in a position to enforce our intellectual property rights against third parties.</w:t>
      </w:r>
    </w:p>
    <w:p>
      <w:pPr>
        <w:spacing w:after="0" w:line="200"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48" w:lineRule="exact"/>
        <w:rPr>
          <w:sz w:val="20"/>
          <w:szCs w:val="20"/>
          <w:color w:val="auto"/>
        </w:rPr>
      </w:pPr>
    </w:p>
    <w:p>
      <w:pPr>
        <w:ind w:left="920" w:right="2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29"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1"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2"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-62-</w:t>
      </w:r>
    </w:p>
    <w:p>
      <w:pPr>
        <w:sectPr>
          <w:pgSz w:w="11900" w:h="16838" w:orient="portrait"/>
          <w:cols w:equalWidth="0" w:num="1">
            <w:col w:w="10300"/>
          </w:cols>
          <w:pgMar w:left="320" w:top="410" w:right="127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40"/>
        <w:spacing w:after="0" w:line="293" w:lineRule="auto"/>
        <w:rPr>
          <w:sz w:val="20"/>
          <w:szCs w:val="20"/>
          <w:color w:val="auto"/>
        </w:rPr>
      </w:pPr>
      <w:r>
        <w:rPr>
          <w:rFonts w:ascii="Times New Roman" w:cs="Times New Roman" w:eastAsia="Times New Roman" w:hAnsi="Times New Roman"/>
          <w:sz w:val="15"/>
          <w:szCs w:val="15"/>
          <w:color w:val="auto"/>
        </w:rPr>
        <w:t>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200"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343" w:lineRule="exact"/>
        <w:rPr>
          <w:sz w:val="20"/>
          <w:szCs w:val="20"/>
          <w:color w:val="auto"/>
        </w:rPr>
      </w:pPr>
    </w:p>
    <w:p>
      <w:pPr>
        <w:ind w:left="920" w:right="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29"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58" w:lineRule="exact"/>
        <w:rPr>
          <w:sz w:val="20"/>
          <w:szCs w:val="20"/>
          <w:color w:val="auto"/>
        </w:rPr>
      </w:pPr>
    </w:p>
    <w:p>
      <w:pPr>
        <w:ind w:left="920" w:right="120" w:firstLine="753"/>
        <w:spacing w:after="0" w:line="261" w:lineRule="auto"/>
        <w:rPr>
          <w:sz w:val="20"/>
          <w:szCs w:val="20"/>
          <w:color w:val="auto"/>
        </w:rPr>
      </w:pPr>
      <w:r>
        <w:rPr>
          <w:rFonts w:ascii="Times New Roman" w:cs="Times New Roman" w:eastAsia="Times New Roman" w:hAnsi="Times New Roman"/>
          <w:sz w:val="15"/>
          <w:szCs w:val="15"/>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w:t>
      </w:r>
    </w:p>
    <w:p>
      <w:pPr>
        <w:spacing w:after="0" w:line="9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-63-</w:t>
      </w:r>
    </w:p>
    <w:p>
      <w:pPr>
        <w:sectPr>
          <w:pgSz w:w="11900" w:h="16838" w:orient="portrait"/>
          <w:cols w:equalWidth="0" w:num="1">
            <w:col w:w="10320"/>
          </w:cols>
          <w:pgMar w:left="320" w:top="410" w:right="125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1" w:lineRule="auto"/>
        <w:rPr>
          <w:sz w:val="20"/>
          <w:szCs w:val="20"/>
          <w:color w:val="auto"/>
        </w:rPr>
      </w:pPr>
      <w:r>
        <w:rPr>
          <w:rFonts w:ascii="Times New Roman" w:cs="Times New Roman" w:eastAsia="Times New Roman" w:hAnsi="Times New Roman"/>
          <w:sz w:val="15"/>
          <w:szCs w:val="15"/>
          <w:color w:val="auto"/>
        </w:rPr>
        <w:t>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52" w:lineRule="exact"/>
        <w:rPr>
          <w:sz w:val="20"/>
          <w:szCs w:val="20"/>
          <w:color w:val="auto"/>
        </w:rPr>
      </w:pPr>
    </w:p>
    <w:p>
      <w:pPr>
        <w:ind w:left="920"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that our employees, consultants or independent contractors have wrongfully used or disclosed confidential information of third parties.</w:t>
      </w:r>
    </w:p>
    <w:p>
      <w:pPr>
        <w:spacing w:after="0" w:line="129"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rights do not necessarily address all potential threats to our competitive advantage.</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5" w:lineRule="exact"/>
        <w:rPr>
          <w:sz w:val="20"/>
          <w:szCs w:val="20"/>
          <w:color w:val="auto"/>
        </w:rPr>
      </w:pPr>
    </w:p>
    <w:p>
      <w:pPr>
        <w:ind w:left="2040" w:right="220" w:hanging="278"/>
        <w:spacing w:after="0" w:line="293" w:lineRule="auto"/>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be able to make product candidates that are similar to ours but that are not covered by the claims of the patents that we own or have exclusively licensed;</w:t>
      </w:r>
    </w:p>
    <w:p>
      <w:pPr>
        <w:spacing w:after="0" w:line="155" w:lineRule="exact"/>
        <w:rPr>
          <w:rFonts w:ascii="Times New Roman" w:cs="Times New Roman" w:eastAsia="Times New Roman" w:hAnsi="Times New Roman"/>
          <w:sz w:val="15"/>
          <w:szCs w:val="15"/>
          <w:color w:val="auto"/>
        </w:rPr>
      </w:pPr>
    </w:p>
    <w:p>
      <w:pPr>
        <w:ind w:left="2040" w:right="460" w:hanging="278"/>
        <w:spacing w:after="0" w:line="293" w:lineRule="auto"/>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make the inventions covered by the issued patent or pending patent application that we own or have exclusively licensed;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licensors or future collaborators might not have been the first to file patent applications covering certain of our inventions;</w:t>
      </w:r>
    </w:p>
    <w:p>
      <w:pPr>
        <w:spacing w:after="0" w:line="219" w:lineRule="exact"/>
        <w:rPr>
          <w:rFonts w:ascii="Times New Roman" w:cs="Times New Roman" w:eastAsia="Times New Roman" w:hAnsi="Times New Roman"/>
          <w:sz w:val="15"/>
          <w:szCs w:val="15"/>
          <w:color w:val="auto"/>
        </w:rPr>
      </w:pPr>
    </w:p>
    <w:p>
      <w:pPr>
        <w:ind w:left="2040" w:right="320" w:hanging="278"/>
        <w:spacing w:after="0" w:line="293" w:lineRule="auto"/>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others may independently develop similar or alternative technologies or duplicate any of our technologies without infringing our intellectual property rights;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possible that our pending patent applications will not lead to issued patents;</w:t>
      </w:r>
    </w:p>
    <w:p>
      <w:pPr>
        <w:spacing w:after="0" w:line="219" w:lineRule="exact"/>
        <w:rPr>
          <w:rFonts w:ascii="Times New Roman" w:cs="Times New Roman" w:eastAsia="Times New Roman" w:hAnsi="Times New Roman"/>
          <w:sz w:val="15"/>
          <w:szCs w:val="15"/>
          <w:color w:val="auto"/>
        </w:rPr>
      </w:pPr>
    </w:p>
    <w:p>
      <w:pPr>
        <w:ind w:left="2040" w:right="160" w:hanging="278"/>
        <w:spacing w:after="0" w:line="293" w:lineRule="auto"/>
        <w:tabs>
          <w:tab w:leader="none" w:pos="20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patents that we own or have exclusively licensed may be held invalid or unenforceable, as a result of legal challenges by our competitors;</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64 -</w:t>
      </w:r>
    </w:p>
    <w:p>
      <w:pPr>
        <w:sectPr>
          <w:pgSz w:w="11900" w:h="16838" w:orient="portrait"/>
          <w:cols w:equalWidth="0" w:num="1">
            <w:col w:w="10260"/>
          </w:cols>
          <w:pgMar w:left="320" w:top="410" w:right="131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18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5" w:lineRule="exact"/>
        <w:rPr>
          <w:rFonts w:ascii="Times New Roman" w:cs="Times New Roman" w:eastAsia="Times New Roman" w:hAnsi="Times New Roman"/>
          <w:sz w:val="15"/>
          <w:szCs w:val="15"/>
          <w:color w:val="auto"/>
        </w:rPr>
      </w:pPr>
    </w:p>
    <w:p>
      <w:pPr>
        <w:ind w:left="2040" w:right="24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ensure that any of our patents, or any of our pending patent applications, if issued, or those of our licensors, will include claims having a scope sufficient to protect our product candidates;</w:t>
      </w:r>
    </w:p>
    <w:p>
      <w:pPr>
        <w:spacing w:after="0" w:line="155" w:lineRule="exact"/>
        <w:rPr>
          <w:rFonts w:ascii="Times New Roman" w:cs="Times New Roman" w:eastAsia="Times New Roman" w:hAnsi="Times New Roman"/>
          <w:sz w:val="15"/>
          <w:szCs w:val="15"/>
          <w:color w:val="auto"/>
        </w:rPr>
      </w:pPr>
    </w:p>
    <w:p>
      <w:pPr>
        <w:ind w:left="2040" w:right="40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ensure that any patents issued to us or our licensors will provide a basis for an exclusive market for our commercially viable product candidates or will provide us with any competitive advantages;</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 terms may be inadequate to protect our competitive position on our product candidates for an adequate amount of time;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ensure that our commercial activities or product candidates will not infringe upon the patents of others;</w:t>
      </w:r>
    </w:p>
    <w:p>
      <w:pPr>
        <w:spacing w:after="0" w:line="219"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ensure that we will be able to successfully commercialize our product candidates on a substantial scale, if approved, before the relevant patents that we own or license expire;</w:t>
      </w:r>
    </w:p>
    <w:p>
      <w:pPr>
        <w:spacing w:after="0" w:line="155" w:lineRule="exact"/>
        <w:rPr>
          <w:rFonts w:ascii="Times New Roman" w:cs="Times New Roman" w:eastAsia="Times New Roman" w:hAnsi="Times New Roman"/>
          <w:sz w:val="15"/>
          <w:szCs w:val="15"/>
          <w:color w:val="auto"/>
        </w:rPr>
      </w:pPr>
    </w:p>
    <w:p>
      <w:pPr>
        <w:ind w:left="2040" w:right="240" w:hanging="278"/>
        <w:spacing w:after="0" w:line="293" w:lineRule="auto"/>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choose not to file a patent in order to maintain certain trade secrets or know-how, and a third party may subsequently file a patent covering such intellectual property;</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patents of others may have an adverse effect on our business.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Should any of these events occur, they could significantly harm our business, results of operations and prospects.</w:t>
      </w:r>
    </w:p>
    <w:p>
      <w:pPr>
        <w:spacing w:after="0" w:line="192" w:lineRule="exact"/>
        <w:rPr>
          <w:sz w:val="20"/>
          <w:szCs w:val="20"/>
          <w:color w:val="auto"/>
        </w:rPr>
      </w:pPr>
    </w:p>
    <w:p>
      <w:pPr>
        <w:ind w:left="920" w:right="1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Patent terms may be inadequate to protect our competitive position on our product candidates and preclinical programs for an adequate amount of time.</w:t>
      </w:r>
    </w:p>
    <w:p>
      <w:pPr>
        <w:spacing w:after="0" w:line="12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-65-</w:t>
      </w:r>
    </w:p>
    <w:p>
      <w:pPr>
        <w:sectPr>
          <w:pgSz w:w="11900" w:h="16838" w:orient="portrait"/>
          <w:cols w:equalWidth="0" w:num="1">
            <w:col w:w="10320"/>
          </w:cols>
          <w:pgMar w:left="320" w:top="410" w:right="125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75" w:lineRule="auto"/>
        <w:rPr>
          <w:sz w:val="20"/>
          <w:szCs w:val="20"/>
          <w:color w:val="auto"/>
        </w:rPr>
      </w:pPr>
      <w:r>
        <w:rPr>
          <w:rFonts w:ascii="Times New Roman" w:cs="Times New Roman" w:eastAsia="Times New Roman" w:hAnsi="Times New Roman"/>
          <w:sz w:val="15"/>
          <w:szCs w:val="15"/>
          <w:color w:val="auto"/>
        </w:rPr>
        <w:t>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Government Regulation</w:t>
      </w:r>
    </w:p>
    <w:p>
      <w:pPr>
        <w:spacing w:after="0" w:line="196" w:lineRule="exact"/>
        <w:rPr>
          <w:sz w:val="20"/>
          <w:szCs w:val="20"/>
          <w:color w:val="auto"/>
        </w:rPr>
      </w:pPr>
    </w:p>
    <w:p>
      <w:pPr>
        <w:ind w:left="920" w:right="6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2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368" w:lineRule="exact"/>
        <w:rPr>
          <w:sz w:val="20"/>
          <w:szCs w:val="20"/>
          <w:color w:val="auto"/>
        </w:rPr>
      </w:pPr>
    </w:p>
    <w:p>
      <w:pPr>
        <w:ind w:left="2040" w:right="320" w:hanging="278"/>
        <w:spacing w:after="0" w:line="293" w:lineRule="auto"/>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preclinical study or clinical trial may fail to produce safety and efficacy results satisfactory to the FDA or comparable foreign regulatory authorities;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preclinical and clinical data can be interpreted in different ways, which could delay, limit or prevent marketing approval;</w:t>
      </w:r>
    </w:p>
    <w:p>
      <w:pPr>
        <w:spacing w:after="0" w:line="219" w:lineRule="exact"/>
        <w:rPr>
          <w:rFonts w:ascii="Times New Roman" w:cs="Times New Roman" w:eastAsia="Times New Roman" w:hAnsi="Times New Roman"/>
          <w:sz w:val="15"/>
          <w:szCs w:val="15"/>
          <w:color w:val="auto"/>
        </w:rPr>
      </w:pPr>
    </w:p>
    <w:p>
      <w:pPr>
        <w:ind w:left="2040" w:hanging="278"/>
        <w:spacing w:after="0" w:line="275" w:lineRule="auto"/>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67"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55" w:lineRule="exact"/>
        <w:rPr>
          <w:rFonts w:ascii="Times New Roman" w:cs="Times New Roman" w:eastAsia="Times New Roman" w:hAnsi="Times New Roman"/>
          <w:sz w:val="15"/>
          <w:szCs w:val="15"/>
          <w:color w:val="auto"/>
        </w:rPr>
      </w:pPr>
    </w:p>
    <w:p>
      <w:pPr>
        <w:ind w:left="2040" w:right="20" w:hanging="278"/>
        <w:spacing w:after="0" w:line="275" w:lineRule="auto"/>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67" w:lineRule="exact"/>
        <w:rPr>
          <w:rFonts w:ascii="Times New Roman" w:cs="Times New Roman" w:eastAsia="Times New Roman" w:hAnsi="Times New Roman"/>
          <w:sz w:val="15"/>
          <w:szCs w:val="15"/>
          <w:color w:val="auto"/>
        </w:rPr>
      </w:pPr>
    </w:p>
    <w:p>
      <w:pPr>
        <w:ind w:left="2040" w:right="20" w:hanging="278"/>
        <w:spacing w:after="0" w:line="275" w:lineRule="auto"/>
        <w:tabs>
          <w:tab w:leader="none" w:pos="204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45"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In addition, information generated during the clinical trial process is susceptible to varying interpretations that could delay, limit, or prevent marketing approval at any stage of the approval process.</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-66-</w:t>
      </w:r>
    </w:p>
    <w:p>
      <w:pPr>
        <w:sectPr>
          <w:pgSz w:w="11900" w:h="16838" w:orient="portrait"/>
          <w:cols w:equalWidth="0" w:num="1">
            <w:col w:w="10320"/>
          </w:cols>
          <w:pgMar w:left="320" w:top="410" w:right="125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1" w:lineRule="auto"/>
        <w:rPr>
          <w:sz w:val="20"/>
          <w:szCs w:val="20"/>
          <w:color w:val="auto"/>
        </w:rPr>
      </w:pPr>
      <w:r>
        <w:rPr>
          <w:rFonts w:ascii="Times New Roman" w:cs="Times New Roman" w:eastAsia="Times New Roman" w:hAnsi="Times New Roman"/>
          <w:sz w:val="15"/>
          <w:szCs w:val="15"/>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55" w:lineRule="exact"/>
        <w:rPr>
          <w:sz w:val="20"/>
          <w:szCs w:val="20"/>
          <w:color w:val="auto"/>
        </w:rPr>
      </w:pPr>
    </w:p>
    <w:p>
      <w:pPr>
        <w:ind w:left="920" w:right="8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29" w:lineRule="exact"/>
        <w:rPr>
          <w:sz w:val="20"/>
          <w:szCs w:val="20"/>
          <w:color w:val="auto"/>
        </w:rPr>
      </w:pPr>
    </w:p>
    <w:p>
      <w:pPr>
        <w:ind w:left="920" w:right="180" w:firstLine="753"/>
        <w:spacing w:after="0" w:line="262"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8" w:lineRule="exact"/>
        <w:rPr>
          <w:sz w:val="20"/>
          <w:szCs w:val="20"/>
          <w:color w:val="auto"/>
        </w:rPr>
      </w:pPr>
    </w:p>
    <w:p>
      <w:pPr>
        <w:ind w:left="920" w:right="120" w:firstLine="753"/>
        <w:spacing w:after="0" w:line="258" w:lineRule="auto"/>
        <w:rPr>
          <w:sz w:val="20"/>
          <w:szCs w:val="20"/>
          <w:color w:val="auto"/>
        </w:rPr>
      </w:pPr>
      <w:r>
        <w:rPr>
          <w:rFonts w:ascii="Times New Roman" w:cs="Times New Roman" w:eastAsia="Times New Roman" w:hAnsi="Times New Roman"/>
          <w:sz w:val="15"/>
          <w:szCs w:val="15"/>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6" w:lineRule="exact"/>
        <w:rPr>
          <w:sz w:val="20"/>
          <w:szCs w:val="20"/>
          <w:color w:val="auto"/>
        </w:rPr>
      </w:pPr>
    </w:p>
    <w:p>
      <w:pPr>
        <w:ind w:left="920"/>
        <w:spacing w:after="0" w:line="260" w:lineRule="auto"/>
        <w:tabs>
          <w:tab w:leader="none" w:pos="118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or CMS, to test innovative payment and service delivery models to lower Medicare and Medicaid spending, potentially including prescription drug spending.</w:t>
      </w:r>
    </w:p>
    <w:p>
      <w:pPr>
        <w:spacing w:after="0" w:line="158" w:lineRule="exact"/>
        <w:rPr>
          <w:sz w:val="20"/>
          <w:szCs w:val="20"/>
          <w:color w:val="auto"/>
        </w:rPr>
      </w:pPr>
    </w:p>
    <w:p>
      <w:pPr>
        <w:ind w:left="920" w:right="160" w:firstLine="753"/>
        <w:spacing w:after="0" w:line="264" w:lineRule="auto"/>
        <w:rPr>
          <w:sz w:val="20"/>
          <w:szCs w:val="20"/>
          <w:color w:val="auto"/>
        </w:rPr>
      </w:pPr>
      <w:r>
        <w:rPr>
          <w:rFonts w:ascii="Times New Roman" w:cs="Times New Roman" w:eastAsia="Times New Roman" w:hAnsi="Times New Roman"/>
          <w:sz w:val="15"/>
          <w:szCs w:val="15"/>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Tax Cuts and Jobs Act of 2017, or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-67-</w:t>
      </w:r>
    </w:p>
    <w:p>
      <w:pPr>
        <w:sectPr>
          <w:pgSz w:w="11900" w:h="16838" w:orient="portrait"/>
          <w:cols w:equalWidth="0" w:num="1">
            <w:col w:w="10300"/>
          </w:cols>
          <w:pgMar w:left="320" w:top="410" w:right="127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00"/>
        <w:spacing w:after="0" w:line="259" w:lineRule="auto"/>
        <w:rPr>
          <w:sz w:val="20"/>
          <w:szCs w:val="20"/>
          <w:color w:val="auto"/>
        </w:rPr>
      </w:pPr>
      <w:r>
        <w:rPr>
          <w:rFonts w:ascii="Times New Roman" w:cs="Times New Roman" w:eastAsia="Times New Roman" w:hAnsi="Times New Roman"/>
          <w:sz w:val="15"/>
          <w:szCs w:val="15"/>
          <w:color w:val="auto"/>
        </w:rPr>
        <w:t>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w:t>
      </w:r>
    </w:p>
    <w:p>
      <w:pPr>
        <w:spacing w:after="0" w:line="3" w:lineRule="exact"/>
        <w:rPr>
          <w:sz w:val="20"/>
          <w:szCs w:val="20"/>
          <w:color w:val="auto"/>
        </w:rPr>
      </w:pPr>
    </w:p>
    <w:p>
      <w:pPr>
        <w:ind w:left="920" w:right="40"/>
        <w:spacing w:after="0" w:line="260" w:lineRule="auto"/>
        <w:rPr>
          <w:sz w:val="20"/>
          <w:szCs w:val="20"/>
          <w:color w:val="auto"/>
        </w:rPr>
      </w:pPr>
      <w:r>
        <w:rPr>
          <w:rFonts w:ascii="Times New Roman" w:cs="Times New Roman" w:eastAsia="Times New Roman" w:hAnsi="Times New Roman"/>
          <w:sz w:val="15"/>
          <w:szCs w:val="15"/>
          <w:color w:val="auto"/>
        </w:rPr>
        <w:t>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58"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Coronavirus Aid, Relief and Economic Security Act, or CARES Act, signed into law in March 2020 and designed to provide financial support and resources to individuals and businesses affected by the COVID-19 pandemic.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64" w:lineRule="exact"/>
        <w:rPr>
          <w:sz w:val="20"/>
          <w:szCs w:val="20"/>
          <w:color w:val="auto"/>
        </w:rPr>
      </w:pPr>
    </w:p>
    <w:p>
      <w:pPr>
        <w:ind w:left="920" w:right="60" w:firstLine="753"/>
        <w:spacing w:after="0" w:line="260" w:lineRule="auto"/>
        <w:rPr>
          <w:sz w:val="20"/>
          <w:szCs w:val="20"/>
          <w:color w:val="auto"/>
        </w:rPr>
      </w:pPr>
      <w:r>
        <w:rPr>
          <w:rFonts w:ascii="Times New Roman" w:cs="Times New Roman" w:eastAsia="Times New Roman" w:hAnsi="Times New Roman"/>
          <w:sz w:val="15"/>
          <w:szCs w:val="15"/>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-68-</w:t>
      </w:r>
    </w:p>
    <w:p>
      <w:pPr>
        <w:sectPr>
          <w:pgSz w:w="11900" w:h="16838" w:orient="portrait"/>
          <w:cols w:equalWidth="0" w:num="1">
            <w:col w:w="10320"/>
          </w:cols>
          <w:pgMar w:left="320" w:top="410" w:right="125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360" w:firstLine="753"/>
        <w:spacing w:after="0" w:line="265" w:lineRule="auto"/>
        <w:rPr>
          <w:sz w:val="20"/>
          <w:szCs w:val="20"/>
          <w:color w:val="auto"/>
        </w:rPr>
      </w:pPr>
      <w:r>
        <w:rPr>
          <w:rFonts w:ascii="Times New Roman" w:cs="Times New Roman" w:eastAsia="Times New Roman" w:hAnsi="Times New Roman"/>
          <w:sz w:val="15"/>
          <w:szCs w:val="15"/>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54"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54"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48" w:lineRule="exact"/>
        <w:rPr>
          <w:sz w:val="20"/>
          <w:szCs w:val="20"/>
          <w:color w:val="auto"/>
        </w:rPr>
      </w:pPr>
    </w:p>
    <w:p>
      <w:pPr>
        <w:ind w:left="920"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29" w:lineRule="exact"/>
        <w:rPr>
          <w:sz w:val="20"/>
          <w:szCs w:val="20"/>
          <w:color w:val="auto"/>
        </w:rPr>
      </w:pPr>
    </w:p>
    <w:p>
      <w:pPr>
        <w:ind w:left="920" w:right="140" w:firstLine="753"/>
        <w:spacing w:after="0" w:line="260" w:lineRule="auto"/>
        <w:rPr>
          <w:sz w:val="20"/>
          <w:szCs w:val="20"/>
          <w:color w:val="auto"/>
        </w:rPr>
      </w:pPr>
      <w:r>
        <w:rPr>
          <w:rFonts w:ascii="Times New Roman" w:cs="Times New Roman" w:eastAsia="Times New Roman" w:hAnsi="Times New Roman"/>
          <w:sz w:val="15"/>
          <w:szCs w:val="15"/>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w:t>
      </w:r>
    </w:p>
    <w:p>
      <w:pPr>
        <w:spacing w:after="0" w:line="2" w:lineRule="exact"/>
        <w:rPr>
          <w:sz w:val="20"/>
          <w:szCs w:val="20"/>
          <w:color w:val="auto"/>
        </w:rPr>
      </w:pPr>
    </w:p>
    <w:p>
      <w:pPr>
        <w:ind w:left="920" w:right="20"/>
        <w:spacing w:after="0" w:line="257" w:lineRule="auto"/>
        <w:tabs>
          <w:tab w:leader="none" w:pos="118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w:t>
      </w:r>
    </w:p>
    <w:p>
      <w:pPr>
        <w:spacing w:after="0" w:line="293"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69 -</w:t>
      </w:r>
    </w:p>
    <w:p>
      <w:pPr>
        <w:sectPr>
          <w:pgSz w:w="11900" w:h="16838" w:orient="portrait"/>
          <w:cols w:equalWidth="0" w:num="1">
            <w:col w:w="10300"/>
          </w:cols>
          <w:pgMar w:left="320" w:top="410" w:right="127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40"/>
        <w:spacing w:after="0" w:line="275" w:lineRule="auto"/>
        <w:rPr>
          <w:sz w:val="20"/>
          <w:szCs w:val="20"/>
          <w:color w:val="auto"/>
        </w:rPr>
      </w:pPr>
      <w:r>
        <w:rPr>
          <w:rFonts w:ascii="Times New Roman" w:cs="Times New Roman" w:eastAsia="Times New Roman" w:hAnsi="Times New Roman"/>
          <w:sz w:val="15"/>
          <w:szCs w:val="15"/>
          <w:color w:val="auto"/>
        </w:rPr>
        <w:t>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41" w:lineRule="exact"/>
        <w:rPr>
          <w:sz w:val="20"/>
          <w:szCs w:val="20"/>
          <w:color w:val="auto"/>
        </w:rPr>
      </w:pPr>
    </w:p>
    <w:p>
      <w:pPr>
        <w:ind w:left="920" w:right="3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9" w:lineRule="exact"/>
        <w:rPr>
          <w:sz w:val="20"/>
          <w:szCs w:val="20"/>
          <w:color w:val="auto"/>
        </w:rPr>
      </w:pPr>
    </w:p>
    <w:p>
      <w:pPr>
        <w:ind w:left="920" w:right="80" w:firstLine="753"/>
        <w:spacing w:after="0" w:line="262" w:lineRule="auto"/>
        <w:rPr>
          <w:sz w:val="20"/>
          <w:szCs w:val="20"/>
          <w:color w:val="auto"/>
        </w:rPr>
      </w:pPr>
      <w:r>
        <w:rPr>
          <w:rFonts w:ascii="Times New Roman" w:cs="Times New Roman" w:eastAsia="Times New Roman" w:hAnsi="Times New Roman"/>
          <w:sz w:val="15"/>
          <w:szCs w:val="15"/>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58"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2"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45"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50" w:lineRule="exact"/>
        <w:rPr>
          <w:sz w:val="20"/>
          <w:szCs w:val="20"/>
          <w:color w:val="auto"/>
        </w:rPr>
      </w:pPr>
    </w:p>
    <w:p>
      <w:pPr>
        <w:ind w:left="9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45"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362" w:lineRule="exact"/>
        <w:rPr>
          <w:sz w:val="20"/>
          <w:szCs w:val="20"/>
          <w:color w:val="auto"/>
        </w:rPr>
      </w:pPr>
    </w:p>
    <w:p>
      <w:pPr>
        <w:ind w:left="2040" w:right="100" w:hanging="278"/>
        <w:spacing w:after="0" w:line="293" w:lineRule="auto"/>
        <w:tabs>
          <w:tab w:leader="none" w:pos="20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prohibits any person or entity from, among other things, knowingly and willfully soliciting, receiving, offering or paying any remuneration, directly or</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70 -</w:t>
      </w:r>
    </w:p>
    <w:p>
      <w:pPr>
        <w:sectPr>
          <w:pgSz w:w="11900" w:h="16838" w:orient="portrait"/>
          <w:cols w:equalWidth="0" w:num="1">
            <w:col w:w="10320"/>
          </w:cols>
          <w:pgMar w:left="320" w:top="410" w:right="125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spacing w:after="0" w:line="260" w:lineRule="auto"/>
        <w:rPr>
          <w:sz w:val="20"/>
          <w:szCs w:val="20"/>
          <w:color w:val="auto"/>
        </w:rPr>
      </w:pPr>
      <w:r>
        <w:rPr>
          <w:rFonts w:ascii="Times New Roman" w:cs="Times New Roman" w:eastAsia="Times New Roman" w:hAnsi="Times New Roman"/>
          <w:sz w:val="15"/>
          <w:szCs w:val="15"/>
          <w:color w:val="auto"/>
        </w:rPr>
        <w:t>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368" w:lineRule="exact"/>
        <w:rPr>
          <w:sz w:val="20"/>
          <w:szCs w:val="20"/>
          <w:color w:val="auto"/>
        </w:rPr>
      </w:pPr>
    </w:p>
    <w:p>
      <w:pPr>
        <w:ind w:left="2040" w:right="60" w:hanging="278"/>
        <w:spacing w:after="0" w:line="258" w:lineRule="auto"/>
        <w:tabs>
          <w:tab w:leader="none" w:pos="20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civil laws, such as the False Claims Act, or the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88" w:lineRule="exact"/>
        <w:rPr>
          <w:rFonts w:ascii="Times New Roman" w:cs="Times New Roman" w:eastAsia="Times New Roman" w:hAnsi="Times New Roman"/>
          <w:sz w:val="15"/>
          <w:szCs w:val="15"/>
          <w:color w:val="auto"/>
        </w:rPr>
      </w:pPr>
    </w:p>
    <w:p>
      <w:pPr>
        <w:ind w:left="2040" w:hanging="278"/>
        <w:spacing w:after="0" w:line="262" w:lineRule="auto"/>
        <w:tabs>
          <w:tab w:leader="none" w:pos="20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Health Insurance Portability and Accountability Act of 1996, or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w:t>
      </w:r>
    </w:p>
    <w:p>
      <w:pPr>
        <w:spacing w:after="0" w:line="99"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71 -</w:t>
      </w:r>
    </w:p>
    <w:p>
      <w:pPr>
        <w:sectPr>
          <w:pgSz w:w="11900" w:h="16838" w:orient="portrait"/>
          <w:cols w:equalWidth="0" w:num="1">
            <w:col w:w="10320"/>
          </w:cols>
          <w:pgMar w:left="320" w:top="410" w:right="125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260"/>
        <w:spacing w:after="0" w:line="293" w:lineRule="auto"/>
        <w:rPr>
          <w:sz w:val="20"/>
          <w:szCs w:val="20"/>
          <w:color w:val="auto"/>
        </w:rPr>
      </w:pPr>
      <w:r>
        <w:rPr>
          <w:rFonts w:ascii="Times New Roman" w:cs="Times New Roman" w:eastAsia="Times New Roman" w:hAnsi="Times New Roman"/>
          <w:sz w:val="15"/>
          <w:szCs w:val="15"/>
          <w:color w:val="auto"/>
        </w:rPr>
        <w:t>services. Similar to the federal healthcare Anti-Kickback Statute, a person or entity does not need to have actual knowledge of the statute or specific intent to violate it to have committed a violation;</w:t>
      </w:r>
    </w:p>
    <w:p>
      <w:pPr>
        <w:spacing w:after="0" w:line="155" w:lineRule="exact"/>
        <w:rPr>
          <w:sz w:val="20"/>
          <w:szCs w:val="20"/>
          <w:color w:val="auto"/>
        </w:rPr>
      </w:pPr>
    </w:p>
    <w:p>
      <w:pPr>
        <w:ind w:left="2040" w:right="80" w:hanging="278"/>
        <w:spacing w:after="0" w:line="262"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as amended by the Health Information Technology for Economic and Clinical Health Act of 2009, or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80" w:lineRule="exact"/>
        <w:rPr>
          <w:rFonts w:ascii="Times New Roman" w:cs="Times New Roman" w:eastAsia="Times New Roman" w:hAnsi="Times New Roman"/>
          <w:sz w:val="15"/>
          <w:szCs w:val="15"/>
          <w:color w:val="auto"/>
        </w:rPr>
      </w:pPr>
    </w:p>
    <w:p>
      <w:pPr>
        <w:ind w:left="2040" w:right="180" w:hanging="278"/>
        <w:spacing w:after="0" w:line="293"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and state consumer protection and unfair competition laws, which broadly regulate marketplace activities and activities that potentially harm consumers;</w:t>
      </w:r>
    </w:p>
    <w:p>
      <w:pPr>
        <w:spacing w:after="0" w:line="155" w:lineRule="exact"/>
        <w:rPr>
          <w:rFonts w:ascii="Times New Roman" w:cs="Times New Roman" w:eastAsia="Times New Roman" w:hAnsi="Times New Roman"/>
          <w:sz w:val="15"/>
          <w:szCs w:val="15"/>
          <w:color w:val="auto"/>
        </w:rPr>
      </w:pPr>
    </w:p>
    <w:p>
      <w:pPr>
        <w:ind w:left="2040" w:right="180" w:hanging="278"/>
        <w:spacing w:after="0" w:line="293"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Food, Drug and Cosmetic Act, which prohibits, among other things, the adulteration or misbranding of drugs, biologics and medical devices;</w:t>
      </w:r>
    </w:p>
    <w:p>
      <w:pPr>
        <w:spacing w:after="0" w:line="155" w:lineRule="exact"/>
        <w:rPr>
          <w:rFonts w:ascii="Times New Roman" w:cs="Times New Roman" w:eastAsia="Times New Roman" w:hAnsi="Times New Roman"/>
          <w:sz w:val="15"/>
          <w:szCs w:val="15"/>
          <w:color w:val="auto"/>
        </w:rPr>
      </w:pPr>
    </w:p>
    <w:p>
      <w:pPr>
        <w:ind w:left="2040" w:hanging="278"/>
        <w:spacing w:after="0" w:line="261"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366" w:lineRule="exact"/>
        <w:rPr>
          <w:rFonts w:ascii="Times New Roman" w:cs="Times New Roman" w:eastAsia="Times New Roman" w:hAnsi="Times New Roman"/>
          <w:sz w:val="15"/>
          <w:szCs w:val="15"/>
          <w:color w:val="auto"/>
        </w:rPr>
      </w:pPr>
    </w:p>
    <w:p>
      <w:pPr>
        <w:ind w:left="2040" w:right="120" w:hanging="278"/>
        <w:spacing w:after="0" w:line="275"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167" w:lineRule="exact"/>
        <w:rPr>
          <w:rFonts w:ascii="Times New Roman" w:cs="Times New Roman" w:eastAsia="Times New Roman" w:hAnsi="Times New Roman"/>
          <w:sz w:val="15"/>
          <w:szCs w:val="15"/>
          <w:color w:val="auto"/>
        </w:rPr>
      </w:pPr>
    </w:p>
    <w:p>
      <w:pPr>
        <w:ind w:left="2040" w:right="60" w:hanging="278"/>
        <w:spacing w:after="0" w:line="262" w:lineRule="auto"/>
        <w:tabs>
          <w:tab w:leader="none" w:pos="20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58" w:lineRule="exact"/>
        <w:rPr>
          <w:sz w:val="20"/>
          <w:szCs w:val="20"/>
          <w:color w:val="auto"/>
        </w:rPr>
      </w:pPr>
    </w:p>
    <w:p>
      <w:pPr>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-72-</w:t>
      </w:r>
    </w:p>
    <w:p>
      <w:pPr>
        <w:sectPr>
          <w:pgSz w:w="11900" w:h="16838" w:orient="portrait"/>
          <w:cols w:equalWidth="0" w:num="1">
            <w:col w:w="10280"/>
          </w:cols>
          <w:pgMar w:left="320" w:top="410" w:right="129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80"/>
        <w:spacing w:after="0" w:line="293" w:lineRule="auto"/>
        <w:rPr>
          <w:sz w:val="20"/>
          <w:szCs w:val="20"/>
          <w:color w:val="auto"/>
        </w:rPr>
      </w:pPr>
      <w:r>
        <w:rPr>
          <w:rFonts w:ascii="Times New Roman" w:cs="Times New Roman" w:eastAsia="Times New Roman" w:hAnsi="Times New Roman"/>
          <w:sz w:val="15"/>
          <w:szCs w:val="15"/>
          <w:color w:val="auto"/>
        </w:rPr>
        <w:t>penalties. We could be adversely affected if regulatory agencies interpret our financial relationships with providers who may influence the ordering of and use our product candidates, if approved, to be in violation of applicable laws.</w:t>
      </w:r>
    </w:p>
    <w:p>
      <w:pPr>
        <w:spacing w:after="0" w:line="132"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153" w:lineRule="exact"/>
        <w:rPr>
          <w:sz w:val="20"/>
          <w:szCs w:val="20"/>
          <w:color w:val="auto"/>
        </w:rPr>
      </w:pPr>
    </w:p>
    <w:p>
      <w:pPr>
        <w:ind w:left="920" w:right="240" w:firstLine="753"/>
        <w:spacing w:after="0" w:line="261" w:lineRule="auto"/>
        <w:rPr>
          <w:sz w:val="20"/>
          <w:szCs w:val="20"/>
          <w:color w:val="auto"/>
        </w:rPr>
      </w:pPr>
      <w:r>
        <w:rPr>
          <w:rFonts w:ascii="Times New Roman" w:cs="Times New Roman" w:eastAsia="Times New Roman" w:hAnsi="Times New Roman"/>
          <w:sz w:val="15"/>
          <w:szCs w:val="15"/>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52" w:lineRule="exact"/>
        <w:rPr>
          <w:sz w:val="20"/>
          <w:szCs w:val="20"/>
          <w:color w:val="auto"/>
        </w:rPr>
      </w:pPr>
    </w:p>
    <w:p>
      <w:pPr>
        <w:ind w:left="920"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5" w:lineRule="exact"/>
        <w:rPr>
          <w:sz w:val="20"/>
          <w:szCs w:val="20"/>
          <w:color w:val="auto"/>
        </w:rPr>
      </w:pPr>
    </w:p>
    <w:p>
      <w:pPr>
        <w:ind w:left="920" w:right="20" w:firstLine="753"/>
        <w:spacing w:after="0" w:line="267" w:lineRule="auto"/>
        <w:rPr>
          <w:sz w:val="20"/>
          <w:szCs w:val="20"/>
          <w:color w:val="auto"/>
        </w:rPr>
      </w:pPr>
      <w:r>
        <w:rPr>
          <w:rFonts w:ascii="Times New Roman" w:cs="Times New Roman" w:eastAsia="Times New Roman" w:hAnsi="Times New Roman"/>
          <w:sz w:val="15"/>
          <w:szCs w:val="15"/>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339"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certain U.S. and foreign anti-corruption, anti-money laundering, export control, sanctions, and other trade laws and regulations.</w:t>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can face serious consequences for violations.</w:t>
      </w:r>
    </w:p>
    <w:p>
      <w:pPr>
        <w:spacing w:after="0" w:line="182"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-73-</w:t>
      </w:r>
    </w:p>
    <w:p>
      <w:pPr>
        <w:sectPr>
          <w:pgSz w:w="11900" w:h="16838" w:orient="portrait"/>
          <w:cols w:equalWidth="0" w:num="1">
            <w:col w:w="10320"/>
          </w:cols>
          <w:pgMar w:left="320" w:top="410" w:right="125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80"/>
        <w:spacing w:after="0" w:line="264" w:lineRule="auto"/>
        <w:rPr>
          <w:sz w:val="20"/>
          <w:szCs w:val="20"/>
          <w:color w:val="auto"/>
        </w:rPr>
      </w:pPr>
      <w:r>
        <w:rPr>
          <w:rFonts w:ascii="Times New Roman" w:cs="Times New Roman" w:eastAsia="Times New Roman" w:hAnsi="Times New Roman"/>
          <w:sz w:val="15"/>
          <w:szCs w:val="15"/>
          <w:color w:val="auto"/>
        </w:rPr>
        <w:t>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49" w:lineRule="exact"/>
        <w:rPr>
          <w:sz w:val="20"/>
          <w:szCs w:val="20"/>
          <w:color w:val="auto"/>
        </w:rPr>
      </w:pPr>
    </w:p>
    <w:p>
      <w:pPr>
        <w:ind w:left="9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45" w:lineRule="exact"/>
        <w:rPr>
          <w:sz w:val="20"/>
          <w:szCs w:val="20"/>
          <w:color w:val="auto"/>
        </w:rPr>
      </w:pPr>
    </w:p>
    <w:p>
      <w:pPr>
        <w:ind w:left="920" w:right="40" w:firstLine="753"/>
        <w:spacing w:after="0" w:line="260" w:lineRule="auto"/>
        <w:rPr>
          <w:sz w:val="20"/>
          <w:szCs w:val="20"/>
          <w:color w:val="auto"/>
        </w:rPr>
      </w:pPr>
      <w:r>
        <w:rPr>
          <w:rFonts w:ascii="Times New Roman" w:cs="Times New Roman" w:eastAsia="Times New Roman" w:hAnsi="Times New Roman"/>
          <w:sz w:val="15"/>
          <w:szCs w:val="15"/>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345"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145" w:lineRule="exact"/>
        <w:rPr>
          <w:sz w:val="20"/>
          <w:szCs w:val="20"/>
          <w:color w:val="auto"/>
        </w:rPr>
      </w:pPr>
    </w:p>
    <w:p>
      <w:pPr>
        <w:jc w:val="both"/>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Coverage and reimbursement by a third-party payor may depend upon a number of factors, including the third-party payor’s determination that use of a product is:</w:t>
      </w:r>
    </w:p>
    <w:p>
      <w:pPr>
        <w:spacing w:after="0" w:line="155" w:lineRule="exact"/>
        <w:rPr>
          <w:sz w:val="20"/>
          <w:szCs w:val="20"/>
          <w:color w:val="auto"/>
        </w:rPr>
      </w:pPr>
    </w:p>
    <w:p>
      <w:pPr>
        <w:ind w:left="2040" w:hanging="278"/>
        <w:spacing w:after="0"/>
        <w:tabs>
          <w:tab w:leader="none" w:pos="20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benefit under its health plan;</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effective and medically necessary;</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appropriate for the specific patient;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cost-effective;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experimental nor investigational.</w:t>
      </w:r>
    </w:p>
    <w:p>
      <w:pPr>
        <w:spacing w:after="0" w:line="196"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-74-</w:t>
      </w:r>
    </w:p>
    <w:p>
      <w:pPr>
        <w:sectPr>
          <w:pgSz w:w="11900" w:h="16838" w:orient="portrait"/>
          <w:cols w:equalWidth="0" w:num="1">
            <w:col w:w="10320"/>
          </w:cols>
          <w:pgMar w:left="320" w:top="410" w:right="125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58"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53"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55" w:lineRule="exact"/>
        <w:rPr>
          <w:sz w:val="20"/>
          <w:szCs w:val="20"/>
          <w:color w:val="auto"/>
        </w:rPr>
      </w:pPr>
    </w:p>
    <w:p>
      <w:pPr>
        <w:ind w:left="9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45"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59"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Furthermore, states are constantly adopting new laws or amending existing laws, requiring attention to frequently changing regulatory requirements. For example, California has enacted the California Consumer Privacy Act, or the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-75-</w:t>
      </w:r>
    </w:p>
    <w:p>
      <w:pPr>
        <w:sectPr>
          <w:pgSz w:w="11900" w:h="16838" w:orient="portrait"/>
          <w:cols w:equalWidth="0" w:num="1">
            <w:col w:w="10320"/>
          </w:cols>
          <w:pgMar w:left="320" w:top="410" w:right="125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8" w:lineRule="auto"/>
        <w:rPr>
          <w:sz w:val="20"/>
          <w:szCs w:val="20"/>
          <w:color w:val="auto"/>
        </w:rPr>
      </w:pPr>
      <w:r>
        <w:rPr>
          <w:rFonts w:ascii="Times New Roman" w:cs="Times New Roman" w:eastAsia="Times New Roman" w:hAnsi="Times New Roman"/>
          <w:sz w:val="15"/>
          <w:szCs w:val="15"/>
          <w:color w:val="auto"/>
        </w:rPr>
        <w:t>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152" w:lineRule="exact"/>
        <w:rPr>
          <w:sz w:val="20"/>
          <w:szCs w:val="20"/>
          <w:color w:val="auto"/>
        </w:rPr>
      </w:pPr>
    </w:p>
    <w:p>
      <w:pPr>
        <w:ind w:left="920" w:right="20" w:firstLine="753"/>
        <w:spacing w:after="0" w:line="259" w:lineRule="auto"/>
        <w:rPr>
          <w:sz w:val="20"/>
          <w:szCs w:val="20"/>
          <w:color w:val="auto"/>
        </w:rPr>
      </w:pPr>
      <w:r>
        <w:rPr>
          <w:rFonts w:ascii="Times New Roman" w:cs="Times New Roman" w:eastAsia="Times New Roman" w:hAnsi="Times New Roman"/>
          <w:sz w:val="15"/>
          <w:szCs w:val="15"/>
          <w:color w:val="auto"/>
        </w:rPr>
        <w:t xml:space="preserve">International data protection laws, including the EU General Data Protection Regulation, or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In particular, on July 16, 2020, the Court of Justice of the European Union, in the case of </w:t>
      </w:r>
      <w:r>
        <w:rPr>
          <w:rFonts w:ascii="Times New Roman" w:cs="Times New Roman" w:eastAsia="Times New Roman" w:hAnsi="Times New Roman"/>
          <w:sz w:val="15"/>
          <w:szCs w:val="15"/>
          <w:i w:val="1"/>
          <w:iCs w:val="1"/>
          <w:color w:val="auto"/>
        </w:rPr>
        <w:t>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Protection Commissioner v. Facebook Ireland Limited, Maximillian Schrems </w:t>
      </w:r>
      <w:r>
        <w:rPr>
          <w:rFonts w:ascii="Times New Roman" w:cs="Times New Roman" w:eastAsia="Times New Roman" w:hAnsi="Times New Roman"/>
          <w:sz w:val="15"/>
          <w:szCs w:val="15"/>
          <w:color w:val="auto"/>
        </w:rPr>
        <w:t>(Case C-311/18), or</w:t>
      </w:r>
      <w:r>
        <w:rPr>
          <w:rFonts w:ascii="Times New Roman" w:cs="Times New Roman" w:eastAsia="Times New Roman" w:hAnsi="Times New Roman"/>
          <w:sz w:val="15"/>
          <w:szCs w:val="15"/>
          <w:i w:val="1"/>
          <w:iCs w:val="1"/>
          <w:color w:val="auto"/>
        </w:rPr>
        <w:t xml:space="preserve"> Schrems II</w:t>
      </w:r>
      <w:r>
        <w:rPr>
          <w:rFonts w:ascii="Times New Roman" w:cs="Times New Roman" w:eastAsia="Times New Roman" w:hAnsi="Times New Roman"/>
          <w:sz w:val="15"/>
          <w:szCs w:val="15"/>
          <w:color w:val="auto"/>
        </w:rPr>
        <w:t>, invalidated the EU-U.S. Privacy Shield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Program for transfers of personal data from the EU to the United States, and added further uncertainty and complexity to the use of the Standard Contractual Clauses as a compliance mechanism for transfers of personal data outside the EU.</w:t>
      </w:r>
    </w:p>
    <w:p>
      <w:pPr>
        <w:spacing w:after="0" w:line="159"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159"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w:t>
      </w:r>
    </w:p>
    <w:p>
      <w:pPr>
        <w:spacing w:after="0" w:line="10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-76-</w:t>
      </w:r>
    </w:p>
    <w:p>
      <w:pPr>
        <w:sectPr>
          <w:pgSz w:w="11900" w:h="16838" w:orient="portrait"/>
          <w:cols w:equalWidth="0" w:num="1">
            <w:col w:w="10320"/>
          </w:cols>
          <w:pgMar w:left="320" w:top="410" w:right="125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40"/>
        <w:spacing w:after="0" w:line="293" w:lineRule="auto"/>
        <w:rPr>
          <w:sz w:val="20"/>
          <w:szCs w:val="20"/>
          <w:color w:val="auto"/>
        </w:rPr>
      </w:pPr>
      <w:r>
        <w:rPr>
          <w:rFonts w:ascii="Times New Roman" w:cs="Times New Roman" w:eastAsia="Times New Roman" w:hAnsi="Times New Roman"/>
          <w:sz w:val="15"/>
          <w:szCs w:val="15"/>
          <w:color w:val="auto"/>
        </w:rPr>
        <w:t>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28" w:lineRule="exact"/>
        <w:rPr>
          <w:sz w:val="20"/>
          <w:szCs w:val="20"/>
          <w:color w:val="auto"/>
        </w:rPr>
      </w:pPr>
    </w:p>
    <w:p>
      <w:pPr>
        <w:ind w:left="920" w:right="8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45"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54"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54"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342"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Risks Related to our Common Stock and to this Offering</w:t>
      </w:r>
    </w:p>
    <w:p>
      <w:pPr>
        <w:spacing w:after="0" w:line="196" w:lineRule="exact"/>
        <w:rPr>
          <w:sz w:val="20"/>
          <w:szCs w:val="20"/>
          <w:color w:val="auto"/>
        </w:rPr>
      </w:pPr>
    </w:p>
    <w:p>
      <w:pPr>
        <w:ind w:left="920" w:right="1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29"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-77-</w:t>
      </w:r>
    </w:p>
    <w:p>
      <w:pPr>
        <w:sectPr>
          <w:pgSz w:w="11900" w:h="16838" w:orient="portrait"/>
          <w:cols w:equalWidth="0" w:num="1">
            <w:col w:w="10320"/>
          </w:cols>
          <w:pgMar w:left="320" w:top="410" w:right="125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75" w:lineRule="auto"/>
        <w:rPr>
          <w:sz w:val="20"/>
          <w:szCs w:val="20"/>
          <w:color w:val="auto"/>
        </w:rPr>
      </w:pPr>
      <w:r>
        <w:rPr>
          <w:rFonts w:ascii="Times New Roman" w:cs="Times New Roman" w:eastAsia="Times New Roman" w:hAnsi="Times New Roman"/>
          <w:sz w:val="15"/>
          <w:szCs w:val="15"/>
          <w:color w:val="auto"/>
        </w:rPr>
        <w:t>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168" w:lineRule="exact"/>
        <w:rPr>
          <w:sz w:val="20"/>
          <w:szCs w:val="20"/>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performance of the equity markets;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performance and the performance of other similar companies;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from our ongoing clinical trials and future clinical trials with our current and future product candidates or of our competitors;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the commencement, enrollment and the ultimate completion of clinical trials;</w:t>
      </w:r>
    </w:p>
    <w:p>
      <w:pPr>
        <w:spacing w:after="0" w:line="219" w:lineRule="exact"/>
        <w:rPr>
          <w:rFonts w:ascii="Times New Roman" w:cs="Times New Roman" w:eastAsia="Times New Roman" w:hAnsi="Times New Roman"/>
          <w:sz w:val="15"/>
          <w:szCs w:val="15"/>
          <w:color w:val="auto"/>
        </w:rPr>
      </w:pPr>
    </w:p>
    <w:p>
      <w:pPr>
        <w:ind w:left="2040" w:right="680" w:hanging="278"/>
        <w:spacing w:after="0" w:line="293" w:lineRule="auto"/>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projected operating results that we provide to the public, our failure to meet these projections or changes in recommendations by securities analysts that elect to follow our common stock;</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actions with respect to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legal developments in the United States and other countries;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expenses related to future product candidates or clinical development programs;</w:t>
      </w:r>
    </w:p>
    <w:p>
      <w:pPr>
        <w:spacing w:after="0" w:line="219" w:lineRule="exact"/>
        <w:rPr>
          <w:rFonts w:ascii="Times New Roman" w:cs="Times New Roman" w:eastAsia="Times New Roman" w:hAnsi="Times New Roman"/>
          <w:sz w:val="15"/>
          <w:szCs w:val="15"/>
          <w:color w:val="auto"/>
        </w:rPr>
      </w:pPr>
    </w:p>
    <w:p>
      <w:pPr>
        <w:ind w:left="2040" w:right="460" w:hanging="278"/>
        <w:spacing w:after="0" w:line="293" w:lineRule="auto"/>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achieve product development or commercialization goals or regulatory approval milestones in the timeframe we announce;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hospital or ECP practices;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acquisitions, strategic alliances or significant agreements by us or by our competitors;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patent applications, issued patents or other intellectual property or proprietary rights;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recruitment or departure of key personnel;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economy as a whole and market conditions in our industry, including conditions resulting from COVID-19;</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financial results or the financial results of companies that are perceived to be similar to us;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or other corporate transactions, or inability to obtain additional funding;</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activity by a limited number of stockholders who together beneficially own a majority of our outstanding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market standoff or contractual lock-up agreements;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of our market float;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factors discussed in this prospectus.</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78 -</w:t>
      </w:r>
    </w:p>
    <w:p>
      <w:pPr>
        <w:sectPr>
          <w:pgSz w:w="11900" w:h="16838" w:orient="portrait"/>
          <w:cols w:equalWidth="0" w:num="1">
            <w:col w:w="10240"/>
          </w:cols>
          <w:pgMar w:left="320" w:top="410" w:right="133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0" w:lineRule="exact"/>
        <w:rPr>
          <w:sz w:val="20"/>
          <w:szCs w:val="20"/>
          <w:color w:val="auto"/>
        </w:rPr>
      </w:pPr>
    </w:p>
    <w:p>
      <w:pPr>
        <w:ind w:left="920" w:right="3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or publish inaccurate or unfavorable research about our business, our stock price and trading volume could decline.</w:t>
      </w:r>
    </w:p>
    <w:p>
      <w:pPr>
        <w:spacing w:after="0" w:line="12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If you purchase shares of our common stock in this offering, you will experience substantial and immediate dilution.</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If you purchase shares of our common stock in this offering, you will experience substantial and immediate dilution in the pro forma net tangible book value per share of $7.25 per share as of June 30, 2020, based on an assumed initial public offering price of our common stock of $16.00 per share, the midpoint of the price range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3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Participation in this offering by our existing stockholders and their affiliated entities may reduce the public float for our common stock.</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To the extent certain of our existing stockholders and their affiliated entities participate in this offering (including through our reserved share program),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50" w:lineRule="exact"/>
        <w:rPr>
          <w:sz w:val="20"/>
          <w:szCs w:val="20"/>
          <w:color w:val="auto"/>
        </w:rPr>
      </w:pPr>
    </w:p>
    <w:p>
      <w:pPr>
        <w:ind w:left="920" w:right="8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Substantial amounts of our outstanding shares may be sold into the market when lock-up periods end. If there are substantial sales of shares of our common stock, the price of our common stock could decline.</w:t>
      </w:r>
    </w:p>
    <w:p>
      <w:pPr>
        <w:spacing w:after="0" w:line="129"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18,759,014 outstanding shares of our common stock, based on the number of shares outstanding as of June 30, 2020, including the conversion of the 2,857,079 shares of Series C preferred stock we issued in</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-79-</w:t>
      </w:r>
    </w:p>
    <w:p>
      <w:pPr>
        <w:sectPr>
          <w:pgSz w:w="11900" w:h="16838" w:orient="portrait"/>
          <w:cols w:equalWidth="0" w:num="1">
            <w:col w:w="10320"/>
          </w:cols>
          <w:pgMar w:left="320" w:top="410" w:right="125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4" w:lineRule="auto"/>
        <w:rPr>
          <w:sz w:val="20"/>
          <w:szCs w:val="20"/>
          <w:color w:val="auto"/>
        </w:rPr>
      </w:pPr>
      <w:r>
        <w:rPr>
          <w:rFonts w:ascii="Times New Roman" w:cs="Times New Roman" w:eastAsia="Times New Roman" w:hAnsi="Times New Roman"/>
          <w:sz w:val="15"/>
          <w:szCs w:val="15"/>
          <w:color w:val="auto"/>
        </w:rPr>
        <w:t>September 2020, but excluding 67,316 shares that are issued but subject to a right of repurchase. All of the shares of common stock sold in this offering will be available for sale in the public market, unless purchased by our affiliates or existing stockholders. Substantially all of our outstanding shares of common stock are currently restricted from resale as a result of “lock-up” agreements (which may be waived by BofA Securities, Inc. and Jefferies LLC with or without notice), as more fully described in “Shares Eligible for Future Sale.” These shares will become available to be sold 181 days after the date of this prospectus. Shares held by directors, executive officers and other affiliates will be subject to volume limitations under Rule 144 under the Securities Act of 1933, as amended, or the Securities Act, and various vesting agreements.</w:t>
      </w:r>
    </w:p>
    <w:p>
      <w:pPr>
        <w:spacing w:after="0" w:line="153"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After our initial public offering, holders of an aggregate of 11,107,018 shares of our common stock, issued upon conversion of our preferred stock, will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54" w:lineRule="exact"/>
        <w:rPr>
          <w:sz w:val="20"/>
          <w:szCs w:val="20"/>
          <w:color w:val="auto"/>
        </w:rPr>
      </w:pPr>
    </w:p>
    <w:p>
      <w:pPr>
        <w:ind w:left="920" w:right="180" w:firstLine="753"/>
        <w:spacing w:after="0" w:line="293" w:lineRule="auto"/>
        <w:rPr>
          <w:sz w:val="20"/>
          <w:szCs w:val="20"/>
          <w:color w:val="auto"/>
        </w:rPr>
      </w:pPr>
      <w:r>
        <w:rPr>
          <w:rFonts w:ascii="Times New Roman" w:cs="Times New Roman" w:eastAsia="Times New Roman" w:hAnsi="Times New Roman"/>
          <w:sz w:val="15"/>
          <w:szCs w:val="15"/>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28" w:lineRule="exact"/>
        <w:rPr>
          <w:sz w:val="20"/>
          <w:szCs w:val="20"/>
          <w:color w:val="auto"/>
        </w:rPr>
      </w:pPr>
    </w:p>
    <w:p>
      <w:pPr>
        <w:ind w:left="920" w:right="1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29" w:lineRule="exact"/>
        <w:rPr>
          <w:sz w:val="20"/>
          <w:szCs w:val="20"/>
          <w:color w:val="auto"/>
        </w:rPr>
      </w:pPr>
    </w:p>
    <w:p>
      <w:pPr>
        <w:ind w:left="920" w:right="20" w:firstLine="753"/>
        <w:spacing w:after="0" w:line="259" w:lineRule="auto"/>
        <w:rPr>
          <w:sz w:val="20"/>
          <w:szCs w:val="20"/>
          <w:color w:val="auto"/>
        </w:rPr>
      </w:pPr>
      <w:r>
        <w:rPr>
          <w:rFonts w:ascii="Times New Roman" w:cs="Times New Roman" w:eastAsia="Times New Roman" w:hAnsi="Times New Roman"/>
          <w:sz w:val="15"/>
          <w:szCs w:val="15"/>
          <w:color w:val="auto"/>
        </w:rPr>
        <w:t>Based upon the 13,995,006 shares of common stock outstanding as of September 30, 2020 (after giving effect to the conversion of all our 11,107,018 outstanding shares of preferred stock as of that date, including 2,857,079 shares of Series C preferred stock issued in September 2020, into an aggregate of 11,107,018 shares of our common stock, immediately prior to completion of this offering, but excluding 179,375 shares of common stock, which were issued upon the early exercise of certain stock options, but are not outstanding as they are subject to a right of repurchase), prior to this offering, our executive officers, directors and the holders of more than 5% of our outstanding common stock, in the aggregate, beneficially owned approximately 92.9% of our common stock. Upon the completion of this offering, that same group, in the aggregate, will beneficially own approximately 69.8% of our common stock, assuming no purchases of shares in this offering by any members of this group, including pursuant to our reserved share program,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60" w:lineRule="exact"/>
        <w:rPr>
          <w:sz w:val="20"/>
          <w:szCs w:val="20"/>
          <w:color w:val="auto"/>
        </w:rPr>
      </w:pPr>
    </w:p>
    <w:p>
      <w:pPr>
        <w:ind w:left="920" w:right="1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29" w:lineRule="exact"/>
        <w:rPr>
          <w:sz w:val="20"/>
          <w:szCs w:val="20"/>
          <w:color w:val="auto"/>
        </w:rPr>
      </w:pPr>
    </w:p>
    <w:p>
      <w:pPr>
        <w:ind w:left="920" w:right="460" w:firstLine="753"/>
        <w:spacing w:after="0" w:line="293"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55" w:lineRule="exact"/>
        <w:rPr>
          <w:sz w:val="20"/>
          <w:szCs w:val="20"/>
          <w:color w:val="auto"/>
        </w:rPr>
      </w:pPr>
    </w:p>
    <w:p>
      <w:pPr>
        <w:jc w:val="both"/>
        <w:ind w:left="2040" w:hanging="278"/>
        <w:spacing w:after="0" w:line="293" w:lineRule="auto"/>
        <w:tabs>
          <w:tab w:leader="none" w:pos="20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80 -</w:t>
      </w:r>
    </w:p>
    <w:p>
      <w:pPr>
        <w:sectPr>
          <w:pgSz w:w="11900" w:h="16838" w:orient="portrait"/>
          <w:cols w:equalWidth="0" w:num="1">
            <w:col w:w="10300"/>
          </w:cols>
          <w:pgMar w:left="320" w:top="410" w:right="127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404(b) of the Sarbanes Oxley Act;</w:t>
      </w:r>
    </w:p>
    <w:p>
      <w:pPr>
        <w:spacing w:after="0" w:line="219" w:lineRule="exact"/>
        <w:rPr>
          <w:rFonts w:ascii="Times New Roman" w:cs="Times New Roman" w:eastAsia="Times New Roman" w:hAnsi="Times New Roman"/>
          <w:sz w:val="15"/>
          <w:szCs w:val="15"/>
          <w:color w:val="auto"/>
        </w:rPr>
      </w:pPr>
    </w:p>
    <w:p>
      <w:pPr>
        <w:ind w:left="2040" w:right="180" w:hanging="278"/>
        <w:spacing w:after="0" w:line="275" w:lineRule="auto"/>
        <w:tabs>
          <w:tab w:leader="none" w:pos="20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7" w:lineRule="exact"/>
        <w:rPr>
          <w:rFonts w:ascii="Times New Roman" w:cs="Times New Roman" w:eastAsia="Times New Roman" w:hAnsi="Times New Roman"/>
          <w:sz w:val="15"/>
          <w:szCs w:val="15"/>
          <w:color w:val="auto"/>
        </w:rPr>
      </w:pPr>
    </w:p>
    <w:p>
      <w:pPr>
        <w:ind w:left="2040" w:right="160" w:hanging="278"/>
        <w:spacing w:after="0" w:line="293" w:lineRule="auto"/>
        <w:tabs>
          <w:tab w:leader="none" w:pos="20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55" w:lineRule="exact"/>
        <w:rPr>
          <w:rFonts w:ascii="Times New Roman" w:cs="Times New Roman" w:eastAsia="Times New Roman" w:hAnsi="Times New Roman"/>
          <w:sz w:val="15"/>
          <w:szCs w:val="15"/>
          <w:color w:val="auto"/>
        </w:rPr>
      </w:pPr>
    </w:p>
    <w:p>
      <w:pPr>
        <w:ind w:left="2040" w:right="820" w:hanging="278"/>
        <w:spacing w:after="0" w:line="293" w:lineRule="auto"/>
        <w:tabs>
          <w:tab w:leader="none" w:pos="20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submit certain executive compensation matters to stockholder advisory votes, such as “say-on-pay,” “say-on-frequency,” and “say-on-golden parachutes.”</w:t>
      </w:r>
    </w:p>
    <w:p>
      <w:pPr>
        <w:spacing w:after="0" w:line="132"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45" w:lineRule="exact"/>
        <w:rPr>
          <w:sz w:val="20"/>
          <w:szCs w:val="20"/>
          <w:color w:val="auto"/>
        </w:rPr>
      </w:pPr>
    </w:p>
    <w:p>
      <w:pPr>
        <w:ind w:left="920" w:right="80" w:firstLine="753"/>
        <w:spacing w:after="0" w:line="262" w:lineRule="auto"/>
        <w:rPr>
          <w:sz w:val="20"/>
          <w:szCs w:val="20"/>
          <w:color w:val="auto"/>
        </w:rPr>
      </w:pPr>
      <w:r>
        <w:rPr>
          <w:rFonts w:ascii="Times New Roman" w:cs="Times New Roman" w:eastAsia="Times New Roman" w:hAnsi="Times New Roman"/>
          <w:sz w:val="15"/>
          <w:szCs w:val="15"/>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54" w:lineRule="exact"/>
        <w:rPr>
          <w:sz w:val="20"/>
          <w:szCs w:val="20"/>
          <w:color w:val="auto"/>
        </w:rPr>
      </w:pPr>
    </w:p>
    <w:p>
      <w:pPr>
        <w:ind w:left="920" w:right="4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Requirements associated with being a public company will increase our costs significantly, as well as divert significant company resources and management attention.</w:t>
      </w:r>
    </w:p>
    <w:p>
      <w:pPr>
        <w:spacing w:after="0" w:line="129"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After the completion of this offering, we will be subject to the reporting requirements of the Securities Exchange Act of 1934, as amended, or the Exchange Act, or the other rules and regulations of the Securities and Exchange Commission, or the SEC, or any securities exchange relating to public companies. Compliance with the various reporting and other requirements applicable to public companies requires considerable time and attention of management and we will incur significant legal, accounting and other expenses that we did not incur as a private company. We cannot assure you that we will satisfy our obligations as a public company on a timely basis.</w:t>
      </w:r>
    </w:p>
    <w:p>
      <w:pPr>
        <w:spacing w:after="0" w:line="154"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48" w:lineRule="exact"/>
        <w:rPr>
          <w:sz w:val="20"/>
          <w:szCs w:val="20"/>
          <w:color w:val="auto"/>
        </w:rPr>
      </w:pPr>
    </w:p>
    <w:p>
      <w:pPr>
        <w:ind w:left="9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29"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After the completion of this offering, we will be subject to the reporting requirements of the Exchange Act, the Sarbanes-Oxley Act and the rules and regulations of the Nasdaq Global Market, or Nasdaq. The</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-81-</w:t>
      </w:r>
    </w:p>
    <w:p>
      <w:pPr>
        <w:sectPr>
          <w:pgSz w:w="11900" w:h="16838" w:orient="portrait"/>
          <w:cols w:equalWidth="0" w:num="1">
            <w:col w:w="10320"/>
          </w:cols>
          <w:pgMar w:left="320" w:top="410" w:right="125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59" w:lineRule="auto"/>
        <w:rPr>
          <w:sz w:val="20"/>
          <w:szCs w:val="20"/>
          <w:color w:val="auto"/>
        </w:rPr>
      </w:pPr>
      <w:r>
        <w:rPr>
          <w:rFonts w:ascii="Times New Roman" w:cs="Times New Roman" w:eastAsia="Times New Roman" w:hAnsi="Times New Roman"/>
          <w:sz w:val="15"/>
          <w:szCs w:val="15"/>
          <w:color w:val="auto"/>
        </w:rPr>
        <w:t>Sarbanes Oxley Act requires, among other things, that we maintain effective disclosure controls and procedures and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64"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4"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will have broad discretion in the use of the net proceeds from this offering and may not use them effectively.</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We cannot specify with any certainty the particular uses of the net proceeds that we will receive from this offering, but we currently expect such uses will include funding our development and regulatory approval of TP-03 for the treatment of Demodex blepharitis, and to develop our product pipeline, and other general corporate purposes, which may include the hiring of additional personnel, capital expenditures and the costs of operating as a public company. We will have broad discretion in the application of the net proceeds, including working capital and other general corporate purposes, and you and other stockholders may disagree with how we spend or invest these proceeds. The failure by our management to apply these funds effectively could adversely affect our business and financial condition. Pending their use, we may invest the net proceeds from our initial public offering in a manner that does not produce income or that loses value. These investments may not yield a favorable return to our investors.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for the foreseeable future.</w:t>
      </w:r>
    </w:p>
    <w:p>
      <w:pPr>
        <w:spacing w:after="0" w:line="200" w:lineRule="exact"/>
        <w:rPr>
          <w:sz w:val="20"/>
          <w:szCs w:val="20"/>
          <w:color w:val="auto"/>
        </w:rPr>
      </w:pPr>
    </w:p>
    <w:p>
      <w:pPr>
        <w:ind w:left="920" w:right="280" w:firstLine="753"/>
        <w:spacing w:after="0" w:line="268" w:lineRule="auto"/>
        <w:rPr>
          <w:sz w:val="20"/>
          <w:szCs w:val="20"/>
          <w:color w:val="auto"/>
        </w:rPr>
      </w:pPr>
      <w:r>
        <w:rPr>
          <w:rFonts w:ascii="Times New Roman" w:cs="Times New Roman" w:eastAsia="Times New Roman" w:hAnsi="Times New Roman"/>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-82-</w:t>
      </w:r>
    </w:p>
    <w:p>
      <w:pPr>
        <w:sectPr>
          <w:pgSz w:w="11900" w:h="16838" w:orient="portrait"/>
          <w:cols w:equalWidth="0" w:num="1">
            <w:col w:w="10300"/>
          </w:cols>
          <w:pgMar w:left="320" w:top="410" w:right="127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 could be subject to securities class action litigation.</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1" w:lineRule="exact"/>
        <w:rPr>
          <w:sz w:val="20"/>
          <w:szCs w:val="20"/>
          <w:color w:val="auto"/>
        </w:rPr>
      </w:pPr>
    </w:p>
    <w:p>
      <w:pPr>
        <w:ind w:left="9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9" w:lineRule="exact"/>
        <w:rPr>
          <w:sz w:val="20"/>
          <w:szCs w:val="20"/>
          <w:color w:val="auto"/>
        </w:rPr>
      </w:pPr>
    </w:p>
    <w:p>
      <w:pPr>
        <w:ind w:left="920" w:right="360" w:firstLine="753"/>
        <w:spacing w:after="0" w:line="275" w:lineRule="auto"/>
        <w:rPr>
          <w:sz w:val="20"/>
          <w:szCs w:val="20"/>
          <w:color w:val="auto"/>
        </w:rPr>
      </w:pPr>
      <w:r>
        <w:rPr>
          <w:rFonts w:ascii="Times New Roman" w:cs="Times New Roman" w:eastAsia="Times New Roman" w:hAnsi="Times New Roman"/>
          <w:sz w:val="15"/>
          <w:szCs w:val="15"/>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68" w:lineRule="exact"/>
        <w:rPr>
          <w:sz w:val="20"/>
          <w:szCs w:val="20"/>
          <w:color w:val="auto"/>
        </w:rPr>
      </w:pPr>
    </w:p>
    <w:p>
      <w:pPr>
        <w:ind w:left="2040" w:right="120" w:hanging="278"/>
        <w:spacing w:after="0" w:line="293" w:lineRule="auto"/>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55" w:lineRule="exact"/>
        <w:rPr>
          <w:rFonts w:ascii="Times New Roman" w:cs="Times New Roman" w:eastAsia="Times New Roman" w:hAnsi="Times New Roman"/>
          <w:sz w:val="15"/>
          <w:szCs w:val="15"/>
          <w:color w:val="auto"/>
        </w:rPr>
      </w:pPr>
    </w:p>
    <w:p>
      <w:pPr>
        <w:ind w:left="2040" w:right="440" w:hanging="278"/>
        <w:spacing w:after="0" w:line="293" w:lineRule="auto"/>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recruit patients for preclinical studies and clinical trials, and any delays caused by difficulties in such recruitment efforts;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regulatory approval for our product candidates, and the timing and scope of any such approvals we may receive;</w:t>
      </w:r>
    </w:p>
    <w:p>
      <w:pPr>
        <w:spacing w:after="0" w:line="219" w:lineRule="exact"/>
        <w:rPr>
          <w:rFonts w:ascii="Times New Roman" w:cs="Times New Roman" w:eastAsia="Times New Roman" w:hAnsi="Times New Roman"/>
          <w:sz w:val="15"/>
          <w:szCs w:val="15"/>
          <w:color w:val="auto"/>
        </w:rPr>
      </w:pPr>
    </w:p>
    <w:p>
      <w:pPr>
        <w:ind w:left="2040" w:right="120" w:hanging="278"/>
        <w:spacing w:after="0" w:line="293" w:lineRule="auto"/>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cost of, and level of investment in, research and development activities relating to our product candidates, which may change from time to time;</w:t>
      </w:r>
    </w:p>
    <w:p>
      <w:pPr>
        <w:spacing w:after="0" w:line="155" w:lineRule="exact"/>
        <w:rPr>
          <w:rFonts w:ascii="Times New Roman" w:cs="Times New Roman" w:eastAsia="Times New Roman" w:hAnsi="Times New Roman"/>
          <w:sz w:val="15"/>
          <w:szCs w:val="15"/>
          <w:color w:val="auto"/>
        </w:rPr>
      </w:pPr>
    </w:p>
    <w:p>
      <w:pPr>
        <w:ind w:left="2040" w:right="400" w:hanging="278"/>
        <w:spacing w:after="0" w:line="293" w:lineRule="auto"/>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manufacturing our product candidates, which may vary depending on the quantity of production and the terms of our agreements with manufacturers;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hire and retain qualified personnel;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expenditures that we will or may incur to develop additional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level of demand for our product candidates should they receive approval, which may vary significantly;</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risk/benefit profile, cost and reimbursement policies with respect to our product candidates, if approved, and existing and potential future drugs that compete with our product candidates;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changing and volatile U.S., European and global economic environments, including impact of COVID-19;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future accounting pronouncements or changes in our accounting policies.</w:t>
      </w:r>
    </w:p>
    <w:p>
      <w:pPr>
        <w:spacing w:after="0" w:line="196"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-83-</w:t>
      </w:r>
    </w:p>
    <w:p>
      <w:pPr>
        <w:sectPr>
          <w:pgSz w:w="11900" w:h="16838" w:orient="portrait"/>
          <w:cols w:equalWidth="0" w:num="1">
            <w:col w:w="10300"/>
          </w:cols>
          <w:pgMar w:left="320" w:top="410" w:right="127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both"/>
        <w:ind w:left="920" w:right="10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29"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Following the completion of this offering,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178" w:lineRule="exact"/>
        <w:rPr>
          <w:sz w:val="20"/>
          <w:szCs w:val="20"/>
          <w:color w:val="auto"/>
        </w:rPr>
      </w:pPr>
    </w:p>
    <w:p>
      <w:pPr>
        <w:ind w:left="2040" w:right="760" w:hanging="278"/>
        <w:spacing w:after="0" w:line="293"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classified board of directors with three-year staggered terms, which could delay the ability of stockholders to change the membership of a majority of our board of directors;</w:t>
      </w:r>
    </w:p>
    <w:p>
      <w:pPr>
        <w:spacing w:after="0" w:line="155" w:lineRule="exact"/>
        <w:rPr>
          <w:rFonts w:ascii="Times New Roman" w:cs="Times New Roman" w:eastAsia="Times New Roman" w:hAnsi="Times New Roman"/>
          <w:sz w:val="15"/>
          <w:szCs w:val="15"/>
          <w:color w:val="auto"/>
        </w:rPr>
      </w:pPr>
    </w:p>
    <w:p>
      <w:pPr>
        <w:ind w:left="2040" w:right="120" w:hanging="278"/>
        <w:spacing w:after="0" w:line="275"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67"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5"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prohibition on stockholder action by written consent, which forces stockholder action to be taken at an annual or special meeting of our stockholders;</w:t>
      </w:r>
    </w:p>
    <w:p>
      <w:pPr>
        <w:spacing w:after="0" w:line="155" w:lineRule="exact"/>
        <w:rPr>
          <w:rFonts w:ascii="Times New Roman" w:cs="Times New Roman" w:eastAsia="Times New Roman" w:hAnsi="Times New Roman"/>
          <w:sz w:val="15"/>
          <w:szCs w:val="15"/>
          <w:color w:val="auto"/>
        </w:rPr>
      </w:pPr>
    </w:p>
    <w:p>
      <w:pPr>
        <w:ind w:left="2040" w:right="380" w:hanging="278"/>
        <w:spacing w:after="0" w:line="275"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67" w:lineRule="exact"/>
        <w:rPr>
          <w:rFonts w:ascii="Times New Roman" w:cs="Times New Roman" w:eastAsia="Times New Roman" w:hAnsi="Times New Roman"/>
          <w:sz w:val="15"/>
          <w:szCs w:val="15"/>
          <w:color w:val="auto"/>
        </w:rPr>
      </w:pPr>
    </w:p>
    <w:p>
      <w:pPr>
        <w:ind w:left="2040" w:right="60" w:hanging="278"/>
        <w:spacing w:after="0" w:line="268"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74" w:lineRule="exact"/>
        <w:rPr>
          <w:rFonts w:ascii="Times New Roman" w:cs="Times New Roman" w:eastAsia="Times New Roman" w:hAnsi="Times New Roman"/>
          <w:sz w:val="15"/>
          <w:szCs w:val="15"/>
          <w:color w:val="auto"/>
        </w:rPr>
      </w:pPr>
    </w:p>
    <w:p>
      <w:pPr>
        <w:ind w:left="2040" w:right="20" w:hanging="278"/>
        <w:spacing w:after="0" w:line="275" w:lineRule="auto"/>
        <w:tabs>
          <w:tab w:leader="none" w:pos="20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5"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52"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-84-</w:t>
      </w:r>
    </w:p>
    <w:p>
      <w:pPr>
        <w:sectPr>
          <w:pgSz w:w="11900" w:h="16838" w:orient="portrait"/>
          <w:cols w:equalWidth="0" w:num="1">
            <w:col w:w="10300"/>
          </w:cols>
          <w:pgMar w:left="320" w:top="410" w:right="1279"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20"/>
        <w:spacing w:after="0" w:line="293" w:lineRule="auto"/>
        <w:rPr>
          <w:sz w:val="20"/>
          <w:szCs w:val="20"/>
          <w:color w:val="auto"/>
        </w:rPr>
      </w:pPr>
      <w:r>
        <w:rPr>
          <w:rFonts w:ascii="Times New Roman" w:cs="Times New Roman" w:eastAsia="Times New Roman" w:hAnsi="Times New Roman"/>
          <w:sz w:val="15"/>
          <w:szCs w:val="15"/>
          <w:color w:val="auto"/>
        </w:rPr>
        <w:t>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For information regarding these and other provisions, see the section titled “Description of Capital Stock.”</w:t>
      </w:r>
    </w:p>
    <w:p>
      <w:pPr>
        <w:spacing w:after="0" w:line="192" w:lineRule="exact"/>
        <w:rPr>
          <w:sz w:val="20"/>
          <w:szCs w:val="20"/>
          <w:color w:val="auto"/>
        </w:rPr>
      </w:pPr>
    </w:p>
    <w:p>
      <w:pPr>
        <w:jc w:val="both"/>
        <w:ind w:left="9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certificate of incorporation will provide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45"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152"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6"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-85-</w:t>
      </w:r>
    </w:p>
    <w:p>
      <w:pPr>
        <w:sectPr>
          <w:pgSz w:w="11900" w:h="16838" w:orient="portrait"/>
          <w:cols w:equalWidth="0" w:num="1">
            <w:col w:w="10300"/>
          </w:cols>
          <w:pgMar w:left="320" w:top="410" w:right="127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200"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3" w:lineRule="exact"/>
        <w:rPr>
          <w:sz w:val="20"/>
          <w:szCs w:val="20"/>
          <w:color w:val="auto"/>
        </w:rPr>
      </w:pPr>
    </w:p>
    <w:p>
      <w:pPr>
        <w:jc w:val="both"/>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prospectus include, but are not limited to, statements about:</w:t>
      </w:r>
    </w:p>
    <w:p>
      <w:pPr>
        <w:spacing w:after="0" w:line="168" w:lineRule="exact"/>
        <w:rPr>
          <w:sz w:val="20"/>
          <w:szCs w:val="20"/>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our clinical trials demonstrating safety and efficacy of our product candidates, and other positive results;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progress of our current clinical trials and timing of initiation of our future clinical trials, and the reporting of data from our current and future trials;</w:t>
      </w:r>
    </w:p>
    <w:p>
      <w:pPr>
        <w:spacing w:after="0" w:line="155" w:lineRule="exact"/>
        <w:rPr>
          <w:rFonts w:ascii="Times New Roman" w:cs="Times New Roman" w:eastAsia="Times New Roman" w:hAnsi="Times New Roman"/>
          <w:sz w:val="15"/>
          <w:szCs w:val="15"/>
          <w:color w:val="auto"/>
        </w:rPr>
      </w:pPr>
    </w:p>
    <w:p>
      <w:pPr>
        <w:ind w:left="2040" w:right="220" w:hanging="278"/>
        <w:spacing w:after="0" w:line="293" w:lineRule="auto"/>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the clinical development of our current and future product candidates, including the size, number and disease areas to be evaluated;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of Demodex blepharitis and the size of the market opportunity for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and degree of market acceptance and clinical utility of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commercializing our product candidates, if approved, including sales strategy;</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COVID-19 on our business and operations;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competing therapies that are or may become available;</w:t>
      </w:r>
    </w:p>
    <w:p>
      <w:pPr>
        <w:spacing w:after="0" w:line="219" w:lineRule="exact"/>
        <w:rPr>
          <w:rFonts w:ascii="Times New Roman" w:cs="Times New Roman" w:eastAsia="Times New Roman" w:hAnsi="Times New Roman"/>
          <w:sz w:val="15"/>
          <w:szCs w:val="15"/>
          <w:color w:val="auto"/>
        </w:rPr>
      </w:pPr>
    </w:p>
    <w:p>
      <w:pPr>
        <w:ind w:left="2040" w:right="120" w:hanging="278"/>
        <w:spacing w:after="0" w:line="293" w:lineRule="auto"/>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characteristics, safety, efficacy, therapeutic effects and potential advantages of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or likelihood of regulatory filings and approval for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and maintain regulatory approval of our product candidates and our product candidates to meet existing or future regulatory standards;</w:t>
      </w:r>
    </w:p>
    <w:p>
      <w:pPr>
        <w:spacing w:after="0" w:line="155"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relating to the further development and manufacturing of our product candidates, including additional indications for which we may pursue;</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86 -</w:t>
      </w:r>
    </w:p>
    <w:p>
      <w:pPr>
        <w:sectPr>
          <w:pgSz w:w="11900" w:h="16838" w:orient="portrait"/>
          <w:cols w:equalWidth="0" w:num="1">
            <w:col w:w="10240"/>
          </w:cols>
          <w:pgMar w:left="320" w:top="410" w:right="133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60" w:hanging="278"/>
        <w:spacing w:after="0" w:line="293" w:lineRule="auto"/>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identify additional products, product candidates or technologies with significant commercial potential that are consistent with our commercial objectives;</w:t>
      </w:r>
    </w:p>
    <w:p>
      <w:pPr>
        <w:spacing w:after="0" w:line="155" w:lineRule="exact"/>
        <w:rPr>
          <w:rFonts w:ascii="Times New Roman" w:cs="Times New Roman" w:eastAsia="Times New Roman" w:hAnsi="Times New Roman"/>
          <w:sz w:val="15"/>
          <w:szCs w:val="15"/>
          <w:color w:val="auto"/>
        </w:rPr>
      </w:pPr>
    </w:p>
    <w:p>
      <w:pPr>
        <w:ind w:left="2040" w:right="140" w:hanging="278"/>
        <w:spacing w:after="0" w:line="293" w:lineRule="auto"/>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potential benefits of strategic collaborations with third parties and our ability to attract collaborators with development, regulatory and commercialization expertise;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existing regulations and regulatory developments in the United States and other jurisdictions;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and ability to obtain or protect intellectual property rights, including extensions of existing patent terms where available;</w:t>
      </w:r>
    </w:p>
    <w:p>
      <w:pPr>
        <w:spacing w:after="0" w:line="219" w:lineRule="exact"/>
        <w:rPr>
          <w:rFonts w:ascii="Times New Roman" w:cs="Times New Roman" w:eastAsia="Times New Roman" w:hAnsi="Times New Roman"/>
          <w:sz w:val="15"/>
          <w:szCs w:val="15"/>
          <w:color w:val="auto"/>
        </w:rPr>
      </w:pPr>
    </w:p>
    <w:p>
      <w:pPr>
        <w:ind w:left="2040" w:right="200" w:hanging="278"/>
        <w:spacing w:after="0" w:line="293" w:lineRule="auto"/>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continued reliance on third parties to conduct additional clinical trials of our product candidates, and for the manufacture of our product candidates for preclinical studies and clinical trials;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to hire additional personnel, in particular sales personnel, and our ability to attract and retain such personnel;</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accuracy of our estimates regarding expenses, future revenue, capital requirements and needs for additional financing;</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sufficiency of our existing capital resources to fund our future operating expenses and capital expenditure requirements;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competitive position;</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the period during which we will qualify as an emerging growth company under the JOBS Act;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anticipated use of our existing resources and the proceeds from this offering.</w:t>
      </w:r>
    </w:p>
    <w:p>
      <w:pPr>
        <w:spacing w:after="0" w:line="196" w:lineRule="exact"/>
        <w:rPr>
          <w:sz w:val="20"/>
          <w:szCs w:val="20"/>
          <w:color w:val="auto"/>
        </w:rPr>
      </w:pPr>
    </w:p>
    <w:p>
      <w:pPr>
        <w:ind w:left="920" w:right="160" w:firstLine="753"/>
        <w:spacing w:after="0" w:line="264" w:lineRule="auto"/>
        <w:rPr>
          <w:sz w:val="20"/>
          <w:szCs w:val="20"/>
          <w:color w:val="auto"/>
        </w:rPr>
      </w:pPr>
      <w:r>
        <w:rPr>
          <w:rFonts w:ascii="Times New Roman" w:cs="Times New Roman" w:eastAsia="Times New Roman" w:hAnsi="Times New Roman"/>
          <w:sz w:val="15"/>
          <w:szCs w:val="15"/>
          <w:color w:val="auto"/>
        </w:rPr>
        <w:t>These forward-looking statements are subject to a number of risks, uncertainties and assumptions, including those described in the section titled “Risk Factors” elsewhere in this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53"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339" w:lineRule="exact"/>
        <w:rPr>
          <w:sz w:val="20"/>
          <w:szCs w:val="20"/>
          <w:color w:val="auto"/>
        </w:rPr>
      </w:pPr>
    </w:p>
    <w:p>
      <w:pPr>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-87-</w:t>
      </w:r>
    </w:p>
    <w:p>
      <w:pPr>
        <w:sectPr>
          <w:pgSz w:w="11900" w:h="16838" w:orient="portrait"/>
          <w:cols w:equalWidth="0" w:num="1">
            <w:col w:w="10320"/>
          </w:cols>
          <w:pgMar w:left="320" w:top="410" w:right="125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MARKET, INDUSTRY AND OTHER DATA</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w:t>
      </w:r>
    </w:p>
    <w:p>
      <w:pPr>
        <w:spacing w:after="0" w:line="10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-88-</w:t>
      </w:r>
    </w:p>
    <w:p>
      <w:pPr>
        <w:sectPr>
          <w:pgSz w:w="11900" w:h="16838" w:orient="portrait"/>
          <w:cols w:equalWidth="0" w:num="1">
            <w:col w:w="10260"/>
          </w:cols>
          <w:pgMar w:left="320" w:top="410" w:right="131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200" w:lineRule="exact"/>
        <w:rPr>
          <w:sz w:val="20"/>
          <w:szCs w:val="20"/>
          <w:color w:val="auto"/>
        </w:rPr>
      </w:pPr>
    </w:p>
    <w:p>
      <w:pPr>
        <w:jc w:val="both"/>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We estimate that the net proceeds from this offering will be approximately $72.1 million, or $83.3 million if the underwriters exercise their option to purchase additional shares in full, after deducting estimated underwriting discounts and commissions and estimated offering expenses payable by us, assuming an initial public offering price of $16.00 per share, which is the midpoint of the estimated price range set forth on the cover page of this prospectus.</w:t>
      </w:r>
    </w:p>
    <w:p>
      <w:pPr>
        <w:spacing w:after="0" w:line="152" w:lineRule="exact"/>
        <w:rPr>
          <w:sz w:val="20"/>
          <w:szCs w:val="20"/>
          <w:color w:val="auto"/>
        </w:rPr>
      </w:pPr>
    </w:p>
    <w:p>
      <w:pPr>
        <w:ind w:left="920" w:right="60" w:firstLine="753"/>
        <w:spacing w:after="0" w:line="261" w:lineRule="auto"/>
        <w:rPr>
          <w:sz w:val="20"/>
          <w:szCs w:val="20"/>
          <w:color w:val="auto"/>
        </w:rPr>
      </w:pPr>
      <w:r>
        <w:rPr>
          <w:rFonts w:ascii="Times New Roman" w:cs="Times New Roman" w:eastAsia="Times New Roman" w:hAnsi="Times New Roman"/>
          <w:sz w:val="15"/>
          <w:szCs w:val="15"/>
          <w:color w:val="auto"/>
        </w:rPr>
        <w:t>Each $1.00 increase (decrease) in the assumed initial public offering price of $16.00 per share, the midpoint of the estimated price range set forth on the cover page of this prospectus, would increase (decrease) the net proceeds to us from this offering by approximately $4.7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our net proceeds from this offering by approximately $14.9 million, assuming no change in the assumed initial public offering price per share and after deducting estimated underwriting discounts and commissions and estimated offering expenses payable by us. The principal purposes of this offering are to increase our financial flexibility and create a public market for our common stock. We intend to use the net proceeds from this offering as follows:</w:t>
      </w:r>
    </w:p>
    <w:p>
      <w:pPr>
        <w:spacing w:after="0" w:line="183" w:lineRule="exact"/>
        <w:rPr>
          <w:sz w:val="20"/>
          <w:szCs w:val="20"/>
          <w:color w:val="auto"/>
        </w:rPr>
      </w:pPr>
    </w:p>
    <w:p>
      <w:pPr>
        <w:ind w:left="2040" w:right="60" w:hanging="278"/>
        <w:spacing w:after="0" w:line="293" w:lineRule="auto"/>
        <w:tabs>
          <w:tab w:leader="none" w:pos="20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approximately $65.0 million to fund our development and regulatory approval of TP-03 for the treatment of Demodex blepharitis and to prepare for its commercial launch in the United States; and</w:t>
      </w:r>
    </w:p>
    <w:p>
      <w:pPr>
        <w:spacing w:after="0" w:line="155" w:lineRule="exact"/>
        <w:rPr>
          <w:rFonts w:ascii="Times New Roman" w:cs="Times New Roman" w:eastAsia="Times New Roman" w:hAnsi="Times New Roman"/>
          <w:sz w:val="15"/>
          <w:szCs w:val="15"/>
          <w:color w:val="auto"/>
        </w:rPr>
      </w:pPr>
    </w:p>
    <w:p>
      <w:pPr>
        <w:ind w:left="2040" w:right="40" w:hanging="278"/>
        <w:spacing w:after="0" w:line="275" w:lineRule="auto"/>
        <w:tabs>
          <w:tab w:leader="none" w:pos="204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remaining proceeds to develop our product pipeline including TP-03 (for the treatment of MGD), TP-04, TP-05, and other general corporate purposes, which may include the hiring of additional personnel, capital expenditures and the costs of operating as a public company.</w:t>
      </w:r>
    </w:p>
    <w:p>
      <w:pPr>
        <w:spacing w:after="0" w:line="145" w:lineRule="exact"/>
        <w:rPr>
          <w:sz w:val="20"/>
          <w:szCs w:val="20"/>
          <w:color w:val="auto"/>
        </w:rPr>
      </w:pPr>
    </w:p>
    <w:p>
      <w:pPr>
        <w:ind w:left="920" w:right="60" w:firstLine="753"/>
        <w:spacing w:after="0" w:line="260" w:lineRule="auto"/>
        <w:rPr>
          <w:sz w:val="20"/>
          <w:szCs w:val="20"/>
          <w:color w:val="auto"/>
        </w:rPr>
      </w:pPr>
      <w:r>
        <w:rPr>
          <w:rFonts w:ascii="Times New Roman" w:cs="Times New Roman" w:eastAsia="Times New Roman" w:hAnsi="Times New Roman"/>
          <w:sz w:val="15"/>
          <w:szCs w:val="15"/>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347"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We nonetheless expect that the net proceeds from this offering, in combination with our existing cash and cash equivalents, will be sufficient to achieve the following:</w:t>
      </w:r>
    </w:p>
    <w:p>
      <w:pPr>
        <w:spacing w:after="0" w:line="52" w:lineRule="exact"/>
        <w:rPr>
          <w:sz w:val="20"/>
          <w:szCs w:val="20"/>
          <w:color w:val="auto"/>
        </w:rPr>
      </w:pPr>
    </w:p>
    <w:p>
      <w:pPr>
        <w:ind w:left="2040" w:right="80" w:hanging="370"/>
        <w:spacing w:after="0" w:line="275" w:lineRule="auto"/>
        <w:tabs>
          <w:tab w:leader="none" w:pos="20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TP-03 for the treatment of Demodex blepharitis: Complete our Phase 2b/3 and Phase 3 clinical trials for TP-03 in the treatment of Demodex blepharitis and report corresponding top-line clinical results, then submit our NDA with the FDA for approval of TP-03 for the treatment of Demodex blepharitis and prepare for its commercialization in the United States;</w:t>
      </w:r>
    </w:p>
    <w:p>
      <w:pPr>
        <w:spacing w:after="0" w:line="64" w:lineRule="exact"/>
        <w:rPr>
          <w:rFonts w:ascii="Times New Roman" w:cs="Times New Roman" w:eastAsia="Times New Roman" w:hAnsi="Times New Roman"/>
          <w:sz w:val="15"/>
          <w:szCs w:val="15"/>
          <w:color w:val="auto"/>
        </w:rPr>
      </w:pPr>
    </w:p>
    <w:p>
      <w:pPr>
        <w:ind w:left="2040" w:hanging="370"/>
        <w:spacing w:after="0"/>
        <w:tabs>
          <w:tab w:leader="none" w:pos="20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TP-03 for the treatment of MGD: Complete a Phase 2a study for TP-03 in the ocular treatment of MGD;</w:t>
      </w:r>
    </w:p>
    <w:p>
      <w:pPr>
        <w:spacing w:after="0" w:line="115" w:lineRule="exact"/>
        <w:rPr>
          <w:rFonts w:ascii="Times New Roman" w:cs="Times New Roman" w:eastAsia="Times New Roman" w:hAnsi="Times New Roman"/>
          <w:sz w:val="15"/>
          <w:szCs w:val="15"/>
          <w:color w:val="auto"/>
        </w:rPr>
      </w:pPr>
    </w:p>
    <w:p>
      <w:pPr>
        <w:ind w:left="2040" w:right="440" w:hanging="370"/>
        <w:spacing w:after="0" w:line="293" w:lineRule="auto"/>
        <w:tabs>
          <w:tab w:leader="none" w:pos="20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TP-03 preservative-free formulation for the treatment of Demodex blepharitis: Complete preclinical bioequivalence studies and initiate registration-enabling chemistry, manufacturing and control activities;</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89 -</w:t>
      </w:r>
    </w:p>
    <w:p>
      <w:pPr>
        <w:sectPr>
          <w:pgSz w:w="11900" w:h="16838" w:orient="portrait"/>
          <w:cols w:equalWidth="0" w:num="1">
            <w:col w:w="10320"/>
          </w:cols>
          <w:pgMar w:left="320" w:top="410" w:right="125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500" w:hanging="370"/>
        <w:spacing w:after="0" w:line="293" w:lineRule="auto"/>
        <w:tabs>
          <w:tab w:leader="none" w:pos="20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TP-04 for the potential treatment of rosacea: Initiate a Phase 1/2 trial, outside the United States, for the use of TP-04 in topical formulation in the potential treatment of rosacea;</w:t>
      </w:r>
    </w:p>
    <w:p>
      <w:pPr>
        <w:spacing w:after="0" w:line="51" w:lineRule="exact"/>
        <w:rPr>
          <w:rFonts w:ascii="Times New Roman" w:cs="Times New Roman" w:eastAsia="Times New Roman" w:hAnsi="Times New Roman"/>
          <w:sz w:val="15"/>
          <w:szCs w:val="15"/>
          <w:color w:val="auto"/>
        </w:rPr>
      </w:pPr>
    </w:p>
    <w:p>
      <w:pPr>
        <w:ind w:left="2040" w:right="140" w:hanging="370"/>
        <w:spacing w:after="0" w:line="293" w:lineRule="auto"/>
        <w:tabs>
          <w:tab w:leader="none" w:pos="20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TP-05 for prophylaxis of Lyme disease: Submit an IND with the FDA for the use of TP-05 in an oral formulation for prophylaxis of Lyme disease and then initiate a Phase 1/2 trial; and</w:t>
      </w:r>
    </w:p>
    <w:p>
      <w:pPr>
        <w:spacing w:after="0" w:line="51" w:lineRule="exact"/>
        <w:rPr>
          <w:rFonts w:ascii="Times New Roman" w:cs="Times New Roman" w:eastAsia="Times New Roman" w:hAnsi="Times New Roman"/>
          <w:sz w:val="15"/>
          <w:szCs w:val="15"/>
          <w:color w:val="auto"/>
        </w:rPr>
      </w:pPr>
    </w:p>
    <w:p>
      <w:pPr>
        <w:ind w:left="2040" w:right="420" w:hanging="370"/>
        <w:spacing w:after="0" w:line="293" w:lineRule="auto"/>
        <w:tabs>
          <w:tab w:leader="none" w:pos="20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TP-05 for potential community malaria reduction: Initiate a Phase 1/2 trial for the use of TP-05 in oral formulation for potential community malaria reduction.</w:t>
      </w:r>
    </w:p>
    <w:p>
      <w:pPr>
        <w:spacing w:after="0" w:line="132"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Our aggregate cash and cash equivalents (including the net proceeds from this offering) will not be sufficient to fund each of these product candidates through regulatory approval and commercial launch. Accordingly, we will need to raise additional capital in the future. We have based our estimates of capital requirements on assumptions that may prove to be incomplete or inaccurate and we also may modify or expand our drug development plans for TP-03, TP-04, and/or TP-05. Any of these factors could result in the accelerated use of our capital resources.</w:t>
      </w:r>
    </w:p>
    <w:p>
      <w:pPr>
        <w:spacing w:after="0" w:line="152"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In the event that we use a portion of the net proceeds from this offering for the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-90-</w:t>
      </w:r>
    </w:p>
    <w:p>
      <w:pPr>
        <w:sectPr>
          <w:pgSz w:w="11900" w:h="16838" w:orient="portrait"/>
          <w:cols w:equalWidth="0" w:num="1">
            <w:col w:w="10300"/>
          </w:cols>
          <w:pgMar w:left="320" w:top="410" w:right="127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declare and pay dividends will be made at the discretion of our board of directors subject to applicable laws and will depend upon, among other factors, our results of operations, financial condition, business prospects, contractual restrictions, capital requirements and other factors our board of directors may deem relevant. Our future ability to pay cash dividends on our capital stock may also be limited by the terms of any future debt or preferred securities or any future credit facility.</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-91-</w:t>
      </w:r>
    </w:p>
    <w:p>
      <w:pPr>
        <w:sectPr>
          <w:pgSz w:w="11900" w:h="16838" w:orient="portrait"/>
          <w:cols w:equalWidth="0" w:num="1">
            <w:col w:w="10240"/>
          </w:cols>
          <w:pgMar w:left="320" w:top="410" w:right="133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The following table sets forth our cash and cash equivalents and total capitalization as of June 30, 2020, as follows:</w:t>
      </w:r>
    </w:p>
    <w:p>
      <w:pPr>
        <w:spacing w:after="0" w:line="219" w:lineRule="exact"/>
        <w:rPr>
          <w:sz w:val="20"/>
          <w:szCs w:val="20"/>
          <w:color w:val="auto"/>
        </w:rPr>
      </w:pPr>
    </w:p>
    <w:p>
      <w:pPr>
        <w:ind w:left="2040" w:hanging="278"/>
        <w:spacing w:after="0"/>
        <w:tabs>
          <w:tab w:leader="none" w:pos="20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219" w:lineRule="exact"/>
        <w:rPr>
          <w:rFonts w:ascii="Times New Roman" w:cs="Times New Roman" w:eastAsia="Times New Roman" w:hAnsi="Times New Roman"/>
          <w:sz w:val="15"/>
          <w:szCs w:val="15"/>
          <w:color w:val="auto"/>
        </w:rPr>
      </w:pPr>
    </w:p>
    <w:p>
      <w:pPr>
        <w:ind w:left="2040" w:right="20" w:hanging="278"/>
        <w:spacing w:after="0" w:line="265" w:lineRule="auto"/>
        <w:tabs>
          <w:tab w:leader="none" w:pos="20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to give effect to: (i) the issuance of 2,857,079 shares of Series C preferred stock for net cash proceeds of $39.8 million in September 2020; (ii) the automatic conversion of all outstanding shares of our preferred stock, which includes our Series C preferred stock issued in September 2020, into an aggregate of 11,107,018 shares of common stock; and (iii) the filing and effectiveness of our amended and restated certificate of incorporation, each of which will occur immediately prior to the completion of this offering; and</w:t>
      </w:r>
    </w:p>
    <w:p>
      <w:pPr>
        <w:spacing w:after="0" w:line="177" w:lineRule="exact"/>
        <w:rPr>
          <w:rFonts w:ascii="Times New Roman" w:cs="Times New Roman" w:eastAsia="Times New Roman" w:hAnsi="Times New Roman"/>
          <w:sz w:val="15"/>
          <w:szCs w:val="15"/>
          <w:color w:val="auto"/>
        </w:rPr>
      </w:pPr>
    </w:p>
    <w:p>
      <w:pPr>
        <w:ind w:left="2040" w:right="260" w:hanging="278"/>
        <w:spacing w:after="0" w:line="268" w:lineRule="auto"/>
        <w:tabs>
          <w:tab w:leader="none" w:pos="20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(i) the pro forma adjustments set forth above and (ii) receipt of estimated net proceeds from the sale and issuance of 5,000,000 shares of our common stock in this offering, at an assumed initial public offering price of $16.00 per share, the midpoint of the price range set forth on the cover page of this prospectus, and after deducting the estimated underwriting discounts and commissions and estimated offering expenses payable by us.</w:t>
      </w:r>
    </w:p>
    <w:p>
      <w:pPr>
        <w:spacing w:after="0" w:line="152"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The pro forma and pro forma as adjusted information set forth in the table below is illustrative only and will be adjusted based on the actual initial public offering price and other terms of this offering determined at pricing. This information should be read in conjunction with our financial statements and the related notes appearing elsewhere in this prospectus, as well as the sections of this prospectus titled “Selected Financial Data” and “Management’s Discussion and Analysis of Financial Condition and Results of Operations.”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2"/>
                <w:szCs w:val="12"/>
                <w:b w:val="1"/>
                <w:bCs w:val="1"/>
                <w:color w:val="auto"/>
              </w:rPr>
              <w:t>As of June 30, 2020 (unaudited)</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1"/>
                <w:szCs w:val="11"/>
                <w:b w:val="1"/>
                <w:bCs w:val="1"/>
                <w:color w:val="auto"/>
              </w:rPr>
              <w:t>Pro</w:t>
            </w:r>
          </w:p>
        </w:tc>
        <w:tc>
          <w:tcPr>
            <w:tcW w:w="940" w:type="dxa"/>
            <w:vAlign w:val="bottom"/>
            <w:gridSpan w:val="3"/>
          </w:tcPr>
          <w:p>
            <w:pPr>
              <w:ind w:left="200"/>
              <w:spacing w:after="0" w:line="97" w:lineRule="exact"/>
              <w:rPr>
                <w:sz w:val="20"/>
                <w:szCs w:val="20"/>
                <w:color w:val="auto"/>
              </w:rPr>
            </w:pPr>
            <w:r>
              <w:rPr>
                <w:rFonts w:ascii="Times New Roman" w:cs="Times New Roman" w:eastAsia="Times New Roman" w:hAnsi="Times New Roman"/>
                <w:sz w:val="11"/>
                <w:szCs w:val="11"/>
                <w:b w:val="1"/>
                <w:bCs w:val="1"/>
                <w:color w:val="auto"/>
              </w:rPr>
              <w:t>Pro Forma As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Forma</w:t>
            </w:r>
          </w:p>
        </w:tc>
        <w:tc>
          <w:tcPr>
            <w:tcW w:w="200" w:type="dxa"/>
            <w:vAlign w:val="bottom"/>
          </w:tcPr>
          <w:p>
            <w:pPr>
              <w:spacing w:after="0"/>
              <w:rPr>
                <w:sz w:val="12"/>
                <w:szCs w:val="12"/>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Adjusted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4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53,135</w:t>
            </w:r>
          </w:p>
        </w:tc>
        <w:tc>
          <w:tcPr>
            <w:tcW w:w="24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92,890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Series A preferred stock, $0.0001 par value per share; 1,575,030 shares authorized, issued and</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outstanding, actual; no shares authorized, issued or outstanding, pro forma and pro forma as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34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Series B preferred stock, $0.0001 par value; 6,731,649 authorized, 6,674,909 issued and 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shares, actual; no shares authorized, issued or outstanding, pro forma and pro forma as adjusted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(deficit) equity:</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340" w:type="dxa"/>
            <w:vAlign w:val="bottom"/>
          </w:tcPr>
          <w:p>
            <w:pPr>
              <w:ind w:left="280"/>
              <w:spacing w:after="0" w:line="170" w:lineRule="exact"/>
              <w:rPr>
                <w:sz w:val="20"/>
                <w:szCs w:val="20"/>
                <w:color w:val="auto"/>
              </w:rPr>
            </w:pPr>
            <w:r>
              <w:rPr>
                <w:rFonts w:ascii="Times New Roman" w:cs="Times New Roman" w:eastAsia="Times New Roman" w:hAnsi="Times New Roman"/>
                <w:sz w:val="15"/>
                <w:szCs w:val="15"/>
                <w:color w:val="auto"/>
              </w:rPr>
              <w:t>Common stock, $0.0001 par value; 13,867,198 shares authorized, 2,719,312 shares issued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2,651,996 shares outstanding, which excludes 67,316 shares subject to repurchase, actual;</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200,000,000 shares authorized, 13,826,330 shares issued and 13,759,014 shares outstanding,</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which excludes 67,316 shares subject to repurchase, pro forma; 200,000,000 shares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authorized, 18,826,330 shares issued and 18,759,014 shares outstanding, which excludes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67,316 shares subject to repurchase, pro forma as adjusted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103,362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175,472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7"/>
              </w:rPr>
              <w:t>(11,241)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(11,241)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(11,241)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stockholders’ (deficit) equity</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7"/>
              </w:rPr>
              <w:t>(11,035)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92,122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164,233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capitalization</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52,367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92,122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jc w:val="right"/>
              <w:ind w:right="1403"/>
              <w:spacing w:after="0"/>
              <w:rPr>
                <w:sz w:val="20"/>
                <w:szCs w:val="20"/>
                <w:color w:val="auto"/>
              </w:rPr>
            </w:pPr>
            <w:r>
              <w:rPr>
                <w:rFonts w:ascii="Times New Roman" w:cs="Times New Roman" w:eastAsia="Times New Roman" w:hAnsi="Times New Roman"/>
                <w:sz w:val="15"/>
                <w:szCs w:val="15"/>
                <w:color w:val="auto"/>
              </w:rPr>
              <w:t>-92-</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253365</wp:posOffset>
            </wp:positionV>
            <wp:extent cx="6515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80" w:hanging="360"/>
        <w:spacing w:after="0"/>
        <w:tabs>
          <w:tab w:leader="none" w:pos="12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$1.00 increase (decrease) in the assumed initial public offering price of $16.00 per share, which is the midpoint of the estimated offering price range set forth on the cover page of this prospectus, would increase (decrease) our pro forma as adjusted amount of each of cash and cash equivalents, additional paid-in capital, total stockholders’ (deficit) equity and total capitalization by approximately $4.7 million, assuming that the number of shares of common stock offered by us, as set forth on the cover page of this prospectus, remains the same, and after deducting estimated underwriting discounts and commissions payable by us. We may also increase (decrease) the number of shares we are offering. Each increase (decrease) of 1.0 million shares in the number of shares of common stock offered by us would increase (decrease) our pro forma as adjusted amount of each of cash and cash equivalents, additional paid-in capital, total stockholders’ (deficit) equity and total capitalization by approximately $14.9 million, assuming the assumed initial public offering price of $16.00 per share, which is the midpoint of the estimated offering price range set forth on the cover page of this prospectus, remains the same, and after deducting estimated underwriting discounts and commissions. The pro forma as adjusted information discussed above is illustrative only and will be adjusted based on the actual public offering price and other terms of this offering determined at pricing.</w:t>
      </w:r>
    </w:p>
    <w:p>
      <w:pPr>
        <w:spacing w:after="0" w:line="227"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is based on 13,759,014 shares of our common stock outstanding as of June 30, 2020, assuming the conversion of all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175" w:lineRule="exact"/>
        <w:rPr>
          <w:sz w:val="20"/>
          <w:szCs w:val="20"/>
          <w:color w:val="auto"/>
        </w:rPr>
      </w:pPr>
    </w:p>
    <w:p>
      <w:pPr>
        <w:ind w:left="2040" w:right="260" w:hanging="278"/>
        <w:spacing w:after="0" w:line="293"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1,230,701 shares of common stock issuable upon the exercise of options outstanding as of June 30, 2020, with a weighted-average exercise price of $1.60 per share;</w:t>
      </w:r>
    </w:p>
    <w:p>
      <w:pPr>
        <w:spacing w:after="0" w:line="155" w:lineRule="exact"/>
        <w:rPr>
          <w:rFonts w:ascii="Times New Roman" w:cs="Times New Roman" w:eastAsia="Times New Roman" w:hAnsi="Times New Roman"/>
          <w:sz w:val="15"/>
          <w:szCs w:val="15"/>
          <w:color w:val="auto"/>
        </w:rPr>
      </w:pPr>
    </w:p>
    <w:p>
      <w:pPr>
        <w:ind w:left="2040" w:right="260" w:hanging="278"/>
        <w:spacing w:after="0" w:line="275"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737,517 shares of common stock issuable upon the exercise of options granted after June 30, 2020, at a weighted-average exercise price of $7.08 per share (112,059 shares of which have been issued as of the date of this prospectus upon early exercise of stock options, but are not outstanding as they are subject to a right of repurchase);</w:t>
      </w:r>
    </w:p>
    <w:p>
      <w:pPr>
        <w:spacing w:after="0" w:line="167" w:lineRule="exact"/>
        <w:rPr>
          <w:rFonts w:ascii="Times New Roman" w:cs="Times New Roman" w:eastAsia="Times New Roman" w:hAnsi="Times New Roman"/>
          <w:sz w:val="15"/>
          <w:szCs w:val="15"/>
          <w:color w:val="auto"/>
        </w:rPr>
      </w:pPr>
    </w:p>
    <w:p>
      <w:pPr>
        <w:ind w:left="2040" w:right="280" w:hanging="278"/>
        <w:spacing w:after="0" w:line="293"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67,316 shares of common stock, issued as of June 30, 2020 upon the early exercise of certain stock options, but not outstanding as they are subject to a right of repurchase;</w:t>
      </w:r>
    </w:p>
    <w:p>
      <w:pPr>
        <w:spacing w:after="0" w:line="155" w:lineRule="exact"/>
        <w:rPr>
          <w:rFonts w:ascii="Times New Roman" w:cs="Times New Roman" w:eastAsia="Times New Roman" w:hAnsi="Times New Roman"/>
          <w:sz w:val="15"/>
          <w:szCs w:val="15"/>
          <w:color w:val="auto"/>
        </w:rPr>
      </w:pPr>
    </w:p>
    <w:p>
      <w:pPr>
        <w:ind w:left="2040" w:right="100" w:hanging="278"/>
        <w:spacing w:after="0" w:line="293"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1,148,915 shares of common stock reserved for future issuance under our 2016 Plan, as of June 30, 2020, which shares will be added to the shares to be reserved under our 2020 Plan upon its effectiveness;</w:t>
      </w:r>
    </w:p>
    <w:p>
      <w:pPr>
        <w:spacing w:after="0" w:line="155" w:lineRule="exact"/>
        <w:rPr>
          <w:rFonts w:ascii="Times New Roman" w:cs="Times New Roman" w:eastAsia="Times New Roman" w:hAnsi="Times New Roman"/>
          <w:sz w:val="15"/>
          <w:szCs w:val="15"/>
          <w:color w:val="auto"/>
        </w:rPr>
      </w:pPr>
    </w:p>
    <w:p>
      <w:pPr>
        <w:ind w:left="2040" w:right="60" w:hanging="278"/>
        <w:spacing w:after="0" w:line="275"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7" w:lineRule="exact"/>
        <w:rPr>
          <w:rFonts w:ascii="Times New Roman" w:cs="Times New Roman" w:eastAsia="Times New Roman" w:hAnsi="Times New Roman"/>
          <w:sz w:val="15"/>
          <w:szCs w:val="15"/>
          <w:color w:val="auto"/>
        </w:rPr>
      </w:pPr>
    </w:p>
    <w:p>
      <w:pPr>
        <w:ind w:left="2040" w:right="400" w:hanging="278"/>
        <w:spacing w:after="0" w:line="275" w:lineRule="auto"/>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2,300,000 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222,460 shares of common stock issued to Elanco in September 2020 pursuant to the All Human Uses Elanco Agreement.</w:t>
      </w:r>
    </w:p>
    <w:p>
      <w:pPr>
        <w:spacing w:after="0" w:line="138"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93 -</w:t>
      </w:r>
    </w:p>
    <w:p>
      <w:pPr>
        <w:sectPr>
          <w:pgSz w:w="11900" w:h="16838" w:orient="portrait"/>
          <w:cols w:equalWidth="0" w:num="1">
            <w:col w:w="10320"/>
          </w:cols>
          <w:pgMar w:left="320" w:top="410" w:right="125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200" w:lineRule="exact"/>
        <w:rPr>
          <w:sz w:val="20"/>
          <w:szCs w:val="20"/>
          <w:color w:val="auto"/>
        </w:rPr>
      </w:pPr>
    </w:p>
    <w:p>
      <w:pPr>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w:t>
      </w:r>
    </w:p>
    <w:p>
      <w:pPr>
        <w:spacing w:after="0" w:line="145"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Historical net tangible book value (deficit) per share represents our total tangible assets (which excludes deferred offering costs) less our liabilities and preferred stock that is not included in equity divided by the total number of shares of common stock outstanding. As of June 30, 2020, our historical net tangible book value (deficit) was approximately $(11.1) million, or $(4.20) per share of common stock, based on 2,651,996 shares of common stock outstanding as of June 30, 2020 (which excludes 67,316 shares subject to a right of repurchase).</w:t>
      </w:r>
    </w:p>
    <w:p>
      <w:pPr>
        <w:spacing w:after="0" w:line="152"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Our pro forma net tangible book value as of June 30, 2020, was approximately $92.0 million, or $6.69 per share of common stock. Our pro forma tangible book value per share represents the amount of our total tangible assets (which excludes deferred offering costs) reduced by the amount of our total liabilities and divided by the total number of shares of our common stock outstanding as of June 30, 2020, after giving effect to (i) the issuance of 2,857,079 shares of Series C preferred stock for net cash proceeds of $39.8 million in September 2020 and (ii) the conversion of all outstanding shares of our preferred stock into an aggregate of 11,107,018 shares of common stock, which includes our Series C preferred stock issued in September 2020, immediately prior to the completion of this offering.</w:t>
      </w:r>
    </w:p>
    <w:p>
      <w:pPr>
        <w:spacing w:after="0" w:line="153"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After giving effect to (i) the pro forma adjustments set forth above and (ii) our sale in this offering of 5,000,000 shares of common stock at an assumed initial public offering price of $16.00 per share, the midpoint of the estimated price range set forth on the cover page of this prospectus and after deducting estimated underwriting discounts and commissions and estimated offering expenses, our pro forma as adjusted net tangible book value as of June 30, 2020 would have been approximately $164.2 million, or $8.75 per share of our common stock. This represents an immediate increase in pro forma as adjusted net tangible book value of $2.06 per share to our existing stockholders and an immediate dilution of $7.25 per share to investors purchasing common stock in this offering. Net tangible book value dilution per share to new investors participating in this offering represents the difference between the amount per share paid by purchaser of common stock in this offering and the pro forma as adjusted net tangible book value per share of common stock immediately after completion of this offering.</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776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The following table illustrates this dilution to new investors on a per share basis: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initial public offering price per share</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16.00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Historical net tangible book value (deficit) per share as of June 30, 2020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9"/>
              </w:rPr>
              <w:t>(4.20)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Increase (decrease) in historical net tangible book value per share attributable to conversion of our preferred stock</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10.89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Pro forma net tangible book value (deficit) per share as of June 30, 2020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6.69</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Increase in pro forma net tangible book value per share attributable to new investors in this offering</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15"/>
                <w:szCs w:val="15"/>
                <w:u w:val="single" w:color="auto"/>
                <w:color w:val="auto"/>
              </w:rPr>
              <w:t>06</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 forma as adjusted net tangible book value per share immediately after this offering</w:t>
            </w:r>
          </w:p>
        </w:tc>
        <w:tc>
          <w:tcPr>
            <w:tcW w:w="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purchasing shares in this offering</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Each $1.00 increase (decrease) in the assumed initial public offering price of $16.00 per share, the midpoint of the estimated price range set forth on the cover page of this prospectus, would increase (decrease) the pro forma as adjusted net tangible book value, by $0.25 per share and the dilution per share to new investors by $0.75 per share, assuming the number of shares offered by us, as set forth on the cover page of this</w:t>
      </w:r>
    </w:p>
    <w:p>
      <w:pPr>
        <w:spacing w:after="0" w:line="8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-94-</w:t>
      </w:r>
    </w:p>
    <w:p>
      <w:pPr>
        <w:sectPr>
          <w:pgSz w:w="11900" w:h="16838" w:orient="portrait"/>
          <w:cols w:equalWidth="0" w:num="1">
            <w:col w:w="10340"/>
          </w:cols>
          <w:pgMar w:left="320" w:top="410" w:right="123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60"/>
        <w:spacing w:after="0" w:line="293" w:lineRule="auto"/>
        <w:rPr>
          <w:sz w:val="20"/>
          <w:szCs w:val="20"/>
          <w:color w:val="auto"/>
        </w:rPr>
      </w:pPr>
      <w:r>
        <w:rPr>
          <w:rFonts w:ascii="Times New Roman" w:cs="Times New Roman" w:eastAsia="Times New Roman" w:hAnsi="Times New Roman"/>
          <w:sz w:val="15"/>
          <w:szCs w:val="15"/>
          <w:color w:val="auto"/>
        </w:rPr>
        <w:t>prospectus, remains the same, after deducting estimated underwriting discounts and commissions and estimated offering expenses payable by us. We may also increase (decrease) the number of shares we are offering.</w:t>
      </w:r>
    </w:p>
    <w:p>
      <w:pPr>
        <w:spacing w:after="0" w:line="132" w:lineRule="exact"/>
        <w:rPr>
          <w:sz w:val="20"/>
          <w:szCs w:val="20"/>
          <w:color w:val="auto"/>
        </w:rPr>
      </w:pPr>
    </w:p>
    <w:p>
      <w:pPr>
        <w:ind w:left="920" w:right="180" w:firstLine="753"/>
        <w:spacing w:after="0" w:line="275" w:lineRule="auto"/>
        <w:rPr>
          <w:sz w:val="20"/>
          <w:szCs w:val="20"/>
          <w:color w:val="auto"/>
        </w:rPr>
      </w:pPr>
      <w:r>
        <w:rPr>
          <w:rFonts w:ascii="Times New Roman" w:cs="Times New Roman" w:eastAsia="Times New Roman" w:hAnsi="Times New Roman"/>
          <w:sz w:val="15"/>
          <w:szCs w:val="15"/>
          <w:color w:val="auto"/>
        </w:rPr>
        <w:t>If the underwriters’ option to purchase additional shares in this offering is exercised in full, the pro forma as adjusted net tangible book value would be $8.99 per share, the increase in the pro forma net tangible book value per share for existing stockholders would be $0.24 per share and the dilution to new investors participating in this offering would be $7.01 per share.</w:t>
      </w:r>
    </w:p>
    <w:p>
      <w:pPr>
        <w:spacing w:after="0" w:line="145"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color w:val="auto"/>
        </w:rPr>
        <w:t>We may also increase or decrease the number of shares we are offering. An increase (decrease) of 1,000,000 shares in the number of shares we are offering would increase (decrease) our pro forma as adjusted net tangible book value by approximately $14.9 million, or $0.31 per share, and the pro forma dilution per share to investors in this offering by $0.31 per share, assuming that the assumed initial public offering price remains the same, and after deducting estimated underwriting discounts and commissions and estimated offering expenses payable by us. The pro forma information discussed above is illustrative only and will change based on the actual initial public offering price, number of shares and other terms of this offering determined at pricing.</w:t>
      </w:r>
    </w:p>
    <w:p>
      <w:pPr>
        <w:spacing w:after="0" w:line="339"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The table below summarizes, as of June 30, 2020, on a pro forma as adjusted basis, the number of shares of our common stock, the total consideration, and the average price per share (i) paid to us by our existing stockholders and (ii) to be paid by new investors participating in this offering at an assumed initial public offering price of $16.00 per share, the midpoint of the estimated price range set forth on the cover page of this prospectus, before deducting estimated underwriting discounts and commissions and estimated offering expenses payable by us.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1460" w:type="dxa"/>
            <w:vAlign w:val="bottom"/>
            <w:gridSpan w:val="3"/>
            <w:vMerge w:val="restart"/>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Shares Purchased</w:t>
            </w:r>
          </w:p>
        </w:tc>
        <w:tc>
          <w:tcPr>
            <w:tcW w:w="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vMerge w:val="restart"/>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Total Consideration</w:t>
            </w:r>
          </w:p>
        </w:tc>
        <w:tc>
          <w:tcPr>
            <w:tcW w:w="280" w:type="dxa"/>
            <w:vAlign w:val="bottom"/>
            <w:vMerge w:val="restart"/>
          </w:tcPr>
          <w:p>
            <w:pPr>
              <w:spacing w:after="0"/>
              <w:rPr>
                <w:sz w:val="12"/>
                <w:szCs w:val="12"/>
                <w:color w:val="auto"/>
              </w:rPr>
            </w:pPr>
          </w:p>
        </w:tc>
        <w:tc>
          <w:tcPr>
            <w:tcW w:w="760" w:type="dxa"/>
            <w:vAlign w:val="bottom"/>
            <w:gridSpan w:val="3"/>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Borders>
              <w:bottom w:val="single" w:sz="8" w:color="auto"/>
            </w:tcBorders>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97"/>
        </w:trPr>
        <w:tc>
          <w:tcPr>
            <w:tcW w:w="4920" w:type="dxa"/>
            <w:vAlign w:val="bottom"/>
          </w:tcPr>
          <w:p>
            <w:pPr>
              <w:spacing w:after="0"/>
              <w:rPr>
                <w:sz w:val="8"/>
                <w:szCs w:val="8"/>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Pr>
          <w:p>
            <w:pPr>
              <w:spacing w:after="0"/>
              <w:rPr>
                <w:sz w:val="8"/>
                <w:szCs w:val="8"/>
                <w:color w:val="auto"/>
              </w:rPr>
            </w:pPr>
          </w:p>
        </w:tc>
        <w:tc>
          <w:tcPr>
            <w:tcW w:w="860" w:type="dxa"/>
            <w:vAlign w:val="bottom"/>
            <w:vMerge w:val="restart"/>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Pr>
          <w:p>
            <w:pPr>
              <w:spacing w:after="0"/>
              <w:rPr>
                <w:sz w:val="8"/>
                <w:szCs w:val="8"/>
                <w:color w:val="auto"/>
              </w:rPr>
            </w:pPr>
          </w:p>
        </w:tc>
        <w:tc>
          <w:tcPr>
            <w:tcW w:w="60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Existing stockholders</w:t>
            </w:r>
          </w:p>
        </w:tc>
        <w:tc>
          <w:tcPr>
            <w:tcW w:w="7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vMerge w:val="continue"/>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13,759,014</w:t>
            </w:r>
          </w:p>
        </w:tc>
        <w:tc>
          <w:tcPr>
            <w:tcW w:w="320" w:type="dxa"/>
            <w:vAlign w:val="bottom"/>
            <w:vMerge w:val="continue"/>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73.3%</w:t>
            </w:r>
          </w:p>
        </w:tc>
        <w:tc>
          <w:tcPr>
            <w:tcW w:w="16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$103,252,455</w:t>
            </w:r>
          </w:p>
        </w:tc>
        <w:tc>
          <w:tcPr>
            <w:tcW w:w="300" w:type="dxa"/>
            <w:vAlign w:val="bottom"/>
            <w:vMerge w:val="continue"/>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56.3%</w:t>
            </w:r>
          </w:p>
        </w:tc>
        <w:tc>
          <w:tcPr>
            <w:tcW w:w="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20"/>
                <w:szCs w:val="20"/>
                <w:color w:val="auto"/>
              </w:rPr>
            </w:pPr>
            <w:r>
              <w:rPr>
                <w:rFonts w:ascii="Times New Roman" w:cs="Times New Roman" w:eastAsia="Times New Roman" w:hAnsi="Times New Roman"/>
                <w:sz w:val="15"/>
                <w:szCs w:val="15"/>
                <w:color w:val="auto"/>
              </w:rPr>
              <w:t>New investors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5,000,000</w:t>
            </w:r>
          </w:p>
        </w:tc>
        <w:tc>
          <w:tcPr>
            <w:tcW w:w="3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80,000,000</w:t>
            </w:r>
          </w:p>
        </w:tc>
        <w:tc>
          <w:tcPr>
            <w:tcW w:w="3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18,759,014</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183,252,455</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In addition, if the underwriters’ option to purchase additional shares is exercised in full, the number of shares held by existing stockholders will be reduced to 70.5% of the total number of shares of common stock to be outstanding upon completion of this offering, and the number of shares of common stock held by new investors participating in this offering will be further increased to 29.5% of the total number of shares of common stock to be outstanding upon completion of the offering.</w:t>
      </w:r>
    </w:p>
    <w:p>
      <w:pPr>
        <w:spacing w:after="0" w:line="152" w:lineRule="exact"/>
        <w:rPr>
          <w:sz w:val="20"/>
          <w:szCs w:val="20"/>
          <w:color w:val="auto"/>
        </w:rPr>
      </w:pPr>
    </w:p>
    <w:p>
      <w:pPr>
        <w:ind w:left="920" w:right="80" w:firstLine="753"/>
        <w:spacing w:after="0" w:line="265" w:lineRule="auto"/>
        <w:rPr>
          <w:sz w:val="20"/>
          <w:szCs w:val="20"/>
          <w:color w:val="auto"/>
        </w:rPr>
      </w:pPr>
      <w:r>
        <w:rPr>
          <w:rFonts w:ascii="Times New Roman" w:cs="Times New Roman" w:eastAsia="Times New Roman" w:hAnsi="Times New Roman"/>
          <w:sz w:val="15"/>
          <w:szCs w:val="15"/>
          <w:color w:val="auto"/>
        </w:rPr>
        <w:t>Each $1.00 increase (decrease) in the assumed initial public offering price of $16.00 per share would increase (decrease) total consideration paid by new investors by $4.7 million assuming the number of shares we are offering, as set forth on the cover page of this prospectus, remains the same, after deducting estimated underwriting discounts and commissions. We may also increase or decrease the number of shares we are offering. An increase (decrease) of 1,000,000 in the number of shares offered by us would increase (decrease) total consideration paid by new investors by $14.9 million, assuming that the assumed initial price to the public remains the same, and after deducting the estimated underwriting discounts and commissions.</w:t>
      </w:r>
    </w:p>
    <w:p>
      <w:pPr>
        <w:spacing w:after="0" w:line="339" w:lineRule="exact"/>
        <w:rPr>
          <w:sz w:val="20"/>
          <w:szCs w:val="20"/>
          <w:color w:val="auto"/>
        </w:rPr>
      </w:pPr>
    </w:p>
    <w:p>
      <w:pPr>
        <w:jc w:val="both"/>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The number of shares of common stock to be outstanding after this offering is based on 13,759,014 shares of common stock outstanding as of June 30, 2020, assuming the conversion of all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175" w:lineRule="exact"/>
        <w:rPr>
          <w:sz w:val="20"/>
          <w:szCs w:val="20"/>
          <w:color w:val="auto"/>
        </w:rPr>
      </w:pPr>
    </w:p>
    <w:p>
      <w:pPr>
        <w:ind w:left="2040" w:right="320" w:hanging="278"/>
        <w:spacing w:after="0" w:line="293" w:lineRule="auto"/>
        <w:tabs>
          <w:tab w:leader="none" w:pos="20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1,230,701 shares of common stock issuable upon the exercise of options outstanding as of June 30, 2020 with a weighted-average exercise price of $1.60 per share;</w:t>
      </w:r>
    </w:p>
    <w:p>
      <w:pPr>
        <w:spacing w:after="0" w:line="74" w:lineRule="exact"/>
        <w:rPr>
          <w:rFonts w:ascii="Times New Roman" w:cs="Times New Roman" w:eastAsia="Times New Roman" w:hAnsi="Times New Roman"/>
          <w:sz w:val="15"/>
          <w:szCs w:val="15"/>
          <w:color w:val="auto"/>
        </w:rPr>
      </w:pPr>
    </w:p>
    <w:p>
      <w:pPr>
        <w:ind w:left="5540" w:hanging="82"/>
        <w:spacing w:after="0"/>
        <w:tabs>
          <w:tab w:leader="none" w:pos="554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95 -</w:t>
      </w:r>
    </w:p>
    <w:p>
      <w:pPr>
        <w:sectPr>
          <w:pgSz w:w="11900" w:h="16838" w:orient="portrait"/>
          <w:cols w:equalWidth="0" w:num="1">
            <w:col w:w="10340"/>
          </w:cols>
          <w:pgMar w:left="320" w:top="410" w:right="123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80" w:hanging="278"/>
        <w:spacing w:after="0" w:line="275" w:lineRule="auto"/>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737,517 shares of common stock issuable upon the exercise of options granted after June 30, 2020 with a weighted-average exercise price of $7.08 per share (112,059 shares of which have been issued as of the date of this prospectus upon early exercise of stock options, but are not outstanding as they are subject to a right of repurchase);</w:t>
      </w:r>
    </w:p>
    <w:p>
      <w:pPr>
        <w:spacing w:after="0" w:line="167" w:lineRule="exact"/>
        <w:rPr>
          <w:rFonts w:ascii="Times New Roman" w:cs="Times New Roman" w:eastAsia="Times New Roman" w:hAnsi="Times New Roman"/>
          <w:sz w:val="15"/>
          <w:szCs w:val="15"/>
          <w:color w:val="auto"/>
        </w:rPr>
      </w:pPr>
    </w:p>
    <w:p>
      <w:pPr>
        <w:ind w:left="2040" w:right="220" w:hanging="278"/>
        <w:spacing w:after="0" w:line="293" w:lineRule="auto"/>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67,316 shares of common stock, issued as of June 30, 2020 upon the early exercise of certain stock options, but not outstanding as they are subject to a right of repurchase;</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1,148,915 shares of common stock reserved for future issuance under our 2016 Plan, as of June 30, 2020, which shares will be added to the shares to be reserved under our 2020 Plan upon its effectiveness;</w:t>
      </w:r>
    </w:p>
    <w:p>
      <w:pPr>
        <w:spacing w:after="0" w:line="155" w:lineRule="exact"/>
        <w:rPr>
          <w:rFonts w:ascii="Times New Roman" w:cs="Times New Roman" w:eastAsia="Times New Roman" w:hAnsi="Times New Roman"/>
          <w:sz w:val="15"/>
          <w:szCs w:val="15"/>
          <w:color w:val="auto"/>
        </w:rPr>
      </w:pPr>
    </w:p>
    <w:p>
      <w:pPr>
        <w:ind w:left="2040" w:hanging="278"/>
        <w:spacing w:after="0" w:line="275" w:lineRule="auto"/>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7" w:lineRule="exact"/>
        <w:rPr>
          <w:rFonts w:ascii="Times New Roman" w:cs="Times New Roman" w:eastAsia="Times New Roman" w:hAnsi="Times New Roman"/>
          <w:sz w:val="15"/>
          <w:szCs w:val="15"/>
          <w:color w:val="auto"/>
        </w:rPr>
      </w:pPr>
    </w:p>
    <w:p>
      <w:pPr>
        <w:ind w:left="2040" w:right="340" w:hanging="278"/>
        <w:spacing w:after="0" w:line="275" w:lineRule="auto"/>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2,300,000 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222,460 shares of common stock issued in September 2020 to Elanco pursuant to the All Human Uses Elanco Agreement.</w:t>
      </w:r>
    </w:p>
    <w:p>
      <w:pPr>
        <w:spacing w:after="0" w:line="196"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To the extent that any outstanding options are exercised or new awards are granted under our equity compensation plans, new investors will experience further dilution.</w:t>
      </w:r>
    </w:p>
    <w:p>
      <w:pPr>
        <w:spacing w:after="0" w:line="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-96-</w:t>
      </w:r>
    </w:p>
    <w:p>
      <w:pPr>
        <w:sectPr>
          <w:pgSz w:w="11900" w:h="16838" w:orient="portrait"/>
          <w:cols w:equalWidth="0" w:num="1">
            <w:col w:w="10260"/>
          </w:cols>
          <w:pgMar w:left="320" w:top="410" w:right="131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b w:val="1"/>
          <w:bCs w:val="1"/>
          <w:color w:val="auto"/>
        </w:rPr>
        <w:t>SELECTED FINANCIAL DATA</w:t>
      </w:r>
    </w:p>
    <w:p>
      <w:pPr>
        <w:spacing w:after="0" w:line="200" w:lineRule="exact"/>
        <w:rPr>
          <w:sz w:val="20"/>
          <w:szCs w:val="20"/>
          <w:color w:val="auto"/>
        </w:rPr>
      </w:pPr>
    </w:p>
    <w:p>
      <w:pPr>
        <w:ind w:left="920" w:right="440" w:firstLine="753"/>
        <w:spacing w:after="0" w:line="293" w:lineRule="auto"/>
        <w:rPr>
          <w:sz w:val="20"/>
          <w:szCs w:val="20"/>
          <w:color w:val="auto"/>
        </w:rPr>
      </w:pPr>
      <w:r>
        <w:rPr>
          <w:rFonts w:ascii="Times New Roman" w:cs="Times New Roman" w:eastAsia="Times New Roman" w:hAnsi="Times New Roman"/>
          <w:sz w:val="15"/>
          <w:szCs w:val="15"/>
          <w:color w:val="auto"/>
        </w:rPr>
        <w:t>The following selected financial data should be read in conjunction with the section titled “Management’s Discussion and Analysis of Financial Condition and Results of Operations” and the financial statements and related notes included elsewhere in this prospectus.</w:t>
      </w:r>
    </w:p>
    <w:p>
      <w:pPr>
        <w:spacing w:after="0" w:line="132"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The statements of operations data for the years ended December 31, 2018 and 2019 and the balance sheet data as of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United States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the results to be expected in the future, and the results for the six months ended June 30, 2020, are not necessarily indicative of results that may be expected for the full year or any other period. The selected financial data in this section are not intended to replace our financial statements and the related notes and are qualified in their entirety by the financial statements and related notes included elsewhere in this prospectus.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4"/>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5"/>
              <w:spacing w:after="0" w:line="9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8"/>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Statement of Operations Data</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3,162</w:t>
            </w:r>
          </w:p>
        </w:tc>
        <w:tc>
          <w:tcPr>
            <w:tcW w:w="2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2,066</w:t>
            </w:r>
          </w:p>
        </w:tc>
        <w:tc>
          <w:tcPr>
            <w:tcW w:w="46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from operations before other income (expense) and income taxes</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Loss on extinguishment of convertible notes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(1,319)</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(2,576)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(5,207)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gridSpan w:val="2"/>
            <w:vMerge w:val="continue"/>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(0.75)</w:t>
            </w: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(1.98)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153"/>
        </w:trPr>
        <w:tc>
          <w:tcPr>
            <w:tcW w:w="49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Weighted-average shares used in computing net loss per share attributable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to common stockholders, basic and diluted </w:t>
            </w: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1,759,495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2,362,768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2,238,793</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2,650,843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Pro forma net loss per share attributable to common stockholders, basic</w:t>
            </w: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xml:space="preserve">and diluted (unaudited) </w:t>
            </w:r>
            <w:r>
              <w:rPr>
                <w:rFonts w:ascii="Times New Roman" w:cs="Times New Roman" w:eastAsia="Times New Roman" w:hAnsi="Times New Roman"/>
                <w:sz w:val="13"/>
                <w:szCs w:val="13"/>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Weighted-average shares used in computing pro forma net loss per share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attributable to common stockholders, basic and diluted (unaudited) </w:t>
            </w: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4,285,262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10,900,782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4540"/>
              <w:spacing w:after="0"/>
              <w:rPr>
                <w:sz w:val="20"/>
                <w:szCs w:val="20"/>
                <w:color w:val="auto"/>
              </w:rPr>
            </w:pPr>
            <w:r>
              <w:rPr>
                <w:rFonts w:ascii="Times New Roman" w:cs="Times New Roman" w:eastAsia="Times New Roman" w:hAnsi="Times New Roman"/>
                <w:sz w:val="15"/>
                <w:szCs w:val="15"/>
                <w:color w:val="auto"/>
              </w:rPr>
              <w:t>-97-</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253365</wp:posOffset>
            </wp:positionV>
            <wp:extent cx="6515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80" w:right="60" w:hanging="360"/>
        <w:spacing w:after="0" w:line="257" w:lineRule="auto"/>
        <w:tabs>
          <w:tab w:leader="none" w:pos="12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calculation of our basic and diluted net loss per share, unaudited basic and diluted pro forma net loss per share and weighted-average number of shares used in the computation of the per share amounts, see Note 6 and Note 7 to our financial statements included elsewhere in this prospectus.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As of June 30,</w:t>
            </w:r>
          </w:p>
        </w:tc>
      </w:tr>
      <w:tr>
        <w:trPr>
          <w:trHeight w:val="118"/>
        </w:trPr>
        <w:tc>
          <w:tcPr>
            <w:tcW w:w="4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259"/>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660" w:type="dxa"/>
            <w:vAlign w:val="bottom"/>
            <w:tcBorders>
              <w:top w:val="single" w:sz="8" w:color="auto"/>
              <w:bottom w:val="single" w:sz="8" w:color="auto"/>
            </w:tcBorders>
          </w:tcPr>
          <w:p>
            <w:pPr>
              <w:jc w:val="right"/>
              <w:ind w:right="67"/>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r>
      <w:tr>
        <w:trPr>
          <w:trHeight w:val="118"/>
        </w:trPr>
        <w:tc>
          <w:tcPr>
            <w:tcW w:w="4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26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320" w:type="dxa"/>
            <w:vAlign w:val="bottom"/>
            <w:gridSpan w:val="2"/>
          </w:tcPr>
          <w:p>
            <w:pPr>
              <w:jc w:val="right"/>
              <w:ind w:right="139"/>
              <w:spacing w:after="0"/>
              <w:rPr>
                <w:sz w:val="20"/>
                <w:szCs w:val="20"/>
                <w:color w:val="auto"/>
              </w:rPr>
            </w:pPr>
            <w:r>
              <w:rPr>
                <w:rFonts w:ascii="Times New Roman" w:cs="Times New Roman" w:eastAsia="Times New Roman" w:hAnsi="Times New Roman"/>
                <w:sz w:val="15"/>
                <w:szCs w:val="15"/>
                <w:color w:val="auto"/>
              </w:rPr>
              <w:t>$ 2,355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$57,952</w:t>
            </w:r>
          </w:p>
        </w:tc>
        <w:tc>
          <w:tcPr>
            <w:tcW w:w="300" w:type="dxa"/>
            <w:vAlign w:val="bottom"/>
          </w:tcPr>
          <w:p>
            <w:pPr>
              <w:spacing w:after="0"/>
              <w:rPr>
                <w:sz w:val="16"/>
                <w:szCs w:val="16"/>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53,135</w:t>
            </w:r>
          </w:p>
        </w:tc>
        <w:tc>
          <w:tcPr>
            <w:tcW w:w="100" w:type="dxa"/>
            <w:vAlign w:val="bottom"/>
          </w:tcPr>
          <w:p>
            <w:pPr>
              <w:spacing w:after="0"/>
              <w:rPr>
                <w:sz w:val="16"/>
                <w:szCs w:val="16"/>
                <w:color w:val="auto"/>
              </w:rPr>
            </w:pPr>
          </w:p>
        </w:tc>
      </w:tr>
      <w:tr>
        <w:trPr>
          <w:trHeight w:val="18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Working capital </w:t>
            </w:r>
            <w:r>
              <w:rPr>
                <w:rFonts w:ascii="Times New Roman" w:cs="Times New Roman" w:eastAsia="Times New Roman" w:hAnsi="Times New Roman"/>
                <w:sz w:val="13"/>
                <w:szCs w:val="13"/>
                <w:color w:val="auto"/>
              </w:rPr>
              <w:t>(1)</w:t>
            </w:r>
          </w:p>
        </w:tc>
        <w:tc>
          <w:tcPr>
            <w:tcW w:w="3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5"/>
                <w:szCs w:val="15"/>
                <w:color w:val="auto"/>
              </w:rPr>
              <w:t>2,204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57,211</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51,631</w:t>
            </w:r>
          </w:p>
        </w:tc>
        <w:tc>
          <w:tcPr>
            <w:tcW w:w="100" w:type="dxa"/>
            <w:vAlign w:val="bottom"/>
            <w:shd w:val="clear" w:color="auto" w:fill="CCEEFF"/>
          </w:tcPr>
          <w:p>
            <w:pPr>
              <w:spacing w:after="0"/>
              <w:rPr>
                <w:sz w:val="16"/>
                <w:szCs w:val="16"/>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320" w:type="dxa"/>
            <w:vAlign w:val="bottom"/>
            <w:gridSpan w:val="2"/>
          </w:tcPr>
          <w:p>
            <w:pPr>
              <w:jc w:val="right"/>
              <w:ind w:right="139"/>
              <w:spacing w:after="0"/>
              <w:rPr>
                <w:sz w:val="20"/>
                <w:szCs w:val="20"/>
                <w:color w:val="auto"/>
              </w:rPr>
            </w:pPr>
            <w:r>
              <w:rPr>
                <w:rFonts w:ascii="Times New Roman" w:cs="Times New Roman" w:eastAsia="Times New Roman" w:hAnsi="Times New Roman"/>
                <w:sz w:val="15"/>
                <w:szCs w:val="15"/>
                <w:color w:val="auto"/>
              </w:rPr>
              <w:t>2,389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58,316</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56,239</w:t>
            </w:r>
          </w:p>
        </w:tc>
        <w:tc>
          <w:tcPr>
            <w:tcW w:w="100" w:type="dxa"/>
            <w:vAlign w:val="bottom"/>
          </w:tcPr>
          <w:p>
            <w:pPr>
              <w:spacing w:after="0"/>
              <w:rPr>
                <w:sz w:val="16"/>
                <w:szCs w:val="16"/>
                <w:color w:val="auto"/>
              </w:rPr>
            </w:pPr>
          </w:p>
        </w:tc>
      </w:tr>
      <w:tr>
        <w:trPr>
          <w:trHeight w:val="18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3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5"/>
                <w:szCs w:val="15"/>
                <w:color w:val="auto"/>
              </w:rPr>
              <w:t>179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3,872</w:t>
            </w:r>
          </w:p>
        </w:tc>
        <w:tc>
          <w:tcPr>
            <w:tcW w:w="100" w:type="dxa"/>
            <w:vAlign w:val="bottom"/>
            <w:shd w:val="clear" w:color="auto" w:fill="CCEEFF"/>
          </w:tcPr>
          <w:p>
            <w:pPr>
              <w:spacing w:after="0"/>
              <w:rPr>
                <w:sz w:val="16"/>
                <w:szCs w:val="16"/>
                <w:color w:val="auto"/>
              </w:rPr>
            </w:pPr>
          </w:p>
        </w:tc>
      </w:t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3320" w:type="dxa"/>
            <w:vAlign w:val="bottom"/>
            <w:gridSpan w:val="2"/>
          </w:tcPr>
          <w:p>
            <w:pPr>
              <w:jc w:val="right"/>
              <w:ind w:right="139"/>
              <w:spacing w:after="0"/>
              <w:rPr>
                <w:sz w:val="20"/>
                <w:szCs w:val="20"/>
                <w:color w:val="auto"/>
              </w:rPr>
            </w:pPr>
            <w:r>
              <w:rPr>
                <w:rFonts w:ascii="Times New Roman" w:cs="Times New Roman" w:eastAsia="Times New Roman" w:hAnsi="Times New Roman"/>
                <w:sz w:val="15"/>
                <w:szCs w:val="15"/>
                <w:color w:val="auto"/>
              </w:rPr>
              <w:t>3,564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63,402</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63,402</w:t>
            </w:r>
          </w:p>
        </w:tc>
        <w:tc>
          <w:tcPr>
            <w:tcW w:w="100" w:type="dxa"/>
            <w:vAlign w:val="bottom"/>
          </w:tcPr>
          <w:p>
            <w:pPr>
              <w:spacing w:after="0"/>
              <w:rPr>
                <w:sz w:val="16"/>
                <w:szCs w:val="16"/>
                <w:color w:val="auto"/>
              </w:rPr>
            </w:pPr>
          </w:p>
        </w:tc>
      </w:tr>
      <w:tr>
        <w:trPr>
          <w:trHeight w:val="18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3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5"/>
                <w:szCs w:val="15"/>
                <w:color w:val="auto"/>
              </w:rPr>
              <w:t>(1,364)</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(6,034)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(11,241)</w:t>
            </w:r>
          </w:p>
        </w:tc>
      </w:tr>
      <w:tr>
        <w:trPr>
          <w:trHeight w:val="199"/>
        </w:trPr>
        <w:tc>
          <w:tcPr>
            <w:tcW w:w="424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3320" w:type="dxa"/>
            <w:vAlign w:val="bottom"/>
            <w:gridSpan w:val="2"/>
          </w:tcPr>
          <w:p>
            <w:pPr>
              <w:jc w:val="right"/>
              <w:ind w:right="99"/>
              <w:spacing w:after="0"/>
              <w:rPr>
                <w:sz w:val="20"/>
                <w:szCs w:val="20"/>
                <w:color w:val="auto"/>
              </w:rPr>
            </w:pPr>
            <w:r>
              <w:rPr>
                <w:rFonts w:ascii="Times New Roman" w:cs="Times New Roman" w:eastAsia="Times New Roman" w:hAnsi="Times New Roman"/>
                <w:sz w:val="15"/>
                <w:szCs w:val="15"/>
                <w:color w:val="auto"/>
              </w:rPr>
              <w:t>(1,354)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(6,005)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6515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05" w:lineRule="exact"/>
        <w:rPr>
          <w:sz w:val="20"/>
          <w:szCs w:val="20"/>
          <w:color w:val="auto"/>
        </w:rPr>
      </w:pPr>
    </w:p>
    <w:p>
      <w:pPr>
        <w:ind w:left="1280" w:hanging="360"/>
        <w:spacing w:after="0"/>
        <w:tabs>
          <w:tab w:leader="none" w:pos="128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define working capital as current assets </w:t>
      </w:r>
      <w:r>
        <w:rPr>
          <w:rFonts w:ascii="Times New Roman" w:cs="Times New Roman" w:eastAsia="Times New Roman" w:hAnsi="Times New Roman"/>
          <w:sz w:val="12"/>
          <w:szCs w:val="12"/>
          <w:i w:val="1"/>
          <w:iCs w:val="1"/>
          <w:color w:val="auto"/>
        </w:rPr>
        <w:t>less</w:t>
      </w:r>
      <w:r>
        <w:rPr>
          <w:rFonts w:ascii="Times New Roman" w:cs="Times New Roman" w:eastAsia="Times New Roman" w:hAnsi="Times New Roman"/>
          <w:sz w:val="12"/>
          <w:szCs w:val="12"/>
          <w:color w:val="auto"/>
        </w:rPr>
        <w:t xml:space="preserve"> current liabilities as of the balance sheet date.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In September 2020, we issued and sold 2,857,079 shares of our Series C preferred stock and received net cash proceeds of $39.8 million.</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-98-</w:t>
      </w:r>
    </w:p>
    <w:p>
      <w:pPr>
        <w:sectPr>
          <w:pgSz w:w="11900" w:h="16838" w:orient="portrait"/>
          <w:cols w:equalWidth="0" w:num="1">
            <w:col w:w="10340"/>
          </w:cols>
          <w:pgMar w:left="320" w:top="410" w:right="123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 AND RESULTS OF OPERATIONS</w:t>
      </w:r>
    </w:p>
    <w:p>
      <w:pPr>
        <w:spacing w:after="0" w:line="196"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prospectus. See the section titled “Special Note Regarding Forward-Looking Statements” elsewhere in this prospectus.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Overview of our Business</w:t>
      </w:r>
    </w:p>
    <w:p>
      <w:pPr>
        <w:spacing w:after="0" w:line="200"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342" w:lineRule="exact"/>
        <w:rPr>
          <w:sz w:val="20"/>
          <w:szCs w:val="20"/>
          <w:color w:val="auto"/>
        </w:rPr>
      </w:pPr>
    </w:p>
    <w:p>
      <w:pPr>
        <w:ind w:left="920" w:right="160" w:firstLine="753"/>
        <w:spacing w:after="0" w:line="268" w:lineRule="auto"/>
        <w:rPr>
          <w:sz w:val="20"/>
          <w:szCs w:val="20"/>
          <w:color w:val="auto"/>
        </w:rPr>
      </w:pPr>
      <w:r>
        <w:rPr>
          <w:rFonts w:ascii="Times New Roman" w:cs="Times New Roman" w:eastAsia="Times New Roman" w:hAnsi="Times New Roman"/>
          <w:sz w:val="15"/>
          <w:szCs w:val="15"/>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Corporate and Financial Overview</w:t>
      </w:r>
    </w:p>
    <w:p>
      <w:pPr>
        <w:spacing w:after="0" w:line="200"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To date we have financed our operations through private placements of preferred stock and convertible promissory notes. From inception through June 30, 2020, we have raised net proceeds of approximately $61.0 million through private placements of preferred stock.</w:t>
      </w:r>
    </w:p>
    <w:p>
      <w:pPr>
        <w:spacing w:after="0" w:line="9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color w:val="auto"/>
        </w:rPr>
        <w:t>-99-</w:t>
      </w:r>
    </w:p>
    <w:p>
      <w:pPr>
        <w:sectPr>
          <w:pgSz w:w="11900" w:h="16838" w:orient="portrait"/>
          <w:cols w:equalWidth="0" w:num="1">
            <w:col w:w="10320"/>
          </w:cols>
          <w:pgMar w:left="320" w:top="410" w:right="1259"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We have incurred significant net operating losses in every year since our inception and expect to continue to incur significant operating expenses and increasing operating losses for the foreseeable future. Our net losses were $1.3 million and $4.7 million for the years ended December 31, 2018 and 2019, respectively. Our net losses were $2.6 million and $5.2 million for the six months ended June 30, 2019 and 2020, respectively. Our net losses may fluctuate significantly from quarter to quarter and year to year and could be substantial. As of December 31, 2019 and June 30, 2020, we had an accumulated deficit of $6.0 million and $11.2 million, respectively, from research and development and general and administrative activities since our inception. We anticipate that our operating expenses will increase significantly as we:</w:t>
      </w:r>
    </w:p>
    <w:p>
      <w:pPr>
        <w:spacing w:after="0" w:line="176" w:lineRule="exact"/>
        <w:rPr>
          <w:sz w:val="20"/>
          <w:szCs w:val="20"/>
          <w:color w:val="auto"/>
        </w:rPr>
      </w:pPr>
    </w:p>
    <w:p>
      <w:pPr>
        <w:ind w:left="2040" w:right="140" w:hanging="278"/>
        <w:spacing w:after="0" w:line="293" w:lineRule="auto"/>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additional clinical trials of our lead product candidate, TP-03, for the treatment of Demodex blepharitis including our Phase 2b/3 trial, Saturn-1, and our Phase 3 trial, Saturn-2;</w:t>
      </w:r>
    </w:p>
    <w:p>
      <w:pPr>
        <w:spacing w:after="0" w:line="155" w:lineRule="exact"/>
        <w:rPr>
          <w:rFonts w:ascii="Times New Roman" w:cs="Times New Roman" w:eastAsia="Times New Roman" w:hAnsi="Times New Roman"/>
          <w:sz w:val="15"/>
          <w:szCs w:val="15"/>
          <w:color w:val="auto"/>
        </w:rPr>
      </w:pPr>
    </w:p>
    <w:p>
      <w:pPr>
        <w:ind w:left="2040" w:right="320" w:hanging="278"/>
        <w:spacing w:after="0" w:line="293" w:lineRule="auto"/>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the clinical development of TP-03 for the treatment of MGD, TP-04 for the potential treatment of rosacea and TP-05 for potential Lyme prophylaxis and community malaria reduction;</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and marketing approvals for product candidates that successfully complete clinical development, if any;</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our own salesforce in the United States to commercialize our products for which we obtain regulatory approval;</w:t>
      </w:r>
    </w:p>
    <w:p>
      <w:pPr>
        <w:spacing w:after="0" w:line="219" w:lineRule="exact"/>
        <w:rPr>
          <w:rFonts w:ascii="Times New Roman" w:cs="Times New Roman" w:eastAsia="Times New Roman" w:hAnsi="Times New Roman"/>
          <w:sz w:val="15"/>
          <w:szCs w:val="15"/>
          <w:color w:val="auto"/>
        </w:rPr>
      </w:pPr>
    </w:p>
    <w:p>
      <w:pPr>
        <w:ind w:left="2040" w:right="100" w:hanging="278"/>
        <w:spacing w:after="0" w:line="293" w:lineRule="auto"/>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with contract manufacturers to ensure a sufficient supply chain capacity to provide commercial quantities of any products for which we may obtain marketing approval;</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w:t>
      </w:r>
    </w:p>
    <w:p>
      <w:pPr>
        <w:spacing w:after="0" w:line="219"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additional staff, including clinical, scientific, technical, regulatory, marketing, operations, financial, and other support personnel, to execute our business plan; and</w:t>
      </w:r>
    </w:p>
    <w:p>
      <w:pPr>
        <w:spacing w:after="0" w:line="155" w:lineRule="exact"/>
        <w:rPr>
          <w:rFonts w:ascii="Times New Roman" w:cs="Times New Roman" w:eastAsia="Times New Roman" w:hAnsi="Times New Roman"/>
          <w:sz w:val="15"/>
          <w:szCs w:val="15"/>
          <w:color w:val="auto"/>
        </w:rPr>
      </w:pPr>
    </w:p>
    <w:p>
      <w:pPr>
        <w:ind w:left="2040" w:right="300" w:hanging="278"/>
        <w:spacing w:after="0" w:line="293" w:lineRule="auto"/>
        <w:tabs>
          <w:tab w:leader="none" w:pos="2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information systems and personnel to support our product development and potential future commercialization efforts, and to enable us to operate as a public company.</w:t>
      </w:r>
    </w:p>
    <w:p>
      <w:pPr>
        <w:spacing w:after="0" w:line="132"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56"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52" w:lineRule="exact"/>
        <w:rPr>
          <w:sz w:val="20"/>
          <w:szCs w:val="20"/>
          <w:color w:val="auto"/>
        </w:rPr>
      </w:pPr>
    </w:p>
    <w:p>
      <w:pPr>
        <w:ind w:left="920" w:right="820" w:firstLine="753"/>
        <w:spacing w:after="0" w:line="293" w:lineRule="auto"/>
        <w:rPr>
          <w:sz w:val="20"/>
          <w:szCs w:val="20"/>
          <w:color w:val="auto"/>
        </w:rPr>
      </w:pPr>
      <w:r>
        <w:rPr>
          <w:rFonts w:ascii="Times New Roman" w:cs="Times New Roman" w:eastAsia="Times New Roman" w:hAnsi="Times New Roman"/>
          <w:sz w:val="15"/>
          <w:szCs w:val="15"/>
          <w:color w:val="auto"/>
        </w:rPr>
        <w:t>As of June 30, 2020, our aggregate cash and cash equivalents was $53.1 million. In September 2020, we received an additional $39.8 million in net cash proceeds by issuing an aggregate of 2,857,079 shares of our</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-100-</w:t>
      </w:r>
    </w:p>
    <w:p>
      <w:pPr>
        <w:sectPr>
          <w:pgSz w:w="11900" w:h="16838" w:orient="portrait"/>
          <w:cols w:equalWidth="0" w:num="1">
            <w:col w:w="10300"/>
          </w:cols>
          <w:pgMar w:left="320" w:top="410" w:right="1279" w:bottom="1440" w:gutter="0" w:footer="0" w:header="0"/>
        </w:sectPr>
      </w:pPr>
    </w:p>
    <w:bookmarkStart w:id="103" w:name="page104"/>
    <w:bookmarkEnd w:id="1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00"/>
        <w:spacing w:after="0" w:line="293" w:lineRule="auto"/>
        <w:rPr>
          <w:sz w:val="20"/>
          <w:szCs w:val="20"/>
          <w:color w:val="auto"/>
        </w:rPr>
      </w:pPr>
      <w:r>
        <w:rPr>
          <w:rFonts w:ascii="Times New Roman" w:cs="Times New Roman" w:eastAsia="Times New Roman" w:hAnsi="Times New Roman"/>
          <w:sz w:val="15"/>
          <w:szCs w:val="15"/>
          <w:color w:val="auto"/>
        </w:rPr>
        <w:t>Series C preferred stock. We believe that the net proceeds from this offering together with our existing cash and cash equivalents will enable us to fund our operating expenses and capital expenditure requirements into the fourth quarter of 2022 – see “Liquidity and Capital Resources.”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Impact of the COVID-19 Pandemic on our Operations</w:t>
      </w:r>
    </w:p>
    <w:p>
      <w:pPr>
        <w:spacing w:after="0" w:line="200"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45"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152"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However, the ultimate effect from this pandemic on our development timelines for TP-03 and our other product candidates is inherently uncertain.</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See “Risk Factors” for a further discussion of the potential adverse impact of COVID-19 on our business, results of operations and financial</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condition.</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In-License Agreements for Lotilaner</w:t>
      </w:r>
    </w:p>
    <w:p>
      <w:pPr>
        <w:spacing w:after="0" w:line="200" w:lineRule="exact"/>
        <w:rPr>
          <w:sz w:val="20"/>
          <w:szCs w:val="20"/>
          <w:color w:val="auto"/>
        </w:rPr>
      </w:pPr>
    </w:p>
    <w:p>
      <w:pPr>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In January 2019, we entered into the Eye and Derm Elanco Agreement with Elanco granting us a worldwide, sublicensable license for the development and marketing rights of lotilaner for the treatment or cure of any eye or skin disease or condition in humans. We plan to utilize these license rights in developing and marketing our TP-03 and TP-04 product candidates.</w:t>
      </w:r>
    </w:p>
    <w:p>
      <w:pPr>
        <w:spacing w:after="0" w:line="145" w:lineRule="exact"/>
        <w:rPr>
          <w:sz w:val="20"/>
          <w:szCs w:val="20"/>
          <w:color w:val="auto"/>
        </w:rPr>
      </w:pPr>
    </w:p>
    <w:p>
      <w:pPr>
        <w:ind w:left="920" w:right="520" w:firstLine="753"/>
        <w:spacing w:after="0" w:line="293" w:lineRule="auto"/>
        <w:rPr>
          <w:sz w:val="20"/>
          <w:szCs w:val="20"/>
          <w:color w:val="auto"/>
        </w:rPr>
      </w:pPr>
      <w:r>
        <w:rPr>
          <w:rFonts w:ascii="Times New Roman" w:cs="Times New Roman" w:eastAsia="Times New Roman" w:hAnsi="Times New Roman"/>
          <w:sz w:val="15"/>
          <w:szCs w:val="15"/>
          <w:color w:val="auto"/>
        </w:rPr>
        <w:t>We made an upfront cash payment at contract execution, which we recorded within “research and development” expense within our statements of operations for the year ended December 31, 2019 and six months ended June 30, 2019.</w:t>
      </w:r>
    </w:p>
    <w:p>
      <w:pPr>
        <w:spacing w:after="0" w:line="132" w:lineRule="exact"/>
        <w:rPr>
          <w:sz w:val="20"/>
          <w:szCs w:val="20"/>
          <w:color w:val="auto"/>
        </w:rPr>
      </w:pPr>
    </w:p>
    <w:p>
      <w:pPr>
        <w:ind w:left="920" w:right="240" w:firstLine="753"/>
        <w:spacing w:after="0" w:line="268" w:lineRule="auto"/>
        <w:rPr>
          <w:sz w:val="20"/>
          <w:szCs w:val="20"/>
          <w:color w:val="auto"/>
        </w:rPr>
      </w:pPr>
      <w:r>
        <w:rPr>
          <w:rFonts w:ascii="Times New Roman" w:cs="Times New Roman" w:eastAsia="Times New Roman" w:hAnsi="Times New Roman"/>
          <w:sz w:val="15"/>
          <w:szCs w:val="15"/>
          <w:color w:val="auto"/>
        </w:rPr>
        <w:t>The value of remaining clinical milestone payments that may become contractually due to Elanco for the Demodex blepharitis or MGD indications aggregate to $3.0 million, $1.0 million of which was paid in the third quarter of 2020; and aggregate to $3.0 million for the rosacea indication. We may also be required to pay Elanco up to an aggregate of $79.0 million for various commercialization and sales-threshold milestones. Also, we will be obligated to pay Elanco tiered single-digit royalties on our worldwide net sales of these products.</w:t>
      </w:r>
    </w:p>
    <w:p>
      <w:pPr>
        <w:spacing w:after="0" w:line="152" w:lineRule="exact"/>
        <w:rPr>
          <w:sz w:val="20"/>
          <w:szCs w:val="20"/>
          <w:color w:val="auto"/>
        </w:rPr>
      </w:pPr>
    </w:p>
    <w:p>
      <w:pPr>
        <w:jc w:val="both"/>
        <w:ind w:left="920" w:firstLine="753"/>
        <w:spacing w:after="0" w:line="275" w:lineRule="auto"/>
        <w:rPr>
          <w:sz w:val="20"/>
          <w:szCs w:val="20"/>
          <w:color w:val="auto"/>
        </w:rPr>
      </w:pPr>
      <w:r>
        <w:rPr>
          <w:rFonts w:ascii="Times New Roman" w:cs="Times New Roman" w:eastAsia="Times New Roman" w:hAnsi="Times New Roman"/>
          <w:sz w:val="15"/>
          <w:szCs w:val="15"/>
          <w:color w:val="auto"/>
        </w:rPr>
        <w:t>In September 2020, we entered into the All Human Uses Elanco Agreement with Elanco granting us a worldwide, sublicensable licenses for the development and marketing rights of lotilaner for all other applications in humans (i.e., in addition to the treatment or cure of any eye or skin disease or condition in humans). We plan to utilize these license rights in developing and marketing our TP-05 product candidates.</w:t>
      </w:r>
    </w:p>
    <w:p>
      <w:pPr>
        <w:spacing w:after="0" w:line="145"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We made an initial equity grant of approximately 0.2 million shares of our common stock to Elanco at contract execution. If the All Human Uses Elanco Agreement is not terminated, or if we have not provided notice to terminate the All Human Uses Elanco Agreement, within 18 months of its effective date, we will be required to issue Elanco additional shares of our common stock equating to $3.0 million of aggregate value in accordance with the terms of the All Human Uses Elanco Agreement.</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-101-</w:t>
      </w:r>
    </w:p>
    <w:p>
      <w:pPr>
        <w:sectPr>
          <w:pgSz w:w="11900" w:h="16838" w:orient="portrait"/>
          <w:cols w:equalWidth="0" w:num="1">
            <w:col w:w="10300"/>
          </w:cols>
          <w:pgMar w:left="320" w:top="410" w:right="127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20" w:firstLine="753"/>
        <w:spacing w:after="0" w:line="266" w:lineRule="auto"/>
        <w:rPr>
          <w:sz w:val="20"/>
          <w:szCs w:val="20"/>
          <w:color w:val="auto"/>
        </w:rPr>
      </w:pPr>
      <w:r>
        <w:rPr>
          <w:rFonts w:ascii="Times New Roman" w:cs="Times New Roman" w:eastAsia="Times New Roman" w:hAnsi="Times New Roman"/>
          <w:sz w:val="15"/>
          <w:szCs w:val="15"/>
          <w:color w:val="auto"/>
        </w:rPr>
        <w:t>The value of remaining clinical milestone payments that may become contractually due to Elanco for the treatment of malaria aggregate to $3.0 million; and aggregate to $1.5 million for the indications other than malaria. We may also be required to pay Elanco up to an aggregate of</w:t>
      </w:r>
    </w:p>
    <w:p>
      <w:pPr>
        <w:spacing w:after="0" w:line="1" w:lineRule="exact"/>
        <w:rPr>
          <w:sz w:val="20"/>
          <w:szCs w:val="20"/>
          <w:color w:val="auto"/>
        </w:rPr>
      </w:pPr>
    </w:p>
    <w:p>
      <w:pPr>
        <w:ind w:left="920" w:right="40"/>
        <w:spacing w:after="0" w:line="262" w:lineRule="auto"/>
        <w:rPr>
          <w:sz w:val="20"/>
          <w:szCs w:val="20"/>
          <w:color w:val="auto"/>
        </w:rPr>
      </w:pPr>
      <w:r>
        <w:rPr>
          <w:rFonts w:ascii="Times New Roman" w:cs="Times New Roman" w:eastAsia="Times New Roman" w:hAnsi="Times New Roman"/>
          <w:sz w:val="15"/>
          <w:szCs w:val="15"/>
          <w:color w:val="auto"/>
        </w:rPr>
        <w:t>$77.0 million for various commercialization and sales threshold milestones under the current terms of the All Human Uses Elanco Agreement. Also, we will be obligated under the terms of the All Human Uses Elanco Agreement to pay Elanco tiered single-digit royalties on net sales of these products including in the United States, Canada, the countries of the European Economic Area (which, for clarity, shall be deemed to include the United Kingdom), Australia, New Zealand and Japan.</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Our operating expenses since inception have consisted solely of research and development expenses and general and administrative</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expenses.</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Our research and development expenses consist of expenses incurred in connection with the development of our product candidates,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including:</w:t>
      </w:r>
    </w:p>
    <w:p>
      <w:pPr>
        <w:spacing w:after="0" w:line="205" w:lineRule="exact"/>
        <w:rPr>
          <w:sz w:val="20"/>
          <w:szCs w:val="20"/>
          <w:color w:val="auto"/>
        </w:rPr>
      </w:pPr>
    </w:p>
    <w:p>
      <w:pPr>
        <w:ind w:left="2040" w:hanging="278"/>
        <w:spacing w:after="0"/>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third parties to conduct certain research and development activities on our behalf, including under agreements with CROs;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payments under licensing agreements, such as our upfront in-license fee for lotilaner;</w:t>
      </w:r>
    </w:p>
    <w:p>
      <w:pPr>
        <w:spacing w:after="0" w:line="219" w:lineRule="exact"/>
        <w:rPr>
          <w:rFonts w:ascii="Times New Roman" w:cs="Times New Roman" w:eastAsia="Times New Roman" w:hAnsi="Times New Roman"/>
          <w:sz w:val="15"/>
          <w:szCs w:val="15"/>
          <w:color w:val="auto"/>
        </w:rPr>
      </w:pPr>
    </w:p>
    <w:p>
      <w:pPr>
        <w:ind w:left="2040" w:right="200" w:hanging="278"/>
        <w:spacing w:after="0" w:line="293" w:lineRule="auto"/>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consulting costs and certain allocated payroll and employee-related expenses (including stock-based compensation and salaries) for personnel engaged in research and development functions;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compliance with clinical regulatory requirements;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of procuring drug products for use in our preclinical studies and clinical trials;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facilities expenses, which include direct and allocated expenses for rent of our laboratory.</w:t>
      </w:r>
    </w:p>
    <w:p>
      <w:pPr>
        <w:spacing w:after="0" w:line="196"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 to completion of specific tasks or patient dosing using information provided to us by our service providers.</w:t>
      </w:r>
    </w:p>
    <w:p>
      <w:pPr>
        <w:spacing w:after="0" w:line="145" w:lineRule="exact"/>
        <w:rPr>
          <w:sz w:val="20"/>
          <w:szCs w:val="20"/>
          <w:color w:val="auto"/>
        </w:rPr>
      </w:pPr>
    </w:p>
    <w:p>
      <w:pPr>
        <w:ind w:left="920" w:right="80" w:firstLine="753"/>
        <w:spacing w:after="0" w:line="265" w:lineRule="auto"/>
        <w:rPr>
          <w:sz w:val="20"/>
          <w:szCs w:val="20"/>
          <w:color w:val="auto"/>
        </w:rPr>
      </w:pPr>
      <w:r>
        <w:rPr>
          <w:rFonts w:ascii="Times New Roman" w:cs="Times New Roman" w:eastAsia="Times New Roman" w:hAnsi="Times New Roman"/>
          <w:sz w:val="15"/>
          <w:szCs w:val="15"/>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 For the years ended December 31, 2018 and 2019 and for the six months ended June 30, 2019 and 2020, substantially all of our research and development expenses are attributable to our TP-03 program for Demodex blepharitis.</w:t>
      </w:r>
    </w:p>
    <w:p>
      <w:pPr>
        <w:spacing w:after="0" w:line="339"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following this offering and in the future, as we seek</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-102-</w:t>
      </w:r>
    </w:p>
    <w:p>
      <w:pPr>
        <w:sectPr>
          <w:pgSz w:w="11900" w:h="16838" w:orient="portrait"/>
          <w:cols w:equalWidth="0" w:num="1">
            <w:col w:w="10320"/>
          </w:cols>
          <w:pgMar w:left="320" w:top="410" w:right="1259"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80"/>
        <w:spacing w:after="0" w:line="264" w:lineRule="auto"/>
        <w:rPr>
          <w:sz w:val="20"/>
          <w:szCs w:val="20"/>
          <w:color w:val="auto"/>
        </w:rPr>
      </w:pPr>
      <w:r>
        <w:rPr>
          <w:rFonts w:ascii="Times New Roman" w:cs="Times New Roman" w:eastAsia="Times New Roman" w:hAnsi="Times New Roman"/>
          <w:sz w:val="15"/>
          <w:szCs w:val="15"/>
          <w:color w:val="auto"/>
        </w:rPr>
        <w:t>to initiate and progress additional clinical trials for our product candidates, including TP-03 for the potential treatment of MGD, TP-04 for the potential treatment of rosacea and TP-05 for potential Lyme prophylaxis and community malaria reduction,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“Risk Factors” for a discussion of risks and uncertainties associated with our research and development projects.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45" w:lineRule="exact"/>
        <w:rPr>
          <w:sz w:val="20"/>
          <w:szCs w:val="20"/>
          <w:color w:val="auto"/>
        </w:rPr>
      </w:pPr>
    </w:p>
    <w:p>
      <w:pPr>
        <w:ind w:left="920" w:right="140" w:firstLine="753"/>
        <w:spacing w:after="0" w:line="265" w:lineRule="auto"/>
        <w:rPr>
          <w:sz w:val="20"/>
          <w:szCs w:val="20"/>
          <w:color w:val="auto"/>
        </w:rPr>
      </w:pPr>
      <w:r>
        <w:rPr>
          <w:rFonts w:ascii="Times New Roman" w:cs="Times New Roman" w:eastAsia="Times New Roman" w:hAnsi="Times New Roman"/>
          <w:sz w:val="15"/>
          <w:szCs w:val="15"/>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Other Income (Expense), Net</w:t>
      </w:r>
    </w:p>
    <w:p>
      <w:pPr>
        <w:spacing w:after="0" w:line="20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Other income (expense), net consists primarily of interest expense on our convertible promissory notes, other expense from the change in fair value of the derivative liabilities associated with the promissory notes and losses recorded on the extinguishment of convertible promissory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Income Tax Provision</w:t>
      </w:r>
    </w:p>
    <w:p>
      <w:pPr>
        <w:spacing w:after="0" w:line="200" w:lineRule="exact"/>
        <w:rPr>
          <w:sz w:val="20"/>
          <w:szCs w:val="20"/>
          <w:color w:val="auto"/>
        </w:rPr>
      </w:pPr>
    </w:p>
    <w:p>
      <w:pPr>
        <w:ind w:left="920" w:right="20" w:firstLine="753"/>
        <w:spacing w:after="0" w:line="260" w:lineRule="auto"/>
        <w:rPr>
          <w:sz w:val="20"/>
          <w:szCs w:val="20"/>
          <w:color w:val="auto"/>
        </w:rPr>
      </w:pPr>
      <w:r>
        <w:rPr>
          <w:rFonts w:ascii="Times New Roman" w:cs="Times New Roman" w:eastAsia="Times New Roman" w:hAnsi="Times New Roman"/>
          <w:sz w:val="15"/>
          <w:szCs w:val="15"/>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of December 31, 2019, we had deferred tax assets, including federal and state net operating loss carryforwards, of $1.4 million.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At December 31, 2019, we had federal and California research and development tax credits of</w:t>
      </w:r>
    </w:p>
    <w:p>
      <w:pPr>
        <w:ind w:left="920" w:right="580"/>
        <w:spacing w:after="0" w:line="273" w:lineRule="auto"/>
        <w:rPr>
          <w:sz w:val="20"/>
          <w:szCs w:val="20"/>
          <w:color w:val="auto"/>
        </w:rPr>
      </w:pPr>
      <w:r>
        <w:rPr>
          <w:rFonts w:ascii="Times New Roman" w:cs="Times New Roman" w:eastAsia="Times New Roman" w:hAnsi="Times New Roman"/>
          <w:sz w:val="15"/>
          <w:szCs w:val="15"/>
          <w:color w:val="auto"/>
        </w:rPr>
        <w:t>$0.1 million each. The federal research and development tax credits begin to expire in 2037 unless previously utilized, and the California credit carryforwards are available indefinitely.</w:t>
      </w:r>
    </w:p>
    <w:p>
      <w:pPr>
        <w:spacing w:after="0" w:line="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-103-</w:t>
      </w:r>
    </w:p>
    <w:p>
      <w:pPr>
        <w:sectPr>
          <w:pgSz w:w="11900" w:h="16838" w:orient="portrait"/>
          <w:cols w:equalWidth="0" w:num="1">
            <w:col w:w="10320"/>
          </w:cols>
          <w:pgMar w:left="320" w:top="410" w:right="125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Result of Operations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Six Months Ended June 30, 2019 and 2020</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periods indicated:</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right"/>
              <w:ind w:right="562"/>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0" w:type="dxa"/>
            <w:vAlign w:val="bottom"/>
          </w:tcPr>
          <w:p>
            <w:pPr>
              <w:spacing w:after="0"/>
              <w:rPr>
                <w:sz w:val="12"/>
                <w:szCs w:val="12"/>
                <w:color w:val="auto"/>
              </w:rPr>
            </w:pPr>
          </w:p>
        </w:tc>
        <w:tc>
          <w:tcPr>
            <w:tcW w:w="58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51"/>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43"/>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$ 2,066</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$ 3,249</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$ 1,183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 before other income (expense) and income taxes</w:t>
            </w:r>
          </w:p>
        </w:tc>
        <w:tc>
          <w:tcPr>
            <w:tcW w:w="6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(2,580)</w:t>
            </w: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(5,381)</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(2,801)</w:t>
            </w:r>
          </w:p>
        </w:tc>
        <w:tc>
          <w:tcPr>
            <w:tcW w:w="0" w:type="dxa"/>
            <w:vAlign w:val="bottom"/>
          </w:tcPr>
          <w:p>
            <w:pPr>
              <w:spacing w:after="0"/>
              <w:rPr>
                <w:sz w:val="1"/>
                <w:szCs w:val="1"/>
                <w:color w:val="auto"/>
              </w:rPr>
            </w:pPr>
          </w:p>
        </w:tc>
      </w:tr>
      <w:tr>
        <w:trPr>
          <w:trHeight w:val="187"/>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income (expense), net</w:t>
            </w:r>
          </w:p>
        </w:tc>
        <w:tc>
          <w:tcPr>
            <w:tcW w:w="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6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2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(2,576</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(5,207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(2,631</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Research and development expenses increased by $1.2 million for the six months ended June 30, 2020. The increase was primarily due to</w:t>
      </w:r>
    </w:p>
    <w:p>
      <w:pPr>
        <w:spacing w:after="0" w:line="26" w:lineRule="exact"/>
        <w:rPr>
          <w:sz w:val="20"/>
          <w:szCs w:val="20"/>
          <w:color w:val="auto"/>
        </w:rPr>
      </w:pPr>
    </w:p>
    <w:p>
      <w:pPr>
        <w:ind w:left="920" w:right="160"/>
        <w:spacing w:after="0" w:line="264" w:lineRule="auto"/>
        <w:tabs>
          <w:tab w:leader="none" w:pos="110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manufacturing and development activities of $0.8 million to support our clinical studies, and (ii) increased payroll and personnel-related expenses (including stock-based compensation) of $0.4 million due to additional clinical and formulation development employees to drive our product development initiatives.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jc w:val="both"/>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General and administrative expenses increased by $1.6 million for the six months ended June 30, 2020. The increase was primarily due to $0.8 million increase in payroll and personnel-related expenses (including stock-based compensation) for employee additions and $0.7 million increase from market research activities and other professional services.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 (Expense), Net</w:t>
      </w:r>
    </w:p>
    <w:p>
      <w:pPr>
        <w:spacing w:after="0" w:line="200" w:lineRule="exact"/>
        <w:rPr>
          <w:sz w:val="20"/>
          <w:szCs w:val="20"/>
          <w:color w:val="auto"/>
        </w:rPr>
      </w:pPr>
    </w:p>
    <w:p>
      <w:pPr>
        <w:ind w:left="920" w:right="340" w:firstLine="753"/>
        <w:spacing w:after="0" w:line="293" w:lineRule="auto"/>
        <w:rPr>
          <w:sz w:val="20"/>
          <w:szCs w:val="20"/>
          <w:color w:val="auto"/>
        </w:rPr>
      </w:pPr>
      <w:r>
        <w:rPr>
          <w:rFonts w:ascii="Times New Roman" w:cs="Times New Roman" w:eastAsia="Times New Roman" w:hAnsi="Times New Roman"/>
          <w:sz w:val="15"/>
          <w:szCs w:val="15"/>
          <w:color w:val="auto"/>
        </w:rPr>
        <w:t>The increase in interest income (expense), net of $0.2 million was primarily due to interest earned on our money market funds from the proceeds from the issuance of our Series B convertible preferred stock in December 2019.</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-104-</w:t>
      </w:r>
    </w:p>
    <w:p>
      <w:pPr>
        <w:sectPr>
          <w:pgSz w:w="11900" w:h="16838" w:orient="portrait"/>
          <w:cols w:equalWidth="0" w:num="1">
            <w:col w:w="10340"/>
          </w:cols>
          <w:pgMar w:left="320" w:top="410" w:right="123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2018 and 2019</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our results of operations for the years ended December 31, 2018 and 2019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12"/>
                <w:szCs w:val="12"/>
                <w:color w:val="auto"/>
              </w:rPr>
            </w:pPr>
          </w:p>
        </w:tc>
        <w:tc>
          <w:tcPr>
            <w:tcW w:w="58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47"/>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43"/>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1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$ 3,162</w:t>
            </w:r>
          </w:p>
        </w:tc>
        <w:tc>
          <w:tcPr>
            <w:tcW w:w="2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$ 2,261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 before other income (expense) and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w w:val="95"/>
              </w:rPr>
              <w:t>(1,350)</w:t>
            </w: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(4,298)</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(2,948)</w:t>
            </w:r>
          </w:p>
        </w:tc>
        <w:tc>
          <w:tcPr>
            <w:tcW w:w="0" w:type="dxa"/>
            <w:vAlign w:val="bottom"/>
          </w:tcPr>
          <w:p>
            <w:pPr>
              <w:spacing w:after="0"/>
              <w:rPr>
                <w:sz w:val="1"/>
                <w:szCs w:val="1"/>
                <w:color w:val="auto"/>
              </w:rPr>
            </w:pPr>
          </w:p>
        </w:tc>
      </w:tr>
      <w:tr>
        <w:trPr>
          <w:trHeight w:val="187"/>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(40)</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extinguishment of convertible notes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122"/>
              <w:spacing w:after="0"/>
              <w:rPr>
                <w:sz w:val="20"/>
                <w:szCs w:val="20"/>
                <w:color w:val="auto"/>
              </w:rPr>
            </w:pPr>
            <w:r>
              <w:rPr>
                <w:rFonts w:ascii="Times New Roman" w:cs="Times New Roman" w:eastAsia="Times New Roman" w:hAnsi="Times New Roman"/>
                <w:sz w:val="15"/>
                <w:szCs w:val="15"/>
                <w:color w:val="auto"/>
              </w:rPr>
              <w:t>(255)</w:t>
            </w:r>
          </w:p>
        </w:tc>
        <w:tc>
          <w:tcPr>
            <w:tcW w:w="660" w:type="dxa"/>
            <w:vAlign w:val="bottom"/>
            <w:gridSpan w:val="3"/>
          </w:tcPr>
          <w:p>
            <w:pPr>
              <w:jc w:val="right"/>
              <w:ind w:right="22"/>
              <w:spacing w:after="0"/>
              <w:rPr>
                <w:sz w:val="20"/>
                <w:szCs w:val="20"/>
                <w:color w:val="auto"/>
              </w:rPr>
            </w:pPr>
            <w:r>
              <w:rPr>
                <w:rFonts w:ascii="Times New Roman" w:cs="Times New Roman" w:eastAsia="Times New Roman" w:hAnsi="Times New Roman"/>
                <w:sz w:val="15"/>
                <w:szCs w:val="15"/>
                <w:color w:val="auto"/>
              </w:rPr>
              <w:t>(255)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(76)</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income (expense), net</w:t>
            </w: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w:t>
            </w:r>
          </w:p>
        </w:tc>
        <w:tc>
          <w:tcPr>
            <w:tcW w:w="860" w:type="dxa"/>
            <w:vAlign w:val="bottom"/>
            <w:gridSpan w:val="3"/>
            <w:shd w:val="clear" w:color="auto" w:fill="CCEEFF"/>
          </w:tcPr>
          <w:p>
            <w:pPr>
              <w:jc w:val="right"/>
              <w:ind w:right="122"/>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(1,319</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(4,670</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(3,351</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Research and development expenses increased by $2.3 million for the year ended December 31, 2019. The increase was primarily due to</w:t>
      </w:r>
    </w:p>
    <w:p>
      <w:pPr>
        <w:spacing w:after="0" w:line="26" w:lineRule="exact"/>
        <w:rPr>
          <w:sz w:val="20"/>
          <w:szCs w:val="20"/>
          <w:color w:val="auto"/>
        </w:rPr>
      </w:pPr>
    </w:p>
    <w:p>
      <w:pPr>
        <w:ind w:left="920" w:right="580"/>
        <w:spacing w:after="0" w:line="264" w:lineRule="auto"/>
        <w:tabs>
          <w:tab w:leader="none" w:pos="1104"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one-time upfront payment of $1.0 million for the Eye and Derm Elanco Agreement, (ii) increased payroll and personnel related expenses (including stock-based compensation) of $0.9 million due to additional clinical and formulation development employees to drive our product development initiatives, and (iii) increased clinical study site costs of $0.3 million.</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General and administrative expenses increased by $0.7 million for the year ended December 31, 2019. The increase was primarily due to $0.5 million increase in payroll and personnel-related expenses (including stock-based compensation) for employee additions and $0.2 million increase primarily from legal service costs and market research activities.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Interest Income (Expense), Net</w:t>
      </w:r>
    </w:p>
    <w:p>
      <w:pPr>
        <w:spacing w:after="0" w:line="200"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for these notes was $0.1 million and was partially offset by interest income on our cash and cash equivalents.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Change in Fair Value of Derivative Liabilities</w:t>
      </w:r>
    </w:p>
    <w:p>
      <w:pPr>
        <w:spacing w:after="0" w:line="200" w:lineRule="exact"/>
        <w:rPr>
          <w:sz w:val="20"/>
          <w:szCs w:val="20"/>
          <w:color w:val="auto"/>
        </w:rPr>
      </w:pPr>
    </w:p>
    <w:p>
      <w:pPr>
        <w:ind w:left="920" w:right="540" w:firstLine="753"/>
        <w:spacing w:after="0" w:line="293" w:lineRule="auto"/>
        <w:rPr>
          <w:sz w:val="20"/>
          <w:szCs w:val="20"/>
          <w:color w:val="auto"/>
        </w:rPr>
      </w:pPr>
      <w:r>
        <w:rPr>
          <w:rFonts w:ascii="Times New Roman" w:cs="Times New Roman" w:eastAsia="Times New Roman" w:hAnsi="Times New Roman"/>
          <w:sz w:val="15"/>
          <w:szCs w:val="15"/>
          <w:color w:val="auto"/>
        </w:rPr>
        <w:t>During May, August, and October 2019, we issued convertible promissory notes to our co-founders and certain other related parties, aggregating $2.0 million in principal value. These notes contained stock-settled</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-105-</w:t>
      </w:r>
    </w:p>
    <w:p>
      <w:pPr>
        <w:sectPr>
          <w:pgSz w:w="11900" w:h="16838" w:orient="portrait"/>
          <w:cols w:equalWidth="0" w:num="1">
            <w:col w:w="10340"/>
          </w:cols>
          <w:pgMar w:left="320" w:top="410" w:right="123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4" w:lineRule="auto"/>
        <w:rPr>
          <w:sz w:val="20"/>
          <w:szCs w:val="20"/>
          <w:color w:val="auto"/>
        </w:rPr>
      </w:pPr>
      <w:r>
        <w:rPr>
          <w:rFonts w:ascii="Times New Roman" w:cs="Times New Roman" w:eastAsia="Times New Roman" w:hAnsi="Times New Roman"/>
          <w:sz w:val="15"/>
          <w:szCs w:val="15"/>
          <w:color w:val="auto"/>
        </w:rPr>
        <w:t>redemption features that were required to be separately accounted for as derivative liabilities on the balance sheet until December 13, 2019 when we completed a qualified equity financing and 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Loss on Extinguishment of Convertible Notes</w:t>
      </w:r>
    </w:p>
    <w:p>
      <w:pPr>
        <w:spacing w:after="0" w:line="200"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The loss on extinguishment of convertible notes was due to the extinguishment of convertible promissory notes issued to our co-founders and certain other related parties, aggregating $2.0 million in principal value (see below). On December 13, 2019 we completed the issuance of Series B preferred stock upon which the then-outstanding notes, along with accrued interest, converted into 2.0 million shares of Series B preferred stock.</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Since our inception in 2016 through June 30, 2020, our operations have been substantially financed by net cash proceeds of $61.0 million</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from private placements of Series A and Series B preferred stock. In September 2020, we issued 2,857,079 shares of our Series C preferred stock for net</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cash proceeds of $39.8 million. We will continue to be dependent upon equity, debt financing, and/or other forms of capital raises at least until we are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able to generate significant positive cash flows from our operations. As of June 30, 2020, we had cash and cash equivalents of $53.1 million, which does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not include the $39.8 million net cash proceeds we received in September 2020 from selling shares of our Series C preferred stock. We estimate that we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had cash and cash equivalents of approximately $86.4 million as of September 30, 2020. This estimate was prepared by management in good faith based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upon internal reporting, is preliminary, and unaudited, and may be revised as a result of management’s further review of our results as of and for the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three and nine months ended September 30, 2020. We have not yet completed our interim review procedures as of and for the period ended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September 30, 2020. We have no ongoing material financing commitments, such as lines of credit or guarantees, that are expected to affect our liquidity</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over the next five years.</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Funding Requirements</w:t>
      </w:r>
    </w:p>
    <w:p>
      <w:pPr>
        <w:spacing w:after="0" w:line="200" w:lineRule="exact"/>
        <w:rPr>
          <w:sz w:val="20"/>
          <w:szCs w:val="20"/>
          <w:color w:val="auto"/>
        </w:rPr>
      </w:pPr>
    </w:p>
    <w:p>
      <w:pPr>
        <w:jc w:val="both"/>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Our primary use of cash is to fund operating expenditures, consisting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45"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We believe that the net proceeds from this offering, in combination with our existing cash and cash equivalents, will enable us to fund our operating expenses and capital expenditure requirements into the fourth quarter of 2022. We have based these estimates on our current assumptions that may require future adjustments based on our ongoing business decisions. Accordingly, we may require additional capital resources earlier than we currently expect.</w:t>
      </w:r>
    </w:p>
    <w:p>
      <w:pPr>
        <w:spacing w:after="0" w:line="152"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To date, we have not generated any revenue.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clinical development programs and begin activities related to commercial launch readiness. We may encounter unforeseen expenses, difficulties, complications, delays and other currently unknown factors that could adversely</w:t>
      </w:r>
    </w:p>
    <w:p>
      <w:pPr>
        <w:spacing w:after="0" w:line="28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-106-</w:t>
      </w:r>
    </w:p>
    <w:p>
      <w:pPr>
        <w:sectPr>
          <w:pgSz w:w="11900" w:h="16838" w:orient="portrait"/>
          <w:cols w:equalWidth="0" w:num="1">
            <w:col w:w="10300"/>
          </w:cols>
          <w:pgMar w:left="320" w:top="410" w:right="127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40"/>
        <w:spacing w:after="0" w:line="293" w:lineRule="auto"/>
        <w:rPr>
          <w:sz w:val="20"/>
          <w:szCs w:val="20"/>
          <w:color w:val="auto"/>
        </w:rPr>
      </w:pPr>
      <w:r>
        <w:rPr>
          <w:rFonts w:ascii="Times New Roman" w:cs="Times New Roman" w:eastAsia="Times New Roman" w:hAnsi="Times New Roman"/>
          <w:sz w:val="15"/>
          <w:szCs w:val="15"/>
          <w:color w:val="auto"/>
        </w:rPr>
        <w:t>affect our business. Moreover, following the completion of this offering, we will incur material incremental costs in operating as a publicly traded company.</w:t>
      </w:r>
    </w:p>
    <w:p>
      <w:pPr>
        <w:spacing w:after="0" w:line="132"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155" w:lineRule="exact"/>
        <w:rPr>
          <w:sz w:val="20"/>
          <w:szCs w:val="20"/>
          <w:color w:val="auto"/>
        </w:rPr>
      </w:pPr>
    </w:p>
    <w:p>
      <w:pPr>
        <w:ind w:left="2040" w:right="220" w:hanging="278"/>
        <w:spacing w:after="0" w:line="293" w:lineRule="auto"/>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timing, rate of progress and costs of our drug discovery efforts, preclinical development activities, laboratory testing and clinical trials for our product candidates;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scope of clinical programs we decide to pursue;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timing and outcome of preparing for and undergoing regulatory review of our product candidates;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and costs of development and commercial manufacturing activities;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and timing associated with commercializing our product candidates, if they receive marketing approval;</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revenue, if any, received from commercial sales of our product candidates, should any of our product candidates receive marketing approval;</w:t>
      </w:r>
    </w:p>
    <w:p>
      <w:pPr>
        <w:spacing w:after="0" w:line="155" w:lineRule="exact"/>
        <w:rPr>
          <w:rFonts w:ascii="Times New Roman" w:cs="Times New Roman" w:eastAsia="Times New Roman" w:hAnsi="Times New Roman"/>
          <w:sz w:val="15"/>
          <w:szCs w:val="15"/>
          <w:color w:val="auto"/>
        </w:rPr>
      </w:pPr>
    </w:p>
    <w:p>
      <w:pPr>
        <w:ind w:left="2040" w:right="320" w:hanging="278"/>
        <w:spacing w:after="0" w:line="293" w:lineRule="auto"/>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achievement of milestones or occurrence of other developments that trigger payments under any collaboration agreements we might have at such time;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we acquire or in-license other product candidates and technologies;</w:t>
      </w:r>
    </w:p>
    <w:p>
      <w:pPr>
        <w:spacing w:after="0" w:line="219" w:lineRule="exact"/>
        <w:rPr>
          <w:rFonts w:ascii="Times New Roman" w:cs="Times New Roman" w:eastAsia="Times New Roman" w:hAnsi="Times New Roman"/>
          <w:sz w:val="15"/>
          <w:szCs w:val="15"/>
          <w:color w:val="auto"/>
        </w:rPr>
      </w:pPr>
    </w:p>
    <w:p>
      <w:pPr>
        <w:ind w:left="2040" w:right="460" w:hanging="278"/>
        <w:spacing w:after="0" w:line="293" w:lineRule="auto"/>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of preparing, filing and prosecuting patent applications, maintaining and enforcing our intellectual property rights and defending intellectual property-related claims;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collaborations on favorable terms, if at all;</w:t>
      </w:r>
    </w:p>
    <w:p>
      <w:pPr>
        <w:spacing w:after="0" w:line="219"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implementation of various computerized information systems;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COVID-19 on our clinical development or operations;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associated with being a public company.</w:t>
      </w:r>
    </w:p>
    <w:p>
      <w:pPr>
        <w:spacing w:after="0" w:line="196"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58"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Adequate funding may not be available to us on acceptable terms or at all. Our potential inability to raise capital when needed could have a negative impact on our financial condition and our ability to pursue our</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-107-</w:t>
      </w:r>
    </w:p>
    <w:p>
      <w:pPr>
        <w:sectPr>
          <w:pgSz w:w="11900" w:h="16838" w:orient="portrait"/>
          <w:cols w:equalWidth="0" w:num="1">
            <w:col w:w="10320"/>
          </w:cols>
          <w:pgMar w:left="320" w:top="410" w:right="125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4" w:lineRule="auto"/>
        <w:rPr>
          <w:sz w:val="20"/>
          <w:szCs w:val="20"/>
          <w:color w:val="auto"/>
        </w:rPr>
      </w:pPr>
      <w:r>
        <w:rPr>
          <w:rFonts w:ascii="Times New Roman" w:cs="Times New Roman" w:eastAsia="Times New Roman" w:hAnsi="Times New Roman"/>
          <w:sz w:val="15"/>
          <w:szCs w:val="15"/>
          <w:color w:val="auto"/>
        </w:rPr>
        <w:t>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prospectus titled “Risk Factors” for additional risks associated with our substantial capital requirements.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200" w:lineRule="exact"/>
        <w:rPr>
          <w:sz w:val="20"/>
          <w:szCs w:val="20"/>
          <w:color w:val="auto"/>
        </w:rPr>
      </w:pPr>
    </w:p>
    <w:p>
      <w:pPr>
        <w:ind w:left="920" w:right="160" w:firstLine="753"/>
        <w:spacing w:after="0" w:line="293" w:lineRule="auto"/>
        <w:rPr>
          <w:sz w:val="20"/>
          <w:szCs w:val="20"/>
          <w:color w:val="auto"/>
        </w:rPr>
      </w:pPr>
      <w:r>
        <w:rPr>
          <w:rFonts w:ascii="Times New Roman" w:cs="Times New Roman" w:eastAsia="Times New Roman" w:hAnsi="Times New Roman"/>
          <w:sz w:val="15"/>
          <w:szCs w:val="15"/>
          <w:color w:val="auto"/>
        </w:rPr>
        <w:t>From May 2019 through October 2019, we issued convertible promissory notes with an aggregate principal amount of $2.0 million. These notes were fully converted into an aggregate of 268,056 shares of Series B preferred stock in December 2019.</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Summary Statement of Cash Flows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sets forth the primary sources and uses of cash, cash equivalents and restricted cash for each of the periods presented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below:</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20" w:type="dxa"/>
            <w:vAlign w:val="bottom"/>
          </w:tcPr>
          <w:p>
            <w:pPr>
              <w:spacing w:after="0"/>
              <w:rPr>
                <w:sz w:val="12"/>
                <w:szCs w:val="12"/>
                <w:color w:val="auto"/>
              </w:rPr>
            </w:pPr>
          </w:p>
        </w:tc>
        <w:tc>
          <w:tcPr>
            <w:tcW w:w="134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0" w:type="dxa"/>
            <w:vAlign w:val="bottom"/>
          </w:tcPr>
          <w:p>
            <w:pPr>
              <w:spacing w:after="0"/>
              <w:rPr>
                <w:sz w:val="12"/>
                <w:szCs w:val="12"/>
                <w:color w:val="auto"/>
              </w:rPr>
            </w:pPr>
          </w:p>
        </w:tc>
        <w:tc>
          <w:tcPr>
            <w:tcW w:w="134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18"/>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63"/>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gridSpan w:val="2"/>
          </w:tcPr>
          <w:p>
            <w:pPr>
              <w:jc w:val="right"/>
              <w:ind w:right="43"/>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0"/>
                <w:szCs w:val="10"/>
                <w:color w:val="auto"/>
              </w:rPr>
            </w:pPr>
          </w:p>
        </w:tc>
      </w:tr>
      <w:tr>
        <w:trPr>
          <w:trHeight w:val="118"/>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6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0" w:type="dxa"/>
            <w:vAlign w:val="bottom"/>
          </w:tcPr>
          <w:p>
            <w:pPr>
              <w:spacing w:after="0"/>
              <w:rPr>
                <w:sz w:val="10"/>
                <w:szCs w:val="10"/>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provided by:</w:t>
            </w:r>
          </w:p>
        </w:tc>
        <w:tc>
          <w:tcPr>
            <w:tcW w:w="1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Operating activities</w:t>
            </w:r>
          </w:p>
        </w:tc>
        <w:tc>
          <w:tcPr>
            <w:tcW w:w="21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$(1,183)</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(3,673)</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$(2,297)</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$(4,553)</w:t>
            </w: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Investing activities</w:t>
            </w:r>
          </w:p>
        </w:tc>
        <w:tc>
          <w:tcPr>
            <w:tcW w:w="2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(175)</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(145)</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(371)</w:t>
            </w:r>
          </w:p>
        </w:tc>
      </w:tr>
      <w:tr>
        <w:trPr>
          <w:trHeight w:val="188"/>
        </w:trPr>
        <w:tc>
          <w:tcPr>
            <w:tcW w:w="20" w:type="dxa"/>
            <w:vAlign w:val="bottom"/>
          </w:tcPr>
          <w:p>
            <w:pPr>
              <w:spacing w:after="0"/>
              <w:rPr>
                <w:sz w:val="16"/>
                <w:szCs w:val="16"/>
                <w:color w:val="auto"/>
              </w:rPr>
            </w:pPr>
          </w:p>
        </w:tc>
        <w:tc>
          <w:tcPr>
            <w:tcW w:w="5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Financing activities</w:t>
            </w:r>
          </w:p>
        </w:tc>
        <w:tc>
          <w:tcPr>
            <w:tcW w:w="15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59,445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in cash, cash equivalents and restricted cash</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$ 2,374</w:t>
            </w: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55,597</w:t>
            </w: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(1,942)</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(4,817)</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Net Cash Used in Operating Activities</w:t>
      </w:r>
    </w:p>
    <w:p>
      <w:pPr>
        <w:spacing w:after="0" w:line="200" w:lineRule="exact"/>
        <w:rPr>
          <w:sz w:val="20"/>
          <w:szCs w:val="20"/>
          <w:color w:val="auto"/>
        </w:rPr>
      </w:pPr>
    </w:p>
    <w:p>
      <w:pPr>
        <w:ind w:left="920" w:right="300" w:firstLine="753"/>
        <w:spacing w:after="0" w:line="293" w:lineRule="auto"/>
        <w:rPr>
          <w:sz w:val="20"/>
          <w:szCs w:val="20"/>
          <w:color w:val="auto"/>
        </w:rPr>
      </w:pPr>
      <w:r>
        <w:rPr>
          <w:rFonts w:ascii="Times New Roman" w:cs="Times New Roman" w:eastAsia="Times New Roman" w:hAnsi="Times New Roman"/>
          <w:sz w:val="15"/>
          <w:szCs w:val="15"/>
          <w:color w:val="auto"/>
        </w:rPr>
        <w:t>Net cash used in operating activities was $1.2 million for the year ended December 31, 2018, which was primarily due to our net loss of $1.3 million, partially offset by an increase in accrued liabilities of $0.1 million associated with clinical and manufacturing activities.</w:t>
      </w:r>
    </w:p>
    <w:p>
      <w:pPr>
        <w:spacing w:after="0" w:line="132"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Net cash used in operating activities was $3.7 million for the year ended December 31, 2019, which primarily consisted of our net loss of $4.7 million, partially offset by non-cash items totaling $0.5 million and a net increase in liabilities of $0.5 million associated with accounts payable and accrued bonuses.</w:t>
      </w:r>
    </w:p>
    <w:p>
      <w:pPr>
        <w:spacing w:after="0" w:line="145" w:lineRule="exact"/>
        <w:rPr>
          <w:sz w:val="20"/>
          <w:szCs w:val="20"/>
          <w:color w:val="auto"/>
        </w:rPr>
      </w:pPr>
    </w:p>
    <w:p>
      <w:pPr>
        <w:ind w:left="920" w:right="180" w:firstLine="753"/>
        <w:spacing w:after="0" w:line="293" w:lineRule="auto"/>
        <w:rPr>
          <w:sz w:val="20"/>
          <w:szCs w:val="20"/>
          <w:color w:val="auto"/>
        </w:rPr>
      </w:pPr>
      <w:r>
        <w:rPr>
          <w:rFonts w:ascii="Times New Roman" w:cs="Times New Roman" w:eastAsia="Times New Roman" w:hAnsi="Times New Roman"/>
          <w:sz w:val="15"/>
          <w:szCs w:val="15"/>
          <w:color w:val="auto"/>
        </w:rPr>
        <w:t>Net cash used in operating activities was $2.3 million for the six months ended June 30, 2019, which primarily consisted of our net loss of $2.6 million, partially offset by a net increase in liabilities of $0.2 million associated with accounts payable and other accrued liabilities.</w:t>
      </w:r>
    </w:p>
    <w:p>
      <w:pPr>
        <w:spacing w:after="0" w:line="132"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Net cash used in operating activities was $4.6 million for the six months ended June 30, 2020, which primarily consisted of our net loss of $5.2 million, partially offset by non-cash items totaling $0.2 million and a net increase in liabilities of $0.4 million associated with accounts payable and other accrued liabilities.</w:t>
      </w:r>
    </w:p>
    <w:p>
      <w:pPr>
        <w:spacing w:after="0" w:line="14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Net Cash Used in Investing Activities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Net cash used in investing activities was $7 thousand for the year ended December 31, 2018, which consisted of property and equipment</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purchases.</w:t>
      </w:r>
    </w:p>
    <w:p>
      <w:pPr>
        <w:spacing w:after="0" w:line="1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-108-</w:t>
      </w:r>
    </w:p>
    <w:p>
      <w:pPr>
        <w:sectPr>
          <w:pgSz w:w="11900" w:h="16838" w:orient="portrait"/>
          <w:cols w:equalWidth="0" w:num="1">
            <w:col w:w="10340"/>
          </w:cols>
          <w:pgMar w:left="320" w:top="410" w:right="123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60" w:firstLine="753"/>
        <w:spacing w:after="0" w:line="293" w:lineRule="auto"/>
        <w:rPr>
          <w:sz w:val="20"/>
          <w:szCs w:val="20"/>
          <w:color w:val="auto"/>
        </w:rPr>
      </w:pPr>
      <w:r>
        <w:rPr>
          <w:rFonts w:ascii="Times New Roman" w:cs="Times New Roman" w:eastAsia="Times New Roman" w:hAnsi="Times New Roman"/>
          <w:sz w:val="15"/>
          <w:szCs w:val="15"/>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32" w:lineRule="exact"/>
        <w:rPr>
          <w:sz w:val="20"/>
          <w:szCs w:val="20"/>
          <w:color w:val="auto"/>
        </w:rPr>
      </w:pPr>
    </w:p>
    <w:p>
      <w:pPr>
        <w:ind w:left="920" w:right="200" w:firstLine="753"/>
        <w:spacing w:after="0" w:line="293" w:lineRule="auto"/>
        <w:rPr>
          <w:sz w:val="20"/>
          <w:szCs w:val="20"/>
          <w:color w:val="auto"/>
        </w:rPr>
      </w:pPr>
      <w:r>
        <w:rPr>
          <w:rFonts w:ascii="Times New Roman" w:cs="Times New Roman" w:eastAsia="Times New Roman" w:hAnsi="Times New Roman"/>
          <w:sz w:val="15"/>
          <w:szCs w:val="15"/>
          <w:color w:val="auto"/>
        </w:rPr>
        <w:t>Net cash used in investing activities was $0.1 million for the six months ended June 30, 2019, which consisted of property and equipment purchases and tenant improvements to our leased laboratory and administrative offices.</w:t>
      </w:r>
    </w:p>
    <w:p>
      <w:pPr>
        <w:spacing w:after="0" w:line="132" w:lineRule="exact"/>
        <w:rPr>
          <w:sz w:val="20"/>
          <w:szCs w:val="20"/>
          <w:color w:val="auto"/>
        </w:rPr>
      </w:pPr>
    </w:p>
    <w:p>
      <w:pPr>
        <w:ind w:left="920" w:right="200" w:firstLine="753"/>
        <w:spacing w:after="0" w:line="293" w:lineRule="auto"/>
        <w:rPr>
          <w:sz w:val="20"/>
          <w:szCs w:val="20"/>
          <w:color w:val="auto"/>
        </w:rPr>
      </w:pPr>
      <w:r>
        <w:rPr>
          <w:rFonts w:ascii="Times New Roman" w:cs="Times New Roman" w:eastAsia="Times New Roman" w:hAnsi="Times New Roman"/>
          <w:sz w:val="15"/>
          <w:szCs w:val="15"/>
          <w:color w:val="auto"/>
        </w:rPr>
        <w:t>Net cash used in investing activities was $0.4 million for the six months ended June 30, 2020, which consisted of property and equipment purchases and tenant improvements to our new leased laboratory and administrative offices.</w:t>
      </w:r>
    </w:p>
    <w:p>
      <w:pPr>
        <w:spacing w:after="0" w:line="1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Net Cash Provided by Financing Activities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Net cash provided by financing activities was $3.6 million for the year ended December 31, 2018 due to our issuance of Series A preferred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stock.</w:t>
      </w:r>
    </w:p>
    <w:p>
      <w:pPr>
        <w:spacing w:after="0" w:line="182"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32" w:lineRule="exact"/>
        <w:rPr>
          <w:sz w:val="20"/>
          <w:szCs w:val="20"/>
          <w:color w:val="auto"/>
        </w:rPr>
      </w:pPr>
    </w:p>
    <w:p>
      <w:pPr>
        <w:ind w:left="920" w:right="500" w:firstLine="753"/>
        <w:spacing w:after="0" w:line="293" w:lineRule="auto"/>
        <w:rPr>
          <w:sz w:val="20"/>
          <w:szCs w:val="20"/>
          <w:color w:val="auto"/>
        </w:rPr>
      </w:pPr>
      <w:r>
        <w:rPr>
          <w:rFonts w:ascii="Times New Roman" w:cs="Times New Roman" w:eastAsia="Times New Roman" w:hAnsi="Times New Roman"/>
          <w:sz w:val="15"/>
          <w:szCs w:val="15"/>
          <w:color w:val="auto"/>
        </w:rPr>
        <w:t>Net cash provided by financing activities was $0.5 million for the six months ended June 30, 2019 due to our issuance of convertible promissory notes for proceeds of $0.5 million.</w:t>
      </w:r>
    </w:p>
    <w:p>
      <w:pPr>
        <w:spacing w:after="0" w:line="132" w:lineRule="exact"/>
        <w:rPr>
          <w:sz w:val="20"/>
          <w:szCs w:val="20"/>
          <w:color w:val="auto"/>
        </w:rPr>
      </w:pPr>
    </w:p>
    <w:p>
      <w:pPr>
        <w:ind w:left="920" w:right="180" w:firstLine="753"/>
        <w:spacing w:after="0" w:line="293" w:lineRule="auto"/>
        <w:rPr>
          <w:sz w:val="20"/>
          <w:szCs w:val="20"/>
          <w:color w:val="auto"/>
        </w:rPr>
      </w:pPr>
      <w:r>
        <w:rPr>
          <w:rFonts w:ascii="Times New Roman" w:cs="Times New Roman" w:eastAsia="Times New Roman" w:hAnsi="Times New Roman"/>
          <w:sz w:val="15"/>
          <w:szCs w:val="15"/>
          <w:color w:val="auto"/>
        </w:rPr>
        <w:t>Net cash provided by financing activities was $0.1 million for the six months ended June 30, 2020 due to proceeds from the early exercise of stock options of $0.1 million.</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our contractual obligations as of December 31, 2019:</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8"/>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30"/>
              <w:spacing w:after="0" w:line="97" w:lineRule="exact"/>
              <w:rPr>
                <w:sz w:val="20"/>
                <w:szCs w:val="20"/>
                <w:color w:val="auto"/>
              </w:rPr>
            </w:pPr>
            <w:r>
              <w:rPr>
                <w:rFonts w:ascii="Times New Roman" w:cs="Times New Roman" w:eastAsia="Times New Roman" w:hAnsi="Times New Roman"/>
                <w:sz w:val="11"/>
                <w:szCs w:val="11"/>
                <w:b w:val="1"/>
                <w:bCs w:val="1"/>
                <w:color w:val="auto"/>
              </w:rPr>
              <w:t>Less</w:t>
            </w:r>
          </w:p>
        </w:tc>
        <w:tc>
          <w:tcPr>
            <w:tcW w:w="220" w:type="dxa"/>
            <w:vAlign w:val="bottom"/>
          </w:tcPr>
          <w:p>
            <w:pPr>
              <w:spacing w:after="0"/>
              <w:rPr>
                <w:sz w:val="8"/>
                <w:szCs w:val="8"/>
                <w:color w:val="auto"/>
              </w:rPr>
            </w:pPr>
          </w:p>
        </w:tc>
        <w:tc>
          <w:tcPr>
            <w:tcW w:w="440" w:type="dxa"/>
            <w:vAlign w:val="bottom"/>
            <w:gridSpan w:val="2"/>
            <w:vMerge w:val="restart"/>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1 to 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3 to 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center"/>
              <w:ind w:right="30"/>
              <w:spacing w:after="0" w:line="97" w:lineRule="exact"/>
              <w:rPr>
                <w:sz w:val="20"/>
                <w:szCs w:val="20"/>
                <w:color w:val="auto"/>
              </w:rPr>
            </w:pPr>
            <w:r>
              <w:rPr>
                <w:rFonts w:ascii="Times New Roman" w:cs="Times New Roman" w:eastAsia="Times New Roman" w:hAnsi="Times New Roman"/>
                <w:sz w:val="11"/>
                <w:szCs w:val="11"/>
                <w:b w:val="1"/>
                <w:bCs w:val="1"/>
                <w:color w:val="auto"/>
              </w:rPr>
              <w:t>More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30"/>
              <w:spacing w:after="0" w:line="127" w:lineRule="exact"/>
              <w:rPr>
                <w:sz w:val="20"/>
                <w:szCs w:val="20"/>
                <w:color w:val="auto"/>
              </w:rPr>
            </w:pPr>
            <w:r>
              <w:rPr>
                <w:rFonts w:ascii="Times New Roman" w:cs="Times New Roman" w:eastAsia="Times New Roman" w:hAnsi="Times New Roman"/>
                <w:sz w:val="12"/>
                <w:szCs w:val="12"/>
                <w:b w:val="1"/>
                <w:bCs w:val="1"/>
                <w:color w:val="auto"/>
              </w:rPr>
              <w:t>than</w:t>
            </w:r>
          </w:p>
        </w:tc>
        <w:tc>
          <w:tcPr>
            <w:tcW w:w="2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30"/>
              <w:spacing w:after="0" w:line="127" w:lineRule="exact"/>
              <w:rPr>
                <w:sz w:val="20"/>
                <w:szCs w:val="20"/>
                <w:color w:val="auto"/>
              </w:rPr>
            </w:pPr>
            <w:r>
              <w:rPr>
                <w:rFonts w:ascii="Times New Roman" w:cs="Times New Roman" w:eastAsia="Times New Roman" w:hAnsi="Times New Roman"/>
                <w:sz w:val="12"/>
                <w:szCs w:val="12"/>
                <w:b w:val="1"/>
                <w:bCs w:val="1"/>
                <w:color w:val="auto"/>
                <w:w w:val="94"/>
              </w:rPr>
              <w:t>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220" w:type="dxa"/>
            <w:vAlign w:val="bottom"/>
          </w:tcPr>
          <w:p>
            <w:pPr>
              <w:spacing w:after="0"/>
              <w:rPr>
                <w:sz w:val="12"/>
                <w:szCs w:val="12"/>
                <w:color w:val="auto"/>
              </w:rPr>
            </w:pPr>
          </w:p>
        </w:tc>
        <w:tc>
          <w:tcPr>
            <w:tcW w:w="440" w:type="dxa"/>
            <w:vAlign w:val="bottom"/>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20" w:type="dxa"/>
            <w:vAlign w:val="bottom"/>
          </w:tcPr>
          <w:p>
            <w:pPr>
              <w:spacing w:after="0"/>
              <w:rPr>
                <w:sz w:val="12"/>
                <w:szCs w:val="12"/>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ind w:left="200"/>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Operating lease obligations </w:t>
            </w:r>
            <w:r>
              <w:rPr>
                <w:rFonts w:ascii="Times New Roman" w:cs="Times New Roman" w:eastAsia="Times New Roman" w:hAnsi="Times New Roman"/>
                <w:sz w:val="13"/>
                <w:szCs w:val="13"/>
                <w:color w:val="auto"/>
              </w:rPr>
              <w:t>(1)</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Contingent milestone obligations </w:t>
            </w:r>
            <w:r>
              <w:rPr>
                <w:rFonts w:ascii="Times New Roman" w:cs="Times New Roman" w:eastAsia="Times New Roman" w:hAnsi="Times New Roman"/>
                <w:sz w:val="13"/>
                <w:szCs w:val="13"/>
                <w:color w:val="auto"/>
              </w:rPr>
              <w:t>(2)</w:t>
            </w:r>
          </w:p>
        </w:tc>
        <w:tc>
          <w:tcPr>
            <w:tcW w:w="19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6"/>
              </w:rPr>
              <w:t>11,000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66,000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6"/>
              </w:rPr>
              <w:t>11,000</w:t>
            </w:r>
          </w:p>
        </w:tc>
        <w:tc>
          <w:tcPr>
            <w:tcW w:w="2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66,000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80645</wp:posOffset>
            </wp:positionV>
            <wp:extent cx="6515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33" w:lineRule="exact"/>
        <w:rPr>
          <w:sz w:val="20"/>
          <w:szCs w:val="20"/>
          <w:color w:val="auto"/>
        </w:rPr>
      </w:pPr>
    </w:p>
    <w:p>
      <w:pPr>
        <w:ind w:left="1280" w:hanging="360"/>
        <w:spacing w:after="0"/>
        <w:tabs>
          <w:tab w:leader="none" w:pos="128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lease obligations are related to the facility lease for our corporate headquarters and research and development facility in Irvine, California, expiring April 30, 2022.</w:t>
      </w:r>
    </w:p>
    <w:p>
      <w:pPr>
        <w:spacing w:after="0" w:line="196" w:lineRule="exact"/>
        <w:rPr>
          <w:rFonts w:ascii="Times New Roman" w:cs="Times New Roman" w:eastAsia="Times New Roman" w:hAnsi="Times New Roman"/>
          <w:sz w:val="12"/>
          <w:szCs w:val="12"/>
          <w:color w:val="auto"/>
        </w:rPr>
      </w:pPr>
    </w:p>
    <w:p>
      <w:pPr>
        <w:ind w:left="1280" w:right="40" w:hanging="360"/>
        <w:spacing w:after="0"/>
        <w:tabs>
          <w:tab w:leader="none" w:pos="128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272"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We enter into contracts in the normal course of business with (i) clinical research organizations and clinical sites, (ii) contract manufacturers for pre-clinical and clinical drug supply, (iii) regulatory consultants and (iv) various other vendors in operating our business. These contracts generally provide for termination provisions with notice, and therefore we believe that our non-cancelable obligations under these agreements were not material as of December 31, 2019.</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-109-</w:t>
      </w:r>
    </w:p>
    <w:p>
      <w:pPr>
        <w:sectPr>
          <w:pgSz w:w="11900" w:h="16838" w:orient="portrait"/>
          <w:cols w:equalWidth="0" w:num="1">
            <w:col w:w="10340"/>
          </w:cols>
          <w:pgMar w:left="320" w:top="410" w:right="1239" w:bottom="1440" w:gutter="0" w:footer="0" w:header="0"/>
        </w:sectPr>
      </w:pPr>
    </w:p>
    <w:bookmarkStart w:id="112" w:name="page113"/>
    <w:bookmarkEnd w:id="1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our contractual obligations as of June 30, 2020: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1"/>
                <w:szCs w:val="11"/>
                <w:b w:val="1"/>
                <w:bCs w:val="1"/>
                <w:color w:val="auto"/>
              </w:rPr>
              <w:t>Less</w:t>
            </w:r>
          </w:p>
        </w:tc>
        <w:tc>
          <w:tcPr>
            <w:tcW w:w="220" w:type="dxa"/>
            <w:vAlign w:val="bottom"/>
          </w:tcPr>
          <w:p>
            <w:pPr>
              <w:spacing w:after="0"/>
              <w:rPr>
                <w:sz w:val="8"/>
                <w:szCs w:val="8"/>
                <w:color w:val="auto"/>
              </w:rPr>
            </w:pPr>
          </w:p>
        </w:tc>
        <w:tc>
          <w:tcPr>
            <w:tcW w:w="4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1 to 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3 to 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ind w:right="49"/>
              <w:spacing w:after="0" w:line="97" w:lineRule="exact"/>
              <w:rPr>
                <w:sz w:val="20"/>
                <w:szCs w:val="20"/>
                <w:color w:val="auto"/>
              </w:rPr>
            </w:pPr>
            <w:r>
              <w:rPr>
                <w:rFonts w:ascii="Times New Roman" w:cs="Times New Roman" w:eastAsia="Times New Roman" w:hAnsi="Times New Roman"/>
                <w:sz w:val="11"/>
                <w:szCs w:val="11"/>
                <w:b w:val="1"/>
                <w:bCs w:val="1"/>
                <w:color w:val="auto"/>
              </w:rPr>
              <w:t>More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ind w:right="29"/>
              <w:spacing w:after="0" w:line="127" w:lineRule="exact"/>
              <w:rPr>
                <w:sz w:val="20"/>
                <w:szCs w:val="20"/>
                <w:color w:val="auto"/>
              </w:rPr>
            </w:pPr>
            <w:r>
              <w:rPr>
                <w:rFonts w:ascii="Times New Roman" w:cs="Times New Roman" w:eastAsia="Times New Roman" w:hAnsi="Times New Roman"/>
                <w:sz w:val="12"/>
                <w:szCs w:val="12"/>
                <w:b w:val="1"/>
                <w:bCs w:val="1"/>
                <w:color w:val="auto"/>
              </w:rPr>
              <w:t>than</w:t>
            </w:r>
          </w:p>
        </w:tc>
        <w:tc>
          <w:tcPr>
            <w:tcW w:w="22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89"/>
              <w:spacing w:after="0" w:line="127" w:lineRule="exact"/>
              <w:rPr>
                <w:sz w:val="20"/>
                <w:szCs w:val="20"/>
                <w:color w:val="auto"/>
              </w:rPr>
            </w:pPr>
            <w:r>
              <w:rPr>
                <w:rFonts w:ascii="Times New Roman" w:cs="Times New Roman" w:eastAsia="Times New Roman" w:hAnsi="Times New Roman"/>
                <w:sz w:val="12"/>
                <w:szCs w:val="12"/>
                <w:b w:val="1"/>
                <w:bCs w:val="1"/>
                <w:color w:val="auto"/>
              </w:rPr>
              <w:t>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220" w:type="dxa"/>
            <w:vAlign w:val="bottom"/>
          </w:tcPr>
          <w:p>
            <w:pPr>
              <w:spacing w:after="0"/>
              <w:rPr>
                <w:sz w:val="12"/>
                <w:szCs w:val="12"/>
                <w:color w:val="auto"/>
              </w:rPr>
            </w:pPr>
          </w:p>
        </w:tc>
        <w:tc>
          <w:tcPr>
            <w:tcW w:w="4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w:t>
            </w:r>
          </w:p>
        </w:tc>
        <w:tc>
          <w:tcPr>
            <w:tcW w:w="20" w:type="dxa"/>
            <w:vAlign w:val="bottom"/>
          </w:tcPr>
          <w:p>
            <w:pPr>
              <w:spacing w:after="0"/>
              <w:rPr>
                <w:sz w:val="12"/>
                <w:szCs w:val="12"/>
                <w:color w:val="auto"/>
              </w:rPr>
            </w:pPr>
          </w:p>
        </w:tc>
        <w:tc>
          <w:tcPr>
            <w:tcW w:w="520" w:type="dxa"/>
            <w:vAlign w:val="bottom"/>
            <w:gridSpan w:val="2"/>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ind w:left="200"/>
              <w:spacing w:after="0" w:line="11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Operating lease obligations </w:t>
            </w:r>
            <w:r>
              <w:rPr>
                <w:rFonts w:ascii="Times New Roman" w:cs="Times New Roman" w:eastAsia="Times New Roman" w:hAnsi="Times New Roman"/>
                <w:sz w:val="13"/>
                <w:szCs w:val="13"/>
                <w:color w:val="auto"/>
              </w:rPr>
              <w:t>(1)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2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Contingent milestone obligations </w:t>
            </w:r>
            <w:r>
              <w:rPr>
                <w:rFonts w:ascii="Times New Roman" w:cs="Times New Roman" w:eastAsia="Times New Roman" w:hAnsi="Times New Roman"/>
                <w:sz w:val="13"/>
                <w:szCs w:val="13"/>
                <w:color w:val="auto"/>
              </w:rPr>
              <w:t>(2)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11,000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66,000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Purchase obligations </w:t>
            </w: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6,623</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11,221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66,000</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87,156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80645</wp:posOffset>
            </wp:positionV>
            <wp:extent cx="6515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33" w:lineRule="exact"/>
        <w:rPr>
          <w:sz w:val="20"/>
          <w:szCs w:val="20"/>
          <w:color w:val="auto"/>
        </w:rPr>
      </w:pPr>
    </w:p>
    <w:p>
      <w:pPr>
        <w:ind w:left="1280" w:right="140" w:hanging="360"/>
        <w:spacing w:after="0" w:line="257" w:lineRule="auto"/>
        <w:tabs>
          <w:tab w:leader="none" w:pos="12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operating lease obligations are related to the facility lease for our corporate headquarters and research and development facility in Irvine, California, expiring April 30, 2022 and January 31, 2024.</w:t>
      </w:r>
    </w:p>
    <w:p>
      <w:pPr>
        <w:spacing w:after="0" w:line="165" w:lineRule="exact"/>
        <w:rPr>
          <w:rFonts w:ascii="Times New Roman" w:cs="Times New Roman" w:eastAsia="Times New Roman" w:hAnsi="Times New Roman"/>
          <w:sz w:val="12"/>
          <w:szCs w:val="12"/>
          <w:color w:val="auto"/>
        </w:rPr>
      </w:pPr>
    </w:p>
    <w:p>
      <w:pPr>
        <w:ind w:left="1280" w:right="40" w:hanging="360"/>
        <w:spacing w:after="0"/>
        <w:tabs>
          <w:tab w:leader="none" w:pos="12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289" w:lineRule="exact"/>
        <w:rPr>
          <w:rFonts w:ascii="Times New Roman" w:cs="Times New Roman" w:eastAsia="Times New Roman" w:hAnsi="Times New Roman"/>
          <w:sz w:val="12"/>
          <w:szCs w:val="12"/>
          <w:color w:val="auto"/>
        </w:rPr>
      </w:pPr>
    </w:p>
    <w:p>
      <w:pPr>
        <w:ind w:left="1280" w:right="160" w:hanging="360"/>
        <w:spacing w:after="0" w:line="234" w:lineRule="auto"/>
        <w:tabs>
          <w:tab w:leader="none" w:pos="12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obligations represent the amount of open purchase orders and contractual commitments to vendors for products and services that have not been delivered or rendered, as of June 30, 2020. We enter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notice. The values in each column represent the obligations that are non-cancelable as of June 30, 2020.</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Critical Accounting Policies, Significant Judgments and Use of Estimates</w:t>
      </w:r>
    </w:p>
    <w:p>
      <w:pPr>
        <w:spacing w:after="0" w:line="200"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5"/>
          <w:szCs w:val="15"/>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58" w:lineRule="exact"/>
        <w:rPr>
          <w:sz w:val="20"/>
          <w:szCs w:val="20"/>
          <w:color w:val="auto"/>
        </w:rPr>
      </w:pPr>
    </w:p>
    <w:p>
      <w:pPr>
        <w:ind w:left="920" w:right="200" w:firstLine="753"/>
        <w:spacing w:after="0" w:line="293" w:lineRule="auto"/>
        <w:rPr>
          <w:sz w:val="20"/>
          <w:szCs w:val="20"/>
          <w:color w:val="auto"/>
        </w:rPr>
      </w:pPr>
      <w:r>
        <w:rPr>
          <w:rFonts w:ascii="Times New Roman" w:cs="Times New Roman" w:eastAsia="Times New Roman" w:hAnsi="Times New Roman"/>
          <w:sz w:val="15"/>
          <w:szCs w:val="15"/>
          <w:color w:val="auto"/>
        </w:rPr>
        <w:t>While our significant accounting policies are described in the notes to our financial statements also included in this registration statement, we believe these critical accounting policies are the most important to understanding and evaluating our reported financial results.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52"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-110-</w:t>
      </w:r>
    </w:p>
    <w:p>
      <w:pPr>
        <w:sectPr>
          <w:pgSz w:w="11900" w:h="16838" w:orient="portrait"/>
          <w:cols w:equalWidth="0" w:num="1">
            <w:col w:w="10340"/>
          </w:cols>
          <w:pgMar w:left="320" w:top="410" w:right="123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We measure and recognize compensation expense for all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145"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The determination of the grant date fair value of options using an option pricing model is affected principally by our estimated fair value of shares of our common stock and requires management to make a number of other assumptions, including the (a) the fair value of Tarsus common stock on the date of the option grant, (b) the expected term of the stock option until its exercise by the recipient, (c) our stock price volatility over the expected term, (d) the prevailing risk-free interest rate over the expected term, and (e) our expected dividend payments over the expected term.</w:t>
      </w:r>
    </w:p>
    <w:p>
      <w:pPr>
        <w:spacing w:after="0" w:line="152" w:lineRule="exact"/>
        <w:rPr>
          <w:sz w:val="20"/>
          <w:szCs w:val="20"/>
          <w:color w:val="auto"/>
        </w:rPr>
      </w:pPr>
    </w:p>
    <w:p>
      <w:pPr>
        <w:jc w:val="both"/>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The assumptions used in our Black-Scholes option-pricing model represent management’s best estimates at the time of measurement. These estimates are complex and involve several variables, uncertainties, and assumptions and the application of management’s judgment. If any assumptions change, our stock-based compensation expense could be materially different in the future.</w:t>
      </w:r>
    </w:p>
    <w:p>
      <w:pPr>
        <w:spacing w:after="0" w:line="145"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Subsequent to June 30, 2020, we granted options to purchase an aggregate of 737,517 shares of common stock to certain employees, consultants, and board members that have a weighted-average exercise price of $7.08 per share. We expect to record aggregate stock-based compensation of approximately $7.9 million related to these unvested stock options. This amount represents the combined July 13, 2020 and September 25, 2020 grant date fair value of the common stock underlying these options which are expected to be calculated using the price per share of our Series C preferred stock issued in September 2020 at $14.0003 per share in the Black-Scholes model as the fair value input. This expense will be recorded over a weighted-average period of 3.2 years beginning with our financial statements for the three and nine months ended September 30, 2020.</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Fair Value of Common Stock</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 xml:space="preserve">We are required to periodically estimate the fair value of our common stock in order properly apply the Black-Scholes option pricing model to value our issued stock options to employees, board members, and consultants. The fair value of our common stock is the most subjective input into this option pricing model. The fair value of our common stock underlying our stock-based awards at the time of issuance was derived with the assistance of an independent and qualified valuation expert. All options to purchase shares of our common stock are intended to be granted with an exercise price per share no less than the fair value per share of our common stock on the date of grant, based on the information known to us on the date of grant. In the absence of a public trading market for our common stock, the estimated fair value of our common stock has been determined by our board of directors, with input from management, taking into consideration our most recently available third-party valuations of our common stock at the time of the grants, as well as our board of directors’ assessment of additional objective and subjective factors that it believed were relevant and which may have changed from the date of the most recent valuation report through the date of the grant. Third-party valuations, or valuation reports, were performed in accordance with the guidance outlined in the American Institute of Certified Public Accountants’ </w:t>
      </w:r>
      <w:r>
        <w:rPr>
          <w:rFonts w:ascii="Times New Roman" w:cs="Times New Roman" w:eastAsia="Times New Roman" w:hAnsi="Times New Roman"/>
          <w:sz w:val="15"/>
          <w:szCs w:val="15"/>
          <w:i w:val="1"/>
          <w:iCs w:val="1"/>
          <w:color w:val="auto"/>
        </w:rPr>
        <w:t>Accounting and Valuation Guide, Valuation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Privately-Held-Company Equity Securities Issued as Compensation, or the Practice Aid</w:t>
      </w:r>
      <w:r>
        <w:rPr>
          <w:rFonts w:ascii="Times New Roman" w:cs="Times New Roman" w:eastAsia="Times New Roman" w:hAnsi="Times New Roman"/>
          <w:sz w:val="15"/>
          <w:szCs w:val="15"/>
          <w:color w:val="auto"/>
        </w:rPr>
        <w:t>.</w:t>
      </w:r>
    </w:p>
    <w:p>
      <w:pPr>
        <w:spacing w:after="0" w:line="1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-111-</w:t>
      </w:r>
    </w:p>
    <w:p>
      <w:pPr>
        <w:sectPr>
          <w:pgSz w:w="11900" w:h="16838" w:orient="portrait"/>
          <w:cols w:equalWidth="0" w:num="1">
            <w:col w:w="10320"/>
          </w:cols>
          <w:pgMar w:left="320" w:top="410" w:right="1259" w:bottom="1440" w:gutter="0" w:footer="0" w:header="0"/>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0" w:firstLine="753"/>
        <w:spacing w:after="0" w:line="293" w:lineRule="auto"/>
        <w:rPr>
          <w:sz w:val="20"/>
          <w:szCs w:val="20"/>
          <w:color w:val="auto"/>
        </w:rPr>
      </w:pPr>
      <w:r>
        <w:rPr>
          <w:rFonts w:ascii="Times New Roman" w:cs="Times New Roman" w:eastAsia="Times New Roman" w:hAnsi="Times New Roman"/>
          <w:sz w:val="15"/>
          <w:szCs w:val="15"/>
          <w:color w:val="auto"/>
        </w:rPr>
        <w:t>In addition to contemporaneous or most recently available third-party valuation reports, our board of directors also considered various objective and subjective factors, along with input from management, to determine the fair value of our common stock, including:</w:t>
      </w:r>
    </w:p>
    <w:p>
      <w:pPr>
        <w:spacing w:after="0" w:line="155" w:lineRule="exact"/>
        <w:rPr>
          <w:sz w:val="20"/>
          <w:szCs w:val="20"/>
          <w:color w:val="auto"/>
        </w:rPr>
      </w:pPr>
    </w:p>
    <w:p>
      <w:pPr>
        <w:ind w:left="2040" w:right="200" w:hanging="278"/>
        <w:spacing w:after="0" w:line="275" w:lineRule="auto"/>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our Series A preferred stock, Series B preferred stock and Series C preferred stock sold to investors in arm’s length transactions and the rights, preferences and privileges of such preferred stock as compared to those of our common stock, including the liquidation preferences of such preferred stock;</w:t>
      </w:r>
    </w:p>
    <w:p>
      <w:pPr>
        <w:spacing w:after="0" w:line="167" w:lineRule="exact"/>
        <w:rPr>
          <w:rFonts w:ascii="Times New Roman" w:cs="Times New Roman" w:eastAsia="Times New Roman" w:hAnsi="Times New Roman"/>
          <w:sz w:val="15"/>
          <w:szCs w:val="15"/>
          <w:color w:val="auto"/>
        </w:rPr>
      </w:pPr>
    </w:p>
    <w:p>
      <w:pPr>
        <w:ind w:left="2040" w:right="680" w:hanging="278"/>
        <w:spacing w:after="0" w:line="293" w:lineRule="auto"/>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results of operations, financial position and the status of research and development and clinical development efforts and achievement of enterprise milestones;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composition of, and changes to, our management team and board of directors;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liquidity of our common stock as a private company;</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stage of development, business strategy and the material risks related to our business and industry;</w:t>
      </w:r>
    </w:p>
    <w:p>
      <w:pPr>
        <w:spacing w:after="0" w:line="219" w:lineRule="exact"/>
        <w:rPr>
          <w:rFonts w:ascii="Times New Roman" w:cs="Times New Roman" w:eastAsia="Times New Roman" w:hAnsi="Times New Roman"/>
          <w:sz w:val="15"/>
          <w:szCs w:val="15"/>
          <w:color w:val="auto"/>
        </w:rPr>
      </w:pPr>
    </w:p>
    <w:p>
      <w:pPr>
        <w:ind w:left="2040" w:right="140" w:hanging="278"/>
        <w:spacing w:after="0" w:line="293" w:lineRule="auto"/>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of publicly-traded companies in the life sciences and biotechnology sectors, as well as recently completed mergers and acquisitions of peer companies;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external market conditions affecting the life sciences and biotechnology industry sectors;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likelihood of achieving a liquidity event for the holders of our common stock, such as an initial public offering, or IPO, or a sale of our company, given prevailing market conditions;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state of the IPO market for similarly situated privately held biotechnology companies.</w:t>
      </w:r>
    </w:p>
    <w:p>
      <w:pPr>
        <w:spacing w:after="0" w:line="196" w:lineRule="exact"/>
        <w:rPr>
          <w:sz w:val="20"/>
          <w:szCs w:val="20"/>
          <w:color w:val="auto"/>
        </w:rPr>
      </w:pPr>
    </w:p>
    <w:p>
      <w:pPr>
        <w:ind w:left="920" w:right="160" w:firstLine="753"/>
        <w:spacing w:after="0" w:line="293" w:lineRule="auto"/>
        <w:rPr>
          <w:sz w:val="20"/>
          <w:szCs w:val="20"/>
          <w:color w:val="auto"/>
        </w:rPr>
      </w:pPr>
      <w:r>
        <w:rPr>
          <w:rFonts w:ascii="Times New Roman" w:cs="Times New Roman" w:eastAsia="Times New Roman" w:hAnsi="Times New Roman"/>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55" w:lineRule="exact"/>
        <w:rPr>
          <w:sz w:val="20"/>
          <w:szCs w:val="20"/>
          <w:color w:val="auto"/>
        </w:rPr>
      </w:pPr>
    </w:p>
    <w:p>
      <w:pPr>
        <w:ind w:left="2040" w:hanging="278"/>
        <w:spacing w:after="0" w:line="259" w:lineRule="auto"/>
        <w:tabs>
          <w:tab w:leader="none" w:pos="20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Hybrid Option Pricing Method. The hybrid option pricing method (“HOPM”) is a hybrid between the PWERM (as defined below) and the option pricing model, estimating the probability-weighted value across multiple scenarios but using the option pricing model to estimate the allocation of value within one or more of those scenarios. Under the HOPM, shares are valued by taking into account the preferred stockholders’ liquidation preferences, participation rights, dividend policy, and conversion rights to determine how proceeds from a liquidity event shall be distributed among the various ownership classes at a future date and also applies the PWERM. The HOPM considers the current value of equity and then allocates that equity value to the various interests considering their rights and preferences. The HOPM treats common stock and preferred stock as call options on the portfolio company’s equity value, with exercise prices based on the liquidation preferences of the preferred stock. Under this method, the common stock has value only if the funds available for distribution to shareholders exceed the value of the liquidation preferences at the time of a liquidity event (for example, a merger or sale), assuming the portfolio company has funds available to make a liquidation preference meaningful and collectible by the shareholders. The common stock is modeled as a call option that gives its owner the right, but not the obligation, to buy the underlying equity value at a predetermined or exercise price. In the model, the exercise price is based on a comparison with the equity value rather than, as in the case of a “regular” call option, a comparison with a per-share stock price. Thus, common stock is considered to be a call option with a claim on the equity at an exercise price equal to the remaining value immediately after the preferred stock is liquidated. The option pricing model has commonly used the Black-Scholes model to price the call option.</w:t>
      </w:r>
    </w:p>
    <w:p>
      <w:pPr>
        <w:spacing w:after="0" w:line="101" w:lineRule="exact"/>
        <w:rPr>
          <w:rFonts w:ascii="Times New Roman" w:cs="Times New Roman" w:eastAsia="Times New Roman" w:hAnsi="Times New Roman"/>
          <w:sz w:val="15"/>
          <w:szCs w:val="15"/>
          <w:color w:val="auto"/>
        </w:rPr>
      </w:pPr>
    </w:p>
    <w:p>
      <w:pPr>
        <w:ind w:left="5520" w:hanging="98"/>
        <w:spacing w:after="0"/>
        <w:tabs>
          <w:tab w:leader="none" w:pos="5520"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112 -</w:t>
      </w:r>
    </w:p>
    <w:p>
      <w:pPr>
        <w:sectPr>
          <w:pgSz w:w="11900" w:h="16838" w:orient="portrait"/>
          <w:cols w:equalWidth="0" w:num="1">
            <w:col w:w="10320"/>
          </w:cols>
          <w:pgMar w:left="320" w:top="410" w:right="125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200" w:hanging="278"/>
        <w:spacing w:after="0" w:line="275" w:lineRule="auto"/>
        <w:tabs>
          <w:tab w:leader="none" w:pos="20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45"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Based on our early stage of development and other relevant factors, we determined that an HOPM was the most appropriate method for allocating our enterprise value to determine the estimated fair value of our common stock for the valuation performed on May 31, 2018. For the valuation performed after this date which valued our common stock as of March 19, 2020, we also used an HOPM method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53" w:lineRule="exact"/>
        <w:rPr>
          <w:sz w:val="20"/>
          <w:szCs w:val="20"/>
          <w:color w:val="auto"/>
        </w:rPr>
      </w:pPr>
    </w:p>
    <w:p>
      <w:pPr>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45" w:lineRule="exact"/>
        <w:rPr>
          <w:sz w:val="20"/>
          <w:szCs w:val="20"/>
          <w:color w:val="auto"/>
        </w:rPr>
      </w:pPr>
    </w:p>
    <w:p>
      <w:pPr>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daily quoted market price of our common stock.</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200" w:lineRule="exact"/>
        <w:rPr>
          <w:sz w:val="20"/>
          <w:szCs w:val="20"/>
          <w:color w:val="auto"/>
        </w:rPr>
      </w:pPr>
    </w:p>
    <w:p>
      <w:pPr>
        <w:ind w:left="920" w:right="80" w:firstLine="753"/>
        <w:spacing w:after="0" w:line="293" w:lineRule="auto"/>
        <w:rPr>
          <w:sz w:val="20"/>
          <w:szCs w:val="20"/>
          <w:color w:val="auto"/>
        </w:rPr>
      </w:pPr>
      <w:r>
        <w:rPr>
          <w:rFonts w:ascii="Times New Roman" w:cs="Times New Roman" w:eastAsia="Times New Roman" w:hAnsi="Times New Roman"/>
          <w:sz w:val="15"/>
          <w:szCs w:val="15"/>
          <w:color w:val="auto"/>
        </w:rPr>
        <w:t>A description of recent accounting pronouncements that may potentially impact our financial position, results of operations or cash flows is disclosed in the notes to which they relate within our financial statements also included in this registration statement.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Since our inception, we have not engaged in any off-balance sheet arrangements, as defined in the rules and regulations of the SEC.</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Indemnification Agreements</w:t>
      </w:r>
    </w:p>
    <w:p>
      <w:pPr>
        <w:spacing w:after="0" w:line="200"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2019 or June 30, 2020.</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JOBS Act Accounting Election</w:t>
      </w:r>
    </w:p>
    <w:p>
      <w:pPr>
        <w:spacing w:after="0" w:line="200"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45" w:lineRule="exact"/>
        <w:rPr>
          <w:sz w:val="20"/>
          <w:szCs w:val="20"/>
          <w:color w:val="auto"/>
        </w:rPr>
      </w:pPr>
    </w:p>
    <w:p>
      <w:pPr>
        <w:ind w:left="920" w:right="20" w:firstLine="753"/>
        <w:spacing w:after="0" w:line="293" w:lineRule="auto"/>
        <w:rPr>
          <w:sz w:val="20"/>
          <w:szCs w:val="20"/>
          <w:color w:val="auto"/>
        </w:rPr>
      </w:pPr>
      <w:r>
        <w:rPr>
          <w:rFonts w:ascii="Times New Roman" w:cs="Times New Roman" w:eastAsia="Times New Roman" w:hAnsi="Times New Roman"/>
          <w:sz w:val="15"/>
          <w:szCs w:val="15"/>
          <w:color w:val="auto"/>
        </w:rPr>
        <w:t>We will remain an emerging growth company until the earliest of (1) the last day of our first fiscal year (a) following the fifth anniversary of the completion of this offering, (b) in which we have total annual gross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-113-</w:t>
      </w:r>
    </w:p>
    <w:p>
      <w:pPr>
        <w:sectPr>
          <w:pgSz w:w="11900" w:h="16838" w:orient="portrait"/>
          <w:cols w:equalWidth="0" w:num="1">
            <w:col w:w="10320"/>
          </w:cols>
          <w:pgMar w:left="320" w:top="410" w:right="125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both"/>
        <w:ind w:left="920" w:right="20"/>
        <w:spacing w:after="0" w:line="275" w:lineRule="auto"/>
        <w:rPr>
          <w:sz w:val="20"/>
          <w:szCs w:val="20"/>
          <w:color w:val="auto"/>
        </w:rPr>
      </w:pPr>
      <w:r>
        <w:rPr>
          <w:rFonts w:ascii="Times New Roman" w:cs="Times New Roman" w:eastAsia="Times New Roman" w:hAnsi="Times New Roman"/>
          <w:sz w:val="15"/>
          <w:szCs w:val="15"/>
          <w:color w:val="auto"/>
        </w:rPr>
        <w:t>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The market risk inherent in our financial instruments and in our financial position represents the potential loss arising from adverse changes in interest rates. As of June 30, 2020, we had cash and cash equivalents of $53.1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54" w:lineRule="exact"/>
        <w:rPr>
          <w:sz w:val="20"/>
          <w:szCs w:val="20"/>
          <w:color w:val="auto"/>
        </w:rPr>
      </w:pPr>
    </w:p>
    <w:p>
      <w:pPr>
        <w:ind w:left="920" w:right="20" w:firstLine="753"/>
        <w:spacing w:after="0" w:line="293" w:lineRule="auto"/>
        <w:rPr>
          <w:sz w:val="20"/>
          <w:szCs w:val="20"/>
          <w:color w:val="auto"/>
        </w:rPr>
      </w:pPr>
      <w:r>
        <w:rPr>
          <w:rFonts w:ascii="Times New Roman" w:cs="Times New Roman" w:eastAsia="Times New Roman" w:hAnsi="Times New Roman"/>
          <w:sz w:val="15"/>
          <w:szCs w:val="15"/>
          <w:color w:val="auto"/>
        </w:rPr>
        <w:t>We do not believe that inflation, interest rate changes, or exchange rate fluctuations had a significant impact on our results of operations for any periods presented herein.</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-114-</w:t>
      </w:r>
    </w:p>
    <w:p>
      <w:pPr>
        <w:sectPr>
          <w:pgSz w:w="11900" w:h="16838" w:orient="portrait"/>
          <w:cols w:equalWidth="0" w:num="1">
            <w:col w:w="10260"/>
          </w:cols>
          <w:pgMar w:left="320" w:top="410" w:right="131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0" w:lineRule="exact"/>
        <w:rPr>
          <w:sz w:val="20"/>
          <w:szCs w:val="20"/>
          <w:color w:val="auto"/>
        </w:rPr>
      </w:pPr>
    </w:p>
    <w:p>
      <w:pPr>
        <w:ind w:left="920" w:firstLine="753"/>
        <w:spacing w:after="0" w:line="258" w:lineRule="auto"/>
        <w:rPr>
          <w:sz w:val="20"/>
          <w:szCs w:val="20"/>
          <w:color w:val="auto"/>
        </w:rPr>
      </w:pPr>
      <w:r>
        <w:rPr>
          <w:rFonts w:ascii="Times New Roman" w:cs="Times New Roman" w:eastAsia="Times New Roman" w:hAnsi="Times New Roman"/>
          <w:sz w:val="15"/>
          <w:szCs w:val="15"/>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showed statistically significant cure and eradication rates,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68" w:lineRule="exact"/>
        <w:rPr>
          <w:sz w:val="20"/>
          <w:szCs w:val="20"/>
          <w:color w:val="auto"/>
        </w:rPr>
      </w:pPr>
    </w:p>
    <w:p>
      <w:pPr>
        <w:ind w:left="920" w:right="160" w:firstLine="753"/>
        <w:spacing w:after="0" w:line="268" w:lineRule="auto"/>
        <w:rPr>
          <w:sz w:val="20"/>
          <w:szCs w:val="20"/>
          <w:color w:val="auto"/>
        </w:rPr>
      </w:pPr>
      <w:r>
        <w:rPr>
          <w:rFonts w:ascii="Times New Roman" w:cs="Times New Roman" w:eastAsia="Times New Roman" w:hAnsi="Times New Roman"/>
          <w:sz w:val="15"/>
          <w:szCs w:val="15"/>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pipeline chart presents our wholly-owned product candidates and clinical development status:</w:t>
      </w:r>
    </w:p>
    <w:p>
      <w:pPr>
        <w:spacing w:after="0" w:line="1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29125" cy="16395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29125" cy="163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hanging="360"/>
        <w:spacing w:after="0"/>
        <w:tabs>
          <w:tab w:leader="none" w:pos="128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Anticipated milestones are subject to the impact of the ongoing COVID-19 pandemic on our business and those of our partners.</w:t>
      </w:r>
    </w:p>
    <w:p>
      <w:pPr>
        <w:spacing w:after="0" w:line="120" w:lineRule="exact"/>
        <w:rPr>
          <w:rFonts w:ascii="Times New Roman" w:cs="Times New Roman" w:eastAsia="Times New Roman" w:hAnsi="Times New Roman"/>
          <w:sz w:val="12"/>
          <w:szCs w:val="12"/>
          <w:color w:val="auto"/>
        </w:rPr>
      </w:pPr>
    </w:p>
    <w:p>
      <w:pPr>
        <w:ind w:left="5520" w:hanging="98"/>
        <w:spacing w:after="0"/>
        <w:tabs>
          <w:tab w:leader="none" w:pos="55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115 -</w:t>
      </w:r>
    </w:p>
    <w:p>
      <w:pPr>
        <w:sectPr>
          <w:pgSz w:w="11900" w:h="16838" w:orient="portrait"/>
          <w:cols w:equalWidth="0" w:num="1">
            <w:col w:w="10320"/>
          </w:cols>
          <w:pgMar w:left="320" w:top="410" w:right="125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4" w:lineRule="exact"/>
        <w:rPr>
          <w:sz w:val="20"/>
          <w:szCs w:val="20"/>
          <w:color w:val="auto"/>
        </w:rPr>
      </w:pPr>
    </w:p>
    <w:p>
      <w:pPr>
        <w:ind w:left="1280" w:right="200" w:hanging="360"/>
        <w:spacing w:after="0" w:line="232" w:lineRule="auto"/>
        <w:tabs>
          <w:tab w:leader="none" w:pos="128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1280" w:right="100" w:hanging="360"/>
        <w:spacing w:after="0" w:line="220" w:lineRule="auto"/>
        <w:tabs>
          <w:tab w:leader="none" w:pos="12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We intend to leverage all preclinical, Phase 2 and Phase 3 data from the TP-03 Demodex blepharitis program. We intend to conduct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bioequivalence studies with our preservative-free formulation to compare it to the current preserved formulation of TP-03 in Demodex blepharitis after NDA submission and file a supplement.</w:t>
      </w:r>
    </w:p>
    <w:p>
      <w:pPr>
        <w:spacing w:after="0" w:line="1" w:lineRule="exact"/>
        <w:rPr>
          <w:sz w:val="20"/>
          <w:szCs w:val="20"/>
          <w:color w:val="auto"/>
        </w:rPr>
      </w:pPr>
    </w:p>
    <w:p>
      <w:pPr>
        <w:ind w:left="1280" w:right="60" w:hanging="360"/>
        <w:spacing w:after="0" w:line="220" w:lineRule="auto"/>
        <w:tabs>
          <w:tab w:leader="none" w:pos="128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w:t>
      </w:r>
    </w:p>
    <w:p>
      <w:pPr>
        <w:ind w:left="1280"/>
        <w:spacing w:after="0" w:line="221" w:lineRule="auto"/>
        <w:rPr>
          <w:sz w:val="20"/>
          <w:szCs w:val="20"/>
          <w:color w:val="auto"/>
        </w:rPr>
      </w:pPr>
      <w:r>
        <w:rPr>
          <w:rFonts w:ascii="Times New Roman" w:cs="Times New Roman" w:eastAsia="Times New Roman" w:hAnsi="Times New Roman"/>
          <w:sz w:val="12"/>
          <w:szCs w:val="12"/>
          <w:color w:val="auto"/>
        </w:rPr>
        <w:t>conducted any preclinical studies in rosacea with TP-04 to date.</w:t>
      </w:r>
    </w:p>
    <w:p>
      <w:pPr>
        <w:ind w:left="1280" w:hanging="360"/>
        <w:spacing w:after="0" w:line="225" w:lineRule="auto"/>
        <w:tabs>
          <w:tab w:leader="none" w:pos="128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Blepharitis: A Significant, Underserved and Underdiagnosed Market</w:t>
      </w:r>
    </w:p>
    <w:p>
      <w:pPr>
        <w:spacing w:after="0" w:line="200" w:lineRule="exact"/>
        <w:rPr>
          <w:sz w:val="20"/>
          <w:szCs w:val="20"/>
          <w:color w:val="auto"/>
        </w:rPr>
      </w:pPr>
    </w:p>
    <w:p>
      <w:pPr>
        <w:ind w:left="920" w:right="60" w:firstLine="753"/>
        <w:spacing w:after="0" w:line="259" w:lineRule="auto"/>
        <w:rPr>
          <w:sz w:val="20"/>
          <w:szCs w:val="20"/>
          <w:color w:val="auto"/>
        </w:rPr>
      </w:pPr>
      <w:r>
        <w:rPr>
          <w:rFonts w:ascii="Times New Roman" w:cs="Times New Roman" w:eastAsia="Times New Roman" w:hAnsi="Times New Roman"/>
          <w:sz w:val="15"/>
          <w:szCs w:val="15"/>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61" w:lineRule="exact"/>
        <w:rPr>
          <w:sz w:val="20"/>
          <w:szCs w:val="20"/>
          <w:color w:val="auto"/>
        </w:rPr>
      </w:pPr>
    </w:p>
    <w:p>
      <w:pPr>
        <w:ind w:left="920" w:right="160" w:firstLine="753"/>
        <w:spacing w:after="0" w:line="264" w:lineRule="auto"/>
        <w:rPr>
          <w:sz w:val="20"/>
          <w:szCs w:val="20"/>
          <w:color w:val="auto"/>
        </w:rPr>
      </w:pPr>
      <w:r>
        <w:rPr>
          <w:rFonts w:ascii="Times New Roman" w:cs="Times New Roman" w:eastAsia="Times New Roman" w:hAnsi="Times New Roman"/>
          <w:sz w:val="15"/>
          <w:szCs w:val="15"/>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53" w:lineRule="exact"/>
        <w:rPr>
          <w:sz w:val="20"/>
          <w:szCs w:val="20"/>
          <w:color w:val="auto"/>
        </w:rPr>
      </w:pPr>
    </w:p>
    <w:p>
      <w:pPr>
        <w:ind w:left="920" w:right="100" w:firstLine="753"/>
        <w:spacing w:after="0" w:line="263" w:lineRule="auto"/>
        <w:rPr>
          <w:sz w:val="20"/>
          <w:szCs w:val="20"/>
          <w:color w:val="auto"/>
        </w:rPr>
      </w:pPr>
      <w:r>
        <w:rPr>
          <w:rFonts w:ascii="Times New Roman" w:cs="Times New Roman" w:eastAsia="Times New Roman" w:hAnsi="Times New Roman"/>
          <w:sz w:val="15"/>
          <w:szCs w:val="15"/>
          <w:color w:val="auto"/>
        </w:rPr>
        <w:t>We have conducted epidemiology and market research on the prevalence of blepharitis and potential adoption of TP-03. Our research indicates approximately 58% of patients presenting to ECP offices have collarettes and, based on Gao (2005), all patients with collarettes were also found to have Demodex. This further validates the accessible opportunity to increase diagnosis rates among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See the section titled “Market Opportunity in Blepharitis—Our Market Research Studies and Surveys” for more information regarding our surveys. Further, patients continue to have underlying risk of</w:t>
      </w:r>
    </w:p>
    <w:p>
      <w:pPr>
        <w:spacing w:after="0" w:line="2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-116-</w:t>
      </w:r>
    </w:p>
    <w:p>
      <w:pPr>
        <w:sectPr>
          <w:pgSz w:w="11900" w:h="16838" w:orient="portrait"/>
          <w:cols w:equalWidth="0" w:num="1">
            <w:col w:w="10320"/>
          </w:cols>
          <w:pgMar w:left="320" w:top="410" w:right="125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8" w:lineRule="auto"/>
        <w:rPr>
          <w:sz w:val="20"/>
          <w:szCs w:val="20"/>
          <w:color w:val="auto"/>
        </w:rPr>
      </w:pPr>
      <w:r>
        <w:rPr>
          <w:rFonts w:ascii="Times New Roman" w:cs="Times New Roman" w:eastAsia="Times New Roman" w:hAnsi="Times New Roman"/>
          <w:sz w:val="15"/>
          <w:szCs w:val="15"/>
          <w:color w:val="auto"/>
        </w:rPr>
        <w:t>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52" w:lineRule="exact"/>
        <w:rPr>
          <w:sz w:val="20"/>
          <w:szCs w:val="20"/>
          <w:color w:val="auto"/>
        </w:rPr>
      </w:pPr>
    </w:p>
    <w:p>
      <w:pPr>
        <w:ind w:left="920" w:right="60" w:firstLine="753"/>
        <w:spacing w:after="0" w:line="260" w:lineRule="auto"/>
        <w:rPr>
          <w:sz w:val="20"/>
          <w:szCs w:val="20"/>
          <w:color w:val="auto"/>
        </w:rPr>
      </w:pPr>
      <w:r>
        <w:rPr>
          <w:rFonts w:ascii="Times New Roman" w:cs="Times New Roman" w:eastAsia="Times New Roman" w:hAnsi="Times New Roman"/>
          <w:sz w:val="15"/>
          <w:szCs w:val="15"/>
          <w:color w:val="auto"/>
        </w:rPr>
        <w:t>We believe the blepharitis market has the potential to be analogous to other ophthalmic markets that grew significantly once there was a product to address the large, latent demand for an effective therapy, such as dry eye. For example, another ocular surface disease, dry eye, had no approved therapeutic for the condition until 2003. With the approval of a therapeutic to treat dry eye in 2003 and concurrent ECP and patient education, the diagnosis rate increased by approximately 12 times, growing from 500,000 annual diagnoses in 2003 to over six million annual diagnoses in 2015. Annual diagnoses rates have been maintained at similar levels since 2015. Blepharitis already has 2.1 million diagnoses per year with blepharitis classified per the ICD-10-CM, despite no approved therapies to help with market awareness, but we believe there is potential for significant market expansion. The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certain other factors. See “Risk Factors –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342"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Our Approach: TP-03</w:t>
      </w:r>
    </w:p>
    <w:p>
      <w:pPr>
        <w:spacing w:after="0" w:line="200" w:lineRule="exact"/>
        <w:rPr>
          <w:sz w:val="20"/>
          <w:szCs w:val="20"/>
          <w:color w:val="auto"/>
        </w:rPr>
      </w:pPr>
    </w:p>
    <w:p>
      <w:pPr>
        <w:jc w:val="both"/>
        <w:ind w:left="920" w:right="260" w:firstLine="753"/>
        <w:spacing w:after="0" w:line="275" w:lineRule="auto"/>
        <w:rPr>
          <w:sz w:val="20"/>
          <w:szCs w:val="20"/>
          <w:color w:val="auto"/>
        </w:rPr>
      </w:pPr>
      <w:r>
        <w:rPr>
          <w:rFonts w:ascii="Times New Roman" w:cs="Times New Roman" w:eastAsia="Times New Roman" w:hAnsi="Times New Roman"/>
          <w:sz w:val="15"/>
          <w:szCs w:val="15"/>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-117-</w:t>
      </w:r>
    </w:p>
    <w:p>
      <w:pPr>
        <w:sectPr>
          <w:pgSz w:w="11900" w:h="16838" w:orient="portrait"/>
          <w:cols w:equalWidth="0" w:num="1">
            <w:col w:w="10320"/>
          </w:cols>
          <w:pgMar w:left="320" w:top="410" w:right="1259" w:bottom="1440" w:gutter="0" w:footer="0" w:header="0"/>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provides the characteristics of TP-03 in the Saturn-1 Phase 2b/3 clinical trial:</w:t>
      </w:r>
    </w:p>
    <w:p>
      <w:pPr>
        <w:spacing w:after="0" w:line="19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5"/>
          <w:szCs w:val="15"/>
          <w:b w:val="1"/>
          <w:bCs w:val="1"/>
          <w:color w:val="auto"/>
        </w:rPr>
        <w:t>Figure 2: Characteristics of TP-03 in the Saturn-1 Phase 2b/3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151130</wp:posOffset>
            </wp:positionV>
            <wp:extent cx="4450715" cy="20059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45071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20" w:firstLine="753"/>
        <w:spacing w:after="0" w:line="258" w:lineRule="auto"/>
        <w:rPr>
          <w:sz w:val="20"/>
          <w:szCs w:val="20"/>
          <w:color w:val="auto"/>
        </w:rPr>
      </w:pPr>
      <w:r>
        <w:rPr>
          <w:rFonts w:ascii="Times New Roman" w:cs="Times New Roman" w:eastAsia="Times New Roman" w:hAnsi="Times New Roman"/>
          <w:sz w:val="15"/>
          <w:szCs w:val="15"/>
          <w:color w:val="auto"/>
        </w:rPr>
        <w:t xml:space="preserve">We have completed four Phase 2 clinical trials to date, along with one additional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our two most recent trials, Io and Europa.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-118-</w:t>
      </w:r>
    </w:p>
    <w:p>
      <w:pPr>
        <w:sectPr>
          <w:pgSz w:w="11900" w:h="16838" w:orient="portrait"/>
          <w:cols w:equalWidth="0" w:num="1">
            <w:col w:w="10260"/>
          </w:cols>
          <w:pgMar w:left="320" w:top="410" w:right="131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provides a summary of our completed and planned clinical investigations evaluating TP-03 for Demodex blepharitis:</w:t>
      </w:r>
    </w:p>
    <w:p>
      <w:pPr>
        <w:spacing w:after="0" w:line="19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Figure 3: Our Completed and Planned Clinical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19050</wp:posOffset>
            </wp:positionV>
            <wp:extent cx="4421505" cy="254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21505" cy="254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hanging="360"/>
        <w:spacing w:after="0"/>
        <w:tabs>
          <w:tab w:leader="none" w:pos="128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Mars and Jupiter trials used collarette grade as an endpoint, which has been translated into a collarette cure (defined as £10 collarettes). This is different from the collarette cure</w:t>
      </w:r>
    </w:p>
    <w:p>
      <w:pPr>
        <w:spacing w:after="0" w:line="3" w:lineRule="exact"/>
        <w:rPr>
          <w:sz w:val="20"/>
          <w:szCs w:val="20"/>
          <w:color w:val="auto"/>
        </w:rPr>
      </w:pPr>
    </w:p>
    <w:p>
      <w:pPr>
        <w:ind w:left="1280" w:right="180"/>
        <w:spacing w:after="0" w:line="220" w:lineRule="auto"/>
        <w:rPr>
          <w:sz w:val="20"/>
          <w:szCs w:val="20"/>
          <w:color w:val="auto"/>
        </w:rPr>
      </w:pPr>
      <w:r>
        <w:rPr>
          <w:rFonts w:ascii="Times New Roman" w:cs="Times New Roman" w:eastAsia="Times New Roman" w:hAnsi="Times New Roman"/>
          <w:sz w:val="12"/>
          <w:szCs w:val="12"/>
          <w:color w:val="auto"/>
        </w:rPr>
        <w:t>(defined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1280" w:hanging="360"/>
        <w:spacing w:after="0" w:line="221" w:lineRule="auto"/>
        <w:tabs>
          <w:tab w:leader="none" w:pos="12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Primary endpoint in Io, Europa, Saturn-1 and intended in Saturn-2 is collarette cure rate based on collarette grade.</w:t>
      </w:r>
    </w:p>
    <w:p>
      <w:pPr>
        <w:ind w:left="1280" w:hanging="360"/>
        <w:spacing w:after="0" w:line="221" w:lineRule="auto"/>
        <w:tabs>
          <w:tab w:leader="none" w:pos="12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our IND application, a no-objection letter was received from the FDA regarding the trial design of the Saturn-1 trial.</w:t>
      </w:r>
    </w:p>
    <w:p>
      <w:pPr>
        <w:ind w:left="1280" w:hanging="360"/>
        <w:spacing w:after="0"/>
        <w:tabs>
          <w:tab w:leader="none" w:pos="12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Saturn-2 design is highly comparable to that of Saturn-1 with respect to which the FDA raised “no-objection” and we expect to update the IND protocol prior to commencing Saturn-2.</w:t>
      </w:r>
    </w:p>
    <w:p>
      <w:pPr>
        <w:spacing w:after="0" w:line="164"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59"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is known to infest the meibomian gland, and clinical signs of MGD have been shown to be correlated with infestation of </w:t>
      </w:r>
      <w:r>
        <w:rPr>
          <w:rFonts w:ascii="Times New Roman" w:cs="Times New Roman" w:eastAsia="Times New Roman" w:hAnsi="Times New Roman"/>
          <w:sz w:val="15"/>
          <w:szCs w:val="15"/>
          <w:i w:val="1"/>
          <w:iCs w:val="1"/>
          <w:color w:val="auto"/>
        </w:rPr>
        <w:t>Demodex</w:t>
      </w:r>
    </w:p>
    <w:p>
      <w:pPr>
        <w:spacing w:after="0" w:line="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-119-</w:t>
      </w:r>
    </w:p>
    <w:p>
      <w:pPr>
        <w:sectPr>
          <w:pgSz w:w="11900" w:h="16838" w:orient="portrait"/>
          <w:cols w:equalWidth="0" w:num="1">
            <w:col w:w="10320"/>
          </w:cols>
          <w:pgMar w:left="320" w:top="410" w:right="125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220"/>
        <w:spacing w:after="0" w:line="298" w:lineRule="auto"/>
        <w:rPr>
          <w:sz w:val="20"/>
          <w:szCs w:val="20"/>
          <w:color w:val="auto"/>
        </w:rPr>
      </w:pPr>
      <w:r>
        <w:rPr>
          <w:rFonts w:ascii="Times New Roman" w:cs="Times New Roman" w:eastAsia="Times New Roman" w:hAnsi="Times New Roman"/>
          <w:sz w:val="15"/>
          <w:szCs w:val="15"/>
          <w:i w:val="1"/>
          <w:iCs w:val="1"/>
          <w:color w:val="auto"/>
        </w:rPr>
        <w:t>brevis</w:t>
      </w:r>
      <w:r>
        <w:rPr>
          <w:rFonts w:ascii="Times New Roman" w:cs="Times New Roman" w:eastAsia="Times New Roman" w:hAnsi="Times New Roman"/>
          <w:sz w:val="15"/>
          <w:szCs w:val="15"/>
          <w:color w:val="auto"/>
        </w:rPr>
        <w:t>. While dry eye is a multi-factorial disease, TP-03 is designed to relieve some of the key elements of MGD by virtue of causing the death of the</w:t>
      </w:r>
      <w:r>
        <w:rPr>
          <w:rFonts w:ascii="Times New Roman" w:cs="Times New Roman" w:eastAsia="Times New Roman" w:hAnsi="Times New Roman"/>
          <w:sz w:val="15"/>
          <w:szCs w:val="15"/>
          <w:i w:val="1"/>
          <w:iCs w:val="1"/>
          <w:color w:val="auto"/>
        </w:rPr>
        <w:t xml:space="preserve"> Demodex brevis </w:t>
      </w:r>
      <w:r>
        <w:rPr>
          <w:rFonts w:ascii="Times New Roman" w:cs="Times New Roman" w:eastAsia="Times New Roman" w:hAnsi="Times New Roman"/>
          <w:sz w:val="15"/>
          <w:szCs w:val="15"/>
          <w:color w:val="auto"/>
        </w:rPr>
        <w:t>mites.</w:t>
      </w:r>
    </w:p>
    <w:p>
      <w:pPr>
        <w:spacing w:after="0" w:line="129" w:lineRule="exact"/>
        <w:rPr>
          <w:sz w:val="20"/>
          <w:szCs w:val="20"/>
          <w:color w:val="auto"/>
        </w:rPr>
      </w:pPr>
    </w:p>
    <w:p>
      <w:pPr>
        <w:jc w:val="both"/>
        <w:ind w:left="920" w:right="400" w:firstLine="753"/>
        <w:spacing w:after="0" w:line="275" w:lineRule="auto"/>
        <w:rPr>
          <w:sz w:val="20"/>
          <w:szCs w:val="20"/>
          <w:color w:val="auto"/>
        </w:rPr>
      </w:pPr>
      <w:r>
        <w:rPr>
          <w:rFonts w:ascii="Times New Roman" w:cs="Times New Roman" w:eastAsia="Times New Roman" w:hAnsi="Times New Roman"/>
          <w:sz w:val="15"/>
          <w:szCs w:val="15"/>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45"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54"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We plan to seek FDA feedback in a pre-IND meeting and submit an IND and initiate a Phase 1/2 trial of TP-05 for Lyme disease in 2021. For malaria, we may conduct the Phase 1/2 trial outside of the United States.</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Our Strengths and Differentiation</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believe our company and our product candidates have the following key distinguishing characteristics:</w:t>
      </w:r>
    </w:p>
    <w:p>
      <w:pPr>
        <w:spacing w:after="0" w:line="215" w:lineRule="exact"/>
        <w:rPr>
          <w:sz w:val="20"/>
          <w:szCs w:val="20"/>
          <w:color w:val="auto"/>
        </w:rPr>
      </w:pPr>
    </w:p>
    <w:p>
      <w:pPr>
        <w:ind w:left="2040" w:right="20" w:hanging="278"/>
        <w:spacing w:after="0" w:line="260" w:lineRule="auto"/>
        <w:tabs>
          <w:tab w:leader="none" w:pos="20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TP-03 is currently in Phase 2b/3 and has met various endpoints for efficacy in Phase 2 trials. </w:t>
      </w:r>
      <w:r>
        <w:rPr>
          <w:rFonts w:ascii="Times New Roman" w:cs="Times New Roman" w:eastAsia="Times New Roman" w:hAnsi="Times New Roman"/>
          <w:sz w:val="15"/>
          <w:szCs w:val="15"/>
          <w:color w:val="auto"/>
        </w:rPr>
        <w:t>We have observed TP-03’s clinical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365" w:lineRule="exact"/>
        <w:rPr>
          <w:rFonts w:ascii="Times New Roman" w:cs="Times New Roman" w:eastAsia="Times New Roman" w:hAnsi="Times New Roman"/>
          <w:sz w:val="15"/>
          <w:szCs w:val="15"/>
          <w:color w:val="auto"/>
        </w:rPr>
      </w:pPr>
    </w:p>
    <w:p>
      <w:pPr>
        <w:ind w:left="2040" w:right="40" w:hanging="278"/>
        <w:spacing w:after="0" w:line="277" w:lineRule="auto"/>
        <w:tabs>
          <w:tab w:leader="none" w:pos="20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Large, underserved and underdiagnosed blepharitis market with a significant opportunity for growth. </w:t>
      </w:r>
      <w:r>
        <w:rPr>
          <w:rFonts w:ascii="Times New Roman" w:cs="Times New Roman" w:eastAsia="Times New Roman" w:hAnsi="Times New Roman"/>
          <w:sz w:val="15"/>
          <w:szCs w:val="15"/>
          <w:color w:val="auto"/>
        </w:rPr>
        <w:t>Although we believe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w:t>
      </w:r>
    </w:p>
    <w:p>
      <w:pPr>
        <w:spacing w:after="0" w:line="86"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120 -</w:t>
      </w:r>
    </w:p>
    <w:p>
      <w:pPr>
        <w:sectPr>
          <w:pgSz w:w="11900" w:h="16838" w:orient="portrait"/>
          <w:cols w:equalWidth="0" w:num="1">
            <w:col w:w="10320"/>
          </w:cols>
          <w:pgMar w:left="320" w:top="410" w:right="125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60"/>
        <w:spacing w:after="0" w:line="265" w:lineRule="auto"/>
        <w:rPr>
          <w:sz w:val="20"/>
          <w:szCs w:val="20"/>
          <w:color w:val="auto"/>
        </w:rPr>
      </w:pPr>
      <w:r>
        <w:rPr>
          <w:rFonts w:ascii="Times New Roman" w:cs="Times New Roman" w:eastAsia="Times New Roman" w:hAnsi="Times New Roman"/>
          <w:sz w:val="15"/>
          <w:szCs w:val="15"/>
          <w:color w:val="auto"/>
        </w:rPr>
        <w:t>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174" w:lineRule="exact"/>
        <w:rPr>
          <w:sz w:val="20"/>
          <w:szCs w:val="20"/>
          <w:color w:val="auto"/>
        </w:rPr>
      </w:pPr>
    </w:p>
    <w:p>
      <w:pPr>
        <w:ind w:left="2040" w:right="100" w:hanging="278"/>
        <w:spacing w:after="0" w:line="270" w:lineRule="auto"/>
        <w:tabs>
          <w:tab w:leader="none" w:pos="20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Novel chemistry developed for the first time in human medicine. </w:t>
      </w:r>
      <w:r>
        <w:rPr>
          <w:rFonts w:ascii="Times New Roman" w:cs="Times New Roman" w:eastAsia="Times New Roman" w:hAnsi="Times New Roman"/>
          <w:sz w:val="15"/>
          <w:szCs w:val="15"/>
          <w:color w:val="auto"/>
        </w:rPr>
        <w:t>Our current therapeutic strategy is focused on the clinical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69" w:lineRule="exact"/>
        <w:rPr>
          <w:rFonts w:ascii="Times New Roman" w:cs="Times New Roman" w:eastAsia="Times New Roman" w:hAnsi="Times New Roman"/>
          <w:sz w:val="15"/>
          <w:szCs w:val="15"/>
          <w:color w:val="auto"/>
        </w:rPr>
      </w:pPr>
    </w:p>
    <w:p>
      <w:pPr>
        <w:ind w:left="2040" w:hanging="278"/>
        <w:spacing w:after="0" w:line="263" w:lineRule="auto"/>
        <w:tabs>
          <w:tab w:leader="none" w:pos="20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Additional opportunities beyond Demodex blepharitis. </w:t>
      </w:r>
      <w:r>
        <w:rPr>
          <w:rFonts w:ascii="Times New Roman" w:cs="Times New Roman" w:eastAsia="Times New Roman" w:hAnsi="Times New Roman"/>
          <w:sz w:val="15"/>
          <w:szCs w:val="15"/>
          <w:color w:val="auto"/>
        </w:rPr>
        <w:t>Like blepharitis, MGD may also be caused by Demodex infestation, and we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175" w:lineRule="exact"/>
        <w:rPr>
          <w:rFonts w:ascii="Times New Roman" w:cs="Times New Roman" w:eastAsia="Times New Roman" w:hAnsi="Times New Roman"/>
          <w:sz w:val="15"/>
          <w:szCs w:val="15"/>
          <w:color w:val="auto"/>
        </w:rPr>
      </w:pPr>
    </w:p>
    <w:p>
      <w:pPr>
        <w:ind w:left="2040" w:right="20" w:hanging="278"/>
        <w:spacing w:after="0" w:line="267" w:lineRule="auto"/>
        <w:tabs>
          <w:tab w:leader="none" w:pos="20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Experienced management team and board of directors supported by high quality investor base. </w:t>
      </w:r>
      <w:r>
        <w:rPr>
          <w:rFonts w:ascii="Times New Roman" w:cs="Times New Roman" w:eastAsia="Times New Roman" w:hAnsi="Times New Roman"/>
          <w:sz w:val="15"/>
          <w:szCs w:val="15"/>
          <w:color w:val="auto"/>
        </w:rPr>
        <w:t>We have built a leadership team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200" w:lineRule="exact"/>
        <w:rPr>
          <w:sz w:val="20"/>
          <w:szCs w:val="20"/>
          <w:color w:val="auto"/>
        </w:rPr>
      </w:pPr>
    </w:p>
    <w:p>
      <w:pPr>
        <w:jc w:val="both"/>
        <w:ind w:left="920" w:right="180" w:firstLine="753"/>
        <w:spacing w:after="0" w:line="275" w:lineRule="auto"/>
        <w:rPr>
          <w:sz w:val="20"/>
          <w:szCs w:val="20"/>
          <w:color w:val="auto"/>
        </w:rPr>
      </w:pPr>
      <w:r>
        <w:rPr>
          <w:rFonts w:ascii="Times New Roman" w:cs="Times New Roman" w:eastAsia="Times New Roman" w:hAnsi="Times New Roman"/>
          <w:sz w:val="15"/>
          <w:szCs w:val="15"/>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64" w:lineRule="exact"/>
        <w:rPr>
          <w:sz w:val="20"/>
          <w:szCs w:val="20"/>
          <w:color w:val="auto"/>
        </w:rPr>
      </w:pPr>
    </w:p>
    <w:p>
      <w:pPr>
        <w:ind w:left="2040" w:right="40" w:hanging="278"/>
        <w:spacing w:after="0" w:line="265" w:lineRule="auto"/>
        <w:tabs>
          <w:tab w:leader="none" w:pos="20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5"/>
          <w:szCs w:val="15"/>
          <w:color w:val="auto"/>
        </w:rPr>
        <w:t>We have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171" w:lineRule="exact"/>
        <w:rPr>
          <w:rFonts w:ascii="Times New Roman" w:cs="Times New Roman" w:eastAsia="Times New Roman" w:hAnsi="Times New Roman"/>
          <w:sz w:val="15"/>
          <w:szCs w:val="15"/>
          <w:color w:val="auto"/>
        </w:rPr>
      </w:pPr>
    </w:p>
    <w:p>
      <w:pPr>
        <w:ind w:left="2040" w:right="120" w:hanging="278"/>
        <w:spacing w:after="0" w:line="270" w:lineRule="auto"/>
        <w:tabs>
          <w:tab w:leader="none" w:pos="20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5"/>
          <w:szCs w:val="15"/>
          <w:color w:val="auto"/>
        </w:rPr>
        <w:t>If approved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92"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121 -</w:t>
      </w:r>
    </w:p>
    <w:p>
      <w:pPr>
        <w:sectPr>
          <w:pgSz w:w="11900" w:h="16838" w:orient="portrait"/>
          <w:cols w:equalWidth="0" w:num="1">
            <w:col w:w="10320"/>
          </w:cols>
          <w:pgMar w:left="320" w:top="410" w:right="125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2040" w:right="540" w:hanging="278"/>
        <w:spacing w:after="0" w:line="298" w:lineRule="auto"/>
        <w:tabs>
          <w:tab w:leader="none" w:pos="20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 the label of TP-03 for other indications, including MGD. </w:t>
      </w:r>
      <w:r>
        <w:rPr>
          <w:rFonts w:ascii="Times New Roman" w:cs="Times New Roman" w:eastAsia="Times New Roman" w:hAnsi="Times New Roman"/>
          <w:sz w:val="15"/>
          <w:szCs w:val="15"/>
          <w:color w:val="auto"/>
        </w:rPr>
        <w:t>Like blepharitis, MGD may also be caused by Demodex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infestation, and we intend to explore the clinical potential for TP-03 in the indication.</w:t>
      </w:r>
    </w:p>
    <w:p>
      <w:pPr>
        <w:spacing w:after="0" w:line="148" w:lineRule="exact"/>
        <w:rPr>
          <w:rFonts w:ascii="Times New Roman" w:cs="Times New Roman" w:eastAsia="Times New Roman" w:hAnsi="Times New Roman"/>
          <w:sz w:val="15"/>
          <w:szCs w:val="15"/>
          <w:color w:val="auto"/>
        </w:rPr>
      </w:pPr>
    </w:p>
    <w:p>
      <w:pPr>
        <w:ind w:left="2040" w:right="20" w:hanging="278"/>
        <w:spacing w:after="0" w:line="265" w:lineRule="auto"/>
        <w:tabs>
          <w:tab w:leader="none" w:pos="20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5"/>
          <w:szCs w:val="15"/>
          <w:color w:val="auto"/>
        </w:rPr>
        <w:t>. We plan to expand our pipeline of novel, differentiated product candidates that target parasites to treat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171" w:lineRule="exact"/>
        <w:rPr>
          <w:rFonts w:ascii="Times New Roman" w:cs="Times New Roman" w:eastAsia="Times New Roman" w:hAnsi="Times New Roman"/>
          <w:sz w:val="15"/>
          <w:szCs w:val="15"/>
          <w:color w:val="auto"/>
        </w:rPr>
      </w:pPr>
    </w:p>
    <w:p>
      <w:pPr>
        <w:ind w:left="2040" w:right="80" w:hanging="278"/>
        <w:spacing w:after="0" w:line="265" w:lineRule="auto"/>
        <w:tabs>
          <w:tab w:leader="none" w:pos="204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Evaluate and selectively enter into strategic collaborations to maximize the potential of our pipeline and the scope of our eye care product offerings. </w:t>
      </w:r>
      <w:r>
        <w:rPr>
          <w:rFonts w:ascii="Times New Roman" w:cs="Times New Roman" w:eastAsia="Times New Roman" w:hAnsi="Times New Roman"/>
          <w:sz w:val="15"/>
          <w:szCs w:val="15"/>
          <w:color w:val="auto"/>
        </w:rPr>
        <w:t>We have retained our rights globally to all of our indications for use in humans, including our lead product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candidate, TP-03, for the potential treatment of Demodex blepharitis and MGD, TP-04 for the potential treatment of rosacea and TP-05 for potential prophylaxis of Lyme and community malaria reduction. We are dependent on licenses from Elanco for the development and commercialization of these products. Given the potential to treat patients worldwide we may opportunistically enter into strategic collaborations around certain product candidates, disease or geographic regions.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Blepharitis Overview</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Blepharitis</w:t>
      </w:r>
    </w:p>
    <w:p>
      <w:pPr>
        <w:spacing w:after="0" w:line="200"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154"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Blepharitis is a common chronic ophthalmic condition characterized by inflammation of the eyelid margin, redness and ocular irritation and is primarily diagnosed and treated by ECPs, including ophthalmologists and optometrists. Based on published studies, an estimated 20 million patients suffer from blepharitis in the United States.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approximately 67%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and blepharitis has been shown to cause contact lens intolerance. Therefore, treating Demodex blepharitis may reduce contact lens intolerance. We believe these benefits may lead to better vision and an improved quality of life for patients.</w:t>
      </w:r>
    </w:p>
    <w:p>
      <w:pPr>
        <w:spacing w:after="0" w:line="160" w:lineRule="exact"/>
        <w:rPr>
          <w:sz w:val="20"/>
          <w:szCs w:val="20"/>
          <w:color w:val="auto"/>
        </w:rPr>
      </w:pPr>
    </w:p>
    <w:p>
      <w:pPr>
        <w:ind w:left="920" w:right="180" w:firstLine="753"/>
        <w:spacing w:after="0" w:line="293" w:lineRule="auto"/>
        <w:rPr>
          <w:sz w:val="20"/>
          <w:szCs w:val="20"/>
          <w:color w:val="auto"/>
        </w:rPr>
      </w:pPr>
      <w:r>
        <w:rPr>
          <w:rFonts w:ascii="Times New Roman" w:cs="Times New Roman" w:eastAsia="Times New Roman" w:hAnsi="Times New Roman"/>
          <w:sz w:val="15"/>
          <w:szCs w:val="15"/>
          <w:color w:val="auto"/>
        </w:rPr>
        <w:t>Multiple factors can cause blepharitis, including infestation by Demodex mites, bacterial infection, clogging of the meibomian glands and seborrheic dermatitis.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-122-</w:t>
      </w:r>
    </w:p>
    <w:p>
      <w:pPr>
        <w:sectPr>
          <w:pgSz w:w="11900" w:h="16838" w:orient="portrait"/>
          <w:cols w:equalWidth="0" w:num="1">
            <w:col w:w="10320"/>
          </w:cols>
          <w:pgMar w:left="320" w:top="410" w:right="125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image shows an eyelid with blepharitis:</w:t>
      </w:r>
    </w:p>
    <w:p>
      <w:pPr>
        <w:spacing w:after="0" w:line="1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b w:val="1"/>
          <w:bCs w:val="1"/>
          <w:color w:val="auto"/>
        </w:rPr>
        <w:t>Figure 4: Eyelid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151130</wp:posOffset>
            </wp:positionV>
            <wp:extent cx="2649855" cy="20129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49855"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Demodex Blepharitis</w:t>
      </w:r>
    </w:p>
    <w:p>
      <w:pPr>
        <w:spacing w:after="0" w:line="200" w:lineRule="exact"/>
        <w:rPr>
          <w:sz w:val="20"/>
          <w:szCs w:val="20"/>
          <w:color w:val="auto"/>
        </w:rPr>
      </w:pPr>
    </w:p>
    <w:p>
      <w:pPr>
        <w:ind w:left="920" w:right="120" w:firstLine="753"/>
        <w:spacing w:after="0" w:line="262" w:lineRule="auto"/>
        <w:rPr>
          <w:sz w:val="20"/>
          <w:szCs w:val="20"/>
          <w:color w:val="auto"/>
        </w:rPr>
      </w:pPr>
      <w:r>
        <w:rPr>
          <w:rFonts w:ascii="Times New Roman" w:cs="Times New Roman" w:eastAsia="Times New Roman" w:hAnsi="Times New Roman"/>
          <w:sz w:val="15"/>
          <w:szCs w:val="15"/>
          <w:color w:val="auto"/>
        </w:rPr>
        <w:t xml:space="preserve">Demodex infestation is a major cause of blepharitis, implicated in approximately 45% of blepharitis cases, or approximately nine million patients. We estimate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Times New Roman" w:cs="Times New Roman" w:eastAsia="Times New Roman" w:hAnsi="Times New Roman"/>
          <w:sz w:val="15"/>
          <w:szCs w:val="15"/>
          <w:i w:val="1"/>
          <w:iCs w:val="1"/>
          <w:color w:val="auto"/>
        </w:rPr>
        <w:t>folliculorum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brevis</w:t>
      </w:r>
      <w:r>
        <w:rPr>
          <w:rFonts w:ascii="Times New Roman" w:cs="Times New Roman" w:eastAsia="Times New Roman" w:hAnsi="Times New Roman"/>
          <w:sz w:val="15"/>
          <w:szCs w:val="15"/>
          <w:color w:val="auto"/>
        </w:rPr>
        <w:t xml:space="preserve">, that live on the skin of the face and eyelids. </w:t>
      </w:r>
      <w:r>
        <w:rPr>
          <w:rFonts w:ascii="Times New Roman" w:cs="Times New Roman" w:eastAsia="Times New Roman" w:hAnsi="Times New Roman"/>
          <w:sz w:val="15"/>
          <w:szCs w:val="15"/>
          <w:i w:val="1"/>
          <w:iCs w:val="1"/>
          <w:color w:val="auto"/>
        </w:rPr>
        <w:t>Demodex</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folliculorum, </w:t>
      </w:r>
      <w:r>
        <w:rPr>
          <w:rFonts w:ascii="Times New Roman" w:cs="Times New Roman" w:eastAsia="Times New Roman" w:hAnsi="Times New Roman"/>
          <w:sz w:val="15"/>
          <w:szCs w:val="15"/>
          <w:color w:val="auto"/>
        </w:rPr>
        <w:t>which is commonly found in the follicle, is the more common sub-species of mite that causes Demodex blepharitis.</w:t>
      </w:r>
    </w:p>
    <w:p>
      <w:pPr>
        <w:spacing w:after="0" w:line="158"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10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-123-</w:t>
      </w:r>
    </w:p>
    <w:p>
      <w:pPr>
        <w:sectPr>
          <w:pgSz w:w="11900" w:h="16838" w:orient="portrait"/>
          <w:cols w:equalWidth="0" w:num="1">
            <w:col w:w="10260"/>
          </w:cols>
          <w:pgMar w:left="320" w:top="410" w:right="131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 xml:space="preserve">The following figures demonstrate how </w:t>
      </w:r>
      <w:r>
        <w:rPr>
          <w:rFonts w:ascii="Times New Roman" w:cs="Times New Roman" w:eastAsia="Times New Roman" w:hAnsi="Times New Roman"/>
          <w:sz w:val="15"/>
          <w:szCs w:val="15"/>
          <w:i w:val="1"/>
          <w:iCs w:val="1"/>
          <w:color w:val="auto"/>
        </w:rPr>
        <w:t>Demodex folliculorum</w:t>
      </w:r>
      <w:r>
        <w:rPr>
          <w:rFonts w:ascii="Times New Roman" w:cs="Times New Roman" w:eastAsia="Times New Roman" w:hAnsi="Times New Roman"/>
          <w:sz w:val="15"/>
          <w:szCs w:val="15"/>
          <w:color w:val="auto"/>
        </w:rPr>
        <w:t xml:space="preserve"> mites enter and reside in the eyelash follicles:</w:t>
      </w:r>
    </w:p>
    <w:p>
      <w:pPr>
        <w:spacing w:after="0" w:line="19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b w:val="1"/>
          <w:bCs w:val="1"/>
          <w:color w:val="auto"/>
        </w:rPr>
        <w:t xml:space="preserve">Figure 5: </w:t>
      </w:r>
      <w:r>
        <w:rPr>
          <w:rFonts w:ascii="Times New Roman" w:cs="Times New Roman" w:eastAsia="Times New Roman" w:hAnsi="Times New Roman"/>
          <w:sz w:val="15"/>
          <w:szCs w:val="15"/>
          <w:b w:val="1"/>
          <w:bCs w:val="1"/>
          <w:i w:val="1"/>
          <w:iCs w:val="1"/>
          <w:color w:val="auto"/>
        </w:rPr>
        <w:t>Demodex folliculorum</w:t>
      </w:r>
      <w:r>
        <w:rPr>
          <w:rFonts w:ascii="Times New Roman" w:cs="Times New Roman" w:eastAsia="Times New Roman" w:hAnsi="Times New Roman"/>
          <w:sz w:val="15"/>
          <w:szCs w:val="15"/>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36110" cy="31476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36110" cy="314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Demodex infestation can lead to Demodex blepharitis in three main ways:</w:t>
      </w:r>
    </w:p>
    <w:p>
      <w:pPr>
        <w:spacing w:after="0" w:line="215" w:lineRule="exact"/>
        <w:rPr>
          <w:sz w:val="20"/>
          <w:szCs w:val="20"/>
          <w:color w:val="auto"/>
        </w:rPr>
      </w:pPr>
    </w:p>
    <w:p>
      <w:pPr>
        <w:ind w:left="2040" w:right="100" w:hanging="370"/>
        <w:spacing w:after="0" w:line="277" w:lineRule="auto"/>
        <w:tabs>
          <w:tab w:leader="none" w:pos="20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Mechanical: </w:t>
      </w:r>
      <w:r>
        <w:rPr>
          <w:rFonts w:ascii="Times New Roman" w:cs="Times New Roman" w:eastAsia="Times New Roman" w:hAnsi="Times New Roman"/>
          <w:sz w:val="15"/>
          <w:szCs w:val="15"/>
          <w:color w:val="auto"/>
        </w:rPr>
        <w:t>Overcrowded mites scrape the epithelial cell lining of the eyelash follicles with their claws and lay eggs, causing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follicular distention, misdirected lashes, eyelash loss and irritation. Dead mites and collarettes also obstruct the hair follicle opening, leading to inflammation.</w:t>
      </w:r>
    </w:p>
    <w:p>
      <w:pPr>
        <w:spacing w:after="0" w:line="163" w:lineRule="exact"/>
        <w:rPr>
          <w:rFonts w:ascii="Times New Roman" w:cs="Times New Roman" w:eastAsia="Times New Roman" w:hAnsi="Times New Roman"/>
          <w:sz w:val="15"/>
          <w:szCs w:val="15"/>
          <w:color w:val="auto"/>
        </w:rPr>
      </w:pPr>
    </w:p>
    <w:p>
      <w:pPr>
        <w:ind w:left="2040" w:hanging="370"/>
        <w:spacing w:after="0" w:line="298" w:lineRule="auto"/>
        <w:tabs>
          <w:tab w:leader="none" w:pos="20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Chemical: </w:t>
      </w:r>
      <w:r>
        <w:rPr>
          <w:rFonts w:ascii="Times New Roman" w:cs="Times New Roman" w:eastAsia="Times New Roman" w:hAnsi="Times New Roman"/>
          <w:sz w:val="15"/>
          <w:szCs w:val="15"/>
          <w:color w:val="auto"/>
        </w:rPr>
        <w:t>Mites excrete digestive enzymes as they feed and exude digestive waste when they die, resulting in inflammation, redness,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irritation and epithelial hyperplasia.</w:t>
      </w:r>
    </w:p>
    <w:p>
      <w:pPr>
        <w:spacing w:after="0" w:line="148" w:lineRule="exact"/>
        <w:rPr>
          <w:rFonts w:ascii="Times New Roman" w:cs="Times New Roman" w:eastAsia="Times New Roman" w:hAnsi="Times New Roman"/>
          <w:sz w:val="15"/>
          <w:szCs w:val="15"/>
          <w:color w:val="auto"/>
        </w:rPr>
      </w:pPr>
    </w:p>
    <w:p>
      <w:pPr>
        <w:ind w:left="2040" w:hanging="370"/>
        <w:spacing w:after="0"/>
        <w:tabs>
          <w:tab w:leader="none" w:pos="20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Bacterial: </w:t>
      </w:r>
      <w:r>
        <w:rPr>
          <w:rFonts w:ascii="Times New Roman" w:cs="Times New Roman" w:eastAsia="Times New Roman" w:hAnsi="Times New Roman"/>
          <w:sz w:val="15"/>
          <w:szCs w:val="15"/>
          <w:color w:val="auto"/>
        </w:rPr>
        <w:t>Bacteria living on the mite surface or in its gut cause inflammation of the surrounding ocular tissues.</w:t>
      </w:r>
    </w:p>
    <w:p>
      <w:pPr>
        <w:spacing w:after="0" w:line="200" w:lineRule="exact"/>
        <w:rPr>
          <w:sz w:val="20"/>
          <w:szCs w:val="20"/>
          <w:color w:val="auto"/>
        </w:rPr>
      </w:pPr>
    </w:p>
    <w:p>
      <w:pPr>
        <w:ind w:left="920" w:right="20" w:firstLine="753"/>
        <w:spacing w:after="0" w:line="293" w:lineRule="auto"/>
        <w:rPr>
          <w:sz w:val="20"/>
          <w:szCs w:val="20"/>
          <w:color w:val="auto"/>
        </w:rPr>
      </w:pPr>
      <w:r>
        <w:rPr>
          <w:rFonts w:ascii="Times New Roman" w:cs="Times New Roman" w:eastAsia="Times New Roman" w:hAnsi="Times New Roman"/>
          <w:sz w:val="15"/>
          <w:szCs w:val="15"/>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-124-</w:t>
      </w:r>
    </w:p>
    <w:p>
      <w:pPr>
        <w:sectPr>
          <w:pgSz w:w="11900" w:h="16838" w:orient="portrait"/>
          <w:cols w:equalWidth="0" w:num="1">
            <w:col w:w="10280"/>
          </w:cols>
          <w:pgMar w:left="320" w:top="410" w:right="129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collarettes at the base of an eye lash:</w:t>
      </w:r>
    </w:p>
    <w:p>
      <w:pPr>
        <w:spacing w:after="0" w:line="1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5"/>
          <w:szCs w:val="15"/>
          <w:b w:val="1"/>
          <w:bCs w:val="1"/>
          <w:color w:val="auto"/>
        </w:rPr>
        <w:t>Figure 6: Collarettes Are the Pathognomonic Sign of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151130</wp:posOffset>
            </wp:positionV>
            <wp:extent cx="2921000" cy="1559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921000"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A study conducted by Gao et al. (Gao et al. (2005): High Prevalence of Demodex in Eyelashes with Cylindrical Dandruff. Invst Ophth and Vis Sci, September 2005, Vol. 46, No. 3089-3094.)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who had been using daily lid scrubs for a full year; and those without collarettes who were not performing the daily lid scrubs.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United States population.</w:t>
      </w:r>
    </w:p>
    <w:p>
      <w:pPr>
        <w:spacing w:after="0" w:line="16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that 100% of patients with at least one collarette had Demodex infestation:</w:t>
      </w:r>
    </w:p>
    <w:p>
      <w:pPr>
        <w:spacing w:after="0" w:line="1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5"/>
          <w:szCs w:val="15"/>
          <w:b w:val="1"/>
          <w:bCs w:val="1"/>
          <w:color w:val="auto"/>
        </w:rPr>
        <w:t>Figure 7: 100% of Patients With at Least One Collarette Had Demodex Infestation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151130</wp:posOffset>
            </wp:positionV>
            <wp:extent cx="2569845" cy="1339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9845" cy="133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-125-</w:t>
      </w:r>
    </w:p>
    <w:p>
      <w:pPr>
        <w:sectPr>
          <w:pgSz w:w="11900" w:h="16838" w:orient="portrait"/>
          <w:cols w:equalWidth="0" w:num="1">
            <w:col w:w="10240"/>
          </w:cols>
          <w:pgMar w:left="320" w:top="410" w:right="133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Market Opportunity in Blepharitis</w:t>
      </w:r>
    </w:p>
    <w:p>
      <w:pPr>
        <w:spacing w:after="0" w:line="200" w:lineRule="exact"/>
        <w:rPr>
          <w:sz w:val="20"/>
          <w:szCs w:val="20"/>
          <w:color w:val="auto"/>
        </w:rPr>
      </w:pPr>
    </w:p>
    <w:p>
      <w:pPr>
        <w:ind w:left="920" w:right="120" w:firstLine="753"/>
        <w:spacing w:after="0" w:line="261" w:lineRule="auto"/>
        <w:rPr>
          <w:sz w:val="20"/>
          <w:szCs w:val="20"/>
          <w:color w:val="auto"/>
        </w:rPr>
      </w:pPr>
      <w:r>
        <w:rPr>
          <w:rFonts w:ascii="Times New Roman" w:cs="Times New Roman" w:eastAsia="Times New Roman" w:hAnsi="Times New Roman"/>
          <w:sz w:val="15"/>
          <w:szCs w:val="15"/>
          <w:color w:val="auto"/>
        </w:rPr>
        <w:t>According to published studies, there are an estimated 20 million patients in the United States who suffer from blepharitis, with approximately 45%, or approximately nine million, of cases caused by Demodex infestation. Further, we estimate that the number of Demodex blepharitis cases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Market Research Studies and Surveys</w:t>
      </w:r>
    </w:p>
    <w:p>
      <w:pPr>
        <w:spacing w:after="0" w:line="200"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Our market research studies include an ECP survey of 50 ECPs, or the ECP Survey, that we commissioned and which was conducted in 2019 and 2020 to generally determine market awareness and current management of Demodex blepharitis and introduce a hypothetical TP-03 product profile. Twenty ECPs were interviewed in 2019 and 30 ECPs were interviewed in 2020. ECPs were chosen based on a random sample of ophthalmologists and optometrists nationwide that had sufficient exposure to blepharitis patients to provide a representative sample of ECPs who see and manage blepharitis patients, and would potentially be in a position to prescribe TP-03 if it were approved and available. The ECP Survey generally asked ECPs questions regarding their patient base and also introduced the TP-03 product profile to them.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We believe this demonstrates that the market size for blepharitis may be similar to the market size of dry eye and that both are common in the eye care clinics, which informs us on the potential to increase diagnoses through ECP education. As the population of the United States continues to age, we believe this disease will become more prevalent. While we believe the ECP survey provides insight to the potential market size of Demodex patients, since it was a random sampling of ECPs nationwide that had sufficient exposure to blepharitis patients, the sample size of ECPs and corresponding potential patient population was relatively small and the number of blepharitis patients may not be comparable to the number of dry eye patients. The patients may have had overlapping diagnoses but the ECP Survey did not measure any such potential overlap.</w:t>
      </w:r>
    </w:p>
    <w:p>
      <w:pPr>
        <w:spacing w:after="0" w:line="2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-126-</w:t>
      </w:r>
    </w:p>
    <w:p>
      <w:pPr>
        <w:sectPr>
          <w:pgSz w:w="11900" w:h="16838" w:orient="portrait"/>
          <w:cols w:equalWidth="0" w:num="1">
            <w:col w:w="10280"/>
          </w:cols>
          <w:pgMar w:left="320" w:top="410" w:right="129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following figures show that according to the ECP Survey, the number of blepharitis diagnoses approached the number of dry eye diagnoses. This trend is also supported by independent epidemiology studies including one recently published research study that indicates that there is a significant overlap between Dry Eye and Demodex blepharitis with 69% of patients presenting with Demodex blepharitis (Cheng et al. Cornea, September 2020):</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5"/>
          <w:szCs w:val="15"/>
          <w:b w:val="1"/>
          <w:bCs w:val="1"/>
          <w:color w:val="auto"/>
        </w:rPr>
        <w:t>Figures 8 and 9: Blepharitis Diagnoses Approaching Number of Dry Eye Diagnoses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151130</wp:posOffset>
            </wp:positionV>
            <wp:extent cx="4319270" cy="15005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927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Additionally, the ECP Survey obtained feedback on a hypothetical TP-03 product profile, based on the Mars and Jupiter clinical trial data. In the ECP Survey, a total of 25 ophthalmologists and 25 optometrists were educated on the pathognomonic relationship of collarettes to Demodex blepharitis and exposed to the Mars and Jupiter clinical trial data. After exposure, ECPs were asked their intent to prescribe TP-03 if it were available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that 96% of the surveyed ECPs indicated they would prescribe TP-03 as a first-line treatment:</w:t>
      </w:r>
    </w:p>
    <w:p>
      <w:pPr>
        <w:spacing w:after="0" w:line="19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5"/>
          <w:szCs w:val="15"/>
          <w:b w:val="1"/>
          <w:bCs w:val="1"/>
          <w:color w:val="auto"/>
        </w:rPr>
        <w:t>Figure 10: 96% of Surveyed ECPs Indicated Prescribing Intention TP-03 as First-Line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2301240</wp:posOffset>
            </wp:positionH>
            <wp:positionV relativeFrom="paragraph">
              <wp:posOffset>151130</wp:posOffset>
            </wp:positionV>
            <wp:extent cx="2547620" cy="1983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7620" cy="198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20" w:right="260" w:firstLine="753"/>
        <w:spacing w:after="0" w:line="293" w:lineRule="auto"/>
        <w:rPr>
          <w:sz w:val="20"/>
          <w:szCs w:val="20"/>
          <w:color w:val="auto"/>
        </w:rPr>
      </w:pPr>
      <w:r>
        <w:rPr>
          <w:rFonts w:ascii="Times New Roman" w:cs="Times New Roman" w:eastAsia="Times New Roman" w:hAnsi="Times New Roman"/>
          <w:sz w:val="15"/>
          <w:szCs w:val="15"/>
          <w:color w:val="auto"/>
        </w:rPr>
        <w:t>We also sponsored a separate market research survey of 50 patients with blepharitis symptoms, where the presence of “eye crust” on eye lashes was noted as a primary symptom. These patients were randomly</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-127-</w:t>
      </w:r>
    </w:p>
    <w:p>
      <w:pPr>
        <w:sectPr>
          <w:pgSz w:w="11900" w:h="16838" w:orient="portrait"/>
          <w:cols w:equalWidth="0" w:num="1">
            <w:col w:w="10320"/>
          </w:cols>
          <w:pgMar w:left="320" w:top="410" w:right="125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5"/>
          <w:szCs w:val="15"/>
          <w:color w:val="auto"/>
        </w:rPr>
        <w:t>selected nationwide and not chosen in connection with the identity of his or her ECP.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34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the results of this survey:</w:t>
      </w:r>
    </w:p>
    <w:p>
      <w:pPr>
        <w:spacing w:after="0" w:line="1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5"/>
          <w:szCs w:val="15"/>
          <w:b w:val="1"/>
          <w:bCs w:val="1"/>
          <w:color w:val="auto"/>
        </w:rPr>
        <w:t>Figure 11: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151130</wp:posOffset>
            </wp:positionV>
            <wp:extent cx="2869565" cy="2064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69565" cy="206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Once a therapeutic was approved, the diagnosis rate increased by approximately 12 times, growing from 500,000 annual diagnoses in 2003 to over</w:t>
      </w:r>
    </w:p>
    <w:p>
      <w:pPr>
        <w:ind w:left="920"/>
        <w:spacing w:after="0" w:line="259" w:lineRule="auto"/>
        <w:rPr>
          <w:sz w:val="20"/>
          <w:szCs w:val="20"/>
          <w:color w:val="auto"/>
        </w:rPr>
      </w:pPr>
      <w:r>
        <w:rPr>
          <w:rFonts w:ascii="Times New Roman" w:cs="Times New Roman" w:eastAsia="Times New Roman" w:hAnsi="Times New Roman"/>
          <w:sz w:val="15"/>
          <w:szCs w:val="15"/>
          <w:color w:val="auto"/>
        </w:rPr>
        <w:t>six million annual diagnoses by 2015. Annual diagnoses rates have been maintained at similar levels since 2015. We believe the Demodex blepharitis and dry eye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other factors. See “Risk Factors—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0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-128-</w:t>
      </w:r>
    </w:p>
    <w:p>
      <w:pPr>
        <w:sectPr>
          <w:pgSz w:w="11900" w:h="16838" w:orient="portrait"/>
          <w:cols w:equalWidth="0" w:num="1">
            <w:col w:w="10300"/>
          </w:cols>
          <w:pgMar w:left="320" w:top="410" w:right="127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60" w:firstLine="753"/>
        <w:spacing w:after="0" w:line="293" w:lineRule="auto"/>
        <w:rPr>
          <w:sz w:val="20"/>
          <w:szCs w:val="20"/>
          <w:color w:val="auto"/>
        </w:rPr>
      </w:pPr>
      <w:r>
        <w:rPr>
          <w:rFonts w:ascii="Times New Roman" w:cs="Times New Roman" w:eastAsia="Times New Roman" w:hAnsi="Times New Roman"/>
          <w:sz w:val="15"/>
          <w:szCs w:val="15"/>
          <w:color w:val="auto"/>
        </w:rPr>
        <w:t>The following figure shows the annual diagnoses of dry eye disease prior to and after and the launch of an approved therapy for dry eye, with the 2.1 million diagnoses for blepharitis in 2019 shown on the plot for reference:</w:t>
      </w:r>
    </w:p>
    <w:p>
      <w:pPr>
        <w:spacing w:after="0" w:line="1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Figure 12: Dry Eye Diagnoses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151130</wp:posOffset>
            </wp:positionV>
            <wp:extent cx="3514090" cy="1559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14090"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145"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Our market research studies also included an epidemiological evaluation we conducted of 1,121 consecutive patients in eight ophthalmology and optometry practices conducted in 2020, or the Patient Epidemiology Survey, which showed that 58% of all patients entering the practices had collarettes and all patients entering practices with collarettes were also found to have Demodex blepharitis. By comparison, 20% of those same 1,121 patients were currently on a prescription therapeutic for dry eye disease (Restasis or Xiidra). Additionally, 13% of the 1,121 patients presented with collarettes and were also on a prescription therapeutic for dry eye at the same time. The clinics in the Patient Epidemiology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w:t>
      </w:r>
    </w:p>
    <w:p>
      <w:pPr>
        <w:spacing w:after="0" w:line="1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the prevalence of collarettes and prevalence distribution by clinic, from the Patient Epidemiology Survey:</w:t>
      </w:r>
    </w:p>
    <w:p>
      <w:pPr>
        <w:spacing w:after="0" w:line="19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Figures 13 and 14: Prevalence of Collarettes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19685</wp:posOffset>
            </wp:positionV>
            <wp:extent cx="3982720" cy="15151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82720" cy="151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-129-</w:t>
      </w:r>
    </w:p>
    <w:p>
      <w:pPr>
        <w:sectPr>
          <w:pgSz w:w="11900" w:h="16838" w:orient="portrait"/>
          <w:cols w:equalWidth="0" w:num="1">
            <w:col w:w="10320"/>
          </w:cols>
          <w:pgMar w:left="320" w:top="410" w:right="125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We believe the data has demonstrated that there is a significant population for blepharitis, and for Demodex blepharitis more specifically, since the number of patients with collarettes exceeded by almost three times the number of patients on a prescription therapeutic for dry eye disease. While there is overlap between the number of patients with collarettes and the number of patients with dry eye and the number of patients with dry eye is most likely higher than the number of patients currently on a prescription for dry eye, and we believe the data shows a potential significant population for Demodex blepharitis.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158" w:lineRule="exact"/>
        <w:rPr>
          <w:sz w:val="20"/>
          <w:szCs w:val="20"/>
          <w:color w:val="auto"/>
        </w:rPr>
      </w:pPr>
    </w:p>
    <w:p>
      <w:pPr>
        <w:ind w:left="920" w:right="320" w:firstLine="753"/>
        <w:spacing w:after="0" w:line="275" w:lineRule="auto"/>
        <w:rPr>
          <w:sz w:val="20"/>
          <w:szCs w:val="20"/>
          <w:color w:val="auto"/>
        </w:rPr>
      </w:pPr>
      <w:r>
        <w:rPr>
          <w:rFonts w:ascii="Times New Roman" w:cs="Times New Roman" w:eastAsia="Times New Roman" w:hAnsi="Times New Roman"/>
          <w:sz w:val="15"/>
          <w:szCs w:val="15"/>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ophthalmology community and represents an important step in educating ECPs about Demodex blepharitis.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Current Treatment Options and Their Limitations</w:t>
      </w:r>
    </w:p>
    <w:p>
      <w:pPr>
        <w:spacing w:after="0" w:line="200" w:lineRule="exact"/>
        <w:rPr>
          <w:sz w:val="20"/>
          <w:szCs w:val="20"/>
          <w:color w:val="auto"/>
        </w:rPr>
      </w:pPr>
    </w:p>
    <w:p>
      <w:pPr>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Despite the high prevalence of patients with Demodex blepharitis and growing awareness of the condition amongst ECPs, there are no FDA-approved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These approaches have significant limitations, including:</w:t>
      </w:r>
    </w:p>
    <w:p>
      <w:pPr>
        <w:spacing w:after="0" w:line="219" w:lineRule="exact"/>
        <w:rPr>
          <w:sz w:val="20"/>
          <w:szCs w:val="20"/>
          <w:color w:val="auto"/>
        </w:rPr>
      </w:pPr>
    </w:p>
    <w:p>
      <w:pPr>
        <w:ind w:left="2040" w:hanging="278"/>
        <w:spacing w:after="0"/>
        <w:tabs>
          <w:tab w:leader="none" w:pos="20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limited efficacy of over-the-counter and off-label treatments as well as device-based treatments administered in clinic by ECPs;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insufficient definitive knowledge of diagnostic criteria to guide treatment decisions;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prohibitive side effects (significant burning and stinging) from treatments that target Demodex mites (e.g. tea tree oil);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 treatments do not eradicate the Demodex mites, leading to a chronic and progressive condition.</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Our Approach: Treating Demodex Mites, a Root Cause of Disease</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secondary and/or exploratory, endpoints, as applicable, in each of the four completed Phase 2 trials. TP-03 was generally well tolerated throughout these trials. As a result, we believe that TP-03 has the potential to be the first ever approved therapeutic for Demodex blepharitis.</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-130-</w:t>
      </w:r>
    </w:p>
    <w:p>
      <w:pPr>
        <w:sectPr>
          <w:pgSz w:w="11900" w:h="16838" w:orient="portrait"/>
          <w:cols w:equalWidth="0" w:num="1">
            <w:col w:w="10320"/>
          </w:cols>
          <w:pgMar w:left="320" w:top="410" w:right="125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summarizes the key advantages of TP-03:</w:t>
      </w:r>
    </w:p>
    <w:p>
      <w:pPr>
        <w:spacing w:after="0" w:line="19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Figure 15: Summary of TP-03 Key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29125" cy="22326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429125" cy="223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80" w:right="240" w:hanging="360"/>
        <w:spacing w:after="0" w:line="261" w:lineRule="auto"/>
        <w:tabs>
          <w:tab w:leader="none" w:pos="1280" w:val="left"/>
        </w:tabs>
        <w:numPr>
          <w:ilvl w:val="0"/>
          <w:numId w:val="10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Blepharitis can increase the risk for both infection after cataract and refractive surgery and discomfort and can cause intolerance to contact lenses so treating Demodex blepharitis may improve tolerance to contact lenses and improve patient satisfaction with cataract and refractive surgery</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Commercial Strategy for Demodex Blepharitis Launch</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If approved, we plan to commercialize TP-03 in the United States with a focused, specialty sales force, direct-to-consumer, or DTC, campaign, and ECP education campaigns with key opinion leaders, and professional associations.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 We also believe that TP-03 has potential for favorable reimbursement as we expect that a novel treatment for Demodex blepharitis will drive compelling pricing and modest discounts.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TP-03 Eye Drops – Mechanism of Action</w:t>
      </w:r>
    </w:p>
    <w:p>
      <w:pPr>
        <w:spacing w:after="0" w:line="223" w:lineRule="exact"/>
        <w:rPr>
          <w:sz w:val="20"/>
          <w:szCs w:val="20"/>
          <w:color w:val="auto"/>
        </w:rPr>
      </w:pPr>
    </w:p>
    <w:p>
      <w:pPr>
        <w:ind w:left="920" w:right="1000" w:firstLine="553"/>
        <w:spacing w:after="0" w:line="262" w:lineRule="auto"/>
        <w:rPr>
          <w:sz w:val="20"/>
          <w:szCs w:val="20"/>
          <w:color w:val="auto"/>
        </w:rPr>
      </w:pPr>
      <w:r>
        <w:rPr>
          <w:rFonts w:ascii="Times New Roman" w:cs="Times New Roman" w:eastAsia="Times New Roman" w:hAnsi="Times New Roman"/>
          <w:sz w:val="15"/>
          <w:szCs w:val="15"/>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6085840</wp:posOffset>
            </wp:positionH>
            <wp:positionV relativeFrom="paragraph">
              <wp:posOffset>-827405</wp:posOffset>
            </wp:positionV>
            <wp:extent cx="314960" cy="929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4960" cy="929640"/>
                    </a:xfrm>
                    <a:prstGeom prst="rect">
                      <a:avLst/>
                    </a:prstGeom>
                    <a:noFill/>
                  </pic:spPr>
                </pic:pic>
              </a:graphicData>
            </a:graphic>
          </wp:anchor>
        </w:drawing>
      </w:r>
    </w:p>
    <w:p>
      <w:pPr>
        <w:spacing w:after="0" w:line="2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-131-</w:t>
      </w:r>
    </w:p>
    <w:p>
      <w:pPr>
        <w:sectPr>
          <w:pgSz w:w="11900" w:h="16838" w:orient="portrait"/>
          <w:cols w:equalWidth="0" w:num="1">
            <w:col w:w="10300"/>
          </w:cols>
          <w:pgMar w:left="320" w:top="410" w:right="127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figures show the intended paralysis of mites in the hair follicle by TP-03 administration:</w:t>
      </w:r>
    </w:p>
    <w:p>
      <w:pPr>
        <w:spacing w:after="0" w:line="19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b w:val="1"/>
          <w:bCs w:val="1"/>
          <w:color w:val="auto"/>
        </w:rPr>
        <w:t>Figure 16: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36110" cy="2064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36110" cy="206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Clinical Development Program</w:t>
      </w:r>
    </w:p>
    <w:p>
      <w:pPr>
        <w:spacing w:after="0" w:line="196"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 xml:space="preserve">We have completed four Phase 2 clinical trials to date, along with one additional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study. The table below summarizes completed and planned clinical investigations evaluating TP-03 for Demodex blepharitis. We plan to evaluate TP-03 in two pivotal registration trials, referred to as Saturn-1 and Saturn-2. Saturn-1 is a Phase 2b/3, randomized, controlled, double-blind trial to evaluate the safety and efficacy of TP-03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 results to support the potential submission of an NDA for TP-03 for the treatment of Demodex blepharitis.</w:t>
      </w:r>
    </w:p>
    <w:p>
      <w:pPr>
        <w:spacing w:after="0" w:line="1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-132-</w:t>
      </w:r>
    </w:p>
    <w:p>
      <w:pPr>
        <w:sectPr>
          <w:pgSz w:w="11900" w:h="16838" w:orient="portrait"/>
          <w:cols w:equalWidth="0" w:num="1">
            <w:col w:w="10320"/>
          </w:cols>
          <w:pgMar w:left="320" w:top="410" w:right="125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our completed and planned investigations evaluating TP-03 for Demodex blepharitis:</w:t>
      </w:r>
    </w:p>
    <w:p>
      <w:pPr>
        <w:spacing w:after="0" w:line="19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5"/>
          <w:szCs w:val="15"/>
          <w:b w:val="1"/>
          <w:bCs w:val="1"/>
          <w:color w:val="auto"/>
        </w:rPr>
        <w:t>Figure 17: Completed and Planned Investigations Evaluating TP-03 for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151130</wp:posOffset>
            </wp:positionV>
            <wp:extent cx="4421505" cy="254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21505" cy="254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20"/>
        <w:spacing w:after="0" w:line="228" w:lineRule="auto"/>
        <w:tabs>
          <w:tab w:leader="none" w:pos="1012"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spacing w:after="0" w:line="1" w:lineRule="exact"/>
        <w:rPr>
          <w:rFonts w:ascii="Times New Roman" w:cs="Times New Roman" w:eastAsia="Times New Roman" w:hAnsi="Times New Roman"/>
          <w:sz w:val="12"/>
          <w:szCs w:val="12"/>
          <w:color w:val="auto"/>
        </w:rPr>
      </w:pPr>
    </w:p>
    <w:p>
      <w:pPr>
        <w:ind w:left="920"/>
        <w:spacing w:after="0" w:line="22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Primary endpoint in Io, Europa, Saturn-1 and intended in Saturn-2 is collarette cure rate based on collarette grade.</w:t>
      </w:r>
    </w:p>
    <w:p>
      <w:pPr>
        <w:ind w:left="920"/>
        <w:spacing w:after="0" w:line="22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 connection with our IND application, a no-objection letter was received from the FDA regarding the trial design of the Saturn-1 trial.</w:t>
      </w:r>
    </w:p>
    <w:p>
      <w:pPr>
        <w:ind w:left="9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Saturn-2 design is highly comparable to that of Saturn-1 with respect to which the FDA raised “no-objection” and we expect to update the IND protocol prior to commencing Saturn-2.</w:t>
      </w:r>
    </w:p>
    <w:p>
      <w:pPr>
        <w:spacing w:after="0" w:line="164" w:lineRule="exact"/>
        <w:rPr>
          <w:sz w:val="20"/>
          <w:szCs w:val="20"/>
          <w:color w:val="auto"/>
        </w:rPr>
      </w:pPr>
    </w:p>
    <w:p>
      <w:pPr>
        <w:ind w:left="920" w:right="480" w:firstLine="753"/>
        <w:spacing w:after="0" w:line="293" w:lineRule="auto"/>
        <w:rPr>
          <w:sz w:val="20"/>
          <w:szCs w:val="20"/>
          <w:color w:val="auto"/>
        </w:rPr>
      </w:pPr>
      <w:r>
        <w:rPr>
          <w:rFonts w:ascii="Times New Roman" w:cs="Times New Roman" w:eastAsia="Times New Roman" w:hAnsi="Times New Roman"/>
          <w:sz w:val="15"/>
          <w:szCs w:val="15"/>
          <w:color w:val="auto"/>
        </w:rPr>
        <w:t>TP-03 is a presentation of lotilaner, the API, formulated into a topical eye drop formulation. Only one dose strength of TP-03, 0.25% lotilaner solution was used across all clinical trials and studies.</w:t>
      </w:r>
    </w:p>
    <w:p>
      <w:pPr>
        <w:spacing w:after="0" w:line="132" w:lineRule="exact"/>
        <w:rPr>
          <w:sz w:val="20"/>
          <w:szCs w:val="20"/>
          <w:color w:val="auto"/>
        </w:rPr>
      </w:pPr>
    </w:p>
    <w:p>
      <w:pPr>
        <w:jc w:val="both"/>
        <w:ind w:left="920" w:right="260" w:firstLine="753"/>
        <w:spacing w:after="0" w:line="275" w:lineRule="auto"/>
        <w:rPr>
          <w:sz w:val="20"/>
          <w:szCs w:val="20"/>
          <w:color w:val="auto"/>
        </w:rPr>
      </w:pPr>
      <w:r>
        <w:rPr>
          <w:rFonts w:ascii="Times New Roman" w:cs="Times New Roman" w:eastAsia="Times New Roman" w:hAnsi="Times New Roman"/>
          <w:sz w:val="15"/>
          <w:szCs w:val="15"/>
          <w:color w:val="auto"/>
        </w:rPr>
        <w:t>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Mercury Study</w:t>
      </w:r>
    </w:p>
    <w:p>
      <w:pPr>
        <w:spacing w:after="0" w:line="196" w:lineRule="exact"/>
        <w:rPr>
          <w:sz w:val="20"/>
          <w:szCs w:val="20"/>
          <w:color w:val="auto"/>
        </w:rPr>
      </w:pPr>
    </w:p>
    <w:p>
      <w:pPr>
        <w:ind w:left="920" w:right="20" w:firstLine="753"/>
        <w:spacing w:after="0" w:line="267" w:lineRule="auto"/>
        <w:rPr>
          <w:sz w:val="20"/>
          <w:szCs w:val="20"/>
          <w:color w:val="auto"/>
        </w:rPr>
      </w:pPr>
      <w:r>
        <w:rPr>
          <w:rFonts w:ascii="Times New Roman" w:cs="Times New Roman" w:eastAsia="Times New Roman" w:hAnsi="Times New Roman"/>
          <w:sz w:val="15"/>
          <w:szCs w:val="15"/>
          <w:color w:val="auto"/>
        </w:rPr>
        <w:t xml:space="preserve">The Mercury preclinical study was an </w:t>
      </w:r>
      <w:r>
        <w:rPr>
          <w:rFonts w:ascii="Times New Roman" w:cs="Times New Roman" w:eastAsia="Times New Roman" w:hAnsi="Times New Roman"/>
          <w:sz w:val="15"/>
          <w:szCs w:val="15"/>
          <w:i w:val="1"/>
          <w:iCs w:val="1"/>
          <w:color w:val="auto"/>
        </w:rPr>
        <w:t>ex vivo</w:t>
      </w:r>
      <w:r>
        <w:rPr>
          <w:rFonts w:ascii="Times New Roman" w:cs="Times New Roman" w:eastAsia="Times New Roman" w:hAnsi="Times New Roman"/>
          <w:sz w:val="15"/>
          <w:szCs w:val="15"/>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Times New Roman" w:cs="Times New Roman" w:eastAsia="Times New Roman" w:hAnsi="Times New Roman"/>
          <w:sz w:val="15"/>
          <w:szCs w:val="15"/>
          <w:i w:val="1"/>
          <w:iCs w:val="1"/>
          <w:color w:val="auto"/>
        </w:rPr>
        <w:t xml:space="preserve">ex vivo </w:t>
      </w:r>
      <w:r>
        <w:rPr>
          <w:rFonts w:ascii="Times New Roman" w:cs="Times New Roman" w:eastAsia="Times New Roman" w:hAnsi="Times New Roman"/>
          <w:sz w:val="15"/>
          <w:szCs w:val="15"/>
          <w:color w:val="auto"/>
        </w:rPr>
        <w:t>efficacy results of the Mercury study show that 100% of mites subjected to the pilot formulation of TP-03 were dead within 24 hours and more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than 70% of mites subjected to the formulation with no active ingredient were still viable after four days of observation.</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-133-</w:t>
      </w:r>
    </w:p>
    <w:p>
      <w:pPr>
        <w:sectPr>
          <w:pgSz w:w="11900" w:h="16838" w:orient="portrait"/>
          <w:cols w:equalWidth="0" w:num="1">
            <w:col w:w="10320"/>
          </w:cols>
          <w:pgMar w:left="320" w:top="410" w:right="1259" w:bottom="1440" w:gutter="0" w:footer="0" w:header="0"/>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The following figure presents the efficacy results on Demodex mite survival probability over time, with the shaded regions representing the 95% confidence interval for each of the two groups:</w:t>
      </w:r>
    </w:p>
    <w:p>
      <w:pPr>
        <w:spacing w:after="0" w:line="1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 xml:space="preserve">Figure 18: Mercury Study </w:t>
      </w:r>
      <w:r>
        <w:rPr>
          <w:rFonts w:ascii="Times New Roman" w:cs="Times New Roman" w:eastAsia="Times New Roman" w:hAnsi="Times New Roman"/>
          <w:sz w:val="15"/>
          <w:szCs w:val="15"/>
          <w:b w:val="1"/>
          <w:bCs w:val="1"/>
          <w:i w:val="1"/>
          <w:iCs w:val="1"/>
          <w:color w:val="auto"/>
        </w:rPr>
        <w:t>Ex Vivo</w:t>
      </w:r>
      <w:r>
        <w:rPr>
          <w:rFonts w:ascii="Times New Roman" w:cs="Times New Roman" w:eastAsia="Times New Roman" w:hAnsi="Times New Roman"/>
          <w:sz w:val="15"/>
          <w:szCs w:val="15"/>
          <w:b w:val="1"/>
          <w:bCs w:val="1"/>
          <w:color w:val="auto"/>
        </w:rPr>
        <w:t xml:space="preserve">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2264410</wp:posOffset>
            </wp:positionH>
            <wp:positionV relativeFrom="paragraph">
              <wp:posOffset>151130</wp:posOffset>
            </wp:positionV>
            <wp:extent cx="2613660" cy="20427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13660"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Mars Phase 2a Single-Arm Clinical Trial</w:t>
      </w:r>
    </w:p>
    <w:p>
      <w:pPr>
        <w:spacing w:after="0" w:line="200"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beyond Day 1. Fourteen of the 15 subjects who received treatment completed the trial through Day 28. Twelve of the 15 subjects continued through 90 days (62 days post-treatment) and three subjects did not continue the trial after Day 28. In data described below, one subject was lost to follow-up after Day 2, one subject missed the Day 7 visit and one subject missed the Day 14 visit.</w:t>
      </w:r>
    </w:p>
    <w:p>
      <w:pPr>
        <w:spacing w:after="0" w:line="153"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-134-</w:t>
      </w:r>
    </w:p>
    <w:p>
      <w:pPr>
        <w:sectPr>
          <w:pgSz w:w="11900" w:h="16838" w:orient="portrait"/>
          <w:cols w:equalWidth="0" w:num="1">
            <w:col w:w="10260"/>
          </w:cols>
          <w:pgMar w:left="320" w:top="410" w:right="131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5"/>
          <w:szCs w:val="15"/>
          <w:color w:val="auto"/>
        </w:rPr>
        <w:t>The following figure illustrates representative photos of two Mars subjects at baseline and Day 28 who exhibited a collarette cure:</w:t>
      </w:r>
    </w:p>
    <w:p>
      <w:pPr>
        <w:spacing w:after="0" w:line="19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5"/>
          <w:szCs w:val="15"/>
          <w:b w:val="1"/>
          <w:bCs w:val="1"/>
          <w:color w:val="auto"/>
        </w:rPr>
        <w:t>Figure 19: Two Mars Trial Subjects at Baseline and Day 28 Who Exhibited a Collarette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151130</wp:posOffset>
            </wp:positionV>
            <wp:extent cx="2869565" cy="2327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69565" cy="232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0" w:firstLine="753"/>
        <w:spacing w:after="0" w:line="272" w:lineRule="auto"/>
        <w:rPr>
          <w:sz w:val="20"/>
          <w:szCs w:val="20"/>
          <w:color w:val="auto"/>
        </w:rPr>
      </w:pPr>
      <w:r>
        <w:rPr>
          <w:rFonts w:ascii="Times New Roman" w:cs="Times New Roman" w:eastAsia="Times New Roman" w:hAnsi="Times New Roman"/>
          <w:sz w:val="15"/>
          <w:szCs w:val="15"/>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336"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-135-</w:t>
      </w:r>
    </w:p>
    <w:p>
      <w:pPr>
        <w:sectPr>
          <w:pgSz w:w="11900" w:h="16838" w:orient="portrait"/>
          <w:cols w:equalWidth="0" w:num="1">
            <w:col w:w="10280"/>
          </w:cols>
          <w:pgMar w:left="320" w:top="410" w:right="129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the data for each visit day:</w:t>
      </w:r>
    </w:p>
    <w:p>
      <w:pPr>
        <w:spacing w:after="0" w:line="19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5"/>
          <w:szCs w:val="15"/>
          <w:b w:val="1"/>
          <w:bCs w:val="1"/>
          <w:color w:val="auto"/>
        </w:rPr>
        <w:t>Figures 20 and 21: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151130</wp:posOffset>
            </wp:positionV>
            <wp:extent cx="4450715" cy="1837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50715" cy="183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There were no adverse events reported and TP-03 was well tolerated. No subjects discontinued the trial due to adverse events.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Jupiter Phase 2b Trial</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(pilot formulation) or with a vehicle control BID for 28 days. Subjects were followed to 90 days (62 days post-treatment) to evaluate post-treatment duration of effect. The primary endpoint was mite density for the treatment group as compared to the mite density for the vehicle control group at Day 28 and the secondary endpoint was collarette grade as compared to the collarette grade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59"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proportion of subjects who exhibited a collarette cure was statistically significant for TP-03 compared to vehicle control at Day 14 (78% vs. 44% subjects, p = 0.020), Day 28 (88% vs. 22%, p &lt; 0.001) and post-treatment at Day 60 (95% vs. 26%, p &lt; 0.001) and Day 90 (96% vs. 15%, p &lt; 0.001).</w:t>
      </w:r>
    </w:p>
    <w:p>
      <w:pPr>
        <w:spacing w:after="0" w:line="145" w:lineRule="exact"/>
        <w:rPr>
          <w:sz w:val="20"/>
          <w:szCs w:val="20"/>
          <w:color w:val="auto"/>
        </w:rPr>
      </w:pPr>
    </w:p>
    <w:p>
      <w:pPr>
        <w:ind w:left="920" w:right="20" w:firstLine="753"/>
        <w:spacing w:after="0" w:line="286" w:lineRule="auto"/>
        <w:rPr>
          <w:sz w:val="20"/>
          <w:szCs w:val="20"/>
          <w:color w:val="auto"/>
        </w:rPr>
      </w:pPr>
      <w:r>
        <w:rPr>
          <w:rFonts w:ascii="Times New Roman" w:cs="Times New Roman" w:eastAsia="Times New Roman" w:hAnsi="Times New Roman"/>
          <w:sz w:val="15"/>
          <w:szCs w:val="15"/>
          <w:color w:val="auto"/>
        </w:rPr>
        <w:t>The proportion of subjects who exhibited mite eradication was statistically significant for TP-03 compared to vehicle control at Day 14 (35% vs. 4% subjects, p = 0.009), Day 28 (67% vs. 26%, p = 0.005) and post-treatment at Day 60 (85% vs. 7%, p &lt; 0.001) and Day 90 (68% vs. 19%, p = 0.001).</w:t>
      </w:r>
    </w:p>
    <w:p>
      <w:pPr>
        <w:spacing w:after="0" w:line="26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-136-</w:t>
      </w:r>
    </w:p>
    <w:p>
      <w:pPr>
        <w:sectPr>
          <w:pgSz w:w="11900" w:h="16838" w:orient="portrait"/>
          <w:cols w:equalWidth="0" w:num="1">
            <w:col w:w="10300"/>
          </w:cols>
          <w:pgMar w:left="320" w:top="410" w:right="1279"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figures show the collarette cure and mite eradication rates for each visit day:</w:t>
      </w:r>
    </w:p>
    <w:p>
      <w:pPr>
        <w:spacing w:after="0" w:line="19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b w:val="1"/>
          <w:bCs w:val="1"/>
          <w:color w:val="auto"/>
        </w:rPr>
        <w:t>Figures 22 and 23: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29125" cy="1786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29125" cy="178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20" w:right="400" w:firstLine="753"/>
        <w:spacing w:after="0" w:line="293" w:lineRule="auto"/>
        <w:rPr>
          <w:sz w:val="20"/>
          <w:szCs w:val="20"/>
          <w:color w:val="auto"/>
        </w:rPr>
      </w:pPr>
      <w:r>
        <w:rPr>
          <w:rFonts w:ascii="Times New Roman" w:cs="Times New Roman" w:eastAsia="Times New Roman" w:hAnsi="Times New Roman"/>
          <w:sz w:val="15"/>
          <w:szCs w:val="15"/>
          <w:color w:val="auto"/>
        </w:rPr>
        <w:t>There were no serious adverse events reported and TP-03 was well tolerated. Any adverse events were not related to treatment and no subjects discontinued the trial due to adverse events.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Trials With Updated Protocol and Formulation Designed to Support Pivotal Trials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Io Phase 2a Trial</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as a more stringent standard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 are consistent with the design and formulation to be utilized in our Saturn-1 Phase 2b/3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 In data described below, three subjects missed the Day 7 visit, one subject missed the Day 14 visit and one subject missed the Day 28 visit.</w:t>
      </w:r>
    </w:p>
    <w:p>
      <w:pPr>
        <w:spacing w:after="0" w:line="156"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The proportion of subjects who exhibited a collarette cure was statistically significant for TP-03 compared to baseline by Day 14 with 29% of subjects (5 of 17 subjects, p &lt; 0.05), at Day 28 with 71% of subjects (12 of 17 subjects, p &lt; 0.05) and at Day 42 with 72% of subjects (13 of 18 subjects, p &lt; 0.05).</w:t>
      </w:r>
    </w:p>
    <w:p>
      <w:pPr>
        <w:spacing w:after="0" w:line="145"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The proportion of subjects who exhibited mite eradication was statistically significant for TP-03 compared to baseline by Day 14 with 47% of subjects (8 of 17 subjects, p &lt; 0.05), at Day 28 with 59% of subjects (10 of 17 subjects, p &lt; 0.05) and at Day 42 with 78% of subjects (14 of 18 subjects, p &lt; 0.05).</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-137-</w:t>
      </w:r>
    </w:p>
    <w:p>
      <w:pPr>
        <w:sectPr>
          <w:pgSz w:w="11900" w:h="16838" w:orient="portrait"/>
          <w:cols w:equalWidth="0" w:num="1">
            <w:col w:w="10300"/>
          </w:cols>
          <w:pgMar w:left="320" w:top="410" w:right="1279"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figures present the collarette cure and mite eradication rates for each visit day:</w:t>
      </w:r>
    </w:p>
    <w:p>
      <w:pPr>
        <w:spacing w:after="0" w:line="19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Figures 24 and 25: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151130</wp:posOffset>
            </wp:positionV>
            <wp:extent cx="4385310" cy="1551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8531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provides a summary of treatment emergent adverse events for the trial:</w:t>
      </w:r>
    </w:p>
    <w:p>
      <w:pPr>
        <w:spacing w:after="0" w:line="19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5"/>
          <w:szCs w:val="15"/>
          <w:b w:val="1"/>
          <w:bCs w:val="1"/>
          <w:color w:val="auto"/>
        </w:rPr>
        <w:t>Figure 26: Summary of Treatment Emergent Adverse Events</w:t>
      </w:r>
    </w:p>
    <w:p>
      <w:pPr>
        <w:spacing w:after="0" w:line="205" w:lineRule="exact"/>
        <w:rPr>
          <w:sz w:val="20"/>
          <w:szCs w:val="20"/>
          <w:color w:val="auto"/>
        </w:rPr>
      </w:pPr>
    </w:p>
    <w:tbl>
      <w:tblPr>
        <w:tblLayout w:type="fixed"/>
        <w:tblInd w:w="3840" w:type="dxa"/>
        <w:tblCellMar>
          <w:top w:w="0" w:type="dxa"/>
          <w:left w:w="0" w:type="dxa"/>
          <w:bottom w:w="0" w:type="dxa"/>
          <w:right w:w="0" w:type="dxa"/>
        </w:tblCellMar>
      </w:tblPr>
      <w:tr>
        <w:trPr>
          <w:trHeight w:val="138"/>
        </w:trPr>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Adverse Event</w:t>
            </w:r>
          </w:p>
        </w:tc>
        <w:tc>
          <w:tcPr>
            <w:tcW w:w="2100" w:type="dxa"/>
            <w:vAlign w:val="bottom"/>
            <w:vMerge w:val="restart"/>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N=18</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n (%)</w:t>
            </w:r>
          </w:p>
        </w:tc>
        <w:tc>
          <w:tcPr>
            <w:tcW w:w="0" w:type="dxa"/>
            <w:vAlign w:val="bottom"/>
          </w:tcPr>
          <w:p>
            <w:pPr>
              <w:spacing w:after="0"/>
              <w:rPr>
                <w:sz w:val="1"/>
                <w:szCs w:val="1"/>
                <w:color w:val="auto"/>
              </w:rPr>
            </w:pPr>
          </w:p>
        </w:tc>
      </w:tr>
      <w:tr>
        <w:trPr>
          <w:trHeight w:val="168"/>
        </w:trPr>
        <w:tc>
          <w:tcPr>
            <w:tcW w:w="288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Transient burning</w:t>
            </w:r>
          </w:p>
        </w:tc>
        <w:tc>
          <w:tcPr>
            <w:tcW w:w="640" w:type="dxa"/>
            <w:vAlign w:val="bottom"/>
            <w:tcBorders>
              <w:top w:val="single" w:sz="8" w:color="auto"/>
            </w:tcBorders>
            <w:shd w:val="clear" w:color="auto" w:fill="CCEEFF"/>
          </w:tcPr>
          <w:p>
            <w:pPr>
              <w:ind w:left="140"/>
              <w:spacing w:after="0" w:line="168" w:lineRule="exact"/>
              <w:rPr>
                <w:sz w:val="20"/>
                <w:szCs w:val="20"/>
                <w:color w:val="auto"/>
              </w:rPr>
            </w:pPr>
            <w:r>
              <w:rPr>
                <w:rFonts w:ascii="Times New Roman" w:cs="Times New Roman" w:eastAsia="Times New Roman" w:hAnsi="Times New Roman"/>
                <w:sz w:val="15"/>
                <w:szCs w:val="15"/>
                <w:color w:val="auto"/>
                <w:w w:val="98"/>
              </w:rPr>
              <w:t>4 (22%)</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Transient blurriness</w:t>
            </w:r>
          </w:p>
        </w:tc>
        <w:tc>
          <w:tcPr>
            <w:tcW w:w="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1 (6%)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Europa Phase 2b Trial</w:t>
      </w:r>
    </w:p>
    <w:p>
      <w:pPr>
        <w:spacing w:after="0" w:line="200"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2b/3 trial. Subjects were treated with either TP-03 or with a vehicle control BID for 42 days. A total of 54 subjects were enrolled in the trial with 34 subjects completing the trial through Day 42.</w:t>
      </w:r>
    </w:p>
    <w:p>
      <w:pPr>
        <w:spacing w:after="0" w:line="152"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(redness) compared to vehicle control. Subjects were also asked to rate the comfort of the trial eye drop at Day 42.</w:t>
      </w:r>
    </w:p>
    <w:p>
      <w:pPr>
        <w:spacing w:after="0" w:line="152" w:lineRule="exact"/>
        <w:rPr>
          <w:sz w:val="20"/>
          <w:szCs w:val="20"/>
          <w:color w:val="auto"/>
        </w:rPr>
      </w:pPr>
    </w:p>
    <w:p>
      <w:pPr>
        <w:ind w:left="920" w:right="340" w:firstLine="753"/>
        <w:spacing w:after="0" w:line="293" w:lineRule="auto"/>
        <w:rPr>
          <w:sz w:val="20"/>
          <w:szCs w:val="20"/>
          <w:color w:val="auto"/>
        </w:rPr>
      </w:pPr>
      <w:r>
        <w:rPr>
          <w:rFonts w:ascii="Times New Roman" w:cs="Times New Roman" w:eastAsia="Times New Roman" w:hAnsi="Times New Roman"/>
          <w:sz w:val="15"/>
          <w:szCs w:val="15"/>
          <w:color w:val="auto"/>
        </w:rPr>
        <w:t>The proportion of subjects who exhibited a collarette cure was statistically significant for TP-03 compared to vehicle control at Day 28 (72% vs 11% subjects, p &lt; 0.001) and Day 42 (80% vs. 16%, p &lt; 0.001).</w:t>
      </w:r>
    </w:p>
    <w:p>
      <w:pPr>
        <w:spacing w:after="0" w:line="132" w:lineRule="exact"/>
        <w:rPr>
          <w:sz w:val="20"/>
          <w:szCs w:val="20"/>
          <w:color w:val="auto"/>
        </w:rPr>
      </w:pPr>
    </w:p>
    <w:p>
      <w:pPr>
        <w:ind w:left="920" w:right="220" w:firstLine="753"/>
        <w:spacing w:after="0" w:line="293" w:lineRule="auto"/>
        <w:rPr>
          <w:sz w:val="20"/>
          <w:szCs w:val="20"/>
          <w:color w:val="auto"/>
        </w:rPr>
      </w:pPr>
      <w:r>
        <w:rPr>
          <w:rFonts w:ascii="Times New Roman" w:cs="Times New Roman" w:eastAsia="Times New Roman" w:hAnsi="Times New Roman"/>
          <w:sz w:val="15"/>
          <w:szCs w:val="15"/>
          <w:color w:val="auto"/>
        </w:rPr>
        <w:t>The proportion of subjects who exhibited a mite eradication was statistically significant for TP-03 compared to vehicle control at Day 28 (56% vs 11% subjects, p = 0.006) and Day 42 (73% vs. 21%, p = 0.003).</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-138-</w:t>
      </w:r>
    </w:p>
    <w:p>
      <w:pPr>
        <w:sectPr>
          <w:pgSz w:w="11900" w:h="16838" w:orient="portrait"/>
          <w:cols w:equalWidth="0" w:num="1">
            <w:col w:w="10300"/>
          </w:cols>
          <w:pgMar w:left="320" w:top="410" w:right="1279"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figures show the collarette cure and mite eradication rates for each visit day:</w:t>
      </w:r>
    </w:p>
    <w:p>
      <w:pPr>
        <w:spacing w:after="0" w:line="19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5"/>
          <w:szCs w:val="15"/>
          <w:b w:val="1"/>
          <w:bCs w:val="1"/>
          <w:color w:val="auto"/>
        </w:rPr>
        <w:t>Figures 27 and 28: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151130</wp:posOffset>
            </wp:positionV>
            <wp:extent cx="3997325" cy="16179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9732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20" w:firstLine="753"/>
        <w:spacing w:after="0" w:line="286" w:lineRule="auto"/>
        <w:rPr>
          <w:sz w:val="20"/>
          <w:szCs w:val="20"/>
          <w:color w:val="auto"/>
        </w:rPr>
      </w:pPr>
      <w:r>
        <w:rPr>
          <w:rFonts w:ascii="Times New Roman" w:cs="Times New Roman" w:eastAsia="Times New Roman" w:hAnsi="Times New Roman"/>
          <w:sz w:val="15"/>
          <w:szCs w:val="15"/>
          <w:color w:val="auto"/>
        </w:rPr>
        <w:t>As provided in the figures below, the proportion of subjects who exhibited composite cure rate of zero lid erythema combined with collarette cure was statistically significant for TP-03 compared to vehicle control at Day 28 (67% vs 11% subjects, p &lt; 0.001) and Day 42 (73% vs. 11%, p &lt; 0.001).</w:t>
      </w:r>
    </w:p>
    <w:p>
      <w:pPr>
        <w:spacing w:after="0" w:line="3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data for each visit day:</w:t>
      </w:r>
    </w:p>
    <w:p>
      <w:pPr>
        <w:spacing w:after="0" w:line="19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b w:val="1"/>
          <w:bCs w:val="1"/>
          <w:color w:val="auto"/>
        </w:rPr>
        <w:t>Figure 29: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151130</wp:posOffset>
            </wp:positionV>
            <wp:extent cx="2415540" cy="1815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15540" cy="181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20" w:right="160" w:firstLine="753"/>
        <w:spacing w:after="0" w:line="264" w:lineRule="auto"/>
        <w:rPr>
          <w:sz w:val="20"/>
          <w:szCs w:val="20"/>
          <w:color w:val="auto"/>
        </w:rPr>
      </w:pPr>
      <w:r>
        <w:rPr>
          <w:rFonts w:ascii="Times New Roman" w:cs="Times New Roman" w:eastAsia="Times New Roman" w:hAnsi="Times New Roman"/>
          <w:sz w:val="15"/>
          <w:szCs w:val="15"/>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-139-</w:t>
      </w:r>
    </w:p>
    <w:p>
      <w:pPr>
        <w:sectPr>
          <w:pgSz w:w="11900" w:h="16838" w:orient="portrait"/>
          <w:cols w:equalWidth="0" w:num="1">
            <w:col w:w="10320"/>
          </w:cols>
          <w:pgMar w:left="320" w:top="410" w:right="1259"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 shows the drop comfort ratings at each visit day:</w:t>
      </w:r>
    </w:p>
    <w:p>
      <w:pPr>
        <w:spacing w:after="0" w:line="1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Figure 30: Comfort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151130</wp:posOffset>
            </wp:positionV>
            <wp:extent cx="2415540" cy="17202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15540"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No subjects discontinued the trial due to an adverse event and TP-03 was well tolerated. All adverse events were mild in severity.</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provides a summary of treatment related or possibly related adverse events for the trial:</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Figure 31: No Subjects Discontinued Europa Trial Due to Adverse Event</w:t>
      </w:r>
    </w:p>
    <w:p>
      <w:pPr>
        <w:spacing w:after="0" w:line="205" w:lineRule="exact"/>
        <w:rPr>
          <w:sz w:val="20"/>
          <w:szCs w:val="20"/>
          <w:color w:val="auto"/>
        </w:rPr>
      </w:pPr>
    </w:p>
    <w:tbl>
      <w:tblPr>
        <w:tblLayout w:type="fixed"/>
        <w:tblInd w:w="302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Active</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Vehicle</w:t>
            </w:r>
          </w:p>
        </w:tc>
        <w:tc>
          <w:tcPr>
            <w:tcW w:w="0" w:type="dxa"/>
            <w:vAlign w:val="bottom"/>
          </w:tcPr>
          <w:p>
            <w:pPr>
              <w:spacing w:after="0"/>
              <w:rPr>
                <w:sz w:val="1"/>
                <w:szCs w:val="1"/>
                <w:color w:val="auto"/>
              </w:rPr>
            </w:pPr>
          </w:p>
        </w:tc>
      </w:tr>
      <w:tr>
        <w:trPr>
          <w:trHeight w:val="127"/>
        </w:trPr>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Adverse Event</w:t>
            </w:r>
          </w:p>
        </w:tc>
        <w:tc>
          <w:tcPr>
            <w:tcW w:w="2860" w:type="dxa"/>
            <w:vAlign w:val="bottom"/>
            <w:vMerge w:val="restart"/>
          </w:tcPr>
          <w:p>
            <w:pPr>
              <w:spacing w:after="0"/>
              <w:rPr>
                <w:sz w:val="11"/>
                <w:szCs w:val="11"/>
                <w:color w:val="auto"/>
              </w:rPr>
            </w:pPr>
          </w:p>
        </w:tc>
        <w:tc>
          <w:tcPr>
            <w:tcW w:w="960" w:type="dxa"/>
            <w:vAlign w:val="bottom"/>
            <w:gridSpan w:val="2"/>
          </w:tcPr>
          <w:p>
            <w:pPr>
              <w:ind w:left="180"/>
              <w:spacing w:after="0" w:line="127" w:lineRule="exact"/>
              <w:rPr>
                <w:sz w:val="20"/>
                <w:szCs w:val="20"/>
                <w:color w:val="auto"/>
              </w:rPr>
            </w:pPr>
            <w:r>
              <w:rPr>
                <w:rFonts w:ascii="Times New Roman" w:cs="Times New Roman" w:eastAsia="Times New Roman" w:hAnsi="Times New Roman"/>
                <w:sz w:val="12"/>
                <w:szCs w:val="12"/>
                <w:b w:val="1"/>
                <w:bCs w:val="1"/>
                <w:color w:val="auto"/>
              </w:rPr>
              <w:t>N=23</w:t>
            </w: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N=20</w:t>
            </w:r>
          </w:p>
        </w:tc>
        <w:tc>
          <w:tcPr>
            <w:tcW w:w="0" w:type="dxa"/>
            <w:vAlign w:val="bottom"/>
          </w:tcPr>
          <w:p>
            <w:pPr>
              <w:spacing w:after="0"/>
              <w:rPr>
                <w:sz w:val="1"/>
                <w:szCs w:val="1"/>
                <w:color w:val="auto"/>
              </w:rPr>
            </w:pPr>
          </w:p>
        </w:tc>
      </w:tr>
      <w:tr>
        <w:trPr>
          <w:trHeight w:val="157"/>
        </w:trPr>
        <w:tc>
          <w:tcPr>
            <w:tcW w:w="780" w:type="dxa"/>
            <w:vAlign w:val="bottom"/>
            <w:tcBorders>
              <w:bottom w:val="single" w:sz="8" w:color="auto"/>
            </w:tcBorders>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 (%)</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 (%)</w:t>
            </w: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Transient burning</w:t>
            </w:r>
          </w:p>
        </w:tc>
        <w:tc>
          <w:tcPr>
            <w:tcW w:w="7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3 (13%)</w:t>
            </w:r>
          </w:p>
        </w:tc>
        <w:tc>
          <w:tcPr>
            <w:tcW w:w="2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1 (4%)</w:t>
            </w:r>
          </w:p>
        </w:tc>
        <w:tc>
          <w:tcPr>
            <w:tcW w:w="0" w:type="dxa"/>
            <w:vAlign w:val="bottom"/>
          </w:tcPr>
          <w:p>
            <w:pPr>
              <w:spacing w:after="0"/>
              <w:rPr>
                <w:sz w:val="1"/>
                <w:szCs w:val="1"/>
                <w:color w:val="auto"/>
              </w:rPr>
            </w:pPr>
          </w:p>
        </w:tc>
      </w:tr>
      <w:tr>
        <w:trPr>
          <w:trHeight w:val="184"/>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Transient eye redness</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 (4%)</w:t>
            </w:r>
          </w:p>
        </w:tc>
        <w:tc>
          <w:tcPr>
            <w:tcW w:w="2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Transient blurriness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 (4%)</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Dysgeusia</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 (4%)</w:t>
            </w:r>
          </w:p>
        </w:tc>
        <w:tc>
          <w:tcPr>
            <w:tcW w:w="2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TP-03 Safety Profile From Phase 2 Clinical Trials</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58" w:lineRule="exact"/>
        <w:rPr>
          <w:sz w:val="20"/>
          <w:szCs w:val="20"/>
          <w:color w:val="auto"/>
        </w:rPr>
      </w:pPr>
    </w:p>
    <w:p>
      <w:pPr>
        <w:jc w:val="both"/>
        <w:ind w:left="920" w:right="80" w:firstLine="753"/>
        <w:spacing w:after="0" w:line="293" w:lineRule="auto"/>
        <w:rPr>
          <w:sz w:val="20"/>
          <w:szCs w:val="20"/>
          <w:color w:val="auto"/>
        </w:rPr>
      </w:pPr>
      <w:r>
        <w:rPr>
          <w:rFonts w:ascii="Times New Roman" w:cs="Times New Roman" w:eastAsia="Times New Roman" w:hAnsi="Times New Roman"/>
          <w:sz w:val="15"/>
          <w:szCs w:val="15"/>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32"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-140-</w:t>
      </w:r>
    </w:p>
    <w:p>
      <w:pPr>
        <w:sectPr>
          <w:pgSz w:w="11900" w:h="16838" w:orient="portrait"/>
          <w:cols w:equalWidth="0" w:num="1">
            <w:col w:w="10240"/>
          </w:cols>
          <w:pgMar w:left="320" w:top="410" w:right="1339"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seven and one subject receiving the vehicle control at Day 14.</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Disease Recurrence Following End of Treatment Course</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Subjects from the Mars and active arm of the Jupiter trials were followed for one year after enrollment. Combined interim data for recurrence of clinical grade Demodex blepharitis was defined as a collarette score of two or more meaning more than 10 collarettes on the lid,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Based on this data, we believe that subsequent to initial treatment TP-03 may be utilized by patients and ECPs for intermittent re-treatment based on the disease recurrence observed.</w:t>
      </w:r>
    </w:p>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figures below present the collarette and mite recurrence for each visit day.</w:t>
      </w:r>
    </w:p>
    <w:p>
      <w:pPr>
        <w:spacing w:after="0" w:line="19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5"/>
          <w:szCs w:val="15"/>
          <w:b w:val="1"/>
          <w:bCs w:val="1"/>
          <w:color w:val="auto"/>
        </w:rPr>
        <w:t>Figures 31 and 32: Collarette and Mite Recurrence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151130</wp:posOffset>
            </wp:positionV>
            <wp:extent cx="4282440" cy="18300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8244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Ongoing and Planned Pivotal Trials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Saturn-1 and Saturn-2 Trials</w:t>
      </w:r>
    </w:p>
    <w:p>
      <w:pPr>
        <w:spacing w:after="0" w:line="200" w:lineRule="exact"/>
        <w:rPr>
          <w:sz w:val="20"/>
          <w:szCs w:val="20"/>
          <w:color w:val="auto"/>
        </w:rPr>
      </w:pPr>
    </w:p>
    <w:p>
      <w:pPr>
        <w:ind w:left="920" w:right="60" w:firstLine="753"/>
        <w:spacing w:after="0" w:line="265" w:lineRule="auto"/>
        <w:rPr>
          <w:sz w:val="20"/>
          <w:szCs w:val="20"/>
          <w:color w:val="auto"/>
        </w:rPr>
      </w:pPr>
      <w:r>
        <w:rPr>
          <w:rFonts w:ascii="Times New Roman" w:cs="Times New Roman" w:eastAsia="Times New Roman" w:hAnsi="Times New Roman"/>
          <w:sz w:val="15"/>
          <w:szCs w:val="15"/>
          <w:color w:val="auto"/>
        </w:rPr>
        <w:t>Saturn-1 is a randomized, controlled, double-blind Phase 2b/3 trial. In September 2020, we have commenced the trial to evaluate the safety and efficacy of TP-03 for the treatment of Demodex blepharitis in multiple centers in the United States. Target enrollment for the trial is at least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(£ 2) at Day 43. The two secondary endpoints</w:t>
      </w:r>
    </w:p>
    <w:p>
      <w:pPr>
        <w:spacing w:after="0" w:line="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-141-</w:t>
      </w:r>
    </w:p>
    <w:p>
      <w:pPr>
        <w:sectPr>
          <w:pgSz w:w="11900" w:h="16838" w:orient="portrait"/>
          <w:cols w:equalWidth="0" w:num="1">
            <w:col w:w="10300"/>
          </w:cols>
          <w:pgMar w:left="320" w:top="410" w:right="1279" w:bottom="1440" w:gutter="0" w:footer="0" w:header="0"/>
        </w:sectPr>
      </w:pPr>
    </w:p>
    <w:bookmarkStart w:id="144" w:name="page145"/>
    <w:bookmarkEnd w:id="1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both"/>
        <w:ind w:left="920"/>
        <w:spacing w:after="0" w:line="275" w:lineRule="auto"/>
        <w:rPr>
          <w:sz w:val="20"/>
          <w:szCs w:val="20"/>
          <w:color w:val="auto"/>
        </w:rPr>
      </w:pPr>
      <w:r>
        <w:rPr>
          <w:rFonts w:ascii="Times New Roman" w:cs="Times New Roman" w:eastAsia="Times New Roman" w:hAnsi="Times New Roman"/>
          <w:sz w:val="15"/>
          <w:szCs w:val="15"/>
          <w:color w:val="auto"/>
        </w:rPr>
        <w:t>are (1) proportion of subjects with Demodex eradication (zero mites per lash) at Day 43 and (2) proportion of subjects with a composite of collarette and erythema cure at Day 43 (collarette grade of zero combined with erythema score of zero). Top-line data for Saturn-1 is anticipated in 2021, subject to the impact of the ongoing COVID-19 pandemic.</w:t>
      </w:r>
    </w:p>
    <w:p>
      <w:pPr>
        <w:spacing w:after="0" w:line="145" w:lineRule="exact"/>
        <w:rPr>
          <w:sz w:val="20"/>
          <w:szCs w:val="20"/>
          <w:color w:val="auto"/>
        </w:rPr>
      </w:pPr>
    </w:p>
    <w:p>
      <w:pPr>
        <w:ind w:left="920" w:right="160" w:firstLine="753"/>
        <w:spacing w:after="0" w:line="262" w:lineRule="auto"/>
        <w:rPr>
          <w:sz w:val="20"/>
          <w:szCs w:val="20"/>
          <w:color w:val="auto"/>
        </w:rPr>
      </w:pPr>
      <w:r>
        <w:rPr>
          <w:rFonts w:ascii="Times New Roman" w:cs="Times New Roman" w:eastAsia="Times New Roman" w:hAnsi="Times New Roman"/>
          <w:sz w:val="15"/>
          <w:szCs w:val="15"/>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(zero mites per 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58"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protocol, including the subject inclusion and exclusion criteria and endpoints, and formulation are designed to be consistent with those of our Io and Europa Phase 2 trials. We have received a “no-objection” letter from the FDA regarding the trial design for Saturn-1 and Saturn-2 has a highly comparable design to that of Saturn-1. We expect that the data form the Saturn-1 and Saturn-2 trials will support our NDA filing for TP-03 in Demodex blepharitis. Prior to submitting an NDA, we plan to perform a clinical pharmacokinetic study for TP-03 to support our NDA submission for Demodex blepharitis, and the FDA is recommending we perform carcinogenicity testing as well as embryofetal development studies in a second species. While we have factored these recommendations into our timeline and expenses, any adverse results, or any additional or similar requirements or recommendations from the FDA could cause delay in obtaining regulatory approval and increased costs.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Development of TP-03 for Meibomian Gland Disease</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is known to infest the meibomian gland, and clinical signs of MGD have been shown to be correlated with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infestation. While dry eye is a multi-factorial disease, TP-03 is designed to relieve some of the key elements associated with MGD by virtue of causing the death of the </w:t>
      </w:r>
      <w:r>
        <w:rPr>
          <w:rFonts w:ascii="Times New Roman" w:cs="Times New Roman" w:eastAsia="Times New Roman" w:hAnsi="Times New Roman"/>
          <w:sz w:val="15"/>
          <w:szCs w:val="15"/>
          <w:i w:val="1"/>
          <w:iCs w:val="1"/>
          <w:color w:val="auto"/>
        </w:rPr>
        <w:t>Demodex brevis</w:t>
      </w:r>
      <w:r>
        <w:rPr>
          <w:rFonts w:ascii="Times New Roman" w:cs="Times New Roman" w:eastAsia="Times New Roman" w:hAnsi="Times New Roman"/>
          <w:sz w:val="15"/>
          <w:szCs w:val="15"/>
          <w:color w:val="auto"/>
        </w:rPr>
        <w:t xml:space="preserve"> mites.</w:t>
      </w:r>
    </w:p>
    <w:p>
      <w:pPr>
        <w:spacing w:after="0" w:line="153"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-142-</w:t>
      </w:r>
    </w:p>
    <w:p>
      <w:pPr>
        <w:sectPr>
          <w:pgSz w:w="11900" w:h="16838" w:orient="portrait"/>
          <w:cols w:equalWidth="0" w:num="1">
            <w:col w:w="10320"/>
          </w:cols>
          <w:pgMar w:left="320" w:top="410" w:right="1259"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figures show a representation of Demodex mites infesting the meibomian gland:</w:t>
      </w:r>
    </w:p>
    <w:p>
      <w:pPr>
        <w:spacing w:after="0" w:line="19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Figure 33: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151130</wp:posOffset>
            </wp:positionV>
            <wp:extent cx="4429125" cy="21158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429125"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Our Additional Product Candidates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TP-04 Topical Formulation for the Treatment of Rosacea</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Rosacea</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There are two phenotypes for rosacea: patients who present with papulopustular rosacea, or PPR, and patients who do not (non-PPR), with approximately 55% of patients presenting with the PPR phenotype and 45% presenting with the non-PPR phenotype. According to primary research we conducted of dermatologists, of patients who are being treated with topicals for rosacea, an estimated 18% of overall rosacea patients are seeking treatments, with PPR patients generally more likely to seek treatment given the noticeable symptoms.</w:t>
      </w:r>
    </w:p>
    <w:p>
      <w:pPr>
        <w:spacing w:after="0" w:line="158"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Times New Roman" w:cs="Times New Roman" w:eastAsia="Times New Roman" w:hAnsi="Times New Roman"/>
          <w:sz w:val="15"/>
          <w:szCs w:val="15"/>
          <w:i w:val="1"/>
          <w:iCs w:val="1"/>
          <w:color w:val="auto"/>
        </w:rPr>
        <w:t>bacillus oleronius</w:t>
      </w:r>
      <w:r>
        <w:rPr>
          <w:rFonts w:ascii="Times New Roman" w:cs="Times New Roman" w:eastAsia="Times New Roman" w:hAnsi="Times New Roman"/>
          <w:sz w:val="15"/>
          <w:szCs w:val="15"/>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Times New Roman" w:cs="Times New Roman" w:eastAsia="Times New Roman" w:hAnsi="Times New Roman"/>
          <w:sz w:val="15"/>
          <w:szCs w:val="15"/>
          <w:i w:val="1"/>
          <w:iCs w:val="1"/>
          <w:color w:val="auto"/>
        </w:rPr>
        <w:t>bacillus oleronius</w:t>
      </w:r>
      <w:r>
        <w:rPr>
          <w:rFonts w:ascii="Times New Roman" w:cs="Times New Roman" w:eastAsia="Times New Roman" w:hAnsi="Times New Roman"/>
          <w:sz w:val="15"/>
          <w:szCs w:val="15"/>
          <w:color w:val="auto"/>
        </w:rPr>
        <w:t xml:space="preserve"> in their digestive tracts, suggesting that Demodex may contribute to rosacea by being a transporter for the bacteria that causes the disease. Furthering that point, there is evidence to suggest that </w:t>
      </w:r>
      <w:r>
        <w:rPr>
          <w:rFonts w:ascii="Times New Roman" w:cs="Times New Roman" w:eastAsia="Times New Roman" w:hAnsi="Times New Roman"/>
          <w:sz w:val="15"/>
          <w:szCs w:val="15"/>
          <w:i w:val="1"/>
          <w:iCs w:val="1"/>
          <w:color w:val="auto"/>
        </w:rPr>
        <w:t>bacillus oleronius</w:t>
      </w:r>
      <w:r>
        <w:rPr>
          <w:rFonts w:ascii="Times New Roman" w:cs="Times New Roman" w:eastAsia="Times New Roman" w:hAnsi="Times New Roman"/>
          <w:sz w:val="15"/>
          <w:szCs w:val="15"/>
          <w:color w:val="auto"/>
        </w:rPr>
        <w:t xml:space="preserve"> forms a symbiotic relationship with Demodex, and that both species must be present in order to cause the signs and symptoms of rosacea. Other bacteria such as </w:t>
      </w:r>
      <w:r>
        <w:rPr>
          <w:rFonts w:ascii="Times New Roman" w:cs="Times New Roman" w:eastAsia="Times New Roman" w:hAnsi="Times New Roman"/>
          <w:sz w:val="15"/>
          <w:szCs w:val="15"/>
          <w:i w:val="1"/>
          <w:iCs w:val="1"/>
          <w:color w:val="auto"/>
        </w:rPr>
        <w:t>staphylococcus epidermidis</w:t>
      </w:r>
      <w:r>
        <w:rPr>
          <w:rFonts w:ascii="Times New Roman" w:cs="Times New Roman" w:eastAsia="Times New Roman" w:hAnsi="Times New Roman"/>
          <w:sz w:val="15"/>
          <w:szCs w:val="15"/>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-143-</w:t>
      </w:r>
    </w:p>
    <w:p>
      <w:pPr>
        <w:sectPr>
          <w:pgSz w:w="11900" w:h="16838" w:orient="portrait"/>
          <w:cols w:equalWidth="0" w:num="1">
            <w:col w:w="10320"/>
          </w:cols>
          <w:pgMar w:left="320" w:top="410" w:right="1259" w:bottom="1440" w:gutter="0" w:footer="0" w:header="0"/>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Current Treatment Options and Their Limitations</w:t>
      </w:r>
    </w:p>
    <w:p>
      <w:pPr>
        <w:spacing w:after="0" w:line="20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or WAC, for a 30-day supply.</w:t>
      </w:r>
    </w:p>
    <w:p>
      <w:pPr>
        <w:spacing w:after="0" w:line="154" w:lineRule="exact"/>
        <w:rPr>
          <w:sz w:val="20"/>
          <w:szCs w:val="20"/>
          <w:color w:val="auto"/>
        </w:rPr>
      </w:pPr>
    </w:p>
    <w:p>
      <w:pPr>
        <w:ind w:left="920" w:right="200" w:firstLine="753"/>
        <w:spacing w:after="0" w:line="275" w:lineRule="auto"/>
        <w:rPr>
          <w:sz w:val="20"/>
          <w:szCs w:val="20"/>
          <w:color w:val="auto"/>
        </w:rPr>
      </w:pPr>
      <w:r>
        <w:rPr>
          <w:rFonts w:ascii="Times New Roman" w:cs="Times New Roman" w:eastAsia="Times New Roman" w:hAnsi="Times New Roman"/>
          <w:sz w:val="15"/>
          <w:szCs w:val="15"/>
          <w:color w:val="auto"/>
        </w:rPr>
        <w:t>Other treatments in development include Sol-Gel’s Epsolay, a topical cream containing 5% encapsulated benzoyl peroxide, and Foamix’s FMX103, a topical foam containing 1.5% minocycline, for the treatment of Subtype II rosacea, characterized by small, dome-shaped erythematous papules that resemble acne but are associated with burning and stinging sensations.</w:t>
      </w:r>
    </w:p>
    <w:p>
      <w:pPr>
        <w:spacing w:after="0" w:line="145"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Approach, TP-04 Topical Formulation for Rosacea</w:t>
      </w:r>
    </w:p>
    <w:p>
      <w:pPr>
        <w:spacing w:after="0" w:line="200"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condition. We believe we can improve upon existing treatments in the market, like Soolantra, with an API that is more effective (longer half-life, more lipophilic, greater therapeutic window). We believe a longer half-life is expected to lead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159"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 xml:space="preserve">We have not conducted any preclinical studies for TP-04 to date. We intend to leverage systemic preclinical data from our TP-03 program (such as embryofetal development studies, genotoxicity studies and safety pharmacology studies, and augment with additional dermal preclinical studies such as </w:t>
      </w:r>
      <w:r>
        <w:rPr>
          <w:rFonts w:ascii="Times New Roman" w:cs="Times New Roman" w:eastAsia="Times New Roman" w:hAnsi="Times New Roman"/>
          <w:sz w:val="15"/>
          <w:szCs w:val="15"/>
          <w:i w:val="1"/>
          <w:iCs w:val="1"/>
          <w:color w:val="auto"/>
        </w:rPr>
        <w:t>in vitro</w:t>
      </w:r>
      <w:r>
        <w:rPr>
          <w:rFonts w:ascii="Times New Roman" w:cs="Times New Roman" w:eastAsia="Times New Roman" w:hAnsi="Times New Roman"/>
          <w:sz w:val="15"/>
          <w:szCs w:val="15"/>
          <w:color w:val="auto"/>
        </w:rPr>
        <w:t xml:space="preserve"> skin permeation and penetration studies, dermal toxicology and dermal pharmacodynamics testing we intend to conduct) to identify a lead formulation that maximizes dermal levels of TP-04 and which we believe can compare favorably to Soolantra. We may need to address this approach with the FDA if we were to conduct a clinical trial in the United States and if the FDA rejected our use of data from these preclinical studies, it could cause delay in any trial we conduct in the United States for TP-04. We plan to evaluate whether TP-04 is safe and effective at treating the symptoms of PPR in a Phase 1/2 trial outside the United States, which is expected to begin enrollment in 2021. Prior to commencing clinical trials in the United States for TP-04, we will need to obtain an IND from the FDA.</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TP-05 Oral Formulation for the Prophylactic Protection against Lyme Disease</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Lyme Disease</w:t>
      </w:r>
    </w:p>
    <w:p>
      <w:pPr>
        <w:spacing w:after="0" w:line="200" w:lineRule="exact"/>
        <w:rPr>
          <w:sz w:val="20"/>
          <w:szCs w:val="20"/>
          <w:color w:val="auto"/>
        </w:rPr>
      </w:pPr>
    </w:p>
    <w:p>
      <w:pPr>
        <w:jc w:val="both"/>
        <w:ind w:left="920" w:firstLine="753"/>
        <w:spacing w:after="0" w:line="275" w:lineRule="auto"/>
        <w:rPr>
          <w:sz w:val="20"/>
          <w:szCs w:val="20"/>
          <w:color w:val="auto"/>
        </w:rPr>
      </w:pPr>
      <w:r>
        <w:rPr>
          <w:rFonts w:ascii="Times New Roman" w:cs="Times New Roman" w:eastAsia="Times New Roman" w:hAnsi="Times New Roman"/>
          <w:sz w:val="15"/>
          <w:szCs w:val="15"/>
          <w:color w:val="auto"/>
        </w:rPr>
        <w:t>Lyme disease is the most common vector-borne disease in the United States, caused by infection of Borrelia bacteria following bite by a tick vector, predominantly ticks of the Ixodes genus (namely Ixodes scapularis in the United States). Estimates of annual cases of Lyme disease in the United States range from approximately 300,000 to 400,000, with many cases being misdiagnosed or diagnosed late. According to 2018</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-144-</w:t>
      </w:r>
    </w:p>
    <w:p>
      <w:pPr>
        <w:sectPr>
          <w:pgSz w:w="11900" w:h="16838" w:orient="portrait"/>
          <w:cols w:equalWidth="0" w:num="1">
            <w:col w:w="10320"/>
          </w:cols>
          <w:pgMar w:left="320" w:top="410" w:right="125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8" w:lineRule="auto"/>
        <w:rPr>
          <w:sz w:val="20"/>
          <w:szCs w:val="20"/>
          <w:color w:val="auto"/>
        </w:rPr>
      </w:pPr>
      <w:r>
        <w:rPr>
          <w:rFonts w:ascii="Times New Roman" w:cs="Times New Roman" w:eastAsia="Times New Roman" w:hAnsi="Times New Roman"/>
          <w:sz w:val="15"/>
          <w:szCs w:val="15"/>
          <w:color w:val="auto"/>
        </w:rPr>
        <w:t>data from the U.S. Centers for Disease Control, or CDC, in 2018, over 30 million people in the United States are at risk of contracting Lyme disease, with over 20 million of those people residing in states that have a “high incidence” of Lyme disease per the CDC; and the geographic footprint of Lyme disease carrying ticks is expanding. Lyme disease occurs most commonly in geographical areas where the Ixodes scapularis tick is prevalent, namely in the Northeast of the United States. Lyme disease also occurs in certain parts of Europe, typically resulting from a different Ixodes species vector.</w:t>
      </w:r>
    </w:p>
    <w:p>
      <w:pPr>
        <w:spacing w:after="0" w:line="152" w:lineRule="exact"/>
        <w:rPr>
          <w:sz w:val="20"/>
          <w:szCs w:val="20"/>
          <w:color w:val="auto"/>
        </w:rPr>
      </w:pPr>
    </w:p>
    <w:p>
      <w:pPr>
        <w:ind w:left="920" w:right="140" w:firstLine="753"/>
        <w:spacing w:after="0" w:line="265" w:lineRule="auto"/>
        <w:rPr>
          <w:sz w:val="20"/>
          <w:szCs w:val="20"/>
          <w:color w:val="auto"/>
        </w:rPr>
      </w:pPr>
      <w:r>
        <w:rPr>
          <w:rFonts w:ascii="Times New Roman" w:cs="Times New Roman" w:eastAsia="Times New Roman" w:hAnsi="Times New Roman"/>
          <w:sz w:val="15"/>
          <w:szCs w:val="15"/>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154"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Lyme disease can be a serious condition that may affect multiple bodily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Current Lyme Prophylaxis Options and Their Limitations</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45" w:lineRule="exact"/>
        <w:rPr>
          <w:sz w:val="20"/>
          <w:szCs w:val="20"/>
          <w:color w:val="auto"/>
        </w:rPr>
      </w:pPr>
    </w:p>
    <w:p>
      <w:pPr>
        <w:jc w:val="both"/>
        <w:ind w:left="920" w:right="140" w:firstLine="753"/>
        <w:spacing w:after="0" w:line="268" w:lineRule="auto"/>
        <w:rPr>
          <w:sz w:val="20"/>
          <w:szCs w:val="20"/>
          <w:color w:val="auto"/>
        </w:rPr>
      </w:pPr>
      <w:r>
        <w:rPr>
          <w:rFonts w:ascii="Times New Roman" w:cs="Times New Roman" w:eastAsia="Times New Roman" w:hAnsi="Times New Roman"/>
          <w:sz w:val="15"/>
          <w:szCs w:val="15"/>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There is significant unmet need for a safe, effective and easy to use prophylactic for at-risk individuals in Lyme disease.</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Approach, TP-05 Oral Formulation for the Prophylactic Protection against Lyme Disease</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monthly administration.</w:t>
      </w:r>
    </w:p>
    <w:p>
      <w:pPr>
        <w:spacing w:after="0" w:line="344"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We have identified a lead formulation of TP-05 for Phase 1/2 trials. For TP-05 and its use in Lyme prophylaxis, we intend to leverage oral systemic preclinical data from our TP-03 program (embryofetal</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-145-</w:t>
      </w:r>
    </w:p>
    <w:p>
      <w:pPr>
        <w:sectPr>
          <w:pgSz w:w="11900" w:h="16838" w:orient="portrait"/>
          <w:cols w:equalWidth="0" w:num="1">
            <w:col w:w="10300"/>
          </w:cols>
          <w:pgMar w:left="320" w:top="410" w:right="127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
        <w:spacing w:after="0" w:line="260" w:lineRule="auto"/>
        <w:rPr>
          <w:sz w:val="20"/>
          <w:szCs w:val="20"/>
          <w:color w:val="auto"/>
        </w:rPr>
      </w:pPr>
      <w:r>
        <w:rPr>
          <w:rFonts w:ascii="Times New Roman" w:cs="Times New Roman" w:eastAsia="Times New Roman" w:hAnsi="Times New Roman"/>
          <w:sz w:val="15"/>
          <w:szCs w:val="15"/>
          <w:color w:val="auto"/>
        </w:rPr>
        <w:t>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TP-05 is a presentation of lotilaner, which is the same as the Elanco API but formulated into a tablet. We obtained rights to these studies through the All Human Uses Elanco Agreement and we will not conduct any additional preclinical studies to support our Phase 1/2 clinical trial. While we plan to discuss this approach in a planned pre-IND meeting with the FDA, the FDA may reject our use of data from these preclinical studies and require us to conduct additional preclinical studies before advancing to clinical trials, which may delay our expected timelines for approval and increase costs. Subject to feedback from the FDA on this approach from our planned pre-IND meeting, we intend to evaluate whether TP-05 is safe and effective at eradicating ticks in a planned Phase 1/2 trial, which is expected to begin enrollment in 2021. Prior to commencing clinical trials in the United States for TP-05 for the potential Lyme prophylaxis, we will need to submit an IND with the FDA.</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Malaria</w:t>
      </w:r>
    </w:p>
    <w:p>
      <w:pPr>
        <w:spacing w:after="0" w:line="200"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52" w:lineRule="exact"/>
        <w:rPr>
          <w:sz w:val="20"/>
          <w:szCs w:val="20"/>
          <w:color w:val="auto"/>
        </w:rPr>
      </w:pPr>
    </w:p>
    <w:p>
      <w:pPr>
        <w:jc w:val="both"/>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Our Approach, TP-05 Oral Formulation, Long-acting Endectocide for Community Malaria Reduction</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malaria community, including, the World Health Organization, Medicines for Malaria Venture, Bill and Melinda Gates Foundation and others, has called for the development of a long-acting endectocide, or antiparasitic drug active against endoparasites such as plasmodium, for the control and reduction of malaria in endemic regions. An endectocide for malaria is a drug taken by a person that causes the death or incapacity of a mosquito before it can infect another person. Field studies and modeling have shown that reducing the lifespan of the mosquitos may significantly reduce malaria transmission. With mass drug administration, which is a common approach for other anti-malarial medications, a community could attain herd protection against spread of malaria using an endectocide. For instance, the PNAS Study on mosquito populations showed that mass administration of an isoxazoline endectocide could reduce community malaria rates by as much as 66% with administration to just 30% of a community’s population.</w:t>
      </w:r>
    </w:p>
    <w:p>
      <w:pPr>
        <w:spacing w:after="0" w:line="158"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The pharmacology of isoxazoline endectocide in malaria control is well understood. Similar to its mechanism against Demodex and ticks, the isoxazoline endectocides are potent non-competitive antagonists of GABA-Cl channels in mosquitos. Furthermore, according to the PNAS Study, the isoxazoline endectocides showed significant ability to cause the death of various disease carrying mosquito vectors that were fed drug-supplemented human blood in a membrane feeding assay. Additional transmission modeling in the PNAS Study of these isoxazolines on malaria incidence, which assumed a 90-day efficacy period, translated to survival of less than 1% of mosquitos. We believe our treatment concept of the oral administration of TP-05 to a human population may likewise lead to the death of blood-fed insect vectors and a decline in disease transmission. This is based on the relatively long half-life of lotilaner, an isoxazoline endectocide, which has been demonstrated in</w:t>
      </w:r>
    </w:p>
    <w:p>
      <w:pPr>
        <w:spacing w:after="0" w:line="1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-146-</w:t>
      </w:r>
    </w:p>
    <w:p>
      <w:pPr>
        <w:sectPr>
          <w:pgSz w:w="11900" w:h="16838" w:orient="portrait"/>
          <w:cols w:equalWidth="0" w:num="1">
            <w:col w:w="10320"/>
          </w:cols>
          <w:pgMar w:left="320" w:top="410" w:right="125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40"/>
        <w:spacing w:after="0" w:line="293" w:lineRule="auto"/>
        <w:rPr>
          <w:sz w:val="20"/>
          <w:szCs w:val="20"/>
          <w:color w:val="auto"/>
        </w:rPr>
      </w:pPr>
      <w:r>
        <w:rPr>
          <w:rFonts w:ascii="Times New Roman" w:cs="Times New Roman" w:eastAsia="Times New Roman" w:hAnsi="Times New Roman"/>
          <w:sz w:val="15"/>
          <w:szCs w:val="15"/>
          <w:color w:val="auto"/>
        </w:rPr>
        <w:t>preclinical studies. However, modeling studies may not be accurate representations of malaria transmission in human populations and the efficacy of lotilaner or TP-05 to cause the death of mosquitos and reduced transmission rates has not been tested in human populations.</w:t>
      </w:r>
    </w:p>
    <w:p>
      <w:pPr>
        <w:spacing w:after="0" w:line="132"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For TP-05 and its use in malaria community reduction,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We obtained rights to these studies through the All Human Uses Elanco Agreement and we will not conduct any additional preclinical studies to support our Phase 1/2 clinical trial. We intend to evaluate whether TP-05 is safe and effective at eradicating mosquitos in a planned Phase 1/2 trial, which may be conducted outside the United States, and which is expected to begin enrollment in 2021.</w:t>
      </w:r>
    </w:p>
    <w:p>
      <w:pPr>
        <w:spacing w:after="0" w:line="3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Chemistry, Manufacturing and Controls</w:t>
      </w:r>
    </w:p>
    <w:p>
      <w:pPr>
        <w:spacing w:after="0" w:line="200"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152"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product candidate TP-03 is a presentation of lotilaner, the API, formulated into a topical eye drop formulation. Only one dose strength of TP-03 is currently being developed, 0.25% lotilaner solution. Since TP-03 is an anti-infective, only one strength, the maximum formulatable (0.25%), is required to be evaluated clinically.</w:t>
      </w:r>
    </w:p>
    <w:p>
      <w:pPr>
        <w:spacing w:after="0" w:line="145"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We believe that our supply of TP-03 is sufficient to complete Saturn-1, and that our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45" w:lineRule="exact"/>
        <w:rPr>
          <w:sz w:val="20"/>
          <w:szCs w:val="20"/>
          <w:color w:val="auto"/>
        </w:rPr>
      </w:pPr>
    </w:p>
    <w:p>
      <w:pPr>
        <w:jc w:val="both"/>
        <w:ind w:left="920" w:firstLine="753"/>
        <w:spacing w:after="0" w:line="265" w:lineRule="auto"/>
        <w:rPr>
          <w:sz w:val="20"/>
          <w:szCs w:val="20"/>
          <w:color w:val="auto"/>
        </w:rPr>
      </w:pPr>
      <w:r>
        <w:rPr>
          <w:rFonts w:ascii="Times New Roman" w:cs="Times New Roman" w:eastAsia="Times New Roman" w:hAnsi="Times New Roman"/>
          <w:sz w:val="15"/>
          <w:szCs w:val="15"/>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are evaluating a supplier for TP-04 topical formulation for rosacea and have identified a supplier for TP-05 oral formulation for Phase 1/2 trials for Lyme disease and malaria.</w:t>
      </w:r>
    </w:p>
    <w:p>
      <w:pPr>
        <w:spacing w:after="0" w:line="154" w:lineRule="exact"/>
        <w:rPr>
          <w:sz w:val="20"/>
          <w:szCs w:val="20"/>
          <w:color w:val="auto"/>
        </w:rPr>
      </w:pPr>
    </w:p>
    <w:p>
      <w:pPr>
        <w:ind w:left="920" w:right="180" w:firstLine="753"/>
        <w:spacing w:after="0" w:line="261" w:lineRule="auto"/>
        <w:rPr>
          <w:sz w:val="20"/>
          <w:szCs w:val="20"/>
          <w:color w:val="auto"/>
        </w:rPr>
      </w:pPr>
      <w:r>
        <w:rPr>
          <w:rFonts w:ascii="Times New Roman" w:cs="Times New Roman" w:eastAsia="Times New Roman" w:hAnsi="Times New Roman"/>
          <w:sz w:val="15"/>
          <w:szCs w:val="15"/>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w:t>
      </w:r>
    </w:p>
    <w:p>
      <w:pPr>
        <w:spacing w:after="0" w:line="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-147-</w:t>
      </w:r>
    </w:p>
    <w:p>
      <w:pPr>
        <w:sectPr>
          <w:pgSz w:w="11900" w:h="16838" w:orient="portrait"/>
          <w:cols w:equalWidth="0" w:num="1">
            <w:col w:w="10300"/>
          </w:cols>
          <w:pgMar w:left="320" w:top="410" w:right="127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8" w:lineRule="auto"/>
        <w:rPr>
          <w:sz w:val="20"/>
          <w:szCs w:val="20"/>
          <w:color w:val="auto"/>
        </w:rPr>
      </w:pPr>
      <w:r>
        <w:rPr>
          <w:rFonts w:ascii="Times New Roman" w:cs="Times New Roman" w:eastAsia="Times New Roman" w:hAnsi="Times New Roman"/>
          <w:sz w:val="15"/>
          <w:szCs w:val="15"/>
          <w:color w:val="auto"/>
        </w:rPr>
        <w:t>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200" w:lineRule="exact"/>
        <w:rPr>
          <w:sz w:val="20"/>
          <w:szCs w:val="20"/>
          <w:color w:val="auto"/>
        </w:rPr>
      </w:pPr>
    </w:p>
    <w:p>
      <w:pPr>
        <w:ind w:left="920" w:right="120" w:firstLine="753"/>
        <w:spacing w:after="0" w:line="264" w:lineRule="auto"/>
        <w:rPr>
          <w:sz w:val="20"/>
          <w:szCs w:val="20"/>
          <w:color w:val="auto"/>
        </w:rPr>
      </w:pPr>
      <w:r>
        <w:rPr>
          <w:rFonts w:ascii="Times New Roman" w:cs="Times New Roman" w:eastAsia="Times New Roman" w:hAnsi="Times New Roman"/>
          <w:sz w:val="15"/>
          <w:szCs w:val="15"/>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53"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158"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Sales and Marketing</w:t>
      </w:r>
    </w:p>
    <w:p>
      <w:pPr>
        <w:spacing w:after="0" w:line="200"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 Outside the United States, we intend to establish commercialization strategies for TP-03 as we approach possible commercial approval in each market, which may include collaborations with other companies.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200" w:lineRule="exact"/>
        <w:rPr>
          <w:sz w:val="20"/>
          <w:szCs w:val="20"/>
          <w:color w:val="auto"/>
        </w:rPr>
      </w:pPr>
    </w:p>
    <w:p>
      <w:pPr>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We protect our intellectual property rights and proprietary technology with a combination of patent rights that we own or license in certain fields of use, trademark rights, confidentiality procedures and contractual</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-148-</w:t>
      </w:r>
    </w:p>
    <w:p>
      <w:pPr>
        <w:sectPr>
          <w:pgSz w:w="11900" w:h="16838" w:orient="portrait"/>
          <w:cols w:equalWidth="0" w:num="1">
            <w:col w:w="10300"/>
          </w:cols>
          <w:pgMar w:left="320" w:top="410" w:right="127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5" w:lineRule="auto"/>
        <w:rPr>
          <w:sz w:val="20"/>
          <w:szCs w:val="20"/>
          <w:color w:val="auto"/>
        </w:rPr>
      </w:pPr>
      <w:r>
        <w:rPr>
          <w:rFonts w:ascii="Times New Roman" w:cs="Times New Roman" w:eastAsia="Times New Roman" w:hAnsi="Times New Roman"/>
          <w:sz w:val="15"/>
          <w:szCs w:val="15"/>
          <w:color w:val="auto"/>
        </w:rPr>
        <w:t>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54" w:lineRule="exact"/>
        <w:rPr>
          <w:sz w:val="20"/>
          <w:szCs w:val="20"/>
          <w:color w:val="auto"/>
        </w:rPr>
      </w:pPr>
    </w:p>
    <w:p>
      <w:pPr>
        <w:ind w:left="920" w:right="60" w:firstLine="753"/>
        <w:spacing w:after="0" w:line="264" w:lineRule="auto"/>
        <w:rPr>
          <w:sz w:val="20"/>
          <w:szCs w:val="20"/>
          <w:color w:val="auto"/>
        </w:rPr>
      </w:pPr>
      <w:r>
        <w:rPr>
          <w:rFonts w:ascii="Times New Roman" w:cs="Times New Roman" w:eastAsia="Times New Roman" w:hAnsi="Times New Roman"/>
          <w:sz w:val="15"/>
          <w:szCs w:val="15"/>
          <w:color w:val="auto"/>
        </w:rPr>
        <w:t>The term of individual patents varies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53"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36 issued patents and approximately 23 pending patent applications.</w:t>
      </w:r>
    </w:p>
    <w:p>
      <w:pPr>
        <w:spacing w:after="0" w:line="154" w:lineRule="exact"/>
        <w:rPr>
          <w:sz w:val="20"/>
          <w:szCs w:val="20"/>
          <w:color w:val="auto"/>
        </w:rPr>
      </w:pPr>
    </w:p>
    <w:p>
      <w:pPr>
        <w:ind w:left="920" w:right="180" w:firstLine="753"/>
        <w:spacing w:after="0" w:line="265" w:lineRule="auto"/>
        <w:rPr>
          <w:sz w:val="20"/>
          <w:szCs w:val="20"/>
          <w:color w:val="auto"/>
        </w:rPr>
      </w:pPr>
      <w:r>
        <w:rPr>
          <w:rFonts w:ascii="Times New Roman" w:cs="Times New Roman" w:eastAsia="Times New Roman" w:hAnsi="Times New Roman"/>
          <w:sz w:val="15"/>
          <w:szCs w:val="15"/>
          <w:color w:val="auto"/>
        </w:rPr>
        <w:t>We in-license certain of such patents and patent applications from Elanco. These patents and patent applications relate to lotilaner and are issued or pending in, for example, the United States, Australia, Brazil, Canada, Chile, China, several European territories, India, Japan, Mexico, New Zealand, the Russian Federation, and Taiwan. The licensed-in portfolio includes approximately 36 issued patents and approximately 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154" w:lineRule="exact"/>
        <w:rPr>
          <w:sz w:val="20"/>
          <w:szCs w:val="20"/>
          <w:color w:val="auto"/>
        </w:rPr>
      </w:pPr>
    </w:p>
    <w:p>
      <w:pPr>
        <w:ind w:left="920" w:right="100" w:firstLine="753"/>
        <w:spacing w:after="0" w:line="264" w:lineRule="auto"/>
        <w:rPr>
          <w:sz w:val="20"/>
          <w:szCs w:val="20"/>
          <w:color w:val="auto"/>
        </w:rPr>
      </w:pPr>
      <w:r>
        <w:rPr>
          <w:rFonts w:ascii="Times New Roman" w:cs="Times New Roman" w:eastAsia="Times New Roman" w:hAnsi="Times New Roman"/>
          <w:sz w:val="15"/>
          <w:szCs w:val="15"/>
          <w:color w:val="auto"/>
        </w:rPr>
        <w:t>Approximately 16 of our owned pending patent applications include treatment and composition of matter claims which relate to our TP-03 product candidate with respect to our lead indication (e.g., isoxazoline parasiticides for the treatment of Demodex blepharitis), as well as other conditions. These pending patent applications include applications in the United States, Australia, Brazil, Canada, China, Europe, Israel, India, Japan, South Korea, Mexico, New Zealand, the Russian Federation, South Africa, and the Patent Cooperation Treaty (PCT). We received a Notice of Allowance on one of our owned pending patent applications with treatment claims, U.S. App. No. 16/221,390, on September 22, 2020. If patents issue on these pending applications of ours, the estimated natural expiration dates are between approximately 2038 and 2040.</w:t>
      </w:r>
    </w:p>
    <w:p>
      <w:pPr>
        <w:spacing w:after="0" w:line="153"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152" w:lineRule="exact"/>
        <w:rPr>
          <w:sz w:val="20"/>
          <w:szCs w:val="20"/>
          <w:color w:val="auto"/>
        </w:rPr>
      </w:pPr>
    </w:p>
    <w:p>
      <w:pPr>
        <w:jc w:val="both"/>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-149-</w:t>
      </w:r>
    </w:p>
    <w:p>
      <w:pPr>
        <w:sectPr>
          <w:pgSz w:w="11900" w:h="16838" w:orient="portrait"/>
          <w:cols w:equalWidth="0" w:num="1">
            <w:col w:w="10300"/>
          </w:cols>
          <w:pgMar w:left="320" w:top="410" w:right="127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760"/>
        <w:spacing w:after="0" w:line="293" w:lineRule="auto"/>
        <w:rPr>
          <w:sz w:val="20"/>
          <w:szCs w:val="20"/>
          <w:color w:val="auto"/>
        </w:rPr>
      </w:pPr>
      <w:r>
        <w:rPr>
          <w:rFonts w:ascii="Times New Roman" w:cs="Times New Roman" w:eastAsia="Times New Roman" w:hAnsi="Times New Roman"/>
          <w:sz w:val="15"/>
          <w:szCs w:val="15"/>
          <w:color w:val="auto"/>
        </w:rPr>
        <w:t>maintain such trade secrets and other proprietary information, we rely in part on confidentiality agreements with our employees, consultants, contractors, outside scientific collaborators and other advisors.</w:t>
      </w:r>
    </w:p>
    <w:p>
      <w:pPr>
        <w:spacing w:after="0" w:line="132" w:lineRule="exact"/>
        <w:rPr>
          <w:sz w:val="20"/>
          <w:szCs w:val="20"/>
          <w:color w:val="auto"/>
        </w:rPr>
      </w:pPr>
    </w:p>
    <w:p>
      <w:pPr>
        <w:ind w:left="920" w:right="300" w:firstLine="753"/>
        <w:spacing w:after="0" w:line="275" w:lineRule="auto"/>
        <w:rPr>
          <w:sz w:val="20"/>
          <w:szCs w:val="20"/>
          <w:color w:val="auto"/>
        </w:rPr>
      </w:pPr>
      <w:r>
        <w:rPr>
          <w:rFonts w:ascii="Times New Roman" w:cs="Times New Roman" w:eastAsia="Times New Roman" w:hAnsi="Times New Roman"/>
          <w:sz w:val="15"/>
          <w:szCs w:val="15"/>
          <w:color w:val="auto"/>
        </w:rPr>
        <w:t>We also protect our brand through trademark rights. We are the registered owner of two U.S. pending trademark applications for the trademarks TARSUS and TARSUS PHARMACEUTICALS. In order to supplement the protection of our brand, we also own at least one registered internet domain name.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License Agreements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Eye and Derm Elanco Agreement</w:t>
      </w:r>
    </w:p>
    <w:p>
      <w:pPr>
        <w:spacing w:after="0" w:line="200" w:lineRule="exact"/>
        <w:rPr>
          <w:sz w:val="20"/>
          <w:szCs w:val="20"/>
          <w:color w:val="auto"/>
        </w:rPr>
      </w:pPr>
    </w:p>
    <w:p>
      <w:pPr>
        <w:ind w:left="920" w:right="40" w:firstLine="753"/>
        <w:spacing w:after="0" w:line="263" w:lineRule="auto"/>
        <w:rPr>
          <w:sz w:val="20"/>
          <w:szCs w:val="20"/>
          <w:color w:val="auto"/>
        </w:rPr>
      </w:pPr>
      <w:r>
        <w:rPr>
          <w:rFonts w:ascii="Times New Roman" w:cs="Times New Roman" w:eastAsia="Times New Roman" w:hAnsi="Times New Roman"/>
          <w:sz w:val="15"/>
          <w:szCs w:val="15"/>
          <w:color w:val="auto"/>
        </w:rPr>
        <w:t>In January 2019, we entered into the Eye and Derm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342" w:lineRule="exact"/>
        <w:rPr>
          <w:sz w:val="20"/>
          <w:szCs w:val="20"/>
          <w:color w:val="auto"/>
        </w:rPr>
      </w:pPr>
    </w:p>
    <w:p>
      <w:pPr>
        <w:ind w:left="920" w:right="60" w:firstLine="753"/>
        <w:spacing w:after="0" w:line="259" w:lineRule="auto"/>
        <w:rPr>
          <w:sz w:val="20"/>
          <w:szCs w:val="20"/>
          <w:color w:val="auto"/>
        </w:rPr>
      </w:pPr>
      <w:r>
        <w:rPr>
          <w:rFonts w:ascii="Times New Roman" w:cs="Times New Roman" w:eastAsia="Times New Roman" w:hAnsi="Times New Roman"/>
          <w:sz w:val="15"/>
          <w:szCs w:val="15"/>
          <w:color w:val="auto"/>
        </w:rPr>
        <w:t>We made an upfront payment of $1.0 million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w:t>
      </w:r>
    </w:p>
    <w:p>
      <w:pPr>
        <w:spacing w:after="0" w:line="1" w:lineRule="exact"/>
        <w:rPr>
          <w:sz w:val="20"/>
          <w:szCs w:val="20"/>
          <w:color w:val="auto"/>
        </w:rPr>
      </w:pPr>
    </w:p>
    <w:p>
      <w:pPr>
        <w:ind w:left="920"/>
        <w:spacing w:after="0" w:line="260" w:lineRule="auto"/>
        <w:tabs>
          <w:tab w:leader="none" w:pos="1104"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342"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w:t>
      </w:r>
    </w:p>
    <w:p>
      <w:pPr>
        <w:spacing w:after="0" w:line="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-150-</w:t>
      </w:r>
    </w:p>
    <w:p>
      <w:pPr>
        <w:sectPr>
          <w:pgSz w:w="11900" w:h="16838" w:orient="portrait"/>
          <w:cols w:equalWidth="0" w:num="1">
            <w:col w:w="10320"/>
          </w:cols>
          <w:pgMar w:left="320" w:top="410" w:right="1259" w:bottom="1440" w:gutter="0" w:footer="0" w:header="0"/>
        </w:sectPr>
      </w:pPr>
    </w:p>
    <w:bookmarkStart w:id="153" w:name="page154"/>
    <w:bookmarkEnd w:id="1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4" w:lineRule="auto"/>
        <w:rPr>
          <w:sz w:val="20"/>
          <w:szCs w:val="20"/>
          <w:color w:val="auto"/>
        </w:rPr>
      </w:pPr>
      <w:r>
        <w:rPr>
          <w:rFonts w:ascii="Times New Roman" w:cs="Times New Roman" w:eastAsia="Times New Roman" w:hAnsi="Times New Roman"/>
          <w:sz w:val="15"/>
          <w:szCs w:val="15"/>
          <w:color w:val="auto"/>
        </w:rPr>
        <w:t>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153"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Under the terms of the Eye and Derm Elanco Agreement, we grant to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153" w:lineRule="exact"/>
        <w:rPr>
          <w:sz w:val="20"/>
          <w:szCs w:val="20"/>
          <w:color w:val="auto"/>
        </w:rPr>
      </w:pPr>
    </w:p>
    <w:p>
      <w:pPr>
        <w:ind w:left="920" w:right="300" w:firstLine="753"/>
        <w:spacing w:after="0" w:line="293" w:lineRule="auto"/>
        <w:rPr>
          <w:sz w:val="20"/>
          <w:szCs w:val="20"/>
          <w:color w:val="auto"/>
        </w:rPr>
      </w:pPr>
      <w:r>
        <w:rPr>
          <w:rFonts w:ascii="Times New Roman" w:cs="Times New Roman" w:eastAsia="Times New Roman" w:hAnsi="Times New Roman"/>
          <w:sz w:val="15"/>
          <w:szCs w:val="15"/>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All Human Uses Elanco Agreement</w:t>
      </w:r>
    </w:p>
    <w:p>
      <w:pPr>
        <w:spacing w:after="0" w:line="200" w:lineRule="exact"/>
        <w:rPr>
          <w:sz w:val="20"/>
          <w:szCs w:val="20"/>
          <w:color w:val="auto"/>
        </w:rPr>
      </w:pPr>
    </w:p>
    <w:p>
      <w:pPr>
        <w:ind w:left="920" w:right="120" w:firstLine="753"/>
        <w:spacing w:after="0" w:line="262" w:lineRule="auto"/>
        <w:rPr>
          <w:sz w:val="20"/>
          <w:szCs w:val="20"/>
          <w:color w:val="auto"/>
        </w:rPr>
      </w:pPr>
      <w:r>
        <w:rPr>
          <w:rFonts w:ascii="Times New Roman" w:cs="Times New Roman" w:eastAsia="Times New Roman" w:hAnsi="Times New Roman"/>
          <w:sz w:val="15"/>
          <w:szCs w:val="15"/>
          <w:color w:val="auto"/>
        </w:rPr>
        <w:t>In September 2020, we entered into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 consent, additional third parties.</w:t>
      </w:r>
    </w:p>
    <w:p>
      <w:pPr>
        <w:spacing w:after="0" w:line="158" w:lineRule="exact"/>
        <w:rPr>
          <w:sz w:val="20"/>
          <w:szCs w:val="20"/>
          <w:color w:val="auto"/>
        </w:rPr>
      </w:pPr>
    </w:p>
    <w:p>
      <w:pPr>
        <w:ind w:left="920" w:firstLine="753"/>
        <w:spacing w:after="0" w:line="258" w:lineRule="auto"/>
        <w:rPr>
          <w:sz w:val="20"/>
          <w:szCs w:val="20"/>
          <w:color w:val="auto"/>
        </w:rPr>
      </w:pPr>
      <w:r>
        <w:rPr>
          <w:rFonts w:ascii="Times New Roman" w:cs="Times New Roman" w:eastAsia="Times New Roman" w:hAnsi="Times New Roman"/>
          <w:sz w:val="15"/>
          <w:szCs w:val="15"/>
          <w:color w:val="auto"/>
        </w:rPr>
        <w:t>Pursuant to the terms of the All Human Uses Elanco Agreement, we issued 222,460 shares of our common stock to Elanco, which we expect to record within “research and development” expense within our statements of operations for the year ended December 31, 2020. In accordance with the terms of the All Human Uses Elanco Agreement, we are obligated to make further payments to Elanco upon our achievement of various clinical milestones up to an aggregate maximum of $4.5 million and various sales milestones up to an aggregate maximum of $77.0 million. We may owe further 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w:t>
      </w:r>
    </w:p>
    <w:p>
      <w:pPr>
        <w:spacing w:after="0" w:line="5" w:lineRule="exact"/>
        <w:rPr>
          <w:sz w:val="20"/>
          <w:szCs w:val="20"/>
          <w:color w:val="auto"/>
        </w:rPr>
      </w:pPr>
    </w:p>
    <w:p>
      <w:pPr>
        <w:ind w:left="920" w:right="100"/>
        <w:spacing w:after="0" w:line="264" w:lineRule="auto"/>
        <w:tabs>
          <w:tab w:leader="none" w:pos="1129"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280"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151 -</w:t>
      </w:r>
    </w:p>
    <w:p>
      <w:pPr>
        <w:sectPr>
          <w:pgSz w:w="11900" w:h="16838" w:orient="portrait"/>
          <w:cols w:equalWidth="0" w:num="1">
            <w:col w:w="10320"/>
          </w:cols>
          <w:pgMar w:left="320" w:top="410" w:right="1259" w:bottom="1440" w:gutter="0" w:footer="0" w:header="0"/>
        </w:sectPr>
      </w:pPr>
    </w:p>
    <w:bookmarkStart w:id="154" w:name="page155"/>
    <w:bookmarkEnd w:id="1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64" w:lineRule="exact"/>
        <w:rPr>
          <w:sz w:val="20"/>
          <w:szCs w:val="20"/>
          <w:color w:val="auto"/>
        </w:rPr>
      </w:pPr>
    </w:p>
    <w:p>
      <w:pPr>
        <w:ind w:left="920" w:right="320" w:firstLine="753"/>
        <w:spacing w:after="0" w:line="264" w:lineRule="auto"/>
        <w:rPr>
          <w:sz w:val="20"/>
          <w:szCs w:val="20"/>
          <w:color w:val="auto"/>
        </w:rPr>
      </w:pPr>
      <w:r>
        <w:rPr>
          <w:rFonts w:ascii="Times New Roman" w:cs="Times New Roman" w:eastAsia="Times New Roman" w:hAnsi="Times New Roman"/>
          <w:sz w:val="15"/>
          <w:szCs w:val="15"/>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153" w:lineRule="exact"/>
        <w:rPr>
          <w:sz w:val="20"/>
          <w:szCs w:val="20"/>
          <w:color w:val="auto"/>
        </w:rPr>
      </w:pPr>
    </w:p>
    <w:p>
      <w:pPr>
        <w:ind w:left="920" w:right="280" w:firstLine="753"/>
        <w:spacing w:after="0" w:line="293" w:lineRule="auto"/>
        <w:rPr>
          <w:sz w:val="20"/>
          <w:szCs w:val="20"/>
          <w:color w:val="auto"/>
        </w:rPr>
      </w:pPr>
      <w:r>
        <w:rPr>
          <w:rFonts w:ascii="Times New Roman" w:cs="Times New Roman" w:eastAsia="Times New Roman" w:hAnsi="Times New Roman"/>
          <w:sz w:val="15"/>
          <w:szCs w:val="15"/>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200"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3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United States Drug Regulation</w:t>
      </w:r>
    </w:p>
    <w:p>
      <w:pPr>
        <w:spacing w:after="0" w:line="200" w:lineRule="exact"/>
        <w:rPr>
          <w:sz w:val="20"/>
          <w:szCs w:val="20"/>
          <w:color w:val="auto"/>
        </w:rPr>
      </w:pPr>
    </w:p>
    <w:p>
      <w:pPr>
        <w:jc w:val="both"/>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In the United States, we are subject to extensive regulation by the FDA, which regulates drugs under the Federal Food, Drug, and Cosmetic Act, or the FDCA, and its implementing regulations. FDA approval is required before any new unapproved drug or dosage form, including a new use of a previously approved drug, can be marketed in the United States. Drugs also are subject to other federal, state and local statutes and</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-152-</w:t>
      </w:r>
    </w:p>
    <w:p>
      <w:pPr>
        <w:sectPr>
          <w:pgSz w:w="11900" w:h="16838" w:orient="portrait"/>
          <w:cols w:equalWidth="0" w:num="1">
            <w:col w:w="10300"/>
          </w:cols>
          <w:pgMar w:left="320" w:top="410" w:right="1279" w:bottom="1440" w:gutter="0" w:footer="0" w:header="0"/>
        </w:sectPr>
      </w:pPr>
    </w:p>
    <w:bookmarkStart w:id="155" w:name="page156"/>
    <w:bookmarkEnd w:id="1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2" w:lineRule="auto"/>
        <w:rPr>
          <w:sz w:val="20"/>
          <w:szCs w:val="20"/>
          <w:color w:val="auto"/>
        </w:rPr>
      </w:pPr>
      <w:r>
        <w:rPr>
          <w:rFonts w:ascii="Times New Roman" w:cs="Times New Roman" w:eastAsia="Times New Roman" w:hAnsi="Times New Roman"/>
          <w:sz w:val="15"/>
          <w:szCs w:val="15"/>
          <w:color w:val="auto"/>
        </w:rPr>
        <w:t>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58"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Our product candidates are considered small molecule drugs and must be approved by the FDA through the NDA process before they may be legally marketed in the United States. The process generally involves the following:</w:t>
      </w:r>
    </w:p>
    <w:p>
      <w:pPr>
        <w:spacing w:after="0" w:line="155" w:lineRule="exact"/>
        <w:rPr>
          <w:sz w:val="20"/>
          <w:szCs w:val="20"/>
          <w:color w:val="auto"/>
        </w:rPr>
      </w:pPr>
    </w:p>
    <w:p>
      <w:pPr>
        <w:ind w:left="2040" w:right="60" w:hanging="278"/>
        <w:spacing w:after="0" w:line="293"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completion of extensive preclinical studies in accordance with applicable regulations, including studies conducted in accordance with good laboratory practice, or GLP, requirements;</w:t>
      </w:r>
    </w:p>
    <w:p>
      <w:pPr>
        <w:spacing w:after="0" w:line="155"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IND, which must become effective before human clinical trials may begin in the United States and must be updated annually or when significant changes are made;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by an independent IRB or independent ethics committee at each clinical trial site before each trial may be initiated;</w:t>
      </w:r>
    </w:p>
    <w:p>
      <w:pPr>
        <w:spacing w:after="0" w:line="219" w:lineRule="exact"/>
        <w:rPr>
          <w:rFonts w:ascii="Times New Roman" w:cs="Times New Roman" w:eastAsia="Times New Roman" w:hAnsi="Times New Roman"/>
          <w:sz w:val="15"/>
          <w:szCs w:val="15"/>
          <w:color w:val="auto"/>
        </w:rPr>
      </w:pPr>
    </w:p>
    <w:p>
      <w:pPr>
        <w:jc w:val="both"/>
        <w:ind w:left="2040" w:right="60" w:hanging="278"/>
        <w:spacing w:after="0" w:line="275"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to the FDA of an NDA;</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determination by the FDA within 60 days of its receipt of an NDA to accept the submission for review;</w:t>
      </w:r>
    </w:p>
    <w:p>
      <w:pPr>
        <w:spacing w:after="0" w:line="219"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FDA audit of the preclinical study and/or clinical trial sites that generated the data in support of the NDA filing;</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user fees for FDA review of the NDA;</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review and approval of the NDA, including consideration of the views of any FDA advisory committee, prior to any commercial marketing or sale of the drug in the United States; and</w:t>
      </w:r>
    </w:p>
    <w:p>
      <w:pPr>
        <w:spacing w:after="0" w:line="155" w:lineRule="exact"/>
        <w:rPr>
          <w:rFonts w:ascii="Times New Roman" w:cs="Times New Roman" w:eastAsia="Times New Roman" w:hAnsi="Times New Roman"/>
          <w:sz w:val="15"/>
          <w:szCs w:val="15"/>
          <w:color w:val="auto"/>
        </w:rPr>
      </w:pPr>
    </w:p>
    <w:p>
      <w:pPr>
        <w:ind w:left="2040" w:right="540" w:hanging="278"/>
        <w:spacing w:after="0" w:line="293" w:lineRule="auto"/>
        <w:tabs>
          <w:tab w:leader="none" w:pos="204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any post-approval requirements, including the potential requirement to implement a REMS and the potential requirement to conduct post-approval studies.</w:t>
      </w:r>
    </w:p>
    <w:p>
      <w:pPr>
        <w:spacing w:after="0" w:line="132"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-153-</w:t>
      </w:r>
    </w:p>
    <w:p>
      <w:pPr>
        <w:sectPr>
          <w:pgSz w:w="11900" w:h="16838" w:orient="portrait"/>
          <w:cols w:equalWidth="0" w:num="1">
            <w:col w:w="10300"/>
          </w:cols>
          <w:pgMar w:left="320" w:top="410" w:right="1279" w:bottom="1440" w:gutter="0" w:footer="0" w:header="0"/>
        </w:sectPr>
      </w:pPr>
    </w:p>
    <w:bookmarkStart w:id="156" w:name="page157"/>
    <w:bookmarkEnd w:id="15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Preclinical Studies and IND Submission</w:t>
      </w:r>
    </w:p>
    <w:p>
      <w:pPr>
        <w:spacing w:after="0" w:line="200" w:lineRule="exact"/>
        <w:rPr>
          <w:sz w:val="20"/>
          <w:szCs w:val="20"/>
          <w:color w:val="auto"/>
        </w:rPr>
      </w:pPr>
    </w:p>
    <w:p>
      <w:pPr>
        <w:ind w:left="920" w:right="240" w:firstLine="753"/>
        <w:spacing w:after="0" w:line="265" w:lineRule="auto"/>
        <w:rPr>
          <w:sz w:val="20"/>
          <w:szCs w:val="20"/>
          <w:color w:val="auto"/>
        </w:rPr>
      </w:pPr>
      <w:r>
        <w:rPr>
          <w:rFonts w:ascii="Times New Roman" w:cs="Times New Roman" w:eastAsia="Times New Roman" w:hAnsi="Times New Roman"/>
          <w:sz w:val="15"/>
          <w:szCs w:val="15"/>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United States.</w:t>
      </w:r>
    </w:p>
    <w:p>
      <w:pPr>
        <w:spacing w:after="0" w:line="154"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Clinical Trials</w:t>
      </w:r>
    </w:p>
    <w:p>
      <w:pPr>
        <w:spacing w:after="0" w:line="200" w:lineRule="exact"/>
        <w:rPr>
          <w:sz w:val="20"/>
          <w:szCs w:val="20"/>
          <w:color w:val="auto"/>
        </w:rPr>
      </w:pPr>
    </w:p>
    <w:p>
      <w:pPr>
        <w:ind w:left="920" w:right="80" w:firstLine="753"/>
        <w:spacing w:after="0" w:line="260" w:lineRule="auto"/>
        <w:rPr>
          <w:sz w:val="20"/>
          <w:szCs w:val="20"/>
          <w:color w:val="auto"/>
        </w:rPr>
      </w:pPr>
      <w:r>
        <w:rPr>
          <w:rFonts w:ascii="Times New Roman" w:cs="Times New Roman" w:eastAsia="Times New Roman" w:hAnsi="Times New Roman"/>
          <w:sz w:val="15"/>
          <w:szCs w:val="15"/>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60"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54"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Clinical trials in the United States generally are conducted in three sequential phases, known as Phase 1, Phase 2 and Phase 3. Although the phases are usually conducted sequentially, they may overlap or be combined.</w:t>
      </w:r>
    </w:p>
    <w:p>
      <w:pPr>
        <w:spacing w:after="0" w:line="155" w:lineRule="exact"/>
        <w:rPr>
          <w:sz w:val="20"/>
          <w:szCs w:val="20"/>
          <w:color w:val="auto"/>
        </w:rPr>
      </w:pPr>
    </w:p>
    <w:p>
      <w:pPr>
        <w:ind w:left="2040" w:hanging="278"/>
        <w:spacing w:after="0" w:line="275" w:lineRule="auto"/>
        <w:tabs>
          <w:tab w:leader="none" w:pos="20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w:t>
      </w:r>
    </w:p>
    <w:p>
      <w:pPr>
        <w:spacing w:after="0" w:line="87"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154 -</w:t>
      </w:r>
    </w:p>
    <w:p>
      <w:pPr>
        <w:sectPr>
          <w:pgSz w:w="11900" w:h="16838" w:orient="portrait"/>
          <w:cols w:equalWidth="0" w:num="1">
            <w:col w:w="10300"/>
          </w:cols>
          <w:pgMar w:left="320" w:top="410" w:right="1279" w:bottom="1440" w:gutter="0" w:footer="0" w:header="0"/>
        </w:sectPr>
      </w:pPr>
    </w:p>
    <w:bookmarkStart w:id="157" w:name="page158"/>
    <w:bookmarkEnd w:id="15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120"/>
        <w:spacing w:after="0" w:line="293" w:lineRule="auto"/>
        <w:rPr>
          <w:sz w:val="20"/>
          <w:szCs w:val="20"/>
          <w:color w:val="auto"/>
        </w:rPr>
      </w:pPr>
      <w:r>
        <w:rPr>
          <w:rFonts w:ascii="Times New Roman" w:cs="Times New Roman" w:eastAsia="Times New Roman" w:hAnsi="Times New Roman"/>
          <w:sz w:val="15"/>
          <w:szCs w:val="15"/>
          <w:color w:val="auto"/>
        </w:rPr>
        <w:t>tolerability and safety of the drug in humans, the side effects associated with increasing doses, and if possible, to gain early evidence on effectiveness.</w:t>
      </w:r>
    </w:p>
    <w:p>
      <w:pPr>
        <w:spacing w:after="0" w:line="155" w:lineRule="exact"/>
        <w:rPr>
          <w:sz w:val="20"/>
          <w:szCs w:val="20"/>
          <w:color w:val="auto"/>
        </w:rPr>
      </w:pPr>
    </w:p>
    <w:p>
      <w:pPr>
        <w:ind w:left="2040" w:right="240" w:hanging="278"/>
        <w:spacing w:after="0" w:line="275" w:lineRule="auto"/>
        <w:tabs>
          <w:tab w:leader="none" w:pos="20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67" w:lineRule="exact"/>
        <w:rPr>
          <w:rFonts w:ascii="Times New Roman" w:cs="Times New Roman" w:eastAsia="Times New Roman" w:hAnsi="Times New Roman"/>
          <w:sz w:val="15"/>
          <w:szCs w:val="15"/>
          <w:color w:val="auto"/>
        </w:rPr>
      </w:pPr>
    </w:p>
    <w:p>
      <w:pPr>
        <w:ind w:left="2040" w:right="100" w:hanging="278"/>
        <w:spacing w:after="0" w:line="268" w:lineRule="auto"/>
        <w:tabs>
          <w:tab w:leader="none" w:pos="20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74" w:lineRule="exact"/>
        <w:rPr>
          <w:rFonts w:ascii="Times New Roman" w:cs="Times New Roman" w:eastAsia="Times New Roman" w:hAnsi="Times New Roman"/>
          <w:sz w:val="15"/>
          <w:szCs w:val="15"/>
          <w:color w:val="auto"/>
        </w:rPr>
      </w:pPr>
    </w:p>
    <w:p>
      <w:pPr>
        <w:jc w:val="both"/>
        <w:ind w:left="2040" w:right="120" w:hanging="278"/>
        <w:spacing w:after="0" w:line="275" w:lineRule="auto"/>
        <w:tabs>
          <w:tab w:leader="none" w:pos="20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167" w:lineRule="exact"/>
        <w:rPr>
          <w:rFonts w:ascii="Times New Roman" w:cs="Times New Roman" w:eastAsia="Times New Roman" w:hAnsi="Times New Roman"/>
          <w:sz w:val="15"/>
          <w:szCs w:val="15"/>
          <w:color w:val="auto"/>
        </w:rPr>
      </w:pPr>
    </w:p>
    <w:p>
      <w:pPr>
        <w:ind w:left="2040" w:right="60" w:hanging="278"/>
        <w:spacing w:after="0" w:line="293" w:lineRule="auto"/>
        <w:tabs>
          <w:tab w:leader="none" w:pos="204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Phase 2b/3 clinical trial has elements of a late Phase 2 trial and a Phase 3 trial. We have designated Saturn-1 as a Phase 2b/3 trial as it is both our first multi-center trial based in the United States, and also a pivotal trial for the United States.</w:t>
      </w:r>
    </w:p>
    <w:p>
      <w:pPr>
        <w:spacing w:after="0" w:line="132"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45"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52" w:lineRule="exact"/>
        <w:rPr>
          <w:sz w:val="20"/>
          <w:szCs w:val="20"/>
          <w:color w:val="auto"/>
        </w:rPr>
      </w:pPr>
    </w:p>
    <w:p>
      <w:pPr>
        <w:jc w:val="both"/>
        <w:ind w:left="920" w:firstLine="753"/>
        <w:spacing w:after="0" w:line="268" w:lineRule="auto"/>
        <w:rPr>
          <w:sz w:val="20"/>
          <w:szCs w:val="20"/>
          <w:color w:val="auto"/>
        </w:rPr>
      </w:pPr>
      <w:r>
        <w:rPr>
          <w:rFonts w:ascii="Times New Roman" w:cs="Times New Roman" w:eastAsia="Times New Roman" w:hAnsi="Times New Roman"/>
          <w:sz w:val="15"/>
          <w:szCs w:val="15"/>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NDA Review and Marketing Approval</w:t>
      </w:r>
    </w:p>
    <w:p>
      <w:pPr>
        <w:spacing w:after="0" w:line="200" w:lineRule="exact"/>
        <w:rPr>
          <w:sz w:val="20"/>
          <w:szCs w:val="20"/>
          <w:color w:val="auto"/>
        </w:rPr>
      </w:pPr>
    </w:p>
    <w:p>
      <w:pPr>
        <w:ind w:left="920" w:right="60" w:firstLine="753"/>
        <w:spacing w:after="0" w:line="264" w:lineRule="auto"/>
        <w:rPr>
          <w:sz w:val="20"/>
          <w:szCs w:val="20"/>
          <w:color w:val="auto"/>
        </w:rPr>
      </w:pPr>
      <w:r>
        <w:rPr>
          <w:rFonts w:ascii="Times New Roman" w:cs="Times New Roman" w:eastAsia="Times New Roman" w:hAnsi="Times New Roman"/>
          <w:sz w:val="15"/>
          <w:szCs w:val="15"/>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-155-</w:t>
      </w:r>
    </w:p>
    <w:p>
      <w:pPr>
        <w:sectPr>
          <w:pgSz w:w="11900" w:h="16838" w:orient="portrait"/>
          <w:cols w:equalWidth="0" w:num="1">
            <w:col w:w="10320"/>
          </w:cols>
          <w:pgMar w:left="320" w:top="410" w:right="1259" w:bottom="1440" w:gutter="0" w:footer="0" w:header="0"/>
        </w:sectPr>
      </w:pPr>
    </w:p>
    <w:bookmarkStart w:id="158" w:name="page159"/>
    <w:bookmarkEnd w:id="15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both"/>
        <w:ind w:left="920" w:right="320"/>
        <w:spacing w:after="0" w:line="293" w:lineRule="auto"/>
        <w:rPr>
          <w:sz w:val="20"/>
          <w:szCs w:val="20"/>
          <w:color w:val="auto"/>
        </w:rPr>
      </w:pPr>
      <w:r>
        <w:rPr>
          <w:rFonts w:ascii="Times New Roman" w:cs="Times New Roman" w:eastAsia="Times New Roman" w:hAnsi="Times New Roman"/>
          <w:sz w:val="15"/>
          <w:szCs w:val="15"/>
          <w:color w:val="auto"/>
        </w:rPr>
        <w:t>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32" w:lineRule="exact"/>
        <w:rPr>
          <w:sz w:val="20"/>
          <w:szCs w:val="20"/>
          <w:color w:val="auto"/>
        </w:rPr>
      </w:pPr>
    </w:p>
    <w:p>
      <w:pPr>
        <w:ind w:left="920" w:right="60" w:firstLine="753"/>
        <w:spacing w:after="0" w:line="267" w:lineRule="auto"/>
        <w:rPr>
          <w:sz w:val="20"/>
          <w:szCs w:val="20"/>
          <w:color w:val="auto"/>
        </w:rPr>
      </w:pPr>
      <w:r>
        <w:rPr>
          <w:rFonts w:ascii="Times New Roman" w:cs="Times New Roman" w:eastAsia="Times New Roman" w:hAnsi="Times New Roman"/>
          <w:sz w:val="15"/>
          <w:szCs w:val="15"/>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339" w:lineRule="exact"/>
        <w:rPr>
          <w:sz w:val="20"/>
          <w:szCs w:val="20"/>
          <w:color w:val="auto"/>
        </w:rPr>
      </w:pPr>
    </w:p>
    <w:p>
      <w:pPr>
        <w:jc w:val="both"/>
        <w:ind w:left="920" w:firstLine="753"/>
        <w:spacing w:after="0" w:line="261" w:lineRule="auto"/>
        <w:rPr>
          <w:sz w:val="20"/>
          <w:szCs w:val="20"/>
          <w:color w:val="auto"/>
        </w:rPr>
      </w:pPr>
      <w:r>
        <w:rPr>
          <w:rFonts w:ascii="Times New Roman" w:cs="Times New Roman" w:eastAsia="Times New Roman" w:hAnsi="Times New Roman"/>
          <w:sz w:val="15"/>
          <w:szCs w:val="15"/>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w:t>
      </w:r>
    </w:p>
    <w:p>
      <w:pPr>
        <w:spacing w:after="0" w:line="2" w:lineRule="exact"/>
        <w:rPr>
          <w:sz w:val="20"/>
          <w:szCs w:val="20"/>
          <w:color w:val="auto"/>
        </w:rPr>
      </w:pPr>
    </w:p>
    <w:p>
      <w:pPr>
        <w:ind w:left="920" w:right="180"/>
        <w:spacing w:after="0" w:line="262" w:lineRule="auto"/>
        <w:rPr>
          <w:sz w:val="20"/>
          <w:szCs w:val="20"/>
          <w:color w:val="auto"/>
        </w:rPr>
      </w:pPr>
      <w:r>
        <w:rPr>
          <w:rFonts w:ascii="Times New Roman" w:cs="Times New Roman" w:eastAsia="Times New Roman" w:hAnsi="Times New Roman"/>
          <w:sz w:val="15"/>
          <w:szCs w:val="15"/>
          <w:color w:val="auto"/>
        </w:rPr>
        <w:t>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55"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53"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54"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152" w:lineRule="exact"/>
        <w:rPr>
          <w:sz w:val="20"/>
          <w:szCs w:val="20"/>
          <w:color w:val="auto"/>
        </w:rPr>
      </w:pPr>
    </w:p>
    <w:p>
      <w:pPr>
        <w:ind w:left="920" w:right="120" w:firstLine="753"/>
        <w:spacing w:after="0" w:line="264" w:lineRule="auto"/>
        <w:rPr>
          <w:sz w:val="20"/>
          <w:szCs w:val="20"/>
          <w:color w:val="auto"/>
        </w:rPr>
      </w:pPr>
      <w:r>
        <w:rPr>
          <w:rFonts w:ascii="Times New Roman" w:cs="Times New Roman" w:eastAsia="Times New Roman" w:hAnsi="Times New Roman"/>
          <w:sz w:val="15"/>
          <w:szCs w:val="15"/>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-156-</w:t>
      </w:r>
    </w:p>
    <w:p>
      <w:pPr>
        <w:sectPr>
          <w:pgSz w:w="11900" w:h="16838" w:orient="portrait"/>
          <w:cols w:equalWidth="0" w:num="1">
            <w:col w:w="10320"/>
          </w:cols>
          <w:pgMar w:left="320" w:top="410" w:right="1259" w:bottom="1440" w:gutter="0" w:footer="0" w:header="0"/>
        </w:sectPr>
      </w:pPr>
    </w:p>
    <w:bookmarkStart w:id="159" w:name="page160"/>
    <w:bookmarkEnd w:id="15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considers the inspection to be necessary, the FDA is able to validate the data through an on-site inspection or other appropriate means.</w:t>
      </w:r>
    </w:p>
    <w:p>
      <w:pPr>
        <w:spacing w:after="0" w:line="196"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54"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Post-Approval Requirements</w:t>
      </w:r>
    </w:p>
    <w:p>
      <w:pPr>
        <w:spacing w:after="0" w:line="200"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5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Although physicians may prescribe legally available drugs for off-label uses, manufacturers may not market or promote such uses.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Prescription drug promotional materials must be submitted to the FDA in conjunction with their first use or first publication.</w:t>
      </w:r>
    </w:p>
    <w:p>
      <w:pPr>
        <w:spacing w:after="0" w:line="182" w:lineRule="exact"/>
        <w:rPr>
          <w:sz w:val="20"/>
          <w:szCs w:val="20"/>
          <w:color w:val="auto"/>
        </w:rPr>
      </w:pPr>
    </w:p>
    <w:p>
      <w:pPr>
        <w:ind w:left="920" w:right="140" w:firstLine="753"/>
        <w:spacing w:after="0" w:line="268" w:lineRule="auto"/>
        <w:rPr>
          <w:sz w:val="20"/>
          <w:szCs w:val="20"/>
          <w:color w:val="auto"/>
        </w:rPr>
      </w:pPr>
      <w:r>
        <w:rPr>
          <w:rFonts w:ascii="Times New Roman" w:cs="Times New Roman" w:eastAsia="Times New Roman" w:hAnsi="Times New Roman"/>
          <w:sz w:val="15"/>
          <w:szCs w:val="15"/>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52" w:lineRule="exact"/>
        <w:rPr>
          <w:sz w:val="20"/>
          <w:szCs w:val="20"/>
          <w:color w:val="auto"/>
        </w:rPr>
      </w:pPr>
    </w:p>
    <w:p>
      <w:pPr>
        <w:ind w:left="920" w:right="180" w:firstLine="753"/>
        <w:spacing w:after="0" w:line="268" w:lineRule="auto"/>
        <w:rPr>
          <w:sz w:val="20"/>
          <w:szCs w:val="20"/>
          <w:color w:val="auto"/>
        </w:rPr>
      </w:pPr>
      <w:r>
        <w:rPr>
          <w:rFonts w:ascii="Times New Roman" w:cs="Times New Roman" w:eastAsia="Times New Roman" w:hAnsi="Times New Roman"/>
          <w:sz w:val="15"/>
          <w:szCs w:val="15"/>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-157-</w:t>
      </w:r>
    </w:p>
    <w:p>
      <w:pPr>
        <w:sectPr>
          <w:pgSz w:w="11900" w:h="16838" w:orient="portrait"/>
          <w:cols w:equalWidth="0" w:num="1">
            <w:col w:w="10320"/>
          </w:cols>
          <w:pgMar w:left="320" w:top="410" w:right="1259" w:bottom="1440" w:gutter="0" w:footer="0" w:header="0"/>
        </w:sectPr>
      </w:pPr>
    </w:p>
    <w:bookmarkStart w:id="160" w:name="page161"/>
    <w:bookmarkEnd w:id="16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80"/>
        <w:spacing w:after="0" w:line="264" w:lineRule="auto"/>
        <w:rPr>
          <w:sz w:val="20"/>
          <w:szCs w:val="20"/>
          <w:color w:val="auto"/>
        </w:rPr>
      </w:pPr>
      <w:r>
        <w:rPr>
          <w:rFonts w:ascii="Times New Roman" w:cs="Times New Roman" w:eastAsia="Times New Roman" w:hAnsi="Times New Roman"/>
          <w:sz w:val="15"/>
          <w:szCs w:val="15"/>
          <w:color w:val="auto"/>
        </w:rPr>
        <w:t>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53"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76" w:lineRule="exact"/>
        <w:rPr>
          <w:sz w:val="20"/>
          <w:szCs w:val="20"/>
          <w:color w:val="auto"/>
        </w:rPr>
      </w:pPr>
    </w:p>
    <w:p>
      <w:pPr>
        <w:ind w:left="2040" w:right="200" w:hanging="278"/>
        <w:spacing w:after="0" w:line="293" w:lineRule="auto"/>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suspension of the approval, complete withdrawal of the product from the market, or product recalls;</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warning letters, or holds on post-approval clinical trials;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the FDA to approve pending applications or supplements to approved applications;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or revocation of product approvals;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 or refusal to permit the import or export of products; or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Other Regulatory Matters</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339"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68" w:lineRule="exact"/>
        <w:rPr>
          <w:sz w:val="20"/>
          <w:szCs w:val="20"/>
          <w:color w:val="auto"/>
        </w:rPr>
      </w:pPr>
    </w:p>
    <w:p>
      <w:pPr>
        <w:ind w:left="2040" w:right="60" w:hanging="278"/>
        <w:spacing w:after="0" w:line="264" w:lineRule="auto"/>
        <w:tabs>
          <w:tab w:leader="none" w:pos="20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95"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158 -</w:t>
      </w:r>
    </w:p>
    <w:p>
      <w:pPr>
        <w:sectPr>
          <w:pgSz w:w="11900" w:h="16838" w:orient="portrait"/>
          <w:cols w:equalWidth="0" w:num="1">
            <w:col w:w="10320"/>
          </w:cols>
          <w:pgMar w:left="320" w:top="410" w:right="1259" w:bottom="1440" w:gutter="0" w:footer="0" w:header="0"/>
        </w:sectPr>
      </w:pPr>
    </w:p>
    <w:bookmarkStart w:id="161" w:name="page162"/>
    <w:bookmarkEnd w:id="16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20" w:hanging="278"/>
        <w:spacing w:after="0" w:line="267"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362" w:lineRule="exact"/>
        <w:rPr>
          <w:rFonts w:ascii="Times New Roman" w:cs="Times New Roman" w:eastAsia="Times New Roman" w:hAnsi="Times New Roman"/>
          <w:sz w:val="15"/>
          <w:szCs w:val="15"/>
          <w:color w:val="auto"/>
        </w:rPr>
      </w:pPr>
    </w:p>
    <w:p>
      <w:pPr>
        <w:ind w:left="2040" w:right="320" w:hanging="278"/>
        <w:spacing w:after="0" w:line="268"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174" w:lineRule="exact"/>
        <w:rPr>
          <w:rFonts w:ascii="Times New Roman" w:cs="Times New Roman" w:eastAsia="Times New Roman" w:hAnsi="Times New Roman"/>
          <w:sz w:val="15"/>
          <w:szCs w:val="15"/>
          <w:color w:val="auto"/>
        </w:rPr>
      </w:pPr>
    </w:p>
    <w:p>
      <w:pPr>
        <w:ind w:left="2040" w:hanging="278"/>
        <w:spacing w:after="0" w:line="275"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167" w:lineRule="exact"/>
        <w:rPr>
          <w:rFonts w:ascii="Times New Roman" w:cs="Times New Roman" w:eastAsia="Times New Roman" w:hAnsi="Times New Roman"/>
          <w:sz w:val="15"/>
          <w:szCs w:val="15"/>
          <w:color w:val="auto"/>
        </w:rPr>
      </w:pPr>
    </w:p>
    <w:p>
      <w:pPr>
        <w:ind w:left="2040" w:right="80" w:hanging="278"/>
        <w:spacing w:after="0" w:line="293"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consumer protection and unfair competition laws, which broadly regulate marketplace activities and activities that potentially harm consumers;</w:t>
      </w:r>
    </w:p>
    <w:p>
      <w:pPr>
        <w:spacing w:after="0" w:line="155" w:lineRule="exact"/>
        <w:rPr>
          <w:rFonts w:ascii="Times New Roman" w:cs="Times New Roman" w:eastAsia="Times New Roman" w:hAnsi="Times New Roman"/>
          <w:sz w:val="15"/>
          <w:szCs w:val="15"/>
          <w:color w:val="auto"/>
        </w:rPr>
      </w:pPr>
    </w:p>
    <w:p>
      <w:pPr>
        <w:ind w:left="2040" w:right="180" w:hanging="278"/>
        <w:spacing w:after="0" w:line="293"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FDCA, which prohibits, among other things, the adulteration or misbranding of drugs, biologics and medical devices, including off-label or pre-approval promotion;</w:t>
      </w:r>
    </w:p>
    <w:p>
      <w:pPr>
        <w:spacing w:after="0" w:line="155" w:lineRule="exact"/>
        <w:rPr>
          <w:rFonts w:ascii="Times New Roman" w:cs="Times New Roman" w:eastAsia="Times New Roman" w:hAnsi="Times New Roman"/>
          <w:sz w:val="15"/>
          <w:szCs w:val="15"/>
          <w:color w:val="auto"/>
        </w:rPr>
      </w:pPr>
    </w:p>
    <w:p>
      <w:pPr>
        <w:ind w:left="2040" w:hanging="278"/>
        <w:spacing w:after="0" w:line="265"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177" w:lineRule="exact"/>
        <w:rPr>
          <w:rFonts w:ascii="Times New Roman" w:cs="Times New Roman" w:eastAsia="Times New Roman" w:hAnsi="Times New Roman"/>
          <w:sz w:val="15"/>
          <w:szCs w:val="15"/>
          <w:color w:val="auto"/>
        </w:rPr>
      </w:pPr>
    </w:p>
    <w:p>
      <w:pPr>
        <w:ind w:left="2040" w:right="140" w:hanging="278"/>
        <w:spacing w:after="0" w:line="261" w:lineRule="auto"/>
        <w:tabs>
          <w:tab w:leader="none" w:pos="20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59"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-159-</w:t>
      </w:r>
    </w:p>
    <w:p>
      <w:pPr>
        <w:sectPr>
          <w:pgSz w:w="11900" w:h="16838" w:orient="portrait"/>
          <w:cols w:equalWidth="0" w:num="1">
            <w:col w:w="10300"/>
          </w:cols>
          <w:pgMar w:left="320" w:top="410" w:right="1279" w:bottom="1440" w:gutter="0" w:footer="0" w:header="0"/>
        </w:sectPr>
      </w:pPr>
    </w:p>
    <w:bookmarkStart w:id="162" w:name="page163"/>
    <w:bookmarkEnd w:id="16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300" w:firstLine="753"/>
        <w:spacing w:after="0" w:line="293" w:lineRule="auto"/>
        <w:rPr>
          <w:sz w:val="20"/>
          <w:szCs w:val="20"/>
          <w:color w:val="auto"/>
        </w:rPr>
      </w:pPr>
      <w:r>
        <w:rPr>
          <w:rFonts w:ascii="Times New Roman" w:cs="Times New Roman" w:eastAsia="Times New Roman" w:hAnsi="Times New Roman"/>
          <w:sz w:val="15"/>
          <w:szCs w:val="15"/>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32" w:lineRule="exact"/>
        <w:rPr>
          <w:sz w:val="20"/>
          <w:szCs w:val="20"/>
          <w:color w:val="auto"/>
        </w:rPr>
      </w:pPr>
    </w:p>
    <w:p>
      <w:pPr>
        <w:ind w:left="920" w:right="420" w:firstLine="753"/>
        <w:spacing w:after="0" w:line="293" w:lineRule="auto"/>
        <w:rPr>
          <w:sz w:val="20"/>
          <w:szCs w:val="20"/>
          <w:color w:val="auto"/>
        </w:rPr>
      </w:pPr>
      <w:r>
        <w:rPr>
          <w:rFonts w:ascii="Times New Roman" w:cs="Times New Roman" w:eastAsia="Times New Roman" w:hAnsi="Times New Roman"/>
          <w:sz w:val="15"/>
          <w:szCs w:val="15"/>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expenditures or drug pricing. In addition, we may be subject to state and local laws that require the registration of pharmaceutical sales representatives.</w:t>
      </w:r>
    </w:p>
    <w:p>
      <w:pPr>
        <w:spacing w:after="0" w:line="152" w:lineRule="exact"/>
        <w:rPr>
          <w:sz w:val="20"/>
          <w:szCs w:val="20"/>
          <w:color w:val="auto"/>
        </w:rPr>
      </w:pPr>
    </w:p>
    <w:p>
      <w:pPr>
        <w:ind w:left="920" w:right="80" w:firstLine="753"/>
        <w:spacing w:after="0" w:line="264" w:lineRule="auto"/>
        <w:rPr>
          <w:sz w:val="20"/>
          <w:szCs w:val="20"/>
          <w:color w:val="auto"/>
        </w:rPr>
      </w:pPr>
      <w:r>
        <w:rPr>
          <w:rFonts w:ascii="Times New Roman" w:cs="Times New Roman" w:eastAsia="Times New Roman" w:hAnsi="Times New Roman"/>
          <w:sz w:val="15"/>
          <w:szCs w:val="15"/>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5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Equivalent, and similarly detailed, obligations will apply to the conduct of clinical trials in third countries including the EU.</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United States Patent-Term Restoration and Marketing Exclusivity</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58"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-160-</w:t>
      </w:r>
    </w:p>
    <w:p>
      <w:pPr>
        <w:sectPr>
          <w:pgSz w:w="11900" w:h="16838" w:orient="portrait"/>
          <w:cols w:equalWidth="0" w:num="1">
            <w:col w:w="10320"/>
          </w:cols>
          <w:pgMar w:left="320" w:top="410" w:right="1259" w:bottom="1440" w:gutter="0" w:footer="0" w:header="0"/>
        </w:sectPr>
      </w:pPr>
    </w:p>
    <w:bookmarkStart w:id="163" w:name="page164"/>
    <w:bookmarkEnd w:id="16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5"/>
          <w:szCs w:val="15"/>
          <w:color w:val="auto"/>
        </w:rPr>
        <w:t>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European Union Drug Development</w:t>
      </w:r>
    </w:p>
    <w:p>
      <w:pPr>
        <w:spacing w:after="0" w:line="200" w:lineRule="exact"/>
        <w:rPr>
          <w:sz w:val="20"/>
          <w:szCs w:val="20"/>
          <w:color w:val="auto"/>
        </w:rPr>
      </w:pPr>
    </w:p>
    <w:p>
      <w:pPr>
        <w:ind w:left="920" w:right="80" w:firstLine="753"/>
        <w:spacing w:after="0" w:line="262" w:lineRule="auto"/>
        <w:rPr>
          <w:sz w:val="20"/>
          <w:szCs w:val="20"/>
          <w:color w:val="auto"/>
        </w:rPr>
      </w:pPr>
      <w:r>
        <w:rPr>
          <w:rFonts w:ascii="Times New Roman" w:cs="Times New Roman" w:eastAsia="Times New Roman" w:hAnsi="Times New Roman"/>
          <w:sz w:val="15"/>
          <w:szCs w:val="15"/>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158" w:lineRule="exact"/>
        <w:rPr>
          <w:sz w:val="20"/>
          <w:szCs w:val="20"/>
          <w:color w:val="auto"/>
        </w:rPr>
      </w:pPr>
    </w:p>
    <w:p>
      <w:pPr>
        <w:ind w:left="920" w:right="220" w:firstLine="753"/>
        <w:spacing w:after="0" w:line="268" w:lineRule="auto"/>
        <w:rPr>
          <w:sz w:val="20"/>
          <w:szCs w:val="20"/>
          <w:color w:val="auto"/>
        </w:rPr>
      </w:pPr>
      <w:r>
        <w:rPr>
          <w:rFonts w:ascii="Times New Roman" w:cs="Times New Roman" w:eastAsia="Times New Roman" w:hAnsi="Times New Roman"/>
          <w:sz w:val="15"/>
          <w:szCs w:val="15"/>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European Union Drug Review and Approval</w:t>
      </w:r>
    </w:p>
    <w:p>
      <w:pPr>
        <w:spacing w:after="0" w:line="200"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Clinical Trial Approval</w:t>
      </w:r>
    </w:p>
    <w:p>
      <w:pPr>
        <w:spacing w:after="0" w:line="200" w:lineRule="exact"/>
        <w:rPr>
          <w:sz w:val="20"/>
          <w:szCs w:val="20"/>
          <w:color w:val="auto"/>
        </w:rPr>
      </w:pPr>
    </w:p>
    <w:p>
      <w:pPr>
        <w:ind w:left="920" w:right="180" w:firstLine="753"/>
        <w:spacing w:after="0" w:line="262" w:lineRule="auto"/>
        <w:rPr>
          <w:sz w:val="20"/>
          <w:szCs w:val="20"/>
          <w:color w:val="auto"/>
        </w:rPr>
      </w:pPr>
      <w:r>
        <w:rPr>
          <w:rFonts w:ascii="Times New Roman" w:cs="Times New Roman" w:eastAsia="Times New Roman" w:hAnsi="Times New Roman"/>
          <w:sz w:val="15"/>
          <w:szCs w:val="15"/>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 2001/20/EC and Directive 2005/28/EC and corresponding national laws of the member states and further detailed in applicable guidance documents.</w:t>
      </w:r>
    </w:p>
    <w:p>
      <w:pPr>
        <w:spacing w:after="0" w:line="158" w:lineRule="exact"/>
        <w:rPr>
          <w:sz w:val="20"/>
          <w:szCs w:val="20"/>
          <w:color w:val="auto"/>
        </w:rPr>
      </w:pPr>
    </w:p>
    <w:p>
      <w:pPr>
        <w:ind w:left="920" w:right="80" w:firstLine="753"/>
        <w:spacing w:after="0" w:line="293" w:lineRule="auto"/>
        <w:rPr>
          <w:sz w:val="20"/>
          <w:szCs w:val="20"/>
          <w:color w:val="auto"/>
        </w:rPr>
      </w:pPr>
      <w:r>
        <w:rPr>
          <w:rFonts w:ascii="Times New Roman" w:cs="Times New Roman" w:eastAsia="Times New Roman" w:hAnsi="Times New Roman"/>
          <w:sz w:val="15"/>
          <w:szCs w:val="15"/>
          <w:color w:val="auto"/>
        </w:rPr>
        <w:t>In April 2014, the European Union adopted a new Clinical Trials Regulation (EU) No 536/2014, but it is not yet applicable in the European Union. The new legislation, which will be directly applicable in all European</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-161-</w:t>
      </w:r>
    </w:p>
    <w:p>
      <w:pPr>
        <w:sectPr>
          <w:pgSz w:w="11900" w:h="16838" w:orient="portrait"/>
          <w:cols w:equalWidth="0" w:num="1">
            <w:col w:w="10320"/>
          </w:cols>
          <w:pgMar w:left="320" w:top="410" w:right="1259" w:bottom="1440" w:gutter="0" w:footer="0" w:header="0"/>
        </w:sectPr>
      </w:pPr>
    </w:p>
    <w:bookmarkStart w:id="164" w:name="page165"/>
    <w:bookmarkEnd w:id="16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4" w:lineRule="auto"/>
        <w:rPr>
          <w:sz w:val="20"/>
          <w:szCs w:val="20"/>
          <w:color w:val="auto"/>
        </w:rPr>
      </w:pPr>
      <w:r>
        <w:rPr>
          <w:rFonts w:ascii="Times New Roman" w:cs="Times New Roman" w:eastAsia="Times New Roman" w:hAnsi="Times New Roman"/>
          <w:sz w:val="15"/>
          <w:szCs w:val="15"/>
          <w:color w:val="auto"/>
        </w:rPr>
        <w:t>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 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153"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Parties conducting certain clinical trials in the European Union must, as in the United States, post clinical trial information at the EudraCT website: https://eudract.ema.europa.eu.</w:t>
      </w:r>
    </w:p>
    <w:p>
      <w:pPr>
        <w:spacing w:after="0" w:line="1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Marketing Authorization</w:t>
      </w:r>
    </w:p>
    <w:p>
      <w:pPr>
        <w:spacing w:after="0" w:line="200" w:lineRule="exact"/>
        <w:rPr>
          <w:sz w:val="20"/>
          <w:szCs w:val="20"/>
          <w:color w:val="auto"/>
        </w:rPr>
      </w:pPr>
    </w:p>
    <w:p>
      <w:pPr>
        <w:ind w:left="920" w:right="20" w:firstLine="753"/>
        <w:spacing w:after="0" w:line="293" w:lineRule="auto"/>
        <w:rPr>
          <w:sz w:val="20"/>
          <w:szCs w:val="20"/>
          <w:color w:val="auto"/>
        </w:rPr>
      </w:pPr>
      <w:r>
        <w:rPr>
          <w:rFonts w:ascii="Times New Roman" w:cs="Times New Roman" w:eastAsia="Times New Roman" w:hAnsi="Times New Roman"/>
          <w:sz w:val="15"/>
          <w:szCs w:val="15"/>
          <w:color w:val="auto"/>
        </w:rPr>
        <w:t>In the EEA, medicinal products can only be commercialized after obtaining a Marketing Authorization, or MA. There are a number of types of marketing authorizations.</w:t>
      </w:r>
    </w:p>
    <w:p>
      <w:pPr>
        <w:spacing w:after="0" w:line="155" w:lineRule="exact"/>
        <w:rPr>
          <w:sz w:val="20"/>
          <w:szCs w:val="20"/>
          <w:color w:val="auto"/>
        </w:rPr>
      </w:pPr>
    </w:p>
    <w:p>
      <w:pPr>
        <w:ind w:left="2040" w:hanging="278"/>
        <w:spacing w:after="0" w:line="261" w:lineRule="auto"/>
        <w:tabs>
          <w:tab w:leader="none" w:pos="20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343" w:lineRule="exact"/>
        <w:rPr>
          <w:rFonts w:ascii="Times New Roman" w:cs="Times New Roman" w:eastAsia="Times New Roman" w:hAnsi="Times New Roman"/>
          <w:sz w:val="15"/>
          <w:szCs w:val="15"/>
          <w:color w:val="auto"/>
        </w:rPr>
      </w:pPr>
    </w:p>
    <w:p>
      <w:pPr>
        <w:ind w:left="2040" w:right="4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0" w:lineRule="exact"/>
        <w:rPr>
          <w:rFonts w:ascii="Times New Roman" w:cs="Times New Roman" w:eastAsia="Times New Roman" w:hAnsi="Times New Roman"/>
          <w:sz w:val="15"/>
          <w:szCs w:val="15"/>
          <w:color w:val="auto"/>
        </w:rPr>
      </w:pPr>
    </w:p>
    <w:p>
      <w:pPr>
        <w:ind w:left="2040" w:hanging="278"/>
        <w:spacing w:after="0" w:line="261" w:lineRule="auto"/>
        <w:tabs>
          <w:tab w:leader="none" w:pos="20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w:t>
      </w:r>
    </w:p>
    <w:p>
      <w:pPr>
        <w:spacing w:after="0" w:line="98"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162 -</w:t>
      </w:r>
    </w:p>
    <w:p>
      <w:pPr>
        <w:sectPr>
          <w:pgSz w:w="11900" w:h="16838" w:orient="portrait"/>
          <w:cols w:equalWidth="0" w:num="1">
            <w:col w:w="10320"/>
          </w:cols>
          <w:pgMar w:left="320" w:top="410" w:right="1259" w:bottom="1440" w:gutter="0" w:footer="0" w:header="0"/>
        </w:sectPr>
      </w:pPr>
    </w:p>
    <w:bookmarkStart w:id="165" w:name="page166"/>
    <w:bookmarkEnd w:id="16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right="440"/>
        <w:spacing w:after="0" w:line="293" w:lineRule="auto"/>
        <w:rPr>
          <w:sz w:val="20"/>
          <w:szCs w:val="20"/>
          <w:color w:val="auto"/>
        </w:rPr>
      </w:pPr>
      <w:r>
        <w:rPr>
          <w:rFonts w:ascii="Times New Roman" w:cs="Times New Roman" w:eastAsia="Times New Roman" w:hAnsi="Times New Roman"/>
          <w:sz w:val="15"/>
          <w:szCs w:val="15"/>
          <w:color w:val="auto"/>
        </w:rPr>
        <w:t>the Reference Member State, the product is subsequently granted a national MA in all the Member States (i.e., in the Reference Member State and the Concerned Member States).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Coverage and Reimbursement</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or by Medicare’s contractors and drug plans. These entities decide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58"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59"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54"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54" w:lineRule="exact"/>
        <w:rPr>
          <w:sz w:val="20"/>
          <w:szCs w:val="20"/>
          <w:color w:val="auto"/>
        </w:rPr>
      </w:pPr>
    </w:p>
    <w:p>
      <w:pPr>
        <w:ind w:left="920" w:right="120" w:firstLine="753"/>
        <w:spacing w:after="0" w:line="262" w:lineRule="auto"/>
        <w:rPr>
          <w:sz w:val="20"/>
          <w:szCs w:val="20"/>
          <w:color w:val="auto"/>
        </w:rPr>
      </w:pPr>
      <w:r>
        <w:rPr>
          <w:rFonts w:ascii="Times New Roman" w:cs="Times New Roman" w:eastAsia="Times New Roman" w:hAnsi="Times New Roman"/>
          <w:sz w:val="15"/>
          <w:szCs w:val="15"/>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58" w:lineRule="exact"/>
        <w:rPr>
          <w:sz w:val="20"/>
          <w:szCs w:val="20"/>
          <w:color w:val="auto"/>
        </w:rPr>
      </w:pPr>
    </w:p>
    <w:p>
      <w:pPr>
        <w:ind w:left="920" w:right="160" w:firstLine="753"/>
        <w:spacing w:after="0" w:line="293" w:lineRule="auto"/>
        <w:rPr>
          <w:sz w:val="20"/>
          <w:szCs w:val="20"/>
          <w:color w:val="auto"/>
        </w:rPr>
      </w:pPr>
      <w:r>
        <w:rPr>
          <w:rFonts w:ascii="Times New Roman" w:cs="Times New Roman" w:eastAsia="Times New Roman" w:hAnsi="Times New Roman"/>
          <w:sz w:val="15"/>
          <w:szCs w:val="15"/>
          <w:color w:val="auto"/>
        </w:rPr>
        <w:t>The requirements under the Medicaid, 340B, FSS, and TRICARE programs could reduce the revenue we may generate from any products that are commercialized in the future and could adversely affect our business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-163-</w:t>
      </w:r>
    </w:p>
    <w:p>
      <w:pPr>
        <w:sectPr>
          <w:pgSz w:w="11900" w:h="16838" w:orient="portrait"/>
          <w:cols w:equalWidth="0" w:num="1">
            <w:col w:w="10320"/>
          </w:cols>
          <w:pgMar w:left="320" w:top="410" w:right="1259" w:bottom="1440" w:gutter="0" w:footer="0" w:header="0"/>
        </w:sectPr>
      </w:pPr>
    </w:p>
    <w:bookmarkStart w:id="166" w:name="page167"/>
    <w:bookmarkEnd w:id="16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320"/>
        <w:spacing w:after="0" w:line="275" w:lineRule="auto"/>
        <w:rPr>
          <w:sz w:val="20"/>
          <w:szCs w:val="20"/>
          <w:color w:val="auto"/>
        </w:rPr>
      </w:pPr>
      <w:r>
        <w:rPr>
          <w:rFonts w:ascii="Times New Roman" w:cs="Times New Roman" w:eastAsia="Times New Roman" w:hAnsi="Times New Roman"/>
          <w:sz w:val="15"/>
          <w:szCs w:val="15"/>
          <w:color w:val="auto"/>
        </w:rPr>
        <w:t>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45"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Healthcare Reform</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58" w:lineRule="exact"/>
        <w:rPr>
          <w:sz w:val="20"/>
          <w:szCs w:val="20"/>
          <w:color w:val="auto"/>
        </w:rPr>
      </w:pPr>
    </w:p>
    <w:p>
      <w:pPr>
        <w:ind w:left="920" w:right="20" w:firstLine="753"/>
        <w:spacing w:after="0" w:line="259" w:lineRule="auto"/>
        <w:rPr>
          <w:sz w:val="20"/>
          <w:szCs w:val="20"/>
          <w:color w:val="auto"/>
        </w:rPr>
      </w:pPr>
      <w:r>
        <w:rPr>
          <w:rFonts w:ascii="Times New Roman" w:cs="Times New Roman" w:eastAsia="Times New Roman" w:hAnsi="Times New Roman"/>
          <w:sz w:val="15"/>
          <w:szCs w:val="15"/>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w:t>
      </w:r>
    </w:p>
    <w:p>
      <w:pPr>
        <w:spacing w:after="0" w:line="2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-164-</w:t>
      </w:r>
    </w:p>
    <w:p>
      <w:pPr>
        <w:sectPr>
          <w:pgSz w:w="11900" w:h="16838" w:orient="portrait"/>
          <w:cols w:equalWidth="0" w:num="1">
            <w:col w:w="10300"/>
          </w:cols>
          <w:pgMar w:left="320" w:top="410" w:right="1279" w:bottom="1440" w:gutter="0" w:footer="0" w:header="0"/>
        </w:sectPr>
      </w:pPr>
    </w:p>
    <w:bookmarkStart w:id="167" w:name="page168"/>
    <w:bookmarkEnd w:id="16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manufacturers who participate in Medicare Part D and to close the coverage gap in most Medicare drug plans, commonly referred to as the “donut hole.”</w:t>
      </w:r>
    </w:p>
    <w:p>
      <w:pPr>
        <w:spacing w:after="0" w:line="196" w:lineRule="exact"/>
        <w:rPr>
          <w:sz w:val="20"/>
          <w:szCs w:val="20"/>
          <w:color w:val="auto"/>
        </w:rPr>
      </w:pPr>
    </w:p>
    <w:p>
      <w:pPr>
        <w:ind w:left="920" w:right="60" w:firstLine="753"/>
        <w:spacing w:after="0" w:line="261" w:lineRule="auto"/>
        <w:rPr>
          <w:sz w:val="20"/>
          <w:szCs w:val="20"/>
          <w:color w:val="auto"/>
        </w:rPr>
      </w:pPr>
      <w:r>
        <w:rPr>
          <w:rFonts w:ascii="Times New Roman" w:cs="Times New Roman" w:eastAsia="Times New Roman" w:hAnsi="Times New Roman"/>
          <w:sz w:val="15"/>
          <w:szCs w:val="15"/>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 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344"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On October 9, 2019, HHS, OIG and CMS issued two proposed rules that set forth modifications to the Federal Anti-Kickback Statute, Civil Monetary Penalties Law and Physician Self-Referral Law (or the Stark Law) regulations to promote value-based and coordinated care arrangements.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1"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-165-</w:t>
      </w:r>
    </w:p>
    <w:p>
      <w:pPr>
        <w:sectPr>
          <w:pgSz w:w="11900" w:h="16838" w:orient="portrait"/>
          <w:cols w:equalWidth="0" w:num="1">
            <w:col w:w="10320"/>
          </w:cols>
          <w:pgMar w:left="320" w:top="410" w:right="1259" w:bottom="1440" w:gutter="0" w:footer="0" w:header="0"/>
        </w:sectPr>
      </w:pPr>
    </w:p>
    <w:bookmarkStart w:id="168" w:name="page169"/>
    <w:bookmarkEnd w:id="16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Employees</w:t>
      </w:r>
    </w:p>
    <w:p>
      <w:pPr>
        <w:spacing w:after="0" w:line="200" w:lineRule="exact"/>
        <w:rPr>
          <w:sz w:val="20"/>
          <w:szCs w:val="20"/>
          <w:color w:val="auto"/>
        </w:rPr>
      </w:pPr>
    </w:p>
    <w:p>
      <w:pPr>
        <w:ind w:left="920" w:right="440" w:firstLine="753"/>
        <w:spacing w:after="0" w:line="293" w:lineRule="auto"/>
        <w:rPr>
          <w:sz w:val="20"/>
          <w:szCs w:val="20"/>
          <w:color w:val="auto"/>
        </w:rPr>
      </w:pPr>
      <w:r>
        <w:rPr>
          <w:rFonts w:ascii="Times New Roman" w:cs="Times New Roman" w:eastAsia="Times New Roman" w:hAnsi="Times New Roman"/>
          <w:sz w:val="15"/>
          <w:szCs w:val="15"/>
          <w:color w:val="auto"/>
        </w:rPr>
        <w:t>As of June 30, 2020, we had 12 employees, all of whom were full-time employees, and seven of whom were engaged in research and development activities. None of our employees are represented by a labor union or covered under a collective bargaining agreement.</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200" w:lineRule="exact"/>
        <w:rPr>
          <w:sz w:val="20"/>
          <w:szCs w:val="20"/>
          <w:color w:val="auto"/>
        </w:rPr>
      </w:pPr>
    </w:p>
    <w:p>
      <w:pPr>
        <w:ind w:left="920" w:right="300" w:firstLine="753"/>
        <w:spacing w:after="0" w:line="275" w:lineRule="auto"/>
        <w:rPr>
          <w:sz w:val="20"/>
          <w:szCs w:val="20"/>
          <w:color w:val="auto"/>
        </w:rPr>
      </w:pPr>
      <w:r>
        <w:rPr>
          <w:rFonts w:ascii="Times New Roman" w:cs="Times New Roman" w:eastAsia="Times New Roman" w:hAnsi="Times New Roman"/>
          <w:sz w:val="15"/>
          <w:szCs w:val="15"/>
          <w:color w:val="auto"/>
        </w:rPr>
        <w:t>We currently lease 10,879 square feet of office and laboratory space in Irvine, California under a lease that expires in January 2024. We believe that this space is sufficient to meet our needs for the foreseeable future and that any additional space we may require will be available on commercially reasonable terms.</w:t>
      </w:r>
    </w:p>
    <w:p>
      <w:pPr>
        <w:spacing w:after="0" w:line="145"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We also lease 3,290 square feet of office and laboratory space in Irvine, California under an existing lease that expires in April 2022. We plan to sublease this space.</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-166-</w:t>
      </w:r>
    </w:p>
    <w:p>
      <w:pPr>
        <w:sectPr>
          <w:pgSz w:w="11900" w:h="16838" w:orient="portrait"/>
          <w:cols w:equalWidth="0" w:num="1">
            <w:col w:w="10300"/>
          </w:cols>
          <w:pgMar w:left="320" w:top="410" w:right="1279" w:bottom="1440" w:gutter="0" w:footer="0" w:header="0"/>
        </w:sectPr>
      </w:pPr>
    </w:p>
    <w:bookmarkStart w:id="169" w:name="page170"/>
    <w:bookmarkEnd w:id="16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sets forth the names, ages and positions of our executive officers and directors as of September 30, 2020: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1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Age</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20"/>
        </w:trPr>
        <w:tc>
          <w:tcPr>
            <w:tcW w:w="3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61"/>
        </w:trPr>
        <w:tc>
          <w:tcPr>
            <w:tcW w:w="25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Executive Officers: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Bobak Azamian, M.D.,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Leo M. Greenstein</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Seshadri Neervannan,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Chief Operating Officer</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Aziz Mottiwala</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Chief Commercial Officer</w:t>
            </w:r>
          </w:p>
        </w:tc>
      </w:tr>
      <w:tr>
        <w:trPr>
          <w:trHeight w:val="199"/>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 Holdbrook</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Vice President, Clinical Affairs</w:t>
            </w:r>
          </w:p>
        </w:tc>
      </w:tr>
      <w:tr>
        <w:trPr>
          <w:trHeight w:val="262"/>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Non-Employee Directors:</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Ackermann,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Chairperson of the Board (2) (3)</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Bhaskar Chaudhuri,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Director (1)</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Andrew Goldberg, M.D.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Director (2)(3)</w:t>
            </w: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J. Link, Ph.D.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Director (1)(2)(3)</w:t>
            </w:r>
          </w:p>
        </w:tc>
      </w:tr>
      <w:tr>
        <w:trPr>
          <w:trHeight w:val="199"/>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Jason Tester</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Director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6515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22" w:lineRule="exact"/>
        <w:rPr>
          <w:sz w:val="20"/>
          <w:szCs w:val="20"/>
          <w:color w:val="auto"/>
        </w:rPr>
      </w:pPr>
    </w:p>
    <w:p>
      <w:pPr>
        <w:ind w:left="1280" w:hanging="360"/>
        <w:spacing w:after="0"/>
        <w:tabs>
          <w:tab w:leader="none" w:pos="12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Committee Member</w:t>
      </w:r>
    </w:p>
    <w:p>
      <w:pPr>
        <w:spacing w:after="0" w:line="196"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Committee Member</w:t>
      </w:r>
    </w:p>
    <w:p>
      <w:pPr>
        <w:spacing w:after="0" w:line="196"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Nominating and Corporate Governance Committee Member</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96" w:lineRule="exact"/>
        <w:rPr>
          <w:sz w:val="20"/>
          <w:szCs w:val="20"/>
          <w:color w:val="auto"/>
        </w:rPr>
      </w:pPr>
    </w:p>
    <w:p>
      <w:pPr>
        <w:ind w:left="920" w:right="160" w:firstLine="753"/>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Bobak Azamian, M.D., Ph.D.</w:t>
      </w:r>
      <w:r>
        <w:rPr>
          <w:rFonts w:ascii="Times New Roman" w:cs="Times New Roman" w:eastAsia="Times New Roman" w:hAnsi="Times New Roman"/>
          <w:sz w:val="15"/>
          <w:szCs w:val="15"/>
          <w:color w:val="auto"/>
        </w:rPr>
        <w:t>, is our co-founder and has served as our President since our inception, as our Chief Executive Officer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co-Chairman and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58" w:lineRule="exact"/>
        <w:rPr>
          <w:sz w:val="20"/>
          <w:szCs w:val="20"/>
          <w:color w:val="auto"/>
        </w:rPr>
      </w:pPr>
    </w:p>
    <w:p>
      <w:pPr>
        <w:ind w:left="920" w:firstLine="753"/>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Leo M. Greenstein </w:t>
      </w:r>
      <w:r>
        <w:rPr>
          <w:rFonts w:ascii="Times New Roman" w:cs="Times New Roman" w:eastAsia="Times New Roman" w:hAnsi="Times New Roman"/>
          <w:sz w:val="15"/>
          <w:szCs w:val="15"/>
          <w:color w:val="auto"/>
        </w:rPr>
        <w:t>has served as our Chief Financial Officer since April 2020. Mr. Greenstein previously served as Senior Vice President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Finance and Corporate Controller at Spectrum Pharmaceuticals, Inc., a publicly-traded oncology pharmaceutical company from September 2013 until April 2020. Prior to Spectrum Pharmaceuticals, Mr. Greenstein served as Vice President of Finance and Corporate Controller at Endologix, Inc., a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w:t>
      </w:r>
    </w:p>
    <w:p>
      <w:pPr>
        <w:spacing w:after="0" w:line="2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-167-</w:t>
      </w:r>
    </w:p>
    <w:p>
      <w:pPr>
        <w:sectPr>
          <w:pgSz w:w="11900" w:h="16838" w:orient="portrait"/>
          <w:cols w:equalWidth="0" w:num="1">
            <w:col w:w="10300"/>
          </w:cols>
          <w:pgMar w:left="320" w:top="410" w:right="1279" w:bottom="1440" w:gutter="0" w:footer="0" w:header="0"/>
        </w:sectPr>
      </w:pPr>
    </w:p>
    <w:bookmarkStart w:id="170" w:name="page171"/>
    <w:bookmarkEnd w:id="17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40"/>
        <w:spacing w:after="0" w:line="268" w:lineRule="auto"/>
        <w:rPr>
          <w:sz w:val="20"/>
          <w:szCs w:val="20"/>
          <w:color w:val="auto"/>
        </w:rPr>
      </w:pPr>
      <w:r>
        <w:rPr>
          <w:rFonts w:ascii="Times New Roman" w:cs="Times New Roman" w:eastAsia="Times New Roman" w:hAnsi="Times New Roman"/>
          <w:sz w:val="15"/>
          <w:szCs w:val="15"/>
          <w:color w:val="auto"/>
        </w:rPr>
        <w:t>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an active attorney and member of the State Bar of California and is an active Certified Public Accountant in California.</w:t>
      </w:r>
    </w:p>
    <w:p>
      <w:pPr>
        <w:spacing w:after="0" w:line="148"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Seshadri Neervannan, Ph.D. </w:t>
      </w:r>
      <w:r>
        <w:rPr>
          <w:rFonts w:ascii="Times New Roman" w:cs="Times New Roman" w:eastAsia="Times New Roman" w:hAnsi="Times New Roman"/>
          <w:sz w:val="15"/>
          <w:szCs w:val="15"/>
          <w:color w:val="auto"/>
        </w:rPr>
        <w:t>has served as our Chief Operating Officer since July 2020. Dr. Neervannan previously served as Senior Vice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President of Global Pharmaceutical Development, from March 2015 to July 2020 at Allergan,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48"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Aziz Mottiwala </w:t>
      </w:r>
      <w:r>
        <w:rPr>
          <w:rFonts w:ascii="Times New Roman" w:cs="Times New Roman" w:eastAsia="Times New Roman" w:hAnsi="Times New Roman"/>
          <w:sz w:val="15"/>
          <w:szCs w:val="15"/>
          <w:color w:val="auto"/>
        </w:rPr>
        <w:t>has served as our Chief Commercial Officer since August 2020. Mr. Mottiwala has served on the board of directors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OneOC, a non-profit organization based in Orange County, California since March 2018. Mr. Mottiwala previously served as Chief Commercial Officer of Opiant Pharmaceutical, Inc., or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or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 portfolio from January 2014 to July 2017.</w:t>
      </w:r>
    </w:p>
    <w:p>
      <w:pPr>
        <w:spacing w:after="0" w:line="2" w:lineRule="exact"/>
        <w:rPr>
          <w:sz w:val="20"/>
          <w:szCs w:val="20"/>
          <w:color w:val="auto"/>
        </w:rPr>
      </w:pPr>
    </w:p>
    <w:p>
      <w:pPr>
        <w:ind w:left="920" w:right="60"/>
        <w:spacing w:after="0" w:line="273" w:lineRule="auto"/>
        <w:rPr>
          <w:sz w:val="20"/>
          <w:szCs w:val="20"/>
          <w:color w:val="auto"/>
        </w:rPr>
      </w:pPr>
      <w:r>
        <w:rPr>
          <w:rFonts w:ascii="Times New Roman" w:cs="Times New Roman" w:eastAsia="Times New Roman" w:hAnsi="Times New Roman"/>
          <w:sz w:val="15"/>
          <w:szCs w:val="15"/>
          <w:color w:val="auto"/>
        </w:rPr>
        <w:t>Mr. Mottiwala holds a Bachelor of Science degree in Biochemistry from the University of California San Diego and an MBA in Marketing and Finance from the Marshall School of Business at the University of Southern California.</w:t>
      </w:r>
    </w:p>
    <w:p>
      <w:pPr>
        <w:spacing w:after="0" w:line="142" w:lineRule="exact"/>
        <w:rPr>
          <w:sz w:val="20"/>
          <w:szCs w:val="20"/>
          <w:color w:val="auto"/>
        </w:rPr>
      </w:pPr>
    </w:p>
    <w:p>
      <w:pPr>
        <w:ind w:left="920" w:right="180" w:firstLine="753"/>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Michael Holdbrook </w:t>
      </w:r>
      <w:r>
        <w:rPr>
          <w:rFonts w:ascii="Times New Roman" w:cs="Times New Roman" w:eastAsia="Times New Roman" w:hAnsi="Times New Roman"/>
          <w:sz w:val="15"/>
          <w:szCs w:val="15"/>
          <w:color w:val="auto"/>
        </w:rPr>
        <w:t>has served as our Vice President of Clinical Affairs since November 2018. Prior to this Mr. Holdbrook was 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independent consultant from October 2017 to November 2018 and served as Senior/Executive Director for Oculeve, which was acquired by Allergan, from May 2014 to October 2017. Mr. Holdbrook received a B.A. from the University of California at San Diego.</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Non-Employee Directors</w:t>
      </w:r>
    </w:p>
    <w:p>
      <w:pPr>
        <w:spacing w:after="0" w:line="196" w:lineRule="exact"/>
        <w:rPr>
          <w:sz w:val="20"/>
          <w:szCs w:val="20"/>
          <w:color w:val="auto"/>
        </w:rPr>
      </w:pPr>
    </w:p>
    <w:p>
      <w:pPr>
        <w:ind w:left="920" w:right="80" w:firstLine="753"/>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 xml:space="preserve">Michael Ackermann, Ph.D. </w:t>
      </w:r>
      <w:r>
        <w:rPr>
          <w:rFonts w:ascii="Times New Roman" w:cs="Times New Roman" w:eastAsia="Times New Roman" w:hAnsi="Times New Roman"/>
          <w:sz w:val="15"/>
          <w:szCs w:val="15"/>
          <w:color w:val="auto"/>
        </w:rPr>
        <w:t>has served as a member of our board of directors and as chairperson of our board of directors since July 2017.</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Dr. Ackermann has been the Chief Executive Officer of Presidio Medical, Inc. since September 2017. From October 2017 until October 2020,</w:t>
      </w:r>
    </w:p>
    <w:p>
      <w:pPr>
        <w:spacing w:after="0" w:line="1" w:lineRule="exact"/>
        <w:rPr>
          <w:sz w:val="20"/>
          <w:szCs w:val="20"/>
          <w:color w:val="auto"/>
        </w:rPr>
      </w:pPr>
    </w:p>
    <w:p>
      <w:pPr>
        <w:ind w:left="920" w:right="80"/>
        <w:spacing w:after="0" w:line="260" w:lineRule="auto"/>
        <w:rPr>
          <w:sz w:val="20"/>
          <w:szCs w:val="20"/>
          <w:color w:val="auto"/>
        </w:rPr>
      </w:pPr>
      <w:r>
        <w:rPr>
          <w:rFonts w:ascii="Times New Roman" w:cs="Times New Roman" w:eastAsia="Times New Roman" w:hAnsi="Times New Roman"/>
          <w:sz w:val="15"/>
          <w:szCs w:val="15"/>
          <w:color w:val="auto"/>
        </w:rPr>
        <w:t>Mr. Ackermann served as the chairman of the board of Oyster Point Pharma.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54" w:lineRule="exact"/>
        <w:rPr>
          <w:sz w:val="20"/>
          <w:szCs w:val="20"/>
          <w:color w:val="auto"/>
        </w:rPr>
      </w:pPr>
    </w:p>
    <w:p>
      <w:pPr>
        <w:ind w:left="920" w:right="40" w:firstLine="753"/>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Bhaskar Chaudhuri, Ph.D. </w:t>
      </w:r>
      <w:r>
        <w:rPr>
          <w:rFonts w:ascii="Times New Roman" w:cs="Times New Roman" w:eastAsia="Times New Roman" w:hAnsi="Times New Roman"/>
          <w:sz w:val="15"/>
          <w:szCs w:val="15"/>
          <w:color w:val="auto"/>
        </w:rPr>
        <w:t>has served as a member of our board of directors since December 2019. Dr. Chaudhuri has more than 20 years’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w:t>
      </w:r>
    </w:p>
    <w:p>
      <w:pPr>
        <w:spacing w:after="0" w:line="2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-168-</w:t>
      </w:r>
    </w:p>
    <w:p>
      <w:pPr>
        <w:sectPr>
          <w:pgSz w:w="11900" w:h="16838" w:orient="portrait"/>
          <w:cols w:equalWidth="0" w:num="1">
            <w:col w:w="10300"/>
          </w:cols>
          <w:pgMar w:left="320" w:top="410" w:right="1279" w:bottom="1440" w:gutter="0" w:footer="0" w:header="0"/>
        </w:sectPr>
      </w:pPr>
    </w:p>
    <w:bookmarkStart w:id="171" w:name="page172"/>
    <w:bookmarkEnd w:id="17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80"/>
        <w:spacing w:after="0" w:line="261" w:lineRule="auto"/>
        <w:rPr>
          <w:sz w:val="20"/>
          <w:szCs w:val="20"/>
          <w:color w:val="auto"/>
        </w:rPr>
      </w:pPr>
      <w:r>
        <w:rPr>
          <w:rFonts w:ascii="Times New Roman" w:cs="Times New Roman" w:eastAsia="Times New Roman" w:hAnsi="Times New Roman"/>
          <w:sz w:val="15"/>
          <w:szCs w:val="15"/>
          <w:color w:val="auto"/>
        </w:rPr>
        <w:t>Scientific Affairs at Bertek Pharmaceuticals, Inc., a subsidiary of Mylan N.V.,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Teligent Pharmaceuticals, Inc.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the Board of Directors include his many years of experience in the pharmaceutical industry, including his prior positions in senior executive roles at major pharmaceutical companies.</w:t>
      </w:r>
    </w:p>
    <w:p>
      <w:pPr>
        <w:spacing w:after="0" w:line="155" w:lineRule="exact"/>
        <w:rPr>
          <w:sz w:val="20"/>
          <w:szCs w:val="20"/>
          <w:color w:val="auto"/>
        </w:rPr>
      </w:pPr>
    </w:p>
    <w:p>
      <w:pPr>
        <w:ind w:left="920" w:right="420" w:firstLine="753"/>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Andrew Goldberg, M.D. </w:t>
      </w:r>
      <w:r>
        <w:rPr>
          <w:rFonts w:ascii="Times New Roman" w:cs="Times New Roman" w:eastAsia="Times New Roman" w:hAnsi="Times New Roman"/>
          <w:sz w:val="15"/>
          <w:szCs w:val="15"/>
          <w:color w:val="auto"/>
        </w:rPr>
        <w:t>has served as a member of our board of directors since August 2020. Since February 2016, Dr. Goldberg has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a principal of Vivo Capital, a global healthcare investment firm that focuses exclusively on the life sciences industry. Prior to this,</w:t>
      </w:r>
    </w:p>
    <w:p>
      <w:pPr>
        <w:spacing w:after="0" w:line="1"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15"/>
          <w:szCs w:val="15"/>
          <w:color w:val="auto"/>
        </w:rPr>
        <w:t>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the Board of Directors include his many years of experience in strategy and product development in the pharmaceutical industry, and his experience investing in pharmaceutical companies.</w:t>
      </w:r>
    </w:p>
    <w:p>
      <w:pPr>
        <w:spacing w:after="0" w:line="154"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William J. Link, Ph.D. </w:t>
      </w:r>
      <w:r>
        <w:rPr>
          <w:rFonts w:ascii="Times New Roman" w:cs="Times New Roman" w:eastAsia="Times New Roman" w:hAnsi="Times New Roman"/>
          <w:sz w:val="15"/>
          <w:szCs w:val="15"/>
          <w:color w:val="auto"/>
        </w:rPr>
        <w:t>has served as a member of our board of directors since January 2017. Dr. Link is a managing director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co-founder 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 Medical Optics (acquired by Abbott) from 2002 to 2009 and Inogen from 2003 to February 2014. Before entering the healthcare industry, Dr. Link was an assistant professor in the Department of Surgery at the Indiana University School of Medicine. He has been a member of the board of directors of Edwards Lifesciences Corporation since May 2009, Second Sight Medical Products from 2003 to May 31, 2020, Glaukos Corporation since 2001, and Oyster Point Pharma since July 2015.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58" w:lineRule="exact"/>
        <w:rPr>
          <w:sz w:val="20"/>
          <w:szCs w:val="20"/>
          <w:color w:val="auto"/>
        </w:rPr>
      </w:pPr>
    </w:p>
    <w:p>
      <w:pPr>
        <w:ind w:left="920" w:right="20" w:firstLine="753"/>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Jason Tester </w:t>
      </w:r>
      <w:r>
        <w:rPr>
          <w:rFonts w:ascii="Times New Roman" w:cs="Times New Roman" w:eastAsia="Times New Roman" w:hAnsi="Times New Roman"/>
          <w:sz w:val="15"/>
          <w:szCs w:val="15"/>
          <w:color w:val="auto"/>
        </w:rPr>
        <w:t>has served as a member of our board of directors since March 2018. Since September 2017 Mr. Tester has served as Chief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-169-</w:t>
      </w:r>
    </w:p>
    <w:p>
      <w:pPr>
        <w:sectPr>
          <w:pgSz w:w="11900" w:h="16838" w:orient="portrait"/>
          <w:cols w:equalWidth="0" w:num="1">
            <w:col w:w="10320"/>
          </w:cols>
          <w:pgMar w:left="320" w:top="410" w:right="1259" w:bottom="1440" w:gutter="0" w:footer="0" w:header="0"/>
        </w:sectPr>
      </w:pPr>
    </w:p>
    <w:bookmarkStart w:id="172" w:name="page173"/>
    <w:bookmarkEnd w:id="17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40"/>
        <w:spacing w:after="0" w:line="275" w:lineRule="auto"/>
        <w:rPr>
          <w:sz w:val="20"/>
          <w:szCs w:val="20"/>
          <w:color w:val="auto"/>
        </w:rPr>
      </w:pPr>
      <w:r>
        <w:rPr>
          <w:rFonts w:ascii="Times New Roman" w:cs="Times New Roman" w:eastAsia="Times New Roman" w:hAnsi="Times New Roman"/>
          <w:sz w:val="15"/>
          <w:szCs w:val="15"/>
          <w:color w:val="auto"/>
        </w:rPr>
        <w:t>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Board Composition</w:t>
      </w:r>
    </w:p>
    <w:p>
      <w:pPr>
        <w:spacing w:after="0" w:line="200" w:lineRule="exact"/>
        <w:rPr>
          <w:sz w:val="20"/>
          <w:szCs w:val="20"/>
          <w:color w:val="auto"/>
        </w:rPr>
      </w:pPr>
    </w:p>
    <w:p>
      <w:pPr>
        <w:jc w:val="both"/>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Our board of directors is currently authorized to have six members and currently consists of six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45"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45"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In accordance with the terms of our amended and restated certificate of incorporation and amended and restated bylaws that will be in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75" w:lineRule="exact"/>
        <w:rPr>
          <w:sz w:val="20"/>
          <w:szCs w:val="20"/>
          <w:color w:val="auto"/>
        </w:rPr>
      </w:pPr>
    </w:p>
    <w:p>
      <w:pPr>
        <w:ind w:left="2040" w:right="200" w:hanging="278"/>
        <w:spacing w:after="0" w:line="293" w:lineRule="auto"/>
        <w:tabs>
          <w:tab w:leader="none" w:pos="20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 directors will be William J. Link and Jason Tester and their terms will expire at the annual meeting of stockholders to be held in 2021;</w:t>
      </w:r>
    </w:p>
    <w:p>
      <w:pPr>
        <w:spacing w:after="0" w:line="155" w:lineRule="exact"/>
        <w:rPr>
          <w:rFonts w:ascii="Times New Roman" w:cs="Times New Roman" w:eastAsia="Times New Roman" w:hAnsi="Times New Roman"/>
          <w:sz w:val="15"/>
          <w:szCs w:val="15"/>
          <w:color w:val="auto"/>
        </w:rPr>
      </w:pPr>
    </w:p>
    <w:p>
      <w:pPr>
        <w:ind w:left="2040" w:right="780" w:hanging="278"/>
        <w:spacing w:after="0" w:line="293" w:lineRule="auto"/>
        <w:tabs>
          <w:tab w:leader="none" w:pos="20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 directors will be Michael Ackermann and Bobak Azamian and their terms will expire at the annual meeting of stockholders to be held in 2022; and</w:t>
      </w:r>
    </w:p>
    <w:p>
      <w:pPr>
        <w:spacing w:after="0" w:line="155" w:lineRule="exact"/>
        <w:rPr>
          <w:rFonts w:ascii="Times New Roman" w:cs="Times New Roman" w:eastAsia="Times New Roman" w:hAnsi="Times New Roman"/>
          <w:sz w:val="15"/>
          <w:szCs w:val="15"/>
          <w:color w:val="auto"/>
        </w:rPr>
      </w:pPr>
    </w:p>
    <w:p>
      <w:pPr>
        <w:ind w:left="2040" w:right="680" w:hanging="278"/>
        <w:spacing w:after="0" w:line="293" w:lineRule="auto"/>
        <w:tabs>
          <w:tab w:leader="none" w:pos="20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III directors will be Bhaskar Chaudhuri and Andrew Goldberg and their terms will expire at the annual meeting of stockholders to be held in 2023.</w:t>
      </w:r>
    </w:p>
    <w:p>
      <w:pPr>
        <w:spacing w:after="0" w:line="132"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52"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152" w:lineRule="exact"/>
        <w:rPr>
          <w:sz w:val="20"/>
          <w:szCs w:val="20"/>
          <w:color w:val="auto"/>
        </w:rPr>
      </w:pPr>
    </w:p>
    <w:p>
      <w:pPr>
        <w:ind w:left="920" w:right="260" w:firstLine="753"/>
        <w:spacing w:after="0" w:line="275" w:lineRule="auto"/>
        <w:rPr>
          <w:sz w:val="20"/>
          <w:szCs w:val="20"/>
          <w:color w:val="auto"/>
        </w:rPr>
      </w:pPr>
      <w:r>
        <w:rPr>
          <w:rFonts w:ascii="Times New Roman" w:cs="Times New Roman" w:eastAsia="Times New Roman" w:hAnsi="Times New Roman"/>
          <w:sz w:val="15"/>
          <w:szCs w:val="15"/>
          <w:color w:val="auto"/>
        </w:rPr>
        <w:t>The classification of our board of directors may have the effect of delaying or preventing changes in our control or management. See the section titled “Description of Capital Stock — Anti-Takeover Provisions — Certificate of Incorporation and Bylaw Provisions” elsewhere in this prospectus.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Director Independence</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Upon the completion of this offering, we anticipate that our common stock will be listed on Nasdaq. Under the rules of Nasdaq, independent directors must comprise a majority of a listed company’s board of</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-170-</w:t>
      </w:r>
    </w:p>
    <w:p>
      <w:pPr>
        <w:sectPr>
          <w:pgSz w:w="11900" w:h="16838" w:orient="portrait"/>
          <w:cols w:equalWidth="0" w:num="1">
            <w:col w:w="10320"/>
          </w:cols>
          <w:pgMar w:left="320" w:top="410" w:right="1259" w:bottom="1440" w:gutter="0" w:footer="0" w:header="0"/>
        </w:sectPr>
      </w:pPr>
    </w:p>
    <w:bookmarkStart w:id="173" w:name="page174"/>
    <w:bookmarkEnd w:id="17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5" w:lineRule="auto"/>
        <w:rPr>
          <w:sz w:val="20"/>
          <w:szCs w:val="20"/>
          <w:color w:val="auto"/>
        </w:rPr>
      </w:pPr>
      <w:r>
        <w:rPr>
          <w:rFonts w:ascii="Times New Roman" w:cs="Times New Roman" w:eastAsia="Times New Roman" w:hAnsi="Times New Roman"/>
          <w:sz w:val="15"/>
          <w:szCs w:val="15"/>
          <w:color w:val="auto"/>
        </w:rPr>
        <w:t>directors within one year of the completion of this offering. In addition, the rules of Nasdaq require that, subject to specified exceptions and phase-in periods,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339"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52"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53"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none of our directors other than Dr. Azamian have a relationship that would interfere with the exercise of independent judgment in carrying out the responsibilities of a director and that each of these directors is “independent” as that term is defined under the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Dr. Azamian is not an independent director because he is our President and Chief Executive Officer.</w:t>
      </w:r>
    </w:p>
    <w:p>
      <w:pPr>
        <w:spacing w:after="0" w:line="344" w:lineRule="exact"/>
        <w:rPr>
          <w:sz w:val="20"/>
          <w:szCs w:val="20"/>
          <w:color w:val="auto"/>
        </w:rPr>
      </w:pPr>
    </w:p>
    <w:p>
      <w:pPr>
        <w:ind w:left="920" w:right="140" w:firstLine="753"/>
        <w:spacing w:after="0" w:line="265" w:lineRule="auto"/>
        <w:rPr>
          <w:sz w:val="20"/>
          <w:szCs w:val="20"/>
          <w:color w:val="auto"/>
        </w:rPr>
      </w:pPr>
      <w:r>
        <w:rPr>
          <w:rFonts w:ascii="Times New Roman" w:cs="Times New Roman" w:eastAsia="Times New Roman" w:hAnsi="Times New Roman"/>
          <w:sz w:val="15"/>
          <w:szCs w:val="15"/>
          <w:color w:val="auto"/>
        </w:rPr>
        <w:t>In making these determinations, our board of directors considered the current and prior relationships that each non-employee director has with our company and all other facts and circumstances our board of directors deemed relevant in determining his or her independence, including the beneficial ownership of our capital stock by each non-employee director, and the transactions involving them described in the section titled “Certain Relationships and Related Party Transactions” elsewhere in this prospectus. There are no family relationships among any of our directors or executive officers.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200"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-171-</w:t>
      </w:r>
    </w:p>
    <w:p>
      <w:pPr>
        <w:sectPr>
          <w:pgSz w:w="11900" w:h="16838" w:orient="portrait"/>
          <w:cols w:equalWidth="0" w:num="1">
            <w:col w:w="10300"/>
          </w:cols>
          <w:pgMar w:left="320" w:top="410" w:right="1279" w:bottom="1440" w:gutter="0" w:footer="0" w:header="0"/>
        </w:sectPr>
      </w:pPr>
    </w:p>
    <w:bookmarkStart w:id="174" w:name="page175"/>
    <w:bookmarkEnd w:id="17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Role of the Board in Risk Oversight</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Board Committees</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Our board of directors will establish an audit committee, a compensation committee and a nominating and corporate governance committee prior to the completion of this offering. Our board of directors may establish other committees to facilitate the management of our business. Our board of directors and its committees will set schedules for meeting throughout the year and can also hold special meetings and act by written consent from time to time, as appropriate. Our board of directors expects to delegate various responsibilities and authority to committees as generally described below. The committees will regularly report on their activities and actions to the full board of directors. Each member of each committee of our board of directors will qualify as an independent director in accordance with the listing standards of Nasdaq. Each committee of our board of directors will have a written charter approved by our board of directors. Upon the completion of this offering, copies of each charter will be posted on our website at www.tarsusrx.com under the Investor Relations section. The inclusion of our website address in this prospectus does not include or incorporate by reference the information on our website into this prospectus. Members will serve on these committees until their resignation or until otherwise determined by our board of directors.</w:t>
      </w:r>
    </w:p>
    <w:p>
      <w:pPr>
        <w:spacing w:after="0" w:line="3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200" w:lineRule="exact"/>
        <w:rPr>
          <w:sz w:val="20"/>
          <w:szCs w:val="20"/>
          <w:color w:val="auto"/>
        </w:rPr>
      </w:pPr>
    </w:p>
    <w:p>
      <w:pPr>
        <w:ind w:left="920" w:right="200" w:firstLine="753"/>
        <w:spacing w:after="0" w:line="265" w:lineRule="auto"/>
        <w:rPr>
          <w:sz w:val="20"/>
          <w:szCs w:val="20"/>
          <w:color w:val="auto"/>
        </w:rPr>
      </w:pPr>
      <w:r>
        <w:rPr>
          <w:rFonts w:ascii="Times New Roman" w:cs="Times New Roman" w:eastAsia="Times New Roman" w:hAnsi="Times New Roman"/>
          <w:sz w:val="15"/>
          <w:szCs w:val="15"/>
          <w:color w:val="auto"/>
        </w:rPr>
        <w:t>Effective immediately after the effectiveness of the registration statement of which this prospectus forms a part, the members of our audit committee will be Dr. Chaudhuri, Dr. Link and Mr. Tester, each of whom can read and understand fundamental financial statements. Each member of our audit committee is independent under the rules and regulations of the SEC and the listing standards of Nasdaq applicable to audit committee members. Mr. Tester will be the chair of the audit committee. Our board of directors has determined that each of Dr. Link and Mr. Tester qualify as an audit committee financial expert within the meaning of SEC regulations and each member meets the financial sophistication requirements of Nasdaq.</w:t>
      </w:r>
    </w:p>
    <w:p>
      <w:pPr>
        <w:spacing w:after="0" w:line="154"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w:t>
      </w:r>
    </w:p>
    <w:p>
      <w:pPr>
        <w:spacing w:after="0" w:line="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-172-</w:t>
      </w:r>
    </w:p>
    <w:p>
      <w:pPr>
        <w:sectPr>
          <w:pgSz w:w="11900" w:h="16838" w:orient="portrait"/>
          <w:cols w:equalWidth="0" w:num="1">
            <w:col w:w="10320"/>
          </w:cols>
          <w:pgMar w:left="320" w:top="410" w:right="1259" w:bottom="1440" w:gutter="0" w:footer="0" w:header="0"/>
        </w:sectPr>
      </w:pPr>
    </w:p>
    <w:bookmarkStart w:id="175" w:name="page176"/>
    <w:bookmarkEnd w:id="17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8" w:lineRule="auto"/>
        <w:rPr>
          <w:sz w:val="20"/>
          <w:szCs w:val="20"/>
          <w:color w:val="auto"/>
        </w:rPr>
      </w:pPr>
      <w:r>
        <w:rPr>
          <w:rFonts w:ascii="Times New Roman" w:cs="Times New Roman" w:eastAsia="Times New Roman" w:hAnsi="Times New Roman"/>
          <w:sz w:val="15"/>
          <w:szCs w:val="15"/>
          <w:color w:val="auto"/>
        </w:rPr>
        <w:t>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52" w:lineRule="exact"/>
        <w:rPr>
          <w:sz w:val="20"/>
          <w:szCs w:val="20"/>
          <w:color w:val="auto"/>
        </w:rPr>
      </w:pPr>
    </w:p>
    <w:p>
      <w:pPr>
        <w:jc w:val="both"/>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200"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Upon the effectiveness of the registration statement of which this prospectus forms a part, the members of our compensation committee will be Dr. Ackermann, Dr. Goldberg and Dr. Link. Dr. Ackermann will be the chair of the compensation committee. Each member of our compensation committee is independent under the rules and regulations of the SEC and the listing standards of Nasdaq applicable to compensation committee members.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59" w:lineRule="exact"/>
        <w:rPr>
          <w:sz w:val="20"/>
          <w:szCs w:val="20"/>
          <w:color w:val="auto"/>
        </w:rPr>
      </w:pPr>
    </w:p>
    <w:p>
      <w:pPr>
        <w:jc w:val="both"/>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200" w:lineRule="exact"/>
        <w:rPr>
          <w:sz w:val="20"/>
          <w:szCs w:val="20"/>
          <w:color w:val="auto"/>
        </w:rPr>
      </w:pPr>
    </w:p>
    <w:p>
      <w:pPr>
        <w:ind w:left="920" w:right="140" w:firstLine="753"/>
        <w:spacing w:after="0" w:line="263" w:lineRule="auto"/>
        <w:rPr>
          <w:sz w:val="20"/>
          <w:szCs w:val="20"/>
          <w:color w:val="auto"/>
        </w:rPr>
      </w:pPr>
      <w:r>
        <w:rPr>
          <w:rFonts w:ascii="Times New Roman" w:cs="Times New Roman" w:eastAsia="Times New Roman" w:hAnsi="Times New Roman"/>
          <w:sz w:val="15"/>
          <w:szCs w:val="15"/>
          <w:color w:val="auto"/>
        </w:rPr>
        <w:t>Upon the effectiveness of the registration statement of which this prospectus forms a part, the members of our nominating and corporate governance committee will be Dr. Ackermann, Dr. Goldberg and Dr. Link. Each member of our nominating and governance committee is independent under the rules and regulations of the SEC and the listing standards of Nasdaq, applicable to nominating and governance committee members.</w:t>
      </w:r>
    </w:p>
    <w:p>
      <w:pPr>
        <w:spacing w:after="0" w:line="1" w:lineRule="exact"/>
        <w:rPr>
          <w:sz w:val="20"/>
          <w:szCs w:val="20"/>
          <w:color w:val="auto"/>
        </w:rPr>
      </w:pPr>
    </w:p>
    <w:p>
      <w:pPr>
        <w:ind w:left="920"/>
        <w:spacing w:after="0" w:line="262" w:lineRule="auto"/>
        <w:rPr>
          <w:sz w:val="20"/>
          <w:szCs w:val="20"/>
          <w:color w:val="auto"/>
        </w:rPr>
      </w:pPr>
      <w:r>
        <w:rPr>
          <w:rFonts w:ascii="Times New Roman" w:cs="Times New Roman" w:eastAsia="Times New Roman" w:hAnsi="Times New Roman"/>
          <w:sz w:val="15"/>
          <w:szCs w:val="15"/>
          <w:color w:val="auto"/>
        </w:rPr>
        <w:t>Dr. Ackermann will be the chair of the nominating and corporate governance committee.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55" w:lineRule="exact"/>
        <w:rPr>
          <w:sz w:val="20"/>
          <w:szCs w:val="20"/>
          <w:color w:val="auto"/>
        </w:rPr>
      </w:pPr>
    </w:p>
    <w:p>
      <w:pPr>
        <w:jc w:val="both"/>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Our nominating and corporate governance committee will operate under a written charter that satisfies the applicable rules of the SEC and the listing standards of Nasdaq. We believe that the composition of our nominating and corporate governance committee will meet the requirements for independence under current Nasdaq and SEC rules and regulations.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200"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-173-</w:t>
      </w:r>
    </w:p>
    <w:p>
      <w:pPr>
        <w:sectPr>
          <w:pgSz w:w="11900" w:h="16838" w:orient="portrait"/>
          <w:cols w:equalWidth="0" w:num="1">
            <w:col w:w="10300"/>
          </w:cols>
          <w:pgMar w:left="320" w:top="410" w:right="1279" w:bottom="1440" w:gutter="0" w:footer="0" w:header="0"/>
        </w:sectPr>
      </w:pPr>
    </w:p>
    <w:bookmarkStart w:id="176" w:name="page177"/>
    <w:bookmarkEnd w:id="17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Code of Conduct</w:t>
      </w:r>
    </w:p>
    <w:p>
      <w:pPr>
        <w:spacing w:after="0" w:line="200"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Our board of directors will adopt a Code of Conduct, or the Conduct Code, prior to the completion of this offering. The Conduct Code will apply to all of our employees, officers, directors, contractors, consultants, suppliers and agents. Upon the completion of this offering, the full text of the Conduct Code will be posted on our website at www.tarsusrx.com under the Investor Relations section. We intend to disclose future amendments to, or waivers of, the Conduct Code,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200" w:lineRule="exact"/>
        <w:rPr>
          <w:sz w:val="20"/>
          <w:szCs w:val="20"/>
          <w:color w:val="auto"/>
        </w:rPr>
      </w:pPr>
    </w:p>
    <w:p>
      <w:pPr>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Prior to this offering, we did not have a formal policy with respect to compensation payable to our non-employee directors. Other than as set forth in the table and described more fully below, we did not pay any compensation, including equity awards, to any of our non-employee directors in 2019. We have a policy of reimbursing our directors for expenses associated with attending meetings of our board of directors and its committees.</w:t>
      </w:r>
    </w:p>
    <w:p>
      <w:pPr>
        <w:spacing w:after="0" w:line="145" w:lineRule="exact"/>
        <w:rPr>
          <w:sz w:val="20"/>
          <w:szCs w:val="20"/>
          <w:color w:val="auto"/>
        </w:rPr>
      </w:pPr>
    </w:p>
    <w:p>
      <w:pPr>
        <w:ind w:left="920" w:right="36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presents the total compensation that we paid to Michael Ackermann, our only non-employee director who received compensation during the year ended December 31, 2019.</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40" w:type="dxa"/>
            <w:vAlign w:val="bottom"/>
            <w:gridSpan w:val="2"/>
          </w:tcPr>
          <w:p>
            <w:pPr>
              <w:jc w:val="center"/>
              <w:ind w:left="1799"/>
              <w:spacing w:after="0"/>
              <w:rPr>
                <w:sz w:val="20"/>
                <w:szCs w:val="20"/>
                <w:color w:val="auto"/>
              </w:rPr>
            </w:pPr>
            <w:r>
              <w:rPr>
                <w:rFonts w:ascii="Times New Roman" w:cs="Times New Roman" w:eastAsia="Times New Roman" w:hAnsi="Times New Roman"/>
                <w:sz w:val="12"/>
                <w:szCs w:val="12"/>
                <w:b w:val="1"/>
                <w:bCs w:val="1"/>
                <w:color w:val="auto"/>
              </w:rPr>
              <w:t>Fees Earned</w:t>
            </w:r>
          </w:p>
        </w:tc>
        <w:tc>
          <w:tcPr>
            <w:tcW w:w="52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5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8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or Paid in</w:t>
            </w:r>
          </w:p>
        </w:tc>
        <w:tc>
          <w:tcPr>
            <w:tcW w:w="5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Total ($)</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Cash ($)</w:t>
            </w:r>
          </w:p>
        </w:tc>
        <w:tc>
          <w:tcPr>
            <w:tcW w:w="1100" w:type="dxa"/>
            <w:vAlign w:val="bottom"/>
            <w:gridSpan w:val="2"/>
          </w:tcPr>
          <w:p>
            <w:pPr>
              <w:jc w:val="center"/>
              <w:ind w:left="459"/>
              <w:spacing w:after="0"/>
              <w:rPr>
                <w:sz w:val="20"/>
                <w:szCs w:val="20"/>
                <w:color w:val="auto"/>
              </w:rPr>
            </w:pPr>
            <w:r>
              <w:rPr>
                <w:rFonts w:ascii="Times New Roman" w:cs="Times New Roman" w:eastAsia="Times New Roman" w:hAnsi="Times New Roman"/>
                <w:sz w:val="12"/>
                <w:szCs w:val="12"/>
                <w:b w:val="1"/>
                <w:bCs w:val="1"/>
                <w:color w:val="auto"/>
              </w:rPr>
              <w:t xml:space="preserve">Awards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1460" w:type="dxa"/>
            <w:vAlign w:val="bottom"/>
            <w:gridSpan w:val="2"/>
          </w:tcPr>
          <w:p>
            <w:pPr>
              <w:jc w:val="center"/>
              <w:ind w:left="479"/>
              <w:spacing w:after="0"/>
              <w:rPr>
                <w:sz w:val="20"/>
                <w:szCs w:val="20"/>
                <w:color w:val="auto"/>
              </w:rPr>
            </w:pPr>
            <w:r>
              <w:rPr>
                <w:rFonts w:ascii="Times New Roman" w:cs="Times New Roman" w:eastAsia="Times New Roman" w:hAnsi="Times New Roman"/>
                <w:sz w:val="12"/>
                <w:szCs w:val="12"/>
                <w:b w:val="1"/>
                <w:bCs w:val="1"/>
                <w:color w:val="auto"/>
              </w:rPr>
              <w:t xml:space="preserve">Compensation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5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4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Michael Ackermann</w:t>
            </w:r>
          </w:p>
        </w:tc>
        <w:tc>
          <w:tcPr>
            <w:tcW w:w="18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$ 100,000</w:t>
            </w:r>
          </w:p>
        </w:tc>
        <w:tc>
          <w:tcPr>
            <w:tcW w:w="5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8"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ind w:left="700"/>
              <w:spacing w:after="0" w:line="168"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99"/>
              </w:rPr>
              <w:t>$100,000</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have approved a compensation program for our non-employee directors to become effective following our initial public offering.</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Pursuant to this program, non-employee directors will receive the following cash compensation:</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5660" w:type="dxa"/>
            <w:vAlign w:val="bottom"/>
          </w:tcPr>
          <w:p>
            <w:pPr>
              <w:spacing w:after="0"/>
              <w:rPr>
                <w:sz w:val="14"/>
                <w:szCs w:val="14"/>
                <w:color w:val="auto"/>
              </w:rPr>
            </w:pPr>
          </w:p>
        </w:tc>
        <w:tc>
          <w:tcPr>
            <w:tcW w:w="3320" w:type="dxa"/>
            <w:vAlign w:val="bottom"/>
            <w:gridSpan w:val="4"/>
          </w:tcPr>
          <w:p>
            <w:pPr>
              <w:ind w:left="2380"/>
              <w:spacing w:after="0"/>
              <w:rPr>
                <w:sz w:val="20"/>
                <w:szCs w:val="20"/>
                <w:color w:val="auto"/>
              </w:rPr>
            </w:pPr>
            <w:r>
              <w:rPr>
                <w:rFonts w:ascii="Times New Roman" w:cs="Times New Roman" w:eastAsia="Times New Roman" w:hAnsi="Times New Roman"/>
                <w:sz w:val="12"/>
                <w:szCs w:val="12"/>
                <w:b w:val="1"/>
                <w:bCs w:val="1"/>
                <w:color w:val="auto"/>
              </w:rPr>
              <w:t>Annual Retainer</w:t>
            </w:r>
          </w:p>
        </w:tc>
      </w:tr>
      <w:tr>
        <w:trPr>
          <w:trHeight w:val="168"/>
        </w:trPr>
        <w:tc>
          <w:tcPr>
            <w:tcW w:w="610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Board Member</w:t>
            </w:r>
          </w:p>
        </w:tc>
        <w:tc>
          <w:tcPr>
            <w:tcW w:w="23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40,000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plus (as applicable):</w:t>
            </w:r>
          </w:p>
        </w:tc>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Board Chair</w:t>
            </w:r>
          </w:p>
        </w:tc>
        <w:tc>
          <w:tcPr>
            <w:tcW w:w="26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60" w:type="dxa"/>
            <w:vAlign w:val="bottom"/>
            <w:shd w:val="clear" w:color="auto" w:fill="CCEEFF"/>
          </w:tcPr>
          <w:p>
            <w:pPr>
              <w:spacing w:after="0"/>
              <w:rPr>
                <w:sz w:val="16"/>
                <w:szCs w:val="16"/>
                <w:color w:val="auto"/>
              </w:rPr>
            </w:pPr>
          </w:p>
        </w:tc>
      </w:t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Audit Committee Chair</w:t>
            </w:r>
          </w:p>
        </w:tc>
        <w:tc>
          <w:tcPr>
            <w:tcW w:w="2640" w:type="dxa"/>
            <w:vAlign w:val="bottom"/>
            <w:gridSpan w:val="2"/>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60" w:type="dxa"/>
            <w:vAlign w:val="bottom"/>
          </w:tcPr>
          <w:p>
            <w:pPr>
              <w:spacing w:after="0"/>
              <w:rPr>
                <w:sz w:val="16"/>
                <w:szCs w:val="16"/>
                <w:color w:val="auto"/>
              </w:rPr>
            </w:pPr>
          </w:p>
        </w:tc>
      </w:tr>
      <w:tr>
        <w:trPr>
          <w:trHeight w:val="184"/>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Committee Chair</w:t>
            </w:r>
          </w:p>
        </w:tc>
        <w:tc>
          <w:tcPr>
            <w:tcW w:w="26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60" w:type="dxa"/>
            <w:vAlign w:val="bottom"/>
            <w:shd w:val="clear" w:color="auto" w:fill="CCEEFF"/>
          </w:tcPr>
          <w:p>
            <w:pPr>
              <w:spacing w:after="0"/>
              <w:rPr>
                <w:sz w:val="16"/>
                <w:szCs w:val="16"/>
                <w:color w:val="auto"/>
              </w:rPr>
            </w:pPr>
          </w:p>
        </w:tc>
      </w:t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Nominating and Corporate Governance Committee Chair</w:t>
            </w:r>
          </w:p>
        </w:tc>
        <w:tc>
          <w:tcPr>
            <w:tcW w:w="2640" w:type="dxa"/>
            <w:vAlign w:val="bottom"/>
            <w:gridSpan w:val="2"/>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60" w:type="dxa"/>
            <w:vAlign w:val="bottom"/>
          </w:tcPr>
          <w:p>
            <w:pPr>
              <w:spacing w:after="0"/>
              <w:rPr>
                <w:sz w:val="16"/>
                <w:szCs w:val="16"/>
                <w:color w:val="auto"/>
              </w:rPr>
            </w:pPr>
          </w:p>
        </w:tc>
      </w:tr>
      <w:tr>
        <w:trPr>
          <w:trHeight w:val="184"/>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Committee Member</w:t>
            </w:r>
          </w:p>
        </w:tc>
        <w:tc>
          <w:tcPr>
            <w:tcW w:w="26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60" w:type="dxa"/>
            <w:vAlign w:val="bottom"/>
            <w:shd w:val="clear" w:color="auto" w:fill="CCEEFF"/>
          </w:tcPr>
          <w:p>
            <w:pPr>
              <w:spacing w:after="0"/>
              <w:rPr>
                <w:sz w:val="16"/>
                <w:szCs w:val="16"/>
                <w:color w:val="auto"/>
              </w:rPr>
            </w:pPr>
          </w:p>
        </w:tc>
      </w:tr>
      <w:tr>
        <w:trPr>
          <w:trHeight w:val="18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Compensation Committee Member</w:t>
            </w:r>
          </w:p>
        </w:tc>
        <w:tc>
          <w:tcPr>
            <w:tcW w:w="2640" w:type="dxa"/>
            <w:vAlign w:val="bottom"/>
            <w:gridSpan w:val="2"/>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60" w:type="dxa"/>
            <w:vAlign w:val="bottom"/>
          </w:tcPr>
          <w:p>
            <w:pPr>
              <w:spacing w:after="0"/>
              <w:rPr>
                <w:sz w:val="16"/>
                <w:szCs w:val="16"/>
                <w:color w:val="auto"/>
              </w:rPr>
            </w:pPr>
          </w:p>
        </w:tc>
      </w:tr>
      <w:tr>
        <w:trPr>
          <w:trHeight w:val="184"/>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Nominating and Corporate Governance Committee Member</w:t>
            </w:r>
          </w:p>
        </w:tc>
        <w:tc>
          <w:tcPr>
            <w:tcW w:w="2640" w:type="dxa"/>
            <w:vAlign w:val="bottom"/>
            <w:gridSpan w:val="2"/>
            <w:shd w:val="clear" w:color="auto" w:fill="CCEEFF"/>
          </w:tcPr>
          <w:p>
            <w:pPr>
              <w:ind w:left="23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6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920" w:right="360" w:firstLine="753"/>
        <w:spacing w:after="0" w:line="293" w:lineRule="auto"/>
        <w:rPr>
          <w:sz w:val="20"/>
          <w:szCs w:val="20"/>
          <w:color w:val="auto"/>
        </w:rPr>
      </w:pPr>
      <w:r>
        <w:rPr>
          <w:rFonts w:ascii="Times New Roman" w:cs="Times New Roman" w:eastAsia="Times New Roman" w:hAnsi="Times New Roman"/>
          <w:sz w:val="15"/>
          <w:szCs w:val="15"/>
          <w:color w:val="auto"/>
        </w:rPr>
        <w:t>We will continue to reimburse our non-employee directors for their reasonable expenses incurred in connection with attending board of directors and committee meetings.</w:t>
      </w:r>
    </w:p>
    <w:p>
      <w:pPr>
        <w:spacing w:after="0" w:line="132" w:lineRule="exact"/>
        <w:rPr>
          <w:sz w:val="20"/>
          <w:szCs w:val="20"/>
          <w:color w:val="auto"/>
        </w:rPr>
      </w:pPr>
    </w:p>
    <w:p>
      <w:pPr>
        <w:ind w:left="920" w:right="220" w:firstLine="753"/>
        <w:spacing w:after="0" w:line="293" w:lineRule="auto"/>
        <w:rPr>
          <w:sz w:val="20"/>
          <w:szCs w:val="20"/>
          <w:color w:val="auto"/>
        </w:rPr>
      </w:pPr>
      <w:r>
        <w:rPr>
          <w:rFonts w:ascii="Times New Roman" w:cs="Times New Roman" w:eastAsia="Times New Roman" w:hAnsi="Times New Roman"/>
          <w:sz w:val="15"/>
          <w:szCs w:val="15"/>
          <w:color w:val="auto"/>
        </w:rPr>
        <w:t>In addition, the compensation program for our non-employee directors will include both an initial equity award upon joining our board of directors and an annual equity award in connection with each annual meeting of our stockholders.</w:t>
      </w:r>
    </w:p>
    <w:p>
      <w:pPr>
        <w:spacing w:after="0" w:line="52" w:lineRule="exact"/>
        <w:rPr>
          <w:sz w:val="20"/>
          <w:szCs w:val="20"/>
          <w:color w:val="auto"/>
        </w:rPr>
      </w:pPr>
    </w:p>
    <w:p>
      <w:pPr>
        <w:ind w:left="2040" w:right="20" w:hanging="278"/>
        <w:spacing w:after="0" w:line="275" w:lineRule="auto"/>
        <w:tabs>
          <w:tab w:leader="none" w:pos="20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Initial Equity Award – Each new non-employee director joining our board of directors will receive an option grant for 20,000 shares of our common stock under our 2020 Equity Incentive Plan. The option will vest in three equal annual installments on each anniversary of the date of grant, subject to the non-employee director’s continuous service.</w:t>
      </w:r>
    </w:p>
    <w:p>
      <w:pPr>
        <w:spacing w:after="0" w:line="87"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174 -</w:t>
      </w:r>
    </w:p>
    <w:p>
      <w:pPr>
        <w:sectPr>
          <w:pgSz w:w="11900" w:h="16838" w:orient="portrait"/>
          <w:cols w:equalWidth="0" w:num="1">
            <w:col w:w="10340"/>
          </w:cols>
          <w:pgMar w:left="320" w:top="410" w:right="1239" w:bottom="1440" w:gutter="0" w:footer="0" w:header="0"/>
        </w:sectPr>
      </w:pPr>
    </w:p>
    <w:bookmarkStart w:id="177" w:name="page178"/>
    <w:bookmarkEnd w:id="17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Equity Award</w:t>
      </w:r>
    </w:p>
    <w:p>
      <w:pPr>
        <w:spacing w:after="0" w:line="115" w:lineRule="exact"/>
        <w:rPr>
          <w:rFonts w:ascii="Times New Roman" w:cs="Times New Roman" w:eastAsia="Times New Roman" w:hAnsi="Times New Roman"/>
          <w:sz w:val="15"/>
          <w:szCs w:val="15"/>
          <w:color w:val="auto"/>
        </w:rPr>
      </w:pPr>
    </w:p>
    <w:p>
      <w:pPr>
        <w:ind w:left="2320" w:hanging="281"/>
        <w:spacing w:after="0" w:line="261" w:lineRule="auto"/>
        <w:tabs>
          <w:tab w:leader="none" w:pos="232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Board Service - Following the conclusion of each regular annual meeting of stockholders, each continuing non-employee director will receive an option grant for 10,000 shares of our common stock under our 2020 Equity Incentive Plan (and in the case of a non-employee director who was elected or appointed to the board of directors since the prior annual meeting, the number of shares subject to the option grant will be prorated based on the number of full months of service provided since the prior annual meeting of stockholders). The option will vest in full on the one year anniversary of the date of grant, subject to the non-employee director’s continuous service. For non-employee directors serving on the board of directors upon the effectiveness of our initial public offering and who continue to serve as a member of the board of directors at the conclusion of the first annual meeting of stockholders, such non-employee directors will receive an additional option at the conclusion of the first regular annual meeting of stockholders for 10,000 shares of our common stock, which will be fully vested as of the date of grant.</w:t>
      </w:r>
    </w:p>
    <w:p>
      <w:pPr>
        <w:spacing w:after="0" w:line="75" w:lineRule="exact"/>
        <w:rPr>
          <w:rFonts w:ascii="Times New Roman" w:cs="Times New Roman" w:eastAsia="Times New Roman" w:hAnsi="Times New Roman"/>
          <w:sz w:val="15"/>
          <w:szCs w:val="15"/>
          <w:color w:val="auto"/>
        </w:rPr>
      </w:pPr>
    </w:p>
    <w:p>
      <w:pPr>
        <w:ind w:left="2320" w:right="20" w:hanging="281"/>
        <w:spacing w:after="0" w:line="261" w:lineRule="auto"/>
        <w:tabs>
          <w:tab w:leader="none" w:pos="232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as Board Chair – Following the conclusion of each regular annual meeting of stockholders, each non-employee director who continues to serve as a member of the board of directors and as the Chair of the board of directors will receive a grant of 10,000 restricted stock units under the 2020 Equity Incentive Plan. The restricted stock units will vest in full on the one year anniversary of the date of grant, subject to the non-employee director’s continuous service. For the non-employee director serving as Chair of the board of directors upon the effectiveness of our initial public offering and who continues to serve as a member of the board of directors at the conclusion of the first annual meeting of stockholders, such non-employee director will receive an additional award of 10,000 restricted stock units at the conclusion of the first regular annual meeting of stockholders, which will be fully vested as of the date of grant.</w:t>
      </w:r>
    </w:p>
    <w:p>
      <w:pPr>
        <w:spacing w:after="0" w:line="1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awards will also vest in full in the event of a “change in control” (as defined in our 2020 Equity Incentive Plan).</w:t>
      </w:r>
    </w:p>
    <w:p>
      <w:pPr>
        <w:spacing w:after="0" w:line="196" w:lineRule="exact"/>
        <w:rPr>
          <w:sz w:val="20"/>
          <w:szCs w:val="20"/>
          <w:color w:val="auto"/>
        </w:rPr>
      </w:pPr>
    </w:p>
    <w:p>
      <w:pPr>
        <w:ind w:left="920" w:right="320" w:firstLine="753"/>
        <w:spacing w:after="0" w:line="293" w:lineRule="auto"/>
        <w:rPr>
          <w:sz w:val="20"/>
          <w:szCs w:val="20"/>
          <w:color w:val="auto"/>
        </w:rPr>
      </w:pPr>
      <w:r>
        <w:rPr>
          <w:rFonts w:ascii="Times New Roman" w:cs="Times New Roman" w:eastAsia="Times New Roman" w:hAnsi="Times New Roman"/>
          <w:sz w:val="15"/>
          <w:szCs w:val="15"/>
          <w:color w:val="auto"/>
        </w:rPr>
        <w:t>Directors who are also our employees or officers receive no additional compensation for their service as directors. See the section titled “Executive Compensation” elsewhere in this prospectus for additional information about the compensation of our employee directors.</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-175-</w:t>
      </w:r>
    </w:p>
    <w:p>
      <w:pPr>
        <w:sectPr>
          <w:pgSz w:w="11900" w:h="16838" w:orient="portrait"/>
          <w:cols w:equalWidth="0" w:num="1">
            <w:col w:w="10320"/>
          </w:cols>
          <w:pgMar w:left="320" w:top="410" w:right="1259" w:bottom="1440" w:gutter="0" w:footer="0" w:header="0"/>
        </w:sectPr>
      </w:pPr>
    </w:p>
    <w:bookmarkStart w:id="178" w:name="page179"/>
    <w:bookmarkEnd w:id="17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200" w:lineRule="exact"/>
        <w:rPr>
          <w:sz w:val="20"/>
          <w:szCs w:val="20"/>
          <w:color w:val="auto"/>
        </w:rPr>
      </w:pPr>
    </w:p>
    <w:p>
      <w:pPr>
        <w:ind w:left="920" w:right="860" w:firstLine="753"/>
        <w:spacing w:after="0" w:line="294" w:lineRule="auto"/>
        <w:rPr>
          <w:sz w:val="20"/>
          <w:szCs w:val="20"/>
          <w:color w:val="auto"/>
        </w:rPr>
      </w:pPr>
      <w:r>
        <w:rPr>
          <w:rFonts w:ascii="Times New Roman" w:cs="Times New Roman" w:eastAsia="Times New Roman" w:hAnsi="Times New Roman"/>
          <w:sz w:val="15"/>
          <w:szCs w:val="15"/>
          <w:color w:val="auto"/>
        </w:rPr>
        <w:t>The following table shows information regarding the compensation of our named executive officers</w:t>
      </w:r>
      <w:r>
        <w:rPr>
          <w:rFonts w:ascii="Times New Roman" w:cs="Times New Roman" w:eastAsia="Times New Roman" w:hAnsi="Times New Roman"/>
          <w:sz w:val="13"/>
          <w:szCs w:val="13"/>
          <w:color w:val="auto"/>
        </w:rPr>
        <w:t>(1)</w:t>
      </w:r>
      <w:r>
        <w:rPr>
          <w:rFonts w:ascii="Times New Roman" w:cs="Times New Roman" w:eastAsia="Times New Roman" w:hAnsi="Times New Roman"/>
          <w:sz w:val="15"/>
          <w:szCs w:val="15"/>
          <w:color w:val="auto"/>
        </w:rPr>
        <w:t xml:space="preserve"> for the fiscal year ended December 31, 2019.</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60" w:type="dxa"/>
            <w:vAlign w:val="bottom"/>
          </w:tcPr>
          <w:p>
            <w:pPr>
              <w:spacing w:after="0"/>
              <w:rPr>
                <w:sz w:val="12"/>
                <w:szCs w:val="12"/>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9"/>
        </w:trPr>
        <w:tc>
          <w:tcPr>
            <w:tcW w:w="66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2"/>
                <w:szCs w:val="12"/>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($)(2)</w:t>
            </w:r>
          </w:p>
        </w:tc>
        <w:tc>
          <w:tcPr>
            <w:tcW w:w="220" w:type="dxa"/>
            <w:vAlign w:val="bottom"/>
          </w:tcPr>
          <w:p>
            <w:pPr>
              <w:spacing w:after="0"/>
              <w:rPr>
                <w:sz w:val="12"/>
                <w:szCs w:val="12"/>
                <w:color w:val="auto"/>
              </w:rPr>
            </w:pPr>
          </w:p>
        </w:tc>
        <w:tc>
          <w:tcPr>
            <w:tcW w:w="50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Bobak Azamian, MD, PhD</w:t>
            </w:r>
          </w:p>
        </w:tc>
        <w:tc>
          <w:tcPr>
            <w:tcW w:w="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2019</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300,000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116,137</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416,137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Mark Holdbrook</w:t>
            </w:r>
          </w:p>
        </w:tc>
        <w:tc>
          <w:tcPr>
            <w:tcW w:w="58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2019</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250,000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58,219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308,219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5"/>
                <w:szCs w:val="15"/>
                <w:i w:val="1"/>
                <w:iCs w:val="1"/>
                <w:color w:val="auto"/>
              </w:rPr>
              <w:t>Vice President, Clinical Affairs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6515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22" w:lineRule="exact"/>
        <w:rPr>
          <w:sz w:val="20"/>
          <w:szCs w:val="20"/>
          <w:color w:val="auto"/>
        </w:rPr>
      </w:pPr>
    </w:p>
    <w:p>
      <w:pPr>
        <w:ind w:left="1280" w:right="300" w:hanging="360"/>
        <w:spacing w:after="0" w:line="257" w:lineRule="auto"/>
        <w:tabs>
          <w:tab w:leader="none" w:pos="128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Leo Greenstein, Sesha Neervannan and Aziz Mottiwala were not executive officers prior to 2020 and, accordingly, are not named executive officers with respect to our fiscal year ended December 31, 2019.</w:t>
      </w:r>
    </w:p>
    <w:p>
      <w:pPr>
        <w:spacing w:after="0" w:line="165"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cash performance award earned with respect to prior fiscal year but paid in fiscal year 2020.</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Narrative Explanation of Compensation Arrangements with our Named Executive Officers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i w:val="1"/>
          <w:iCs w:val="1"/>
          <w:color w:val="auto"/>
        </w:rPr>
        <w:t>Base Salaries and Annual Incentive Opportunities</w:t>
      </w:r>
    </w:p>
    <w:p>
      <w:pPr>
        <w:spacing w:after="0" w:line="200"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The base salaries of all of our named executive officers are reviewed from time to time and adjusted when our board of directors or compensation committee determines an adjustment is appropriate. For our 2019 fiscal year, the base salary was $300,000 for Dr. Azamian and $250,000 for Mr. Holdbrook.</w:t>
      </w:r>
    </w:p>
    <w:p>
      <w:pPr>
        <w:spacing w:after="0" w:line="145"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2019, our named executive officers were eligible to earn cash incentive bonuses based on a combination of corporate and individual goals. We require that participants continue to be employed through the payment date to receive a bonus. For our 2019 fiscal year, the target bonus rate (as a percentage of base salary) was 30% for Dr. Azamian and 20% for Mr. Holdbrook.</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i w:val="1"/>
          <w:iCs w:val="1"/>
          <w:color w:val="auto"/>
        </w:rPr>
        <w:t>Equity Compensation</w:t>
      </w:r>
    </w:p>
    <w:p>
      <w:pPr>
        <w:spacing w:after="0" w:line="200"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i w:val="1"/>
          <w:iCs w:val="1"/>
          <w:color w:val="auto"/>
        </w:rPr>
        <w:t>Employee Benefits and Perquisites.</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Our named executive officers are eligible to participate in our health and welfare plans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-176-</w:t>
      </w:r>
    </w:p>
    <w:p>
      <w:pPr>
        <w:sectPr>
          <w:pgSz w:w="11900" w:h="16838" w:orient="portrait"/>
          <w:cols w:equalWidth="0" w:num="1">
            <w:col w:w="10340"/>
          </w:cols>
          <w:pgMar w:left="320" w:top="410" w:right="1239" w:bottom="1440" w:gutter="0" w:footer="0" w:header="0"/>
        </w:sectPr>
      </w:pPr>
    </w:p>
    <w:bookmarkStart w:id="179" w:name="page180"/>
    <w:bookmarkEnd w:id="17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i w:val="1"/>
          <w:iCs w:val="1"/>
          <w:color w:val="auto"/>
        </w:rPr>
        <w:t>Retirement Benefits.</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Employment Arrangements with Named Executive Officers</w:t>
      </w:r>
    </w:p>
    <w:p>
      <w:pPr>
        <w:spacing w:after="0" w:line="200" w:lineRule="exact"/>
        <w:rPr>
          <w:sz w:val="20"/>
          <w:szCs w:val="20"/>
          <w:color w:val="auto"/>
        </w:rPr>
      </w:pPr>
    </w:p>
    <w:p>
      <w:pPr>
        <w:ind w:left="920" w:right="40" w:firstLine="753"/>
        <w:spacing w:after="0" w:line="293" w:lineRule="auto"/>
        <w:rPr>
          <w:sz w:val="20"/>
          <w:szCs w:val="20"/>
          <w:color w:val="auto"/>
        </w:rPr>
      </w:pPr>
      <w:r>
        <w:rPr>
          <w:rFonts w:ascii="Times New Roman" w:cs="Times New Roman" w:eastAsia="Times New Roman" w:hAnsi="Times New Roman"/>
          <w:sz w:val="15"/>
          <w:szCs w:val="15"/>
          <w:color w:val="auto"/>
        </w:rPr>
        <w:t>We entered into offer letters with each of our named executive officers setting forth the initial terms of the officer’s employment with us and providing that the officer’s employment will be “at will” and may be terminated at any time.</w:t>
      </w:r>
    </w:p>
    <w:p>
      <w:pPr>
        <w:spacing w:after="0" w:line="132"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On October 8, 2020, we entered into an amended employment letter agreement with Bobak Azamian, or the Azamian Letter Agreement, which will become effective upon our initial public offering, to continuing serving as our Chief Executive Officer and pursuant to which Dr. Azamian is entitled to receive an annual base salary of $532,000 and an annual incentive bonus with a target equal to 50% of his annual base salary. Dr. Azamian is eligible to receive severance benefits pursuant to the Azamian Letter Agreement, as described in “Severance and Change in Control Benefits” below.</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Outstanding Equity Awards at 2019 Fiscal Year-End</w:t>
      </w:r>
    </w:p>
    <w:p>
      <w:pPr>
        <w:spacing w:after="0" w:line="200" w:lineRule="exact"/>
        <w:rPr>
          <w:sz w:val="20"/>
          <w:szCs w:val="20"/>
          <w:color w:val="auto"/>
        </w:rPr>
      </w:pPr>
    </w:p>
    <w:p>
      <w:pPr>
        <w:ind w:left="920" w:right="80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sets forth information regarding each unexercised option held by each of our named executive officers as of December 31, 2019. All of these awards were made pursuant to our 2016 Stock Plan.</w:t>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vesting schedule applicable to each outstanding award is described in the footnotes to the table below.</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tcPr>
          <w:p>
            <w:pPr>
              <w:jc w:val="center"/>
              <w:ind w:right="36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tcPr>
          <w:p>
            <w:pPr>
              <w:spacing w:after="0"/>
              <w:rPr>
                <w:sz w:val="8"/>
                <w:szCs w:val="8"/>
                <w:color w:val="auto"/>
              </w:rPr>
            </w:pPr>
          </w:p>
        </w:tc>
        <w:tc>
          <w:tcPr>
            <w:tcW w:w="1040" w:type="dxa"/>
            <w:vAlign w:val="bottom"/>
            <w:gridSpan w:val="2"/>
          </w:tcPr>
          <w:p>
            <w:pPr>
              <w:jc w:val="center"/>
              <w:ind w:right="360"/>
              <w:spacing w:after="0" w:line="97"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80" w:type="dxa"/>
            <w:vAlign w:val="bottom"/>
          </w:tcPr>
          <w:p>
            <w:pPr>
              <w:spacing w:after="0"/>
              <w:rPr>
                <w:sz w:val="11"/>
                <w:szCs w:val="11"/>
                <w:color w:val="auto"/>
              </w:rPr>
            </w:pPr>
          </w:p>
        </w:tc>
        <w:tc>
          <w:tcPr>
            <w:tcW w:w="10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200" w:type="dxa"/>
            <w:vAlign w:val="bottom"/>
          </w:tcPr>
          <w:p>
            <w:pPr>
              <w:spacing w:after="0"/>
              <w:rPr>
                <w:sz w:val="11"/>
                <w:szCs w:val="11"/>
                <w:color w:val="auto"/>
              </w:rPr>
            </w:pPr>
          </w:p>
        </w:tc>
        <w:tc>
          <w:tcPr>
            <w:tcW w:w="8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80" w:type="dxa"/>
            <w:vAlign w:val="bottom"/>
          </w:tcPr>
          <w:p>
            <w:pPr>
              <w:spacing w:after="0"/>
              <w:rPr>
                <w:sz w:val="11"/>
                <w:szCs w:val="11"/>
                <w:color w:val="auto"/>
              </w:rPr>
            </w:pPr>
          </w:p>
        </w:tc>
        <w:tc>
          <w:tcPr>
            <w:tcW w:w="10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Option</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134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180" w:type="dxa"/>
            <w:vAlign w:val="bottom"/>
          </w:tcPr>
          <w:p>
            <w:pPr>
              <w:spacing w:after="0"/>
              <w:rPr>
                <w:sz w:val="11"/>
                <w:szCs w:val="11"/>
                <w:color w:val="auto"/>
              </w:rPr>
            </w:pPr>
          </w:p>
        </w:tc>
        <w:tc>
          <w:tcPr>
            <w:tcW w:w="10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200" w:type="dxa"/>
            <w:vAlign w:val="bottom"/>
          </w:tcPr>
          <w:p>
            <w:pPr>
              <w:spacing w:after="0"/>
              <w:rPr>
                <w:sz w:val="11"/>
                <w:szCs w:val="11"/>
                <w:color w:val="auto"/>
              </w:rPr>
            </w:pPr>
          </w:p>
        </w:tc>
        <w:tc>
          <w:tcPr>
            <w:tcW w:w="88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980" w:type="dxa"/>
            <w:vAlign w:val="bottom"/>
            <w:vMerge w:val="restart"/>
          </w:tcPr>
          <w:p>
            <w:pPr>
              <w:ind w:left="23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320" w:type="dxa"/>
            <w:vAlign w:val="bottom"/>
          </w:tcPr>
          <w:p>
            <w:pPr>
              <w:spacing w:after="0"/>
              <w:rPr>
                <w:sz w:val="11"/>
                <w:szCs w:val="11"/>
                <w:color w:val="auto"/>
              </w:rPr>
            </w:pPr>
          </w:p>
        </w:tc>
        <w:tc>
          <w:tcPr>
            <w:tcW w:w="102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80" w:type="dxa"/>
            <w:vAlign w:val="bottom"/>
          </w:tcPr>
          <w:p>
            <w:pPr>
              <w:spacing w:after="0"/>
              <w:rPr>
                <w:sz w:val="11"/>
                <w:szCs w:val="11"/>
                <w:color w:val="auto"/>
              </w:rPr>
            </w:pPr>
          </w:p>
        </w:tc>
        <w:tc>
          <w:tcPr>
            <w:tcW w:w="104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00" w:type="dxa"/>
            <w:vAlign w:val="bottom"/>
          </w:tcPr>
          <w:p>
            <w:pPr>
              <w:spacing w:after="0"/>
              <w:rPr>
                <w:sz w:val="11"/>
                <w:szCs w:val="11"/>
                <w:color w:val="auto"/>
              </w:rPr>
            </w:pPr>
          </w:p>
        </w:tc>
        <w:tc>
          <w:tcPr>
            <w:tcW w:w="88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2"/>
                <w:szCs w:val="12"/>
                <w:b w:val="1"/>
                <w:bCs w:val="1"/>
                <w:color w:val="auto"/>
              </w:rPr>
              <w:t>Price</w:t>
            </w:r>
          </w:p>
        </w:tc>
        <w:tc>
          <w:tcPr>
            <w:tcW w:w="80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0" w:type="dxa"/>
            <w:vAlign w:val="bottom"/>
          </w:tcPr>
          <w:p>
            <w:pPr>
              <w:spacing w:after="0"/>
              <w:rPr>
                <w:sz w:val="1"/>
                <w:szCs w:val="1"/>
                <w:color w:val="auto"/>
              </w:rPr>
            </w:pPr>
          </w:p>
        </w:tc>
      </w:tr>
      <w:tr>
        <w:trPr>
          <w:trHeight w:val="149"/>
        </w:trPr>
        <w:tc>
          <w:tcPr>
            <w:tcW w:w="49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Vested (#)</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Unvested (#)</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Bobak Azamian</w:t>
            </w: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35,904(1)</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78,990(1)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0.45</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10/26/2028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Mark Holdbrook</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58,200(2)</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25,609(2)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$0.0007</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11/28/2027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6515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22" w:lineRule="exact"/>
        <w:rPr>
          <w:sz w:val="20"/>
          <w:szCs w:val="20"/>
          <w:color w:val="auto"/>
        </w:rPr>
      </w:pPr>
    </w:p>
    <w:p>
      <w:pPr>
        <w:ind w:left="1280" w:right="40" w:hanging="360"/>
        <w:spacing w:after="0" w:line="257" w:lineRule="auto"/>
        <w:tabs>
          <w:tab w:leader="none" w:pos="12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 vests in 48 substantially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165" w:lineRule="exact"/>
        <w:rPr>
          <w:rFonts w:ascii="Times New Roman" w:cs="Times New Roman" w:eastAsia="Times New Roman" w:hAnsi="Times New Roman"/>
          <w:sz w:val="12"/>
          <w:szCs w:val="12"/>
          <w:color w:val="auto"/>
        </w:rPr>
      </w:pPr>
    </w:p>
    <w:p>
      <w:pPr>
        <w:ind w:left="1280" w:right="180" w:hanging="360"/>
        <w:spacing w:after="0" w:line="257" w:lineRule="auto"/>
        <w:tabs>
          <w:tab w:leader="none" w:pos="12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 vests in 36 substantially equal monthly installments beginning on November 1, 2017, provided Mr. Holdbrook remains in continuous service through each such vesting date. The option will also become fully vested on an accelerated basis if Mr. Holdbrook remains in continuous service through a change in control.</w:t>
      </w:r>
    </w:p>
    <w:p>
      <w:pPr>
        <w:spacing w:after="0" w:line="1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Severance and Change in Control Benefits</w:t>
      </w:r>
    </w:p>
    <w:p>
      <w:pPr>
        <w:spacing w:after="0" w:line="200"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The options to purchase shares of our Common Stock held by Dr. Azamian and Mr. Holdbrook fully vest in the event we are subject to a change in control. Change in control means our consummation of a merger or consolidation with or into another entity or our dissolution, liquidation or winding up. The foregoing notwithstanding, our merger or consolidation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w:t>
      </w:r>
    </w:p>
    <w:p>
      <w:pPr>
        <w:spacing w:after="0" w:line="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-177-</w:t>
      </w:r>
    </w:p>
    <w:p>
      <w:pPr>
        <w:sectPr>
          <w:pgSz w:w="11900" w:h="16838" w:orient="portrait"/>
          <w:cols w:equalWidth="0" w:num="1">
            <w:col w:w="10340"/>
          </w:cols>
          <w:pgMar w:left="320" w:top="410" w:right="1239" w:bottom="1440" w:gutter="0" w:footer="0" w:header="0"/>
        </w:sectPr>
      </w:pPr>
    </w:p>
    <w:bookmarkStart w:id="180" w:name="page181"/>
    <w:bookmarkEnd w:id="18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93" w:lineRule="auto"/>
        <w:rPr>
          <w:sz w:val="20"/>
          <w:szCs w:val="20"/>
          <w:color w:val="auto"/>
        </w:rPr>
      </w:pPr>
      <w:r>
        <w:rPr>
          <w:rFonts w:ascii="Times New Roman" w:cs="Times New Roman" w:eastAsia="Times New Roman" w:hAnsi="Times New Roman"/>
          <w:sz w:val="15"/>
          <w:szCs w:val="15"/>
          <w:color w:val="auto"/>
        </w:rPr>
        <w:t>who were our stockholders immediately prior to the merger or consolidation in substantially the same proportions as their ownership of the voting power of our capital stock immediately prior to the merger or consolidation.</w:t>
      </w:r>
    </w:p>
    <w:p>
      <w:pPr>
        <w:spacing w:after="0" w:line="132"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Pursuant to the Azamian Letter Agreement, Dr. Azamian is eligible for severance benefits upon an involuntary termination of his employment. If the involuntary termination is prior to or more than 12 months after a change in control, he is eligible to receive severance consisting of 12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lump sum bonus payment equal to (i) a prorated portion of his target bonus for the year in which his termination occurs and (ii) 150% of such target bonus.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Equity Plans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2020 Equity Incentive Plan</w:t>
      </w:r>
    </w:p>
    <w:p>
      <w:pPr>
        <w:spacing w:after="0" w:line="200"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Our board of directors and stockholders adopted and approved our 2020 Plan on October 8, 2020. While our 2020 Plan became effective immediately on adoption and approval, no awards will be made under it until the effective date of the registration statement of which this prospectus is a part. Our 2020 Plan is intended to replace our 2016 Plan. However, awards outstanding under our 2016 Plan will continue to be governed by their existing terms. Our 2020 Plan has the features described below.</w:t>
      </w:r>
    </w:p>
    <w:p>
      <w:pPr>
        <w:spacing w:after="0" w:line="148" w:lineRule="exact"/>
        <w:rPr>
          <w:sz w:val="20"/>
          <w:szCs w:val="20"/>
          <w:color w:val="auto"/>
        </w:rPr>
      </w:pPr>
    </w:p>
    <w:p>
      <w:pPr>
        <w:ind w:left="92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Share Reserve. </w:t>
      </w:r>
      <w:r>
        <w:rPr>
          <w:rFonts w:ascii="Times New Roman" w:cs="Times New Roman" w:eastAsia="Times New Roman" w:hAnsi="Times New Roman"/>
          <w:sz w:val="15"/>
          <w:szCs w:val="15"/>
          <w:color w:val="auto"/>
        </w:rPr>
        <w:t>The number of shares of our common stock available for issuance under our 2020 Plan will equal the sum of 9,000,000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plus up to 2,433,395 shares remaining available for issuance under our 2016 Plan, or issued pursuant to or subject to awards granted under, our 2016 Plan. The number of shares reserved for issuance under our 2020 Plan will be increased automatically on the first business day of each of our fiscal years, commencing in 2021 and ending in 2030, by a number equal to the lesser of:</w:t>
      </w:r>
    </w:p>
    <w:p>
      <w:pPr>
        <w:spacing w:after="0" w:line="173" w:lineRule="exact"/>
        <w:rPr>
          <w:sz w:val="20"/>
          <w:szCs w:val="20"/>
          <w:color w:val="auto"/>
        </w:rPr>
      </w:pPr>
    </w:p>
    <w:p>
      <w:pPr>
        <w:ind w:left="2040" w:hanging="278"/>
        <w:spacing w:after="0"/>
        <w:tabs>
          <w:tab w:leader="none" w:pos="20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 of the shares of common stock outstanding on the last business day of the prior fiscal year; or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determined by our board of directors.</w:t>
      </w:r>
    </w:p>
    <w:p>
      <w:pPr>
        <w:spacing w:after="0" w:line="196"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In general, to the extent that any awards under our 2020 Plan are forfeited, terminate, expire or lapse without the issuance of shares, or if we reacquire the shares subject to awards granted under our 2020 Plan, those shares will again become available for issuance under our 2020 Plan, as will shares applied to pay the exercise or purchase price of an award or to satisfy tax withholding obligations related to any award.</w:t>
      </w:r>
    </w:p>
    <w:p>
      <w:pPr>
        <w:spacing w:after="0" w:line="141" w:lineRule="exact"/>
        <w:rPr>
          <w:sz w:val="20"/>
          <w:szCs w:val="20"/>
          <w:color w:val="auto"/>
        </w:rPr>
      </w:pPr>
    </w:p>
    <w:p>
      <w:pPr>
        <w:jc w:val="both"/>
        <w:ind w:left="920" w:right="220" w:firstLine="753"/>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Administration. </w:t>
      </w:r>
      <w:r>
        <w:rPr>
          <w:rFonts w:ascii="Times New Roman" w:cs="Times New Roman" w:eastAsia="Times New Roman" w:hAnsi="Times New Roman"/>
          <w:sz w:val="15"/>
          <w:szCs w:val="15"/>
          <w:color w:val="auto"/>
        </w:rPr>
        <w:t>The compensation committee of our board of directors will administer our 2020 Plan. The compensation committee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have complete discretion to make all decisions relating to our 2020 Plan and outstanding awards, with the exception of repricing outstanding options.</w:t>
      </w:r>
    </w:p>
    <w:p>
      <w:pPr>
        <w:spacing w:after="0" w:line="1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Employees, non-employee directors, consultants and advisors will be eligible to participate in our 2020 Plan.</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Under our 2020 Plan, the aggregate grant date fair value of awards granted to our non-employee directors may not exceed $800,000 in any one fiscal year, except that the grant date fair value of awards granted to newly appointed non-employee directors may not exceed $1,200,000 in the fiscal year in which such non-employee director is initially appointed to our board of directors.</w:t>
      </w:r>
    </w:p>
    <w:p>
      <w:pPr>
        <w:spacing w:after="0" w:line="14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 xml:space="preserve">Types of Awards. </w:t>
      </w:r>
      <w:r>
        <w:rPr>
          <w:rFonts w:ascii="Times New Roman" w:cs="Times New Roman" w:eastAsia="Times New Roman" w:hAnsi="Times New Roman"/>
          <w:sz w:val="15"/>
          <w:szCs w:val="15"/>
          <w:color w:val="auto"/>
        </w:rPr>
        <w:t>Our 2020 Plan provides for the following types of awards:</w:t>
      </w:r>
    </w:p>
    <w:p>
      <w:pPr>
        <w:spacing w:after="0" w:line="223" w:lineRule="exact"/>
        <w:rPr>
          <w:sz w:val="20"/>
          <w:szCs w:val="20"/>
          <w:color w:val="auto"/>
        </w:rPr>
      </w:pPr>
    </w:p>
    <w:p>
      <w:pPr>
        <w:ind w:left="2040" w:hanging="278"/>
        <w:spacing w:after="0"/>
        <w:tabs>
          <w:tab w:leader="none" w:pos="204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incentive and nonstatutory stock options;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appreciation rights;</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-178-</w:t>
      </w:r>
    </w:p>
    <w:p>
      <w:pPr>
        <w:sectPr>
          <w:pgSz w:w="11900" w:h="16838" w:orient="portrait"/>
          <w:cols w:equalWidth="0" w:num="1">
            <w:col w:w="10320"/>
          </w:cols>
          <w:pgMar w:left="320" w:top="410" w:right="1259" w:bottom="1440" w:gutter="0" w:footer="0" w:header="0"/>
        </w:sectPr>
      </w:pPr>
    </w:p>
    <w:bookmarkStart w:id="181" w:name="page182"/>
    <w:bookmarkEnd w:id="18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2040" w:hanging="278"/>
        <w:spacing w:after="0"/>
        <w:tabs>
          <w:tab w:leader="none" w:pos="20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shares;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stock units.</w:t>
      </w:r>
    </w:p>
    <w:p>
      <w:pPr>
        <w:spacing w:after="0" w:line="192" w:lineRule="exact"/>
        <w:rPr>
          <w:sz w:val="20"/>
          <w:szCs w:val="20"/>
          <w:color w:val="auto"/>
        </w:rPr>
      </w:pPr>
    </w:p>
    <w:p>
      <w:pPr>
        <w:ind w:left="920" w:right="22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Options and Stock Appreciation Rights. </w:t>
      </w:r>
      <w:r>
        <w:rPr>
          <w:rFonts w:ascii="Times New Roman" w:cs="Times New Roman" w:eastAsia="Times New Roman" w:hAnsi="Times New Roman"/>
          <w:sz w:val="15"/>
          <w:szCs w:val="15"/>
          <w:color w:val="auto"/>
        </w:rPr>
        <w:t>The exercise price for options granted under our 2020 Plan may not be less than 100% of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value of our common stock on the grant date. Optionees will be permitted to pay the exercise price in cash or, with the consent of the compensation committee:</w:t>
      </w:r>
    </w:p>
    <w:p>
      <w:pPr>
        <w:spacing w:after="0" w:line="168" w:lineRule="exact"/>
        <w:rPr>
          <w:sz w:val="20"/>
          <w:szCs w:val="20"/>
          <w:color w:val="auto"/>
        </w:rPr>
      </w:pPr>
    </w:p>
    <w:p>
      <w:pPr>
        <w:ind w:left="2040" w:hanging="278"/>
        <w:spacing w:after="0"/>
        <w:tabs>
          <w:tab w:leader="none" w:pos="20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shares of common stock that the optionee already owns;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 immediate sale of shares through a broker approved by us;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instructing us to withhold a number of shares having an aggregate fair market value that does not exceed the exercise price; or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other methods permitted by applicable law.</w:t>
      </w:r>
    </w:p>
    <w:p>
      <w:pPr>
        <w:spacing w:after="0" w:line="196" w:lineRule="exact"/>
        <w:rPr>
          <w:sz w:val="20"/>
          <w:szCs w:val="20"/>
          <w:color w:val="auto"/>
        </w:rPr>
      </w:pPr>
    </w:p>
    <w:p>
      <w:pPr>
        <w:jc w:val="both"/>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45"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41" w:lineRule="exact"/>
        <w:rPr>
          <w:sz w:val="20"/>
          <w:szCs w:val="20"/>
          <w:color w:val="auto"/>
        </w:rPr>
      </w:pPr>
    </w:p>
    <w:p>
      <w:pPr>
        <w:ind w:left="920" w:right="10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Restricted Shares and Stock Units. </w:t>
      </w:r>
      <w:r>
        <w:rPr>
          <w:rFonts w:ascii="Times New Roman" w:cs="Times New Roman" w:eastAsia="Times New Roman" w:hAnsi="Times New Roman"/>
          <w:sz w:val="15"/>
          <w:szCs w:val="15"/>
          <w:color w:val="auto"/>
        </w:rPr>
        <w:t>Restricted shares and stock units may be awarded under our 2020 Plan in return for any lawful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46" w:lineRule="exact"/>
        <w:rPr>
          <w:sz w:val="20"/>
          <w:szCs w:val="20"/>
          <w:color w:val="auto"/>
        </w:rPr>
      </w:pPr>
    </w:p>
    <w:p>
      <w:pPr>
        <w:ind w:left="92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we are a party to a merger, consolidation or certain change in control transactions, outstanding awards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granted under our 2020 Plan, and all shares acquired under our 2020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73" w:lineRule="exact"/>
        <w:rPr>
          <w:sz w:val="20"/>
          <w:szCs w:val="20"/>
          <w:color w:val="auto"/>
        </w:rPr>
      </w:pPr>
    </w:p>
    <w:p>
      <w:pPr>
        <w:ind w:left="2040" w:hanging="278"/>
        <w:spacing w:after="0"/>
        <w:tabs>
          <w:tab w:leader="none" w:pos="20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continuation, assumption or substitution of an award by a surviving entity or its parent;</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an award without payment of any consideration, provided that the optionee shall be notified of such treatment;</w:t>
      </w:r>
    </w:p>
    <w:p>
      <w:pPr>
        <w:spacing w:after="0" w:line="219" w:lineRule="exact"/>
        <w:rPr>
          <w:rFonts w:ascii="Times New Roman" w:cs="Times New Roman" w:eastAsia="Times New Roman" w:hAnsi="Times New Roman"/>
          <w:sz w:val="15"/>
          <w:szCs w:val="15"/>
          <w:color w:val="auto"/>
        </w:rPr>
      </w:pPr>
    </w:p>
    <w:p>
      <w:pPr>
        <w:ind w:left="2040" w:right="160" w:hanging="278"/>
        <w:spacing w:after="0" w:line="275" w:lineRule="auto"/>
        <w:tabs>
          <w:tab w:leader="none" w:pos="20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67" w:lineRule="exact"/>
        <w:rPr>
          <w:rFonts w:ascii="Times New Roman" w:cs="Times New Roman" w:eastAsia="Times New Roman" w:hAnsi="Times New Roman"/>
          <w:sz w:val="15"/>
          <w:szCs w:val="15"/>
          <w:color w:val="auto"/>
        </w:rPr>
      </w:pPr>
    </w:p>
    <w:p>
      <w:pPr>
        <w:ind w:left="2040" w:right="40" w:hanging="278"/>
        <w:spacing w:after="0" w:line="293" w:lineRule="auto"/>
        <w:tabs>
          <w:tab w:leader="none" w:pos="20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assignment of any reacquisition or repurchase rights held by us with respect to an award of restricted shares to the surviving entity or its parent (with proportionate adjustments made to the price per share to be paid upon exercise of such rights).</w:t>
      </w:r>
    </w:p>
    <w:p>
      <w:pPr>
        <w:spacing w:after="0" w:line="74"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179 -</w:t>
      </w:r>
    </w:p>
    <w:p>
      <w:pPr>
        <w:sectPr>
          <w:pgSz w:w="11900" w:h="16838" w:orient="portrait"/>
          <w:cols w:equalWidth="0" w:num="1">
            <w:col w:w="10320"/>
          </w:cols>
          <w:pgMar w:left="320" w:top="410" w:right="1259" w:bottom="1440" w:gutter="0" w:footer="0" w:header="0"/>
        </w:sectPr>
      </w:pPr>
    </w:p>
    <w:bookmarkStart w:id="182" w:name="page183"/>
    <w:bookmarkEnd w:id="18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compensation committee is not required to treat all awards, or portions thereof, in the same manner.</w:t>
      </w:r>
    </w:p>
    <w:p>
      <w:pPr>
        <w:spacing w:after="0" w:line="196" w:lineRule="exact"/>
        <w:rPr>
          <w:sz w:val="20"/>
          <w:szCs w:val="20"/>
          <w:color w:val="auto"/>
        </w:rPr>
      </w:pPr>
    </w:p>
    <w:p>
      <w:pPr>
        <w:ind w:left="920" w:right="40" w:firstLine="753"/>
        <w:spacing w:after="0" w:line="267" w:lineRule="auto"/>
        <w:rPr>
          <w:sz w:val="20"/>
          <w:szCs w:val="20"/>
          <w:color w:val="auto"/>
        </w:rPr>
      </w:pPr>
      <w:r>
        <w:rPr>
          <w:rFonts w:ascii="Times New Roman" w:cs="Times New Roman" w:eastAsia="Times New Roman" w:hAnsi="Times New Roman"/>
          <w:sz w:val="15"/>
          <w:szCs w:val="15"/>
          <w:color w:val="auto"/>
        </w:rPr>
        <w:t>Unless determined otherwise by the administrator at the time of grant of an award, all outstanding awards held by current service providers at the time of occurrence of a change in control will fully accelerate and vest if they are not continued, assume or substituted by the acquirer. Notwithstanding the foregoing, 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3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A change in control includes:</w:t>
      </w:r>
    </w:p>
    <w:p>
      <w:pPr>
        <w:spacing w:after="0" w:line="219" w:lineRule="exact"/>
        <w:rPr>
          <w:sz w:val="20"/>
          <w:szCs w:val="20"/>
          <w:color w:val="auto"/>
        </w:rPr>
      </w:pPr>
    </w:p>
    <w:p>
      <w:pPr>
        <w:ind w:left="2040" w:hanging="278"/>
        <w:spacing w:after="0"/>
        <w:tabs>
          <w:tab w:leader="none" w:pos="20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acquiring beneficial ownership of more than 50% of our total voting power;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or other disposition of all or substantially all of our assets; or</w:t>
      </w:r>
    </w:p>
    <w:p>
      <w:pPr>
        <w:spacing w:after="0" w:line="219" w:lineRule="exact"/>
        <w:rPr>
          <w:rFonts w:ascii="Times New Roman" w:cs="Times New Roman" w:eastAsia="Times New Roman" w:hAnsi="Times New Roman"/>
          <w:sz w:val="15"/>
          <w:szCs w:val="15"/>
          <w:color w:val="auto"/>
        </w:rPr>
      </w:pPr>
    </w:p>
    <w:p>
      <w:pPr>
        <w:ind w:left="2040" w:right="440" w:hanging="278"/>
        <w:spacing w:after="0" w:line="293" w:lineRule="auto"/>
        <w:tabs>
          <w:tab w:leader="none" w:pos="20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merger or consolidation after which our voting securities represent 50% or less of the total voting power of the surviving or acquiring entity.</w:t>
      </w:r>
    </w:p>
    <w:p>
      <w:pPr>
        <w:spacing w:after="0" w:line="128" w:lineRule="exact"/>
        <w:rPr>
          <w:sz w:val="20"/>
          <w:szCs w:val="20"/>
          <w:color w:val="auto"/>
        </w:rPr>
      </w:pPr>
    </w:p>
    <w:p>
      <w:pPr>
        <w:ind w:left="920" w:right="60" w:firstLine="753"/>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Changes in Capitalization. </w:t>
      </w:r>
      <w:r>
        <w:rPr>
          <w:rFonts w:ascii="Times New Roman" w:cs="Times New Roman" w:eastAsia="Times New Roman" w:hAnsi="Times New Roman"/>
          <w:sz w:val="15"/>
          <w:szCs w:val="15"/>
          <w:color w:val="auto"/>
        </w:rPr>
        <w:t>In the event of certain changes in our capital structure without our receipt of consideration, such as a stock split,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reverse stock split or dividend paid in common stock, proportionate adjustments will automatically be made to:</w:t>
      </w:r>
    </w:p>
    <w:p>
      <w:pPr>
        <w:spacing w:after="0" w:line="152" w:lineRule="exact"/>
        <w:rPr>
          <w:sz w:val="20"/>
          <w:szCs w:val="20"/>
          <w:color w:val="auto"/>
        </w:rPr>
      </w:pPr>
    </w:p>
    <w:p>
      <w:pPr>
        <w:ind w:left="2040" w:right="300" w:hanging="278"/>
        <w:spacing w:after="0" w:line="293" w:lineRule="auto"/>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number and kind of shares available for issuance under our 2020 Plan, including the maximum number and kind of shares that may be issued upon the exercise of incentive stock options;</w:t>
      </w:r>
    </w:p>
    <w:p>
      <w:pPr>
        <w:spacing w:after="0" w:line="155" w:lineRule="exact"/>
        <w:rPr>
          <w:rFonts w:ascii="Times New Roman" w:cs="Times New Roman" w:eastAsia="Times New Roman" w:hAnsi="Times New Roman"/>
          <w:sz w:val="15"/>
          <w:szCs w:val="15"/>
          <w:color w:val="auto"/>
        </w:rPr>
      </w:pPr>
    </w:p>
    <w:p>
      <w:pPr>
        <w:ind w:left="2040" w:right="460" w:hanging="278"/>
        <w:spacing w:after="0" w:line="293" w:lineRule="auto"/>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number and kind of shares covered by, and exercise price, base price or purchase price, if any, applicable to each outstanding stock award;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maximum number and kind of shares by which the share reserve may increase automatically each year.</w:t>
      </w:r>
    </w:p>
    <w:p>
      <w:pPr>
        <w:spacing w:after="0" w:line="196"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41" w:lineRule="exact"/>
        <w:rPr>
          <w:sz w:val="20"/>
          <w:szCs w:val="20"/>
          <w:color w:val="auto"/>
        </w:rPr>
      </w:pPr>
    </w:p>
    <w:p>
      <w:pPr>
        <w:ind w:left="920" w:right="10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Amendments or Termination</w:t>
      </w:r>
      <w:r>
        <w:rPr>
          <w:rFonts w:ascii="Times New Roman" w:cs="Times New Roman" w:eastAsia="Times New Roman" w:hAnsi="Times New Roman"/>
          <w:sz w:val="15"/>
          <w:szCs w:val="15"/>
          <w:color w:val="auto"/>
        </w:rPr>
        <w:t>. Our board of directors may amend, suspend or terminate our 2020 Plan at any time. If our board of directors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amends our 2020 Plan, it does not need stockholder approval of the amendment unless required by applicable law, regulation or rules. Our 2020 Plan will terminate automatically 10 years after the later of the date when our board of directors adopted our 2020 Plan or approved the latest share increase that was also approved by our stockholders.</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2016 Stock Plan</w:t>
      </w:r>
    </w:p>
    <w:p>
      <w:pPr>
        <w:spacing w:after="0" w:line="200"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Our board of directors adopted our 2016 Plan in December 2016, and it was approved by our stockholders on January 17, 2017. No further awards will be made under our 2016 Plan after this offering; however, awards outstanding under our 2016 Plan will continue to be governed by their existing terms.</w:t>
      </w:r>
    </w:p>
    <w:p>
      <w:pPr>
        <w:spacing w:after="0" w:line="141" w:lineRule="exact"/>
        <w:rPr>
          <w:sz w:val="20"/>
          <w:szCs w:val="20"/>
          <w:color w:val="auto"/>
        </w:rPr>
      </w:pPr>
    </w:p>
    <w:p>
      <w:pPr>
        <w:jc w:val="both"/>
        <w:ind w:left="92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Share Reserve</w:t>
      </w:r>
      <w:r>
        <w:rPr>
          <w:rFonts w:ascii="Times New Roman" w:cs="Times New Roman" w:eastAsia="Times New Roman" w:hAnsi="Times New Roman"/>
          <w:sz w:val="15"/>
          <w:szCs w:val="15"/>
          <w:color w:val="auto"/>
        </w:rPr>
        <w:t>. As of June 30, 2020 we have reserved 2,670,151 shares of our common stock, for issuance under our 2016 Plan, all of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be issued as incentive stock options. As of December 31, 2019, options to purchase 297,142 shares of our common stock, at exercise prices ranging from $0.0007 to $0.45 per</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-180-</w:t>
      </w:r>
    </w:p>
    <w:p>
      <w:pPr>
        <w:sectPr>
          <w:pgSz w:w="11900" w:h="16838" w:orient="portrait"/>
          <w:cols w:equalWidth="0" w:num="1">
            <w:col w:w="10300"/>
          </w:cols>
          <w:pgMar w:left="320" w:top="410" w:right="1279" w:bottom="1440" w:gutter="0" w:footer="0" w:header="0"/>
        </w:sectPr>
      </w:pPr>
    </w:p>
    <w:bookmarkStart w:id="183" w:name="page184"/>
    <w:bookmarkEnd w:id="18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4" w:lineRule="auto"/>
        <w:rPr>
          <w:sz w:val="20"/>
          <w:szCs w:val="20"/>
          <w:color w:val="auto"/>
        </w:rPr>
      </w:pPr>
      <w:r>
        <w:rPr>
          <w:rFonts w:ascii="Times New Roman" w:cs="Times New Roman" w:eastAsia="Times New Roman" w:hAnsi="Times New Roman"/>
          <w:sz w:val="15"/>
          <w:szCs w:val="15"/>
          <w:color w:val="auto"/>
        </w:rPr>
        <w:t>share, or a weighted-average exercise price of $0.32 per share were outstanding under our 2016 Plan, and 2,150,867 shares of our common stock remained available for future issuance. As of June 30, 2020, options to purchase 1,230,701 shares of our common stock, at exercise prices ranging from $0.0007 to $2.01 per share, or a weighted-average exercise price of $1.61 per share were outstanding under our 2016 Plan, and 1,148,915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2016 Plan or, following consummation of this offering, under our 2020 Plan.</w:t>
      </w:r>
    </w:p>
    <w:p>
      <w:pPr>
        <w:spacing w:after="0" w:line="149" w:lineRule="exact"/>
        <w:rPr>
          <w:sz w:val="20"/>
          <w:szCs w:val="20"/>
          <w:color w:val="auto"/>
        </w:rPr>
      </w:pPr>
    </w:p>
    <w:p>
      <w:pPr>
        <w:ind w:left="920" w:right="46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Administration</w:t>
      </w:r>
      <w:r>
        <w:rPr>
          <w:rFonts w:ascii="Times New Roman" w:cs="Times New Roman" w:eastAsia="Times New Roman" w:hAnsi="Times New Roman"/>
          <w:sz w:val="15"/>
          <w:szCs w:val="15"/>
          <w:color w:val="auto"/>
        </w:rPr>
        <w:t>. Our board of directors has administered our 2016 Plan since its adoption; however, following this offering,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committee of our board of directors will generally administer our 2016 Plan. The administrator has complete discretion to make all decisions relating to our 2016 Plan and outstanding awards.</w:t>
      </w:r>
    </w:p>
    <w:p>
      <w:pPr>
        <w:spacing w:after="0" w:line="14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Eligibility</w:t>
      </w:r>
      <w:r>
        <w:rPr>
          <w:rFonts w:ascii="Times New Roman" w:cs="Times New Roman" w:eastAsia="Times New Roman" w:hAnsi="Times New Roman"/>
          <w:sz w:val="15"/>
          <w:szCs w:val="15"/>
          <w:color w:val="auto"/>
        </w:rPr>
        <w:t>. Employees, non-employee members of our board of directors and consultants are eligible to participate in our 2016 Plan.</w:t>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However, only employees are eligible to receive incentive stock options.</w:t>
      </w:r>
    </w:p>
    <w:p>
      <w:pPr>
        <w:spacing w:after="0" w:line="1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Types of Awards</w:t>
      </w:r>
      <w:r>
        <w:rPr>
          <w:rFonts w:ascii="Times New Roman" w:cs="Times New Roman" w:eastAsia="Times New Roman" w:hAnsi="Times New Roman"/>
          <w:sz w:val="15"/>
          <w:szCs w:val="15"/>
          <w:color w:val="auto"/>
        </w:rPr>
        <w:t>. Our 2016 Plan provides for the following types of awards granted with respect to shares of our common stock:</w:t>
      </w:r>
    </w:p>
    <w:p>
      <w:pPr>
        <w:spacing w:after="0" w:line="223" w:lineRule="exact"/>
        <w:rPr>
          <w:sz w:val="20"/>
          <w:szCs w:val="20"/>
          <w:color w:val="auto"/>
        </w:rPr>
      </w:pPr>
    </w:p>
    <w:p>
      <w:pPr>
        <w:ind w:left="2040" w:hanging="278"/>
        <w:spacing w:after="0"/>
        <w:tabs>
          <w:tab w:leader="none" w:pos="20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incentive and nonstatutory stock options to purchase shares of our common stock;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 award or sale of shares of our common stock, including restricted shares.</w:t>
      </w:r>
    </w:p>
    <w:p>
      <w:pPr>
        <w:spacing w:after="0" w:line="192" w:lineRule="exact"/>
        <w:rPr>
          <w:sz w:val="20"/>
          <w:szCs w:val="20"/>
          <w:color w:val="auto"/>
        </w:rPr>
      </w:pPr>
    </w:p>
    <w:p>
      <w:pPr>
        <w:ind w:left="920" w:right="6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Options. </w:t>
      </w:r>
      <w:r>
        <w:rPr>
          <w:rFonts w:ascii="Times New Roman" w:cs="Times New Roman" w:eastAsia="Times New Roman" w:hAnsi="Times New Roman"/>
          <w:sz w:val="15"/>
          <w:szCs w:val="15"/>
          <w:color w:val="auto"/>
        </w:rPr>
        <w:t>The exercise price for options granted under our 2016 Plan is determined by our board of directors, but may not be less than 100%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168" w:lineRule="exact"/>
        <w:rPr>
          <w:sz w:val="20"/>
          <w:szCs w:val="20"/>
          <w:color w:val="auto"/>
        </w:rPr>
      </w:pPr>
    </w:p>
    <w:p>
      <w:pPr>
        <w:ind w:left="2040" w:hanging="278"/>
        <w:spacing w:after="0"/>
        <w:tabs>
          <w:tab w:leader="none" w:pos="20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Surrender of shares of common stock that the optionee already owns;</w:t>
      </w:r>
    </w:p>
    <w:p>
      <w:pPr>
        <w:spacing w:after="0" w:line="219" w:lineRule="exact"/>
        <w:rPr>
          <w:rFonts w:ascii="Times New Roman" w:cs="Times New Roman" w:eastAsia="Times New Roman" w:hAnsi="Times New Roman"/>
          <w:sz w:val="15"/>
          <w:szCs w:val="15"/>
          <w:color w:val="auto"/>
        </w:rPr>
      </w:pPr>
    </w:p>
    <w:p>
      <w:pPr>
        <w:ind w:left="2040" w:hanging="278"/>
        <w:spacing w:after="0" w:line="293" w:lineRule="auto"/>
        <w:tabs>
          <w:tab w:leader="none" w:pos="20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a full-recourse promissory note, with the option shares pledged as security against the principal and accrued interest on the note;</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immediate sale of the option shares through a company-approved broker, if the shares of our common stock are publicly traded;</w:t>
      </w:r>
    </w:p>
    <w:p>
      <w:pPr>
        <w:spacing w:after="0" w:line="219" w:lineRule="exact"/>
        <w:rPr>
          <w:rFonts w:ascii="Times New Roman" w:cs="Times New Roman" w:eastAsia="Times New Roman" w:hAnsi="Times New Roman"/>
          <w:sz w:val="15"/>
          <w:szCs w:val="15"/>
          <w:color w:val="auto"/>
        </w:rPr>
      </w:pPr>
    </w:p>
    <w:p>
      <w:pPr>
        <w:ind w:left="2040" w:right="40" w:hanging="278"/>
        <w:spacing w:after="0" w:line="275" w:lineRule="auto"/>
        <w:tabs>
          <w:tab w:leader="none" w:pos="20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methods permitted by the Delaware General Corporation Law, as amended.</w:t>
      </w:r>
    </w:p>
    <w:p>
      <w:pPr>
        <w:spacing w:after="0" w:line="196"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41" w:lineRule="exact"/>
        <w:rPr>
          <w:sz w:val="20"/>
          <w:szCs w:val="20"/>
          <w:color w:val="auto"/>
        </w:rPr>
      </w:pPr>
    </w:p>
    <w:p>
      <w:pPr>
        <w:ind w:left="920" w:right="16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Restricted Shares</w:t>
      </w:r>
      <w:r>
        <w:rPr>
          <w:rFonts w:ascii="Times New Roman" w:cs="Times New Roman" w:eastAsia="Times New Roman" w:hAnsi="Times New Roman"/>
          <w:sz w:val="15"/>
          <w:szCs w:val="15"/>
          <w:color w:val="auto"/>
        </w:rPr>
        <w:t>. Restricted shares may be awarded or sold under our 2016 Plan in return for cash or cash equivalents or, as permitted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administrator in its sole discretion, in exchange for services rendered to us, by delivery of a full-recourse promissory note or through any other means permitted by applicable law. Restricted shares vest as determined by the administrator.</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-181-</w:t>
      </w:r>
    </w:p>
    <w:p>
      <w:pPr>
        <w:sectPr>
          <w:pgSz w:w="11900" w:h="16838" w:orient="portrait"/>
          <w:cols w:equalWidth="0" w:num="1">
            <w:col w:w="10320"/>
          </w:cols>
          <w:pgMar w:left="320" w:top="410" w:right="1259" w:bottom="1440" w:gutter="0" w:footer="0" w:header="0"/>
        </w:sectPr>
      </w:pPr>
    </w:p>
    <w:bookmarkStart w:id="184" w:name="page185"/>
    <w:bookmarkEnd w:id="18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right="20" w:firstLine="753"/>
        <w:spacing w:after="0" w:line="274" w:lineRule="auto"/>
        <w:rPr>
          <w:sz w:val="20"/>
          <w:szCs w:val="20"/>
          <w:color w:val="auto"/>
        </w:rPr>
      </w:pPr>
      <w:r>
        <w:rPr>
          <w:rFonts w:ascii="Times New Roman" w:cs="Times New Roman" w:eastAsia="Times New Roman" w:hAnsi="Times New Roman"/>
          <w:sz w:val="15"/>
          <w:szCs w:val="15"/>
          <w:i w:val="1"/>
          <w:iCs w:val="1"/>
          <w:color w:val="auto"/>
        </w:rPr>
        <w:t>Corporate Transactions</w:t>
      </w:r>
      <w:r>
        <w:rPr>
          <w:rFonts w:ascii="Times New Roman" w:cs="Times New Roman" w:eastAsia="Times New Roman" w:hAnsi="Times New Roman"/>
          <w:sz w:val="15"/>
          <w:szCs w:val="15"/>
          <w:color w:val="auto"/>
        </w:rPr>
        <w:t>. In the event that we are a party to a merger or consolidation or in the event of a sale of all or substantially all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or assets, awards granted under our 2016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359" w:lineRule="exact"/>
        <w:rPr>
          <w:sz w:val="20"/>
          <w:szCs w:val="20"/>
          <w:color w:val="auto"/>
        </w:rPr>
      </w:pPr>
    </w:p>
    <w:p>
      <w:pPr>
        <w:ind w:left="2040" w:hanging="278"/>
        <w:spacing w:after="0"/>
        <w:tabs>
          <w:tab w:leader="none" w:pos="20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continuation, assumption or substitution of an award by the surviving entity or its parent;</w:t>
      </w:r>
    </w:p>
    <w:p>
      <w:pPr>
        <w:spacing w:after="0" w:line="219" w:lineRule="exact"/>
        <w:rPr>
          <w:rFonts w:ascii="Times New Roman" w:cs="Times New Roman" w:eastAsia="Times New Roman" w:hAnsi="Times New Roman"/>
          <w:sz w:val="15"/>
          <w:szCs w:val="15"/>
          <w:color w:val="auto"/>
        </w:rPr>
      </w:pPr>
    </w:p>
    <w:p>
      <w:pPr>
        <w:ind w:left="2040" w:right="20" w:hanging="278"/>
        <w:spacing w:after="0" w:line="293" w:lineRule="auto"/>
        <w:tabs>
          <w:tab w:leader="none" w:pos="20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Cancellation of the vested portion of the award in exchange for a payment equal to the excess, if any, of the value of the shares subject to the award over any exercise price per share applicable to the award;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Cancellation of the award without payment of any consideration;</w:t>
      </w:r>
    </w:p>
    <w:p>
      <w:pPr>
        <w:spacing w:after="0" w:line="219" w:lineRule="exact"/>
        <w:rPr>
          <w:rFonts w:ascii="Times New Roman" w:cs="Times New Roman" w:eastAsia="Times New Roman" w:hAnsi="Times New Roman"/>
          <w:sz w:val="15"/>
          <w:szCs w:val="15"/>
          <w:color w:val="auto"/>
        </w:rPr>
      </w:pPr>
    </w:p>
    <w:p>
      <w:pPr>
        <w:ind w:left="2040" w:right="160" w:hanging="278"/>
        <w:spacing w:after="0" w:line="266" w:lineRule="auto"/>
        <w:tabs>
          <w:tab w:leader="none" w:pos="20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of the optionee’s right to exercise the option during a limited period of time preceding the completion of the transaction; or</w:t>
      </w:r>
    </w:p>
    <w:p>
      <w:pPr>
        <w:spacing w:after="0" w:line="38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any right the optionee has to exercise the option prior to vesting in the shares subject to the option.</w:t>
      </w:r>
    </w:p>
    <w:p>
      <w:pPr>
        <w:spacing w:after="0" w:line="196"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administrator is not obligated to treat all awards in the same manner. The administrator has the discretion, at any time, to provide that an award under our 2016 Plan will vest on an accelerated basis in connection with a corporate transaction or to amend or modify an award so long as such amendment or modification is not inconsistent with the terms of the 2016 Plan or would not result in the impairment of a participant’s rights without the participant’s consent.</w:t>
      </w:r>
    </w:p>
    <w:p>
      <w:pPr>
        <w:spacing w:after="0" w:line="148" w:lineRule="exact"/>
        <w:rPr>
          <w:sz w:val="20"/>
          <w:szCs w:val="20"/>
          <w:color w:val="auto"/>
        </w:rPr>
      </w:pPr>
    </w:p>
    <w:p>
      <w:pPr>
        <w:ind w:left="920" w:right="20" w:firstLine="753"/>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Changes in Capitalization. </w:t>
      </w:r>
      <w:r>
        <w:rPr>
          <w:rFonts w:ascii="Times New Roman" w:cs="Times New Roman" w:eastAsia="Times New Roman" w:hAnsi="Times New Roman"/>
          <w:sz w:val="15"/>
          <w:szCs w:val="15"/>
          <w:color w:val="auto"/>
        </w:rPr>
        <w:t>In the event of certain specified changes in the capital structure of our common stock, such as a stock split,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reverse 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our 2016 Plan, (ii) the number and kind of shares covered by each outstanding option and all restricted shares, (iii) the exercise price per share subject to each outstanding option and (iv) any repurchase price applicable to shares granted under our 2016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53"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i w:val="1"/>
          <w:iCs w:val="1"/>
          <w:color w:val="auto"/>
        </w:rPr>
        <w:t>Amendments or Termination</w:t>
      </w:r>
      <w:r>
        <w:rPr>
          <w:rFonts w:ascii="Times New Roman" w:cs="Times New Roman" w:eastAsia="Times New Roman" w:hAnsi="Times New Roman"/>
          <w:sz w:val="15"/>
          <w:szCs w:val="15"/>
          <w:color w:val="auto"/>
        </w:rPr>
        <w:t>. The administrator may at any time amend, suspend or terminate our 2016 Plan, subject to stockholder approval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case of an amendment if the amendment increases the number of shares available for issuance or materially changes the class of persons eligible to receive incentive stock options. Our 2016 Plan will terminate automatically ten years after the later of the date when our board of directors adopted 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our 2016 Plan will remain outstanding and will continue to be governed by their existing terms.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Employee Stock Purchase Plan</w:t>
      </w:r>
    </w:p>
    <w:p>
      <w:pPr>
        <w:spacing w:after="0" w:line="196" w:lineRule="exact"/>
        <w:rPr>
          <w:sz w:val="20"/>
          <w:szCs w:val="20"/>
          <w:color w:val="auto"/>
        </w:rPr>
      </w:pPr>
    </w:p>
    <w:p>
      <w:pPr>
        <w:ind w:left="920" w:right="8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Our board of directors and stockholders adopted and approved our 2020 ESPP on October 8, 2020. Our 2020 ESPP will become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effective as of the effective date of the registration statement of which this prospectus is a part. Our 2020 ESPP is intended to qualify under Section 423 of the Internal Revenue Code. Our 2020 ESPP has the features described below.</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-182-</w:t>
      </w:r>
    </w:p>
    <w:p>
      <w:pPr>
        <w:sectPr>
          <w:pgSz w:w="11900" w:h="16838" w:orient="portrait"/>
          <w:cols w:equalWidth="0" w:num="1">
            <w:col w:w="10320"/>
          </w:cols>
          <w:pgMar w:left="320" w:top="410" w:right="1259" w:bottom="1440" w:gutter="0" w:footer="0" w:header="0"/>
        </w:sectPr>
      </w:pPr>
    </w:p>
    <w:bookmarkStart w:id="185" w:name="page186"/>
    <w:bookmarkEnd w:id="18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Share Reserve. </w:t>
      </w:r>
      <w:r>
        <w:rPr>
          <w:rFonts w:ascii="Times New Roman" w:cs="Times New Roman" w:eastAsia="Times New Roman" w:hAnsi="Times New Roman"/>
          <w:sz w:val="15"/>
          <w:szCs w:val="15"/>
          <w:color w:val="auto"/>
        </w:rPr>
        <w:t>2,300,000 shares of our common stock have been reserved for issuance under our 2020 ESPP. The number of shares reserved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issuance under our 2020 ESPP will automatically be increased on the first business day of each of our fiscal years, commencing in 2021 and ending in 2040, by a number equal to the least of:</w:t>
      </w:r>
    </w:p>
    <w:p>
      <w:pPr>
        <w:spacing w:after="0" w:line="168" w:lineRule="exact"/>
        <w:rPr>
          <w:sz w:val="20"/>
          <w:szCs w:val="20"/>
          <w:color w:val="auto"/>
        </w:rPr>
      </w:pPr>
    </w:p>
    <w:p>
      <w:pPr>
        <w:ind w:left="2040" w:hanging="278"/>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2,300,000 shares;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shares of common stock issued and outstanding on the last business day of the prior fiscal year; or</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determined by our board of directors.</w:t>
      </w:r>
    </w:p>
    <w:p>
      <w:pPr>
        <w:spacing w:after="0" w:line="196" w:lineRule="exact"/>
        <w:rPr>
          <w:sz w:val="20"/>
          <w:szCs w:val="20"/>
          <w:color w:val="auto"/>
        </w:rPr>
      </w:pPr>
    </w:p>
    <w:p>
      <w:pPr>
        <w:ind w:left="920" w:right="80" w:firstLine="753"/>
        <w:spacing w:after="0" w:line="293" w:lineRule="auto"/>
        <w:rPr>
          <w:sz w:val="20"/>
          <w:szCs w:val="20"/>
          <w:color w:val="auto"/>
        </w:rPr>
      </w:pPr>
      <w:r>
        <w:rPr>
          <w:rFonts w:ascii="Times New Roman" w:cs="Times New Roman" w:eastAsia="Times New Roman" w:hAnsi="Times New Roman"/>
          <w:sz w:val="15"/>
          <w:szCs w:val="15"/>
          <w:color w:val="auto"/>
        </w:rPr>
        <w:t>The number of shares reserved under our 2020 ESPP will automatically be adjusted in the event of a stock split, stock dividend or a reverse stock split (including an adjustment to the per-purchase period share limit).</w:t>
      </w:r>
    </w:p>
    <w:p>
      <w:pPr>
        <w:spacing w:after="0" w:line="1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Administration</w:t>
      </w:r>
      <w:r>
        <w:rPr>
          <w:rFonts w:ascii="Times New Roman" w:cs="Times New Roman" w:eastAsia="Times New Roman" w:hAnsi="Times New Roman"/>
          <w:sz w:val="15"/>
          <w:szCs w:val="15"/>
          <w:color w:val="auto"/>
        </w:rPr>
        <w:t>. The compensation committee of our board of directors will administer our 2020 ESPP.</w:t>
      </w:r>
    </w:p>
    <w:p>
      <w:pPr>
        <w:spacing w:after="0" w:line="196" w:lineRule="exact"/>
        <w:rPr>
          <w:sz w:val="20"/>
          <w:szCs w:val="20"/>
          <w:color w:val="auto"/>
        </w:rPr>
      </w:pPr>
    </w:p>
    <w:p>
      <w:pPr>
        <w:ind w:left="920" w:right="16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Eligibility. </w:t>
      </w:r>
      <w:r>
        <w:rPr>
          <w:rFonts w:ascii="Times New Roman" w:cs="Times New Roman" w:eastAsia="Times New Roman" w:hAnsi="Times New Roman"/>
          <w:sz w:val="15"/>
          <w:szCs w:val="15"/>
          <w:color w:val="auto"/>
        </w:rPr>
        <w:t>All of our employees will be eligible to participate in our ESPP, although the administrator may exclude certain categories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2020 ESPP at the start of any offering period.</w:t>
      </w:r>
    </w:p>
    <w:p>
      <w:pPr>
        <w:spacing w:after="0" w:line="14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i w:val="1"/>
          <w:iCs w:val="1"/>
          <w:color w:val="auto"/>
        </w:rPr>
        <w:t xml:space="preserve">Offering Periods. </w:t>
      </w:r>
      <w:r>
        <w:rPr>
          <w:rFonts w:ascii="Times New Roman" w:cs="Times New Roman" w:eastAsia="Times New Roman" w:hAnsi="Times New Roman"/>
          <w:sz w:val="15"/>
          <w:szCs w:val="15"/>
          <w:color w:val="auto"/>
        </w:rPr>
        <w:t>Each offering period will last a number of months determined by the compensation committee, not to exceed 27 months.</w:t>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A new offering period will begin periodically, as determined by the compensation committee. Offering periods may overlap or may be consecutive.</w:t>
      </w:r>
    </w:p>
    <w:p>
      <w:pPr>
        <w:spacing w:after="0" w:line="178" w:lineRule="exact"/>
        <w:rPr>
          <w:sz w:val="20"/>
          <w:szCs w:val="20"/>
          <w:color w:val="auto"/>
        </w:rPr>
      </w:pPr>
    </w:p>
    <w:p>
      <w:pPr>
        <w:ind w:left="920" w:right="120" w:firstLine="753"/>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Amount of Contributions. </w:t>
      </w:r>
      <w:r>
        <w:rPr>
          <w:rFonts w:ascii="Times New Roman" w:cs="Times New Roman" w:eastAsia="Times New Roman" w:hAnsi="Times New Roman"/>
          <w:sz w:val="15"/>
          <w:szCs w:val="15"/>
          <w:color w:val="auto"/>
        </w:rPr>
        <w:t>Our 2020 ESPP will permit each eligible employee to purchase common stock through payroll deductions. Each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employee’s payroll deductions may not exceed 50% of the employee’s cash compensation. Each participant may purchase up to the number of shares determined by our board of directors on any purchase date, not to exceed 3,000 shares. The value of the shares purchased in any calendar year may not exceed $25,000. Participants may withdraw their contributions at any time before stock is purchased.</w:t>
      </w:r>
    </w:p>
    <w:p>
      <w:pPr>
        <w:spacing w:after="0" w:line="146" w:lineRule="exact"/>
        <w:rPr>
          <w:sz w:val="20"/>
          <w:szCs w:val="20"/>
          <w:color w:val="auto"/>
        </w:rPr>
      </w:pPr>
    </w:p>
    <w:p>
      <w:pPr>
        <w:ind w:left="920" w:right="40" w:firstLine="753"/>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Purchase Price. </w:t>
      </w:r>
      <w:r>
        <w:rPr>
          <w:rFonts w:ascii="Times New Roman" w:cs="Times New Roman" w:eastAsia="Times New Roman" w:hAnsi="Times New Roman"/>
          <w:sz w:val="15"/>
          <w:szCs w:val="15"/>
          <w:color w:val="auto"/>
        </w:rPr>
        <w:t>The price of each share of common stock purchased under our 2020 ESPP will not be less than 85% of the lower of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value per share of common stock on the first day of the applicable offering period or the fair market value per share of common stock on the purchase date.</w:t>
      </w:r>
    </w:p>
    <w:p>
      <w:pPr>
        <w:spacing w:after="0" w:line="141" w:lineRule="exact"/>
        <w:rPr>
          <w:sz w:val="20"/>
          <w:szCs w:val="20"/>
          <w:color w:val="auto"/>
        </w:rPr>
      </w:pPr>
    </w:p>
    <w:p>
      <w:pPr>
        <w:ind w:left="920" w:right="140" w:firstLine="753"/>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Other Provisions. </w:t>
      </w:r>
      <w:r>
        <w:rPr>
          <w:rFonts w:ascii="Times New Roman" w:cs="Times New Roman" w:eastAsia="Times New Roman" w:hAnsi="Times New Roman"/>
          <w:sz w:val="15"/>
          <w:szCs w:val="15"/>
          <w:color w:val="auto"/>
        </w:rPr>
        <w:t>Employees may end their participation in our 2020 ESPP at any time. Participation ends automatically upon termination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employment with us. If we experience a change in control, our 2020 ESPP will end and shares will be purchased with the payroll deductions accumulated to date by participating employees, unless the rights to purchase our common stock under the 2020 ESPP for an offering period then in progress are continued, assumed or substituted by the surviving entity. Our board of directors or our compensation committee may amend or terminate our 2020 ESPP at any time.</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-183-</w:t>
      </w:r>
    </w:p>
    <w:p>
      <w:pPr>
        <w:sectPr>
          <w:pgSz w:w="11900" w:h="16838" w:orient="portrait"/>
          <w:cols w:equalWidth="0" w:num="1">
            <w:col w:w="10320"/>
          </w:cols>
          <w:pgMar w:left="320" w:top="410" w:right="1259" w:bottom="1440" w:gutter="0" w:footer="0" w:header="0"/>
        </w:sectPr>
      </w:pPr>
    </w:p>
    <w:bookmarkStart w:id="186" w:name="page187"/>
    <w:bookmarkEnd w:id="18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200"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The following is a description of transactions since January 1, 2017 to which we have been a party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person, had or will have a direct or indirect material interest, other than compensation arrangements which are described in “Management — Director Compensation” and “Executive Compensation.” We believe that all of these transactions were on terms as favorable as could have been obtained from unrelated third parties.</w:t>
      </w:r>
    </w:p>
    <w:p>
      <w:pPr>
        <w:spacing w:after="0" w:line="3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Sales of Securities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Sale of Common Stock</w:t>
      </w:r>
    </w:p>
    <w:p>
      <w:pPr>
        <w:spacing w:after="0" w:line="200" w:lineRule="exact"/>
        <w:rPr>
          <w:sz w:val="20"/>
          <w:szCs w:val="20"/>
          <w:color w:val="auto"/>
        </w:rPr>
      </w:pPr>
    </w:p>
    <w:p>
      <w:pPr>
        <w:ind w:left="920" w:right="220" w:firstLine="753"/>
        <w:spacing w:after="0" w:line="293" w:lineRule="auto"/>
        <w:rPr>
          <w:sz w:val="20"/>
          <w:szCs w:val="20"/>
          <w:color w:val="auto"/>
        </w:rPr>
      </w:pPr>
      <w:r>
        <w:rPr>
          <w:rFonts w:ascii="Times New Roman" w:cs="Times New Roman" w:eastAsia="Times New Roman" w:hAnsi="Times New Roman"/>
          <w:sz w:val="15"/>
          <w:szCs w:val="15"/>
          <w:color w:val="auto"/>
        </w:rPr>
        <w:t>From January 2017 to March 2018, we issued and sold an aggregate of 2,677,846 shares of our common stock at a cash purchase price of $0.0007 per share for an aggregate purchase price of approximately $1,989.00.</w:t>
      </w:r>
    </w:p>
    <w:p>
      <w:pPr>
        <w:spacing w:after="0" w:line="132" w:lineRule="exact"/>
        <w:rPr>
          <w:sz w:val="20"/>
          <w:szCs w:val="20"/>
          <w:color w:val="auto"/>
        </w:rPr>
      </w:pPr>
    </w:p>
    <w:p>
      <w:pPr>
        <w:ind w:left="920" w:right="16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sets forth the number of shares of our common stock sold to our directors, executive officers and holders of more than 5% of our capital stock:</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0" w:type="dxa"/>
            <w:vAlign w:val="bottom"/>
            <w:gridSpan w:val="3"/>
          </w:tcPr>
          <w:p>
            <w:pPr>
              <w:jc w:val="center"/>
              <w:ind w:left="2231"/>
              <w:spacing w:after="0"/>
              <w:rPr>
                <w:sz w:val="20"/>
                <w:szCs w:val="20"/>
                <w:color w:val="auto"/>
              </w:rPr>
            </w:pPr>
            <w:r>
              <w:rPr>
                <w:rFonts w:ascii="Times New Roman" w:cs="Times New Roman" w:eastAsia="Times New Roman" w:hAnsi="Times New Roman"/>
                <w:sz w:val="12"/>
                <w:szCs w:val="12"/>
                <w:b w:val="1"/>
                <w:bCs w:val="1"/>
                <w:color w:val="auto"/>
              </w:rPr>
              <w:t>Affiliated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22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4000" w:type="dxa"/>
            <w:vAlign w:val="bottom"/>
            <w:gridSpan w:val="3"/>
          </w:tcPr>
          <w:p>
            <w:pPr>
              <w:jc w:val="center"/>
              <w:ind w:left="2251"/>
              <w:spacing w:after="0" w:line="127" w:lineRule="exact"/>
              <w:rPr>
                <w:sz w:val="20"/>
                <w:szCs w:val="20"/>
                <w:color w:val="auto"/>
              </w:rPr>
            </w:pPr>
            <w:r>
              <w:rPr>
                <w:rFonts w:ascii="Times New Roman" w:cs="Times New Roman" w:eastAsia="Times New Roman" w:hAnsi="Times New Roman"/>
                <w:sz w:val="12"/>
                <w:szCs w:val="12"/>
                <w:b w:val="1"/>
                <w:bCs w:val="1"/>
                <w:color w:val="auto"/>
              </w:rPr>
              <w:t>Director(s) or</w:t>
            </w:r>
          </w:p>
        </w:tc>
        <w:tc>
          <w:tcPr>
            <w:tcW w:w="90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b w:val="1"/>
                <w:bCs w:val="1"/>
                <w:color w:val="auto"/>
              </w:rPr>
              <w:t>Purchase</w:t>
            </w:r>
          </w:p>
        </w:tc>
        <w:tc>
          <w:tcPr>
            <w:tcW w:w="0" w:type="dxa"/>
            <w:vAlign w:val="bottom"/>
          </w:tcPr>
          <w:p>
            <w:pPr>
              <w:spacing w:after="0"/>
              <w:rPr>
                <w:sz w:val="1"/>
                <w:szCs w:val="1"/>
                <w:color w:val="auto"/>
              </w:rPr>
            </w:pPr>
          </w:p>
        </w:tc>
      </w:tr>
      <w:tr>
        <w:trPr>
          <w:trHeight w:val="149"/>
        </w:trPr>
        <w:tc>
          <w:tcPr>
            <w:tcW w:w="3800" w:type="dxa"/>
            <w:vAlign w:val="bottom"/>
            <w:gridSpan w:val="3"/>
            <w:vMerge w:val="continue"/>
          </w:tcPr>
          <w:p>
            <w:pPr>
              <w:spacing w:after="0"/>
              <w:rPr>
                <w:sz w:val="12"/>
                <w:szCs w:val="12"/>
                <w:color w:val="auto"/>
              </w:rPr>
            </w:pPr>
          </w:p>
        </w:tc>
        <w:tc>
          <w:tcPr>
            <w:tcW w:w="4000" w:type="dxa"/>
            <w:vAlign w:val="bottom"/>
            <w:gridSpan w:val="3"/>
          </w:tcPr>
          <w:p>
            <w:pPr>
              <w:jc w:val="center"/>
              <w:ind w:left="2231"/>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20" w:type="dxa"/>
            <w:vAlign w:val="bottom"/>
          </w:tcPr>
          <w:p>
            <w:pPr>
              <w:spacing w:after="0"/>
              <w:rPr>
                <w:sz w:val="12"/>
                <w:szCs w:val="12"/>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Bobak Azamian</w:t>
            </w:r>
          </w:p>
        </w:tc>
        <w:tc>
          <w:tcPr>
            <w:tcW w:w="4000" w:type="dxa"/>
            <w:vAlign w:val="bottom"/>
            <w:gridSpan w:val="3"/>
            <w:shd w:val="clear" w:color="auto" w:fill="CCEEFF"/>
          </w:tcPr>
          <w:p>
            <w:pPr>
              <w:jc w:val="center"/>
              <w:ind w:left="2231"/>
              <w:spacing w:after="0"/>
              <w:rPr>
                <w:sz w:val="20"/>
                <w:szCs w:val="20"/>
                <w:color w:val="auto"/>
              </w:rPr>
            </w:pPr>
            <w:r>
              <w:rPr>
                <w:rFonts w:ascii="Times New Roman" w:cs="Times New Roman" w:eastAsia="Times New Roman" w:hAnsi="Times New Roman"/>
                <w:sz w:val="15"/>
                <w:szCs w:val="15"/>
                <w:color w:val="auto"/>
              </w:rPr>
              <w:t>Bobak Azamian</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1,211,696</w:t>
            </w:r>
          </w:p>
        </w:tc>
        <w:tc>
          <w:tcPr>
            <w:tcW w:w="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900.00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Ackermann</w:t>
            </w:r>
          </w:p>
        </w:tc>
        <w:tc>
          <w:tcPr>
            <w:tcW w:w="4000" w:type="dxa"/>
            <w:vAlign w:val="bottom"/>
            <w:gridSpan w:val="3"/>
          </w:tcPr>
          <w:p>
            <w:pPr>
              <w:jc w:val="center"/>
              <w:ind w:left="2231"/>
              <w:spacing w:after="0"/>
              <w:rPr>
                <w:sz w:val="20"/>
                <w:szCs w:val="20"/>
                <w:color w:val="auto"/>
              </w:rPr>
            </w:pPr>
            <w:r>
              <w:rPr>
                <w:rFonts w:ascii="Times New Roman" w:cs="Times New Roman" w:eastAsia="Times New Roman" w:hAnsi="Times New Roman"/>
                <w:sz w:val="15"/>
                <w:szCs w:val="15"/>
                <w:color w:val="auto"/>
              </w:rPr>
              <w:t>Michael Ackermann</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1,211,696</w:t>
            </w:r>
          </w:p>
        </w:tc>
        <w:tc>
          <w:tcPr>
            <w:tcW w:w="2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900.00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William J. Link</w:t>
            </w:r>
          </w:p>
        </w:tc>
        <w:tc>
          <w:tcPr>
            <w:tcW w:w="4000" w:type="dxa"/>
            <w:vAlign w:val="bottom"/>
            <w:gridSpan w:val="3"/>
            <w:shd w:val="clear" w:color="auto" w:fill="CCEEFF"/>
          </w:tcPr>
          <w:p>
            <w:pPr>
              <w:jc w:val="center"/>
              <w:ind w:left="2251"/>
              <w:spacing w:after="0"/>
              <w:rPr>
                <w:sz w:val="20"/>
                <w:szCs w:val="20"/>
                <w:color w:val="auto"/>
              </w:rPr>
            </w:pPr>
            <w:r>
              <w:rPr>
                <w:rFonts w:ascii="Times New Roman" w:cs="Times New Roman" w:eastAsia="Times New Roman" w:hAnsi="Times New Roman"/>
                <w:sz w:val="15"/>
                <w:szCs w:val="15"/>
                <w:color w:val="auto"/>
              </w:rPr>
              <w:t>William J. Link</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134,632</w:t>
            </w:r>
          </w:p>
        </w:tc>
        <w:tc>
          <w:tcPr>
            <w:tcW w:w="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A Preferred Stock Financing</w:t>
      </w:r>
    </w:p>
    <w:p>
      <w:pPr>
        <w:spacing w:after="0" w:line="200"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In March and May 2018, we issued and sold an aggregate of 1,575,030 shares of our Series A preferred stock at a cash purchase price of $2.3174 per share for an aggregate purchase price of approximately $3.6 million. These shares of Series A preferred stock will convert into an aggregate of 1,575,030 shares of Common Stock upon the completion of this offering.</w:t>
      </w:r>
    </w:p>
    <w:p>
      <w:pPr>
        <w:spacing w:after="0" w:line="145"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summarizes purchases of shares of our Series A preferred stock by our executive officers, directors and holders of more than 5% of our capital stock:</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80" w:type="dxa"/>
            <w:vAlign w:val="bottom"/>
            <w:gridSpan w:val="3"/>
            <w:vMerge w:val="restart"/>
          </w:tcPr>
          <w:p>
            <w:pPr>
              <w:jc w:val="center"/>
              <w:ind w:left="750"/>
              <w:spacing w:after="0"/>
              <w:rPr>
                <w:sz w:val="20"/>
                <w:szCs w:val="20"/>
                <w:color w:val="auto"/>
              </w:rPr>
            </w:pPr>
            <w:r>
              <w:rPr>
                <w:rFonts w:ascii="Times New Roman" w:cs="Times New Roman" w:eastAsia="Times New Roman" w:hAnsi="Times New Roman"/>
                <w:sz w:val="12"/>
                <w:szCs w:val="12"/>
                <w:b w:val="1"/>
                <w:bCs w:val="1"/>
                <w:color w:val="auto"/>
              </w:rPr>
              <w:t>Affiliated</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920" w:type="dxa"/>
            <w:vAlign w:val="bottom"/>
            <w:gridSpan w:val="3"/>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rPr>
              <w:t>Series A</w:t>
            </w:r>
          </w:p>
        </w:tc>
        <w:tc>
          <w:tcPr>
            <w:tcW w:w="200" w:type="dxa"/>
            <w:vAlign w:val="bottom"/>
          </w:tcPr>
          <w:p>
            <w:pPr>
              <w:spacing w:after="0"/>
              <w:rPr>
                <w:sz w:val="11"/>
                <w:szCs w:val="11"/>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 Purchase</w:t>
            </w:r>
          </w:p>
        </w:tc>
        <w:tc>
          <w:tcPr>
            <w:tcW w:w="0" w:type="dxa"/>
            <w:vAlign w:val="bottom"/>
          </w:tcPr>
          <w:p>
            <w:pPr>
              <w:spacing w:after="0"/>
              <w:rPr>
                <w:sz w:val="1"/>
                <w:szCs w:val="1"/>
                <w:color w:val="auto"/>
              </w:rPr>
            </w:pPr>
          </w:p>
        </w:tc>
      </w:tr>
      <w:tr>
        <w:trPr>
          <w:trHeight w:val="127"/>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2480" w:type="dxa"/>
            <w:vAlign w:val="bottom"/>
            <w:gridSpan w:val="3"/>
          </w:tcPr>
          <w:p>
            <w:pPr>
              <w:jc w:val="center"/>
              <w:ind w:left="750"/>
              <w:spacing w:after="0" w:line="127" w:lineRule="exact"/>
              <w:rPr>
                <w:sz w:val="20"/>
                <w:szCs w:val="20"/>
                <w:color w:val="auto"/>
              </w:rPr>
            </w:pPr>
            <w:r>
              <w:rPr>
                <w:rFonts w:ascii="Times New Roman" w:cs="Times New Roman" w:eastAsia="Times New Roman" w:hAnsi="Times New Roman"/>
                <w:sz w:val="12"/>
                <w:szCs w:val="12"/>
                <w:b w:val="1"/>
                <w:bCs w:val="1"/>
                <w:color w:val="auto"/>
                <w:w w:val="99"/>
              </w:rPr>
              <w:t>Director(s) or</w:t>
            </w:r>
          </w:p>
        </w:tc>
        <w:tc>
          <w:tcPr>
            <w:tcW w:w="92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2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continue"/>
          </w:tcPr>
          <w:p>
            <w:pPr>
              <w:spacing w:after="0"/>
              <w:rPr>
                <w:sz w:val="12"/>
                <w:szCs w:val="12"/>
                <w:color w:val="auto"/>
              </w:rPr>
            </w:pPr>
          </w:p>
        </w:tc>
        <w:tc>
          <w:tcPr>
            <w:tcW w:w="2480" w:type="dxa"/>
            <w:vAlign w:val="bottom"/>
            <w:gridSpan w:val="3"/>
          </w:tcPr>
          <w:p>
            <w:pPr>
              <w:jc w:val="center"/>
              <w:ind w:left="750"/>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300" w:type="dxa"/>
            <w:vAlign w:val="bottom"/>
          </w:tcPr>
          <w:p>
            <w:pPr>
              <w:spacing w:after="0"/>
              <w:rPr>
                <w:sz w:val="12"/>
                <w:szCs w:val="12"/>
                <w:color w:val="auto"/>
              </w:rPr>
            </w:pP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2"/>
                <w:szCs w:val="12"/>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Horowitz Limited Partnership VIII </w:t>
            </w:r>
            <w:r>
              <w:rPr>
                <w:rFonts w:ascii="Times New Roman" w:cs="Times New Roman" w:eastAsia="Times New Roman" w:hAnsi="Times New Roman"/>
                <w:sz w:val="13"/>
                <w:szCs w:val="13"/>
                <w:color w:val="auto"/>
              </w:rPr>
              <w:t>(1)</w:t>
            </w:r>
          </w:p>
        </w:tc>
        <w:tc>
          <w:tcPr>
            <w:tcW w:w="248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5"/>
                <w:szCs w:val="15"/>
                <w:color w:val="auto"/>
                <w:w w:val="99"/>
              </w:rPr>
              <w:t>Jason Tester</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1,477,941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3,424,999.66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Jason Tester </w:t>
            </w:r>
            <w:r>
              <w:rPr>
                <w:rFonts w:ascii="Times New Roman" w:cs="Times New Roman" w:eastAsia="Times New Roman" w:hAnsi="Times New Roman"/>
                <w:sz w:val="13"/>
                <w:szCs w:val="13"/>
                <w:color w:val="auto"/>
              </w:rPr>
              <w:t>(2)</w:t>
            </w:r>
          </w:p>
        </w:tc>
        <w:tc>
          <w:tcPr>
            <w:tcW w:w="2480" w:type="dxa"/>
            <w:vAlign w:val="bottom"/>
            <w:gridSpan w:val="3"/>
          </w:tcPr>
          <w:p>
            <w:pPr>
              <w:jc w:val="center"/>
              <w:ind w:left="750"/>
              <w:spacing w:after="0"/>
              <w:rPr>
                <w:sz w:val="20"/>
                <w:szCs w:val="20"/>
                <w:color w:val="auto"/>
              </w:rPr>
            </w:pPr>
            <w:r>
              <w:rPr>
                <w:rFonts w:ascii="Times New Roman" w:cs="Times New Roman" w:eastAsia="Times New Roman" w:hAnsi="Times New Roman"/>
                <w:sz w:val="15"/>
                <w:szCs w:val="15"/>
                <w:color w:val="auto"/>
                <w:w w:val="99"/>
              </w:rPr>
              <w:t>Jason Tester</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21,575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49,999.97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Ackermann</w:t>
            </w:r>
          </w:p>
        </w:tc>
        <w:tc>
          <w:tcPr>
            <w:tcW w:w="2480" w:type="dxa"/>
            <w:vAlign w:val="bottom"/>
            <w:gridSpan w:val="3"/>
            <w:shd w:val="clear" w:color="auto" w:fill="CCEEFF"/>
          </w:tcPr>
          <w:p>
            <w:pPr>
              <w:jc w:val="center"/>
              <w:ind w:left="750"/>
              <w:spacing w:after="0"/>
              <w:rPr>
                <w:sz w:val="20"/>
                <w:szCs w:val="20"/>
                <w:color w:val="auto"/>
              </w:rPr>
            </w:pPr>
            <w:r>
              <w:rPr>
                <w:rFonts w:ascii="Times New Roman" w:cs="Times New Roman" w:eastAsia="Times New Roman" w:hAnsi="Times New Roman"/>
                <w:sz w:val="15"/>
                <w:szCs w:val="15"/>
                <w:color w:val="auto"/>
              </w:rPr>
              <w:t>Michael Ackermann</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53,939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125,000.00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Bobak Azamian</w:t>
            </w:r>
          </w:p>
        </w:tc>
        <w:tc>
          <w:tcPr>
            <w:tcW w:w="2480" w:type="dxa"/>
            <w:vAlign w:val="bottom"/>
            <w:gridSpan w:val="3"/>
          </w:tcPr>
          <w:p>
            <w:pPr>
              <w:jc w:val="center"/>
              <w:ind w:left="750"/>
              <w:spacing w:after="0"/>
              <w:rPr>
                <w:sz w:val="20"/>
                <w:szCs w:val="20"/>
                <w:color w:val="auto"/>
              </w:rPr>
            </w:pPr>
            <w:r>
              <w:rPr>
                <w:rFonts w:ascii="Times New Roman" w:cs="Times New Roman" w:eastAsia="Times New Roman" w:hAnsi="Times New Roman"/>
                <w:sz w:val="15"/>
                <w:szCs w:val="15"/>
                <w:color w:val="auto"/>
              </w:rPr>
              <w:t>Bobak Azamian</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21,575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49,999.87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6515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07" w:lineRule="exact"/>
        <w:rPr>
          <w:sz w:val="20"/>
          <w:szCs w:val="20"/>
          <w:color w:val="auto"/>
        </w:rPr>
      </w:pPr>
    </w:p>
    <w:p>
      <w:pPr>
        <w:ind w:left="1280" w:right="400" w:hanging="360"/>
        <w:spacing w:after="0" w:line="232" w:lineRule="auto"/>
        <w:tabs>
          <w:tab w:leader="none" w:pos="12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the Horowitz Limited Partnership VIII, who purchased shares of Series A preferred stock include the Horowitz Limited Partnership VIII and the Adam S Horowitz Revocable Trust. Jason Tester is an affiliate of Horowitz Limited Partnership VIII.</w:t>
      </w:r>
    </w:p>
    <w:p>
      <w:pPr>
        <w:ind w:left="1280" w:hanging="360"/>
        <w:spacing w:after="0"/>
        <w:tabs>
          <w:tab w:leader="none" w:pos="128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Jason Tester who purchased shares of Series A preferred stock includes the Tester Living Trust.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2019 Convertible Notes</w:t>
      </w:r>
    </w:p>
    <w:p>
      <w:pPr>
        <w:spacing w:after="0" w:line="200" w:lineRule="exact"/>
        <w:rPr>
          <w:sz w:val="20"/>
          <w:szCs w:val="20"/>
          <w:color w:val="auto"/>
        </w:rPr>
      </w:pPr>
    </w:p>
    <w:p>
      <w:pPr>
        <w:jc w:val="both"/>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Throughout 2019, we issued various convertible notes with an aggregate principle amount of $2.0 million, or the 2019 Notes. All principal and interest accrued under the 2019 Notes was converted at various discounts into shares of Series B preferred stock in connection with the closing of our Series B preferred stock financing in December 2019.</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-184-</w:t>
      </w:r>
    </w:p>
    <w:p>
      <w:pPr>
        <w:sectPr>
          <w:pgSz w:w="11900" w:h="16838" w:orient="portrait"/>
          <w:cols w:equalWidth="0" w:num="1">
            <w:col w:w="10340"/>
          </w:cols>
          <w:pgMar w:left="320" w:top="410" w:right="1239" w:bottom="1440" w:gutter="0" w:footer="0" w:header="0"/>
        </w:sectPr>
      </w:pPr>
    </w:p>
    <w:bookmarkStart w:id="187" w:name="page188"/>
    <w:bookmarkEnd w:id="18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0" w:firstLine="753"/>
        <w:spacing w:after="0" w:line="275" w:lineRule="auto"/>
        <w:rPr>
          <w:sz w:val="20"/>
          <w:szCs w:val="20"/>
          <w:color w:val="auto"/>
        </w:rPr>
      </w:pPr>
      <w:r>
        <w:rPr>
          <w:rFonts w:ascii="Times New Roman" w:cs="Times New Roman" w:eastAsia="Times New Roman" w:hAnsi="Times New Roman"/>
          <w:sz w:val="15"/>
          <w:szCs w:val="15"/>
          <w:color w:val="auto"/>
        </w:rPr>
        <w:t>The following table sets forth the aggregate principal amount plus accrued interest of the 2019 Notes that was converted, the number of shares of Series B preferred stock issued upon conversion of such notes to our executive officers, directors and holders of more than 5% of our capital stock, and their respective affiliates upon conversion of such notes and the aggregate purchase price for such notes: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Series B</w:t>
            </w: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60" w:type="dxa"/>
            <w:vAlign w:val="bottom"/>
            <w:gridSpan w:val="3"/>
            <w:vMerge w:val="restart"/>
          </w:tcPr>
          <w:p>
            <w:pPr>
              <w:jc w:val="center"/>
              <w:ind w:left="930"/>
              <w:spacing w:after="0"/>
              <w:rPr>
                <w:sz w:val="20"/>
                <w:szCs w:val="20"/>
                <w:color w:val="auto"/>
              </w:rPr>
            </w:pPr>
            <w:r>
              <w:rPr>
                <w:rFonts w:ascii="Times New Roman" w:cs="Times New Roman" w:eastAsia="Times New Roman" w:hAnsi="Times New Roman"/>
                <w:sz w:val="12"/>
                <w:szCs w:val="12"/>
                <w:b w:val="1"/>
                <w:bCs w:val="1"/>
                <w:color w:val="auto"/>
              </w:rPr>
              <w:t>Affiliated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2"/>
                <w:szCs w:val="12"/>
                <w:b w:val="1"/>
                <w:bCs w:val="1"/>
                <w:color w:val="auto"/>
              </w:rPr>
              <w:t>Promissory Note</w:t>
            </w:r>
          </w:p>
        </w:tc>
        <w:tc>
          <w:tcPr>
            <w:tcW w:w="780" w:type="dxa"/>
            <w:vAlign w:val="bottom"/>
            <w:gridSpan w:val="3"/>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rPr>
              <w:t>Series B</w:t>
            </w:r>
          </w:p>
        </w:tc>
        <w:tc>
          <w:tcPr>
            <w:tcW w:w="0" w:type="dxa"/>
            <w:vAlign w:val="bottom"/>
          </w:tcPr>
          <w:p>
            <w:pPr>
              <w:spacing w:after="0"/>
              <w:rPr>
                <w:sz w:val="1"/>
                <w:szCs w:val="1"/>
                <w:color w:val="auto"/>
              </w:rPr>
            </w:pPr>
          </w:p>
        </w:tc>
      </w:tr>
      <w:tr>
        <w:trPr>
          <w:trHeight w:val="127"/>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2460" w:type="dxa"/>
            <w:vAlign w:val="bottom"/>
            <w:gridSpan w:val="3"/>
          </w:tcPr>
          <w:p>
            <w:pPr>
              <w:jc w:val="center"/>
              <w:ind w:left="950"/>
              <w:spacing w:after="0" w:line="127" w:lineRule="exact"/>
              <w:rPr>
                <w:sz w:val="20"/>
                <w:szCs w:val="20"/>
                <w:color w:val="auto"/>
              </w:rPr>
            </w:pPr>
            <w:r>
              <w:rPr>
                <w:rFonts w:ascii="Times New Roman" w:cs="Times New Roman" w:eastAsia="Times New Roman" w:hAnsi="Times New Roman"/>
                <w:sz w:val="12"/>
                <w:szCs w:val="12"/>
                <w:b w:val="1"/>
                <w:bCs w:val="1"/>
                <w:color w:val="auto"/>
              </w:rPr>
              <w:t>Director(s) or</w:t>
            </w:r>
          </w:p>
        </w:tc>
        <w:tc>
          <w:tcPr>
            <w:tcW w:w="200" w:type="dxa"/>
            <w:vAlign w:val="bottom"/>
          </w:tcPr>
          <w:p>
            <w:pPr>
              <w:spacing w:after="0"/>
              <w:rPr>
                <w:sz w:val="11"/>
                <w:szCs w:val="11"/>
                <w:color w:val="auto"/>
              </w:rPr>
            </w:pPr>
          </w:p>
        </w:tc>
        <w:tc>
          <w:tcPr>
            <w:tcW w:w="11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2"/>
                <w:szCs w:val="12"/>
                <w:b w:val="1"/>
                <w:bCs w:val="1"/>
                <w:color w:val="auto"/>
              </w:rPr>
              <w:t>Principal Amount</w:t>
            </w:r>
          </w:p>
        </w:tc>
        <w:tc>
          <w:tcPr>
            <w:tcW w:w="780" w:type="dxa"/>
            <w:vAlign w:val="bottom"/>
            <w:gridSpan w:val="3"/>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0" w:type="dxa"/>
            <w:vAlign w:val="bottom"/>
          </w:tcPr>
          <w:p>
            <w:pPr>
              <w:spacing w:after="0"/>
              <w:rPr>
                <w:sz w:val="1"/>
                <w:szCs w:val="1"/>
                <w:color w:val="auto"/>
              </w:rPr>
            </w:pPr>
          </w:p>
        </w:tc>
      </w:tr>
      <w:tr>
        <w:trPr>
          <w:trHeight w:val="149"/>
        </w:trPr>
        <w:tc>
          <w:tcPr>
            <w:tcW w:w="4840" w:type="dxa"/>
            <w:vAlign w:val="bottom"/>
            <w:gridSpan w:val="3"/>
            <w:vMerge w:val="continue"/>
          </w:tcPr>
          <w:p>
            <w:pPr>
              <w:spacing w:after="0"/>
              <w:rPr>
                <w:sz w:val="12"/>
                <w:szCs w:val="12"/>
                <w:color w:val="auto"/>
              </w:rPr>
            </w:pPr>
          </w:p>
        </w:tc>
        <w:tc>
          <w:tcPr>
            <w:tcW w:w="2460" w:type="dxa"/>
            <w:vAlign w:val="bottom"/>
            <w:gridSpan w:val="3"/>
          </w:tcPr>
          <w:p>
            <w:pPr>
              <w:jc w:val="center"/>
              <w:ind w:left="930"/>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200" w:type="dxa"/>
            <w:vAlign w:val="bottom"/>
          </w:tcPr>
          <w:p>
            <w:pPr>
              <w:spacing w:after="0"/>
              <w:rPr>
                <w:sz w:val="12"/>
                <w:szCs w:val="12"/>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 xml:space="preserve">and Interest </w:t>
            </w: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Horowitz Limited Partnership VIII </w:t>
            </w:r>
            <w:r>
              <w:rPr>
                <w:rFonts w:ascii="Times New Roman" w:cs="Times New Roman" w:eastAsia="Times New Roman" w:hAnsi="Times New Roman"/>
                <w:sz w:val="13"/>
                <w:szCs w:val="13"/>
                <w:color w:val="auto"/>
              </w:rPr>
              <w:t>(1)</w:t>
            </w:r>
          </w:p>
        </w:tc>
        <w:tc>
          <w:tcPr>
            <w:tcW w:w="246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5"/>
                <w:szCs w:val="15"/>
                <w:color w:val="auto"/>
                <w:w w:val="99"/>
              </w:rPr>
              <w:t>Jason Tester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1,930,070.20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253,362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Jason Tester </w:t>
            </w:r>
            <w:r>
              <w:rPr>
                <w:rFonts w:ascii="Times New Roman" w:cs="Times New Roman" w:eastAsia="Times New Roman" w:hAnsi="Times New Roman"/>
                <w:sz w:val="13"/>
                <w:szCs w:val="13"/>
                <w:color w:val="auto"/>
              </w:rPr>
              <w:t>(2)</w:t>
            </w:r>
          </w:p>
        </w:tc>
        <w:tc>
          <w:tcPr>
            <w:tcW w:w="2460" w:type="dxa"/>
            <w:vAlign w:val="bottom"/>
            <w:gridSpan w:val="3"/>
          </w:tcPr>
          <w:p>
            <w:pPr>
              <w:jc w:val="center"/>
              <w:ind w:left="930"/>
              <w:spacing w:after="0"/>
              <w:rPr>
                <w:sz w:val="20"/>
                <w:szCs w:val="20"/>
                <w:color w:val="auto"/>
              </w:rPr>
            </w:pPr>
            <w:r>
              <w:rPr>
                <w:rFonts w:ascii="Times New Roman" w:cs="Times New Roman" w:eastAsia="Times New Roman" w:hAnsi="Times New Roman"/>
                <w:sz w:val="15"/>
                <w:szCs w:val="15"/>
                <w:color w:val="auto"/>
                <w:w w:val="99"/>
              </w:rPr>
              <w:t>Jason Tester</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28,176.15</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3,698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Bobak Azamian</w:t>
            </w:r>
          </w:p>
        </w:tc>
        <w:tc>
          <w:tcPr>
            <w:tcW w:w="2460" w:type="dxa"/>
            <w:vAlign w:val="bottom"/>
            <w:gridSpan w:val="3"/>
            <w:shd w:val="clear" w:color="auto" w:fill="CCEEFF"/>
          </w:tcPr>
          <w:p>
            <w:pPr>
              <w:jc w:val="center"/>
              <w:ind w:left="930"/>
              <w:spacing w:after="0"/>
              <w:rPr>
                <w:sz w:val="20"/>
                <w:szCs w:val="20"/>
                <w:color w:val="auto"/>
              </w:rPr>
            </w:pPr>
            <w:r>
              <w:rPr>
                <w:rFonts w:ascii="Times New Roman" w:cs="Times New Roman" w:eastAsia="Times New Roman" w:hAnsi="Times New Roman"/>
                <w:sz w:val="15"/>
                <w:szCs w:val="15"/>
                <w:color w:val="auto"/>
              </w:rPr>
              <w:t>Bobak Azamian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14,162.48</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Michael Ackermann</w:t>
            </w:r>
          </w:p>
        </w:tc>
        <w:tc>
          <w:tcPr>
            <w:tcW w:w="2460" w:type="dxa"/>
            <w:vAlign w:val="bottom"/>
            <w:gridSpan w:val="3"/>
          </w:tcPr>
          <w:p>
            <w:pPr>
              <w:jc w:val="center"/>
              <w:ind w:left="930"/>
              <w:spacing w:after="0"/>
              <w:rPr>
                <w:sz w:val="20"/>
                <w:szCs w:val="20"/>
                <w:color w:val="auto"/>
              </w:rPr>
            </w:pPr>
            <w:r>
              <w:rPr>
                <w:rFonts w:ascii="Times New Roman" w:cs="Times New Roman" w:eastAsia="Times New Roman" w:hAnsi="Times New Roman"/>
                <w:sz w:val="15"/>
                <w:szCs w:val="15"/>
                <w:color w:val="auto"/>
              </w:rPr>
              <w:t>Michael Ackermann</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70,440.52</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6515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07" w:lineRule="exact"/>
        <w:rPr>
          <w:sz w:val="20"/>
          <w:szCs w:val="20"/>
          <w:color w:val="auto"/>
        </w:rPr>
      </w:pPr>
    </w:p>
    <w:p>
      <w:pPr>
        <w:ind w:left="1280" w:right="300" w:hanging="360"/>
        <w:spacing w:after="0" w:line="232" w:lineRule="auto"/>
        <w:tabs>
          <w:tab w:leader="none" w:pos="128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Horowitz Limited Partnership VIII whose convertible promissory notes converted into shares of our Series B preferred stock include the Horowitz Limited Partnership VIII and the Adam S Horowitz Revocable Trust. Mr. Tester is an affiliate of Horowitz Limited Partnership VIII.</w:t>
      </w:r>
    </w:p>
    <w:p>
      <w:pPr>
        <w:ind w:left="1280" w:hanging="360"/>
        <w:spacing w:after="0"/>
        <w:tabs>
          <w:tab w:leader="none" w:pos="128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Mr. Tester whose convertible promissory notes converted into shares of our Series B preferred stock include the Tester Living Trust.</w:t>
      </w:r>
    </w:p>
    <w:p>
      <w:pPr>
        <w:spacing w:after="0" w:line="1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B Preferred Stock Financing</w:t>
      </w:r>
    </w:p>
    <w:p>
      <w:pPr>
        <w:spacing w:after="0" w:line="200" w:lineRule="exact"/>
        <w:rPr>
          <w:sz w:val="20"/>
          <w:szCs w:val="20"/>
          <w:color w:val="auto"/>
        </w:rPr>
      </w:pPr>
    </w:p>
    <w:p>
      <w:pPr>
        <w:ind w:left="920" w:right="60" w:firstLine="753"/>
        <w:spacing w:after="0" w:line="264" w:lineRule="auto"/>
        <w:rPr>
          <w:sz w:val="20"/>
          <w:szCs w:val="20"/>
          <w:color w:val="auto"/>
        </w:rPr>
      </w:pPr>
      <w:r>
        <w:rPr>
          <w:rFonts w:ascii="Times New Roman" w:cs="Times New Roman" w:eastAsia="Times New Roman" w:hAnsi="Times New Roman"/>
          <w:sz w:val="15"/>
          <w:szCs w:val="15"/>
          <w:color w:val="auto"/>
        </w:rPr>
        <w:t>In December 2019, we issued and sold an aggregate of 6,406,853 shares of our Series B preferred stock (exclusive of 268,056 shares issued upon the conversion of the 2019 Notes) at a cash purchase price of $8.9904 per share for an aggregate purchase price of approximately $57.6 million. These shares of Series B preferred stock, together with the shares issued upon conversion of the 2019 Notes, will convert into an aggregate of 6,674,909 shares of common stock upon the completion of this offering. The table below sets forth the number of shares of Series B preferred stock sold to our directors, executive officers and holders of more than 5% of our capital stock (not including the 268,056 shares of Series B preferred stock issued upon the conversion of the 2019 Notes):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Affiliated</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4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Series B</w:t>
            </w:r>
          </w:p>
        </w:tc>
        <w:tc>
          <w:tcPr>
            <w:tcW w:w="200" w:type="dxa"/>
            <w:vAlign w:val="bottom"/>
          </w:tcPr>
          <w:p>
            <w:pPr>
              <w:spacing w:after="0"/>
              <w:rPr>
                <w:sz w:val="11"/>
                <w:szCs w:val="11"/>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 Purchase</w:t>
            </w:r>
          </w:p>
        </w:tc>
        <w:tc>
          <w:tcPr>
            <w:tcW w:w="0" w:type="dxa"/>
            <w:vAlign w:val="bottom"/>
          </w:tcPr>
          <w:p>
            <w:pPr>
              <w:spacing w:after="0"/>
              <w:rPr>
                <w:sz w:val="1"/>
                <w:szCs w:val="1"/>
                <w:color w:val="auto"/>
              </w:rPr>
            </w:pPr>
          </w:p>
        </w:tc>
      </w:tr>
      <w:tr>
        <w:trPr>
          <w:trHeight w:val="127"/>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2840" w:type="dxa"/>
            <w:vAlign w:val="bottom"/>
            <w:gridSpan w:val="3"/>
          </w:tcPr>
          <w:p>
            <w:pPr>
              <w:jc w:val="center"/>
              <w:ind w:left="927"/>
              <w:spacing w:after="0" w:line="127" w:lineRule="exact"/>
              <w:rPr>
                <w:sz w:val="20"/>
                <w:szCs w:val="20"/>
                <w:color w:val="auto"/>
              </w:rPr>
            </w:pPr>
            <w:r>
              <w:rPr>
                <w:rFonts w:ascii="Times New Roman" w:cs="Times New Roman" w:eastAsia="Times New Roman" w:hAnsi="Times New Roman"/>
                <w:sz w:val="12"/>
                <w:szCs w:val="12"/>
                <w:b w:val="1"/>
                <w:bCs w:val="1"/>
                <w:color w:val="auto"/>
              </w:rPr>
              <w:t>Director(s) or</w:t>
            </w:r>
          </w:p>
        </w:tc>
        <w:tc>
          <w:tcPr>
            <w:tcW w:w="94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2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118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320" w:type="dxa"/>
            <w:vAlign w:val="bottom"/>
          </w:tcPr>
          <w:p>
            <w:pPr>
              <w:spacing w:after="0"/>
              <w:rPr>
                <w:sz w:val="12"/>
                <w:szCs w:val="12"/>
                <w:color w:val="auto"/>
              </w:rPr>
            </w:pP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Vivo Capital Fund IX, L.P.</w:t>
            </w:r>
          </w:p>
        </w:tc>
        <w:tc>
          <w:tcPr>
            <w:tcW w:w="2840" w:type="dxa"/>
            <w:vAlign w:val="bottom"/>
            <w:gridSpan w:val="3"/>
            <w:shd w:val="clear" w:color="auto" w:fill="CCEEFF"/>
          </w:tcPr>
          <w:p>
            <w:pPr>
              <w:jc w:val="center"/>
              <w:ind w:left="947"/>
              <w:spacing w:after="0"/>
              <w:rPr>
                <w:sz w:val="20"/>
                <w:szCs w:val="20"/>
                <w:color w:val="auto"/>
              </w:rPr>
            </w:pPr>
            <w:r>
              <w:rPr>
                <w:rFonts w:ascii="Times New Roman" w:cs="Times New Roman" w:eastAsia="Times New Roman" w:hAnsi="Times New Roman"/>
                <w:sz w:val="15"/>
                <w:szCs w:val="15"/>
                <w:color w:val="auto"/>
              </w:rPr>
              <w:t xml:space="preserve">Andrew Goldberg </w:t>
            </w:r>
            <w:r>
              <w:rPr>
                <w:rFonts w:ascii="Times New Roman" w:cs="Times New Roman" w:eastAsia="Times New Roman" w:hAnsi="Times New Roman"/>
                <w:sz w:val="13"/>
                <w:szCs w:val="13"/>
                <w:color w:val="auto"/>
              </w:rPr>
              <w:t>(1)</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2,780,754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24,999,999.83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Frazier Life Sciences IX, L.P.</w:t>
            </w:r>
          </w:p>
        </w:tc>
        <w:tc>
          <w:tcPr>
            <w:tcW w:w="2840" w:type="dxa"/>
            <w:vAlign w:val="bottom"/>
            <w:gridSpan w:val="3"/>
          </w:tcPr>
          <w:p>
            <w:pPr>
              <w:jc w:val="center"/>
              <w:ind w:left="947"/>
              <w:spacing w:after="0"/>
              <w:rPr>
                <w:sz w:val="20"/>
                <w:szCs w:val="20"/>
                <w:color w:val="auto"/>
              </w:rPr>
            </w:pPr>
            <w:r>
              <w:rPr>
                <w:rFonts w:ascii="Times New Roman" w:cs="Times New Roman" w:eastAsia="Times New Roman" w:hAnsi="Times New Roman"/>
                <w:sz w:val="15"/>
                <w:szCs w:val="15"/>
                <w:color w:val="auto"/>
              </w:rPr>
              <w:t xml:space="preserve">Bhaskar Chaudhuri </w:t>
            </w:r>
            <w:r>
              <w:rPr>
                <w:rFonts w:ascii="Times New Roman" w:cs="Times New Roman" w:eastAsia="Times New Roman" w:hAnsi="Times New Roman"/>
                <w:sz w:val="13"/>
                <w:szCs w:val="13"/>
                <w:color w:val="auto"/>
              </w:rPr>
              <w:t>(2)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1,390,376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12,499,999.31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Flying L Investments XI, LLC</w:t>
            </w:r>
          </w:p>
        </w:tc>
        <w:tc>
          <w:tcPr>
            <w:tcW w:w="2840" w:type="dxa"/>
            <w:vAlign w:val="bottom"/>
            <w:gridSpan w:val="3"/>
            <w:shd w:val="clear" w:color="auto" w:fill="CCEEFF"/>
          </w:tcPr>
          <w:p>
            <w:pPr>
              <w:jc w:val="center"/>
              <w:ind w:left="927"/>
              <w:spacing w:after="0"/>
              <w:rPr>
                <w:sz w:val="20"/>
                <w:szCs w:val="20"/>
                <w:color w:val="auto"/>
              </w:rPr>
            </w:pPr>
            <w:r>
              <w:rPr>
                <w:rFonts w:ascii="Times New Roman" w:cs="Times New Roman" w:eastAsia="Times New Roman" w:hAnsi="Times New Roman"/>
                <w:sz w:val="15"/>
                <w:szCs w:val="15"/>
                <w:color w:val="auto"/>
              </w:rPr>
              <w:t>William J. Link</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1,112,301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9,999,999.21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Visionary Venture Fund </w:t>
            </w:r>
            <w:r>
              <w:rPr>
                <w:rFonts w:ascii="Times New Roman" w:cs="Times New Roman" w:eastAsia="Times New Roman" w:hAnsi="Times New Roman"/>
                <w:sz w:val="13"/>
                <w:szCs w:val="13"/>
                <w:color w:val="auto"/>
              </w:rPr>
              <w:t>(3)</w:t>
            </w: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834,225</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7,499,999.11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6515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07" w:lineRule="exact"/>
        <w:rPr>
          <w:sz w:val="20"/>
          <w:szCs w:val="20"/>
          <w:color w:val="auto"/>
        </w:rPr>
      </w:pPr>
    </w:p>
    <w:p>
      <w:pPr>
        <w:ind w:left="1280" w:hanging="360"/>
        <w:spacing w:after="0"/>
        <w:tabs>
          <w:tab w:leader="none" w:pos="12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Goldberg was designated by Vivo Capital Fund IX, L.P. but does not have any voting or investment control over the shares held by Vivo Capital Fund IX, L.P.</w:t>
      </w:r>
    </w:p>
    <w:p>
      <w:pPr>
        <w:spacing w:after="0" w:line="2" w:lineRule="exact"/>
        <w:rPr>
          <w:rFonts w:ascii="Times New Roman" w:cs="Times New Roman" w:eastAsia="Times New Roman" w:hAnsi="Times New Roman"/>
          <w:sz w:val="12"/>
          <w:szCs w:val="12"/>
          <w:color w:val="auto"/>
        </w:rPr>
      </w:pPr>
    </w:p>
    <w:p>
      <w:pPr>
        <w:ind w:left="1280" w:hanging="360"/>
        <w:spacing w:after="0" w:line="220" w:lineRule="auto"/>
        <w:tabs>
          <w:tab w:leader="none" w:pos="12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Chaudhuri was designated by Frazier Life Sciences IX, L.P. but does not have any voting or investment control over the shares held by Frazier Life Sciences IX, L.P.</w:t>
      </w:r>
    </w:p>
    <w:p>
      <w:pPr>
        <w:ind w:left="1280" w:right="300" w:hanging="360"/>
        <w:spacing w:after="0" w:line="236" w:lineRule="auto"/>
        <w:tabs>
          <w:tab w:leader="none" w:pos="128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Visionary Venture Fund holding shares of our Series B preferred stock which are aggregated for purposes of reporting share ownership information include Visionary Venture Fund II, LP and Visionary Venture Fund II (QP), LP.</w:t>
      </w:r>
    </w:p>
    <w:p>
      <w:pPr>
        <w:spacing w:after="0" w:line="100" w:lineRule="exact"/>
        <w:rPr>
          <w:rFonts w:ascii="Times New Roman" w:cs="Times New Roman" w:eastAsia="Times New Roman" w:hAnsi="Times New Roman"/>
          <w:sz w:val="12"/>
          <w:szCs w:val="12"/>
          <w:color w:val="auto"/>
        </w:rPr>
      </w:pPr>
    </w:p>
    <w:p>
      <w:pPr>
        <w:ind w:left="5500" w:hanging="81"/>
        <w:spacing w:after="0"/>
        <w:tabs>
          <w:tab w:leader="none" w:pos="5500"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185 -</w:t>
      </w:r>
    </w:p>
    <w:p>
      <w:pPr>
        <w:sectPr>
          <w:pgSz w:w="11900" w:h="16838" w:orient="portrait"/>
          <w:cols w:equalWidth="0" w:num="1">
            <w:col w:w="10340"/>
          </w:cols>
          <w:pgMar w:left="320" w:top="410" w:right="1239" w:bottom="1440" w:gutter="0" w:footer="0" w:header="0"/>
        </w:sectPr>
      </w:pPr>
    </w:p>
    <w:bookmarkStart w:id="188" w:name="page189"/>
    <w:bookmarkEnd w:id="18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C Preferred Stock Financing</w:t>
      </w:r>
    </w:p>
    <w:p>
      <w:pPr>
        <w:spacing w:after="0" w:line="200"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In September 2020, we issued and sold an aggregate of 2,857,079 shares of our Series C preferred stock at a cash purchase price of $14.0003 per share of Series C preferred Stock for an aggregate purchase price of approximately $40.0 million. These shares of Series C preferred stock will convert into an aggregate of 2,857,079 shares of common stock upon the completion of this offering. The table below sets forth the number of shares of Series C preferred stock sold to our directors, executive officers and holders of more than 5% of our capital stock:</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Affiliated</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Shares of</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40" w:type="dxa"/>
            <w:vAlign w:val="bottom"/>
            <w:gridSpan w:val="3"/>
          </w:tcPr>
          <w:p>
            <w:pPr>
              <w:jc w:val="center"/>
              <w:ind w:right="20"/>
              <w:spacing w:after="0" w:line="127" w:lineRule="exact"/>
              <w:rPr>
                <w:sz w:val="20"/>
                <w:szCs w:val="20"/>
                <w:color w:val="auto"/>
              </w:rPr>
            </w:pPr>
            <w:r>
              <w:rPr>
                <w:rFonts w:ascii="Times New Roman" w:cs="Times New Roman" w:eastAsia="Times New Roman" w:hAnsi="Times New Roman"/>
                <w:sz w:val="12"/>
                <w:szCs w:val="12"/>
                <w:b w:val="1"/>
                <w:bCs w:val="1"/>
                <w:color w:val="auto"/>
              </w:rPr>
              <w:t>Series C</w:t>
            </w:r>
          </w:p>
        </w:tc>
        <w:tc>
          <w:tcPr>
            <w:tcW w:w="200" w:type="dxa"/>
            <w:vAlign w:val="bottom"/>
          </w:tcPr>
          <w:p>
            <w:pPr>
              <w:spacing w:after="0"/>
              <w:rPr>
                <w:sz w:val="11"/>
                <w:szCs w:val="11"/>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 Purchase</w:t>
            </w:r>
          </w:p>
        </w:tc>
        <w:tc>
          <w:tcPr>
            <w:tcW w:w="0" w:type="dxa"/>
            <w:vAlign w:val="bottom"/>
          </w:tcPr>
          <w:p>
            <w:pPr>
              <w:spacing w:after="0"/>
              <w:rPr>
                <w:sz w:val="1"/>
                <w:szCs w:val="1"/>
                <w:color w:val="auto"/>
              </w:rPr>
            </w:pPr>
          </w:p>
        </w:tc>
      </w:tr>
      <w:tr>
        <w:trPr>
          <w:trHeight w:val="127"/>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Investor</w:t>
            </w:r>
          </w:p>
        </w:tc>
        <w:tc>
          <w:tcPr>
            <w:tcW w:w="2720" w:type="dxa"/>
            <w:vAlign w:val="bottom"/>
            <w:gridSpan w:val="3"/>
          </w:tcPr>
          <w:p>
            <w:pPr>
              <w:jc w:val="center"/>
              <w:ind w:left="807"/>
              <w:spacing w:after="0" w:line="127" w:lineRule="exact"/>
              <w:rPr>
                <w:sz w:val="20"/>
                <w:szCs w:val="20"/>
                <w:color w:val="auto"/>
              </w:rPr>
            </w:pPr>
            <w:r>
              <w:rPr>
                <w:rFonts w:ascii="Times New Roman" w:cs="Times New Roman" w:eastAsia="Times New Roman" w:hAnsi="Times New Roman"/>
                <w:sz w:val="12"/>
                <w:szCs w:val="12"/>
                <w:b w:val="1"/>
                <w:bCs w:val="1"/>
                <w:color w:val="auto"/>
              </w:rPr>
              <w:t>Director(s) or</w:t>
            </w:r>
          </w:p>
        </w:tc>
        <w:tc>
          <w:tcPr>
            <w:tcW w:w="94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2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gridSpan w:val="2"/>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Officer(s)</w:t>
            </w:r>
          </w:p>
        </w:tc>
        <w:tc>
          <w:tcPr>
            <w:tcW w:w="320" w:type="dxa"/>
            <w:vAlign w:val="bottom"/>
          </w:tcPr>
          <w:p>
            <w:pPr>
              <w:spacing w:after="0"/>
              <w:rPr>
                <w:sz w:val="12"/>
                <w:szCs w:val="12"/>
                <w:color w:val="auto"/>
              </w:rPr>
            </w:pPr>
          </w:p>
        </w:tc>
        <w:tc>
          <w:tcPr>
            <w:tcW w:w="6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Vivo Capital Fund IX, L.P.</w:t>
            </w:r>
          </w:p>
        </w:tc>
        <w:tc>
          <w:tcPr>
            <w:tcW w:w="2720" w:type="dxa"/>
            <w:vAlign w:val="bottom"/>
            <w:gridSpan w:val="3"/>
            <w:shd w:val="clear" w:color="auto" w:fill="CCEEFF"/>
          </w:tcPr>
          <w:p>
            <w:pPr>
              <w:jc w:val="center"/>
              <w:ind w:left="827"/>
              <w:spacing w:after="0"/>
              <w:rPr>
                <w:sz w:val="20"/>
                <w:szCs w:val="20"/>
                <w:color w:val="auto"/>
              </w:rPr>
            </w:pPr>
            <w:r>
              <w:rPr>
                <w:rFonts w:ascii="Times New Roman" w:cs="Times New Roman" w:eastAsia="Times New Roman" w:hAnsi="Times New Roman"/>
                <w:sz w:val="15"/>
                <w:szCs w:val="15"/>
                <w:color w:val="auto"/>
              </w:rPr>
              <w:t xml:space="preserve">Andrew Goldberg </w:t>
            </w:r>
            <w:r>
              <w:rPr>
                <w:rFonts w:ascii="Times New Roman" w:cs="Times New Roman" w:eastAsia="Times New Roman" w:hAnsi="Times New Roman"/>
                <w:sz w:val="13"/>
                <w:szCs w:val="13"/>
                <w:color w:val="auto"/>
              </w:rPr>
              <w:t>(1)</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214,281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2,999,999.31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Frazier Life Sciences IX, L.P.</w:t>
            </w:r>
          </w:p>
        </w:tc>
        <w:tc>
          <w:tcPr>
            <w:tcW w:w="2720" w:type="dxa"/>
            <w:vAlign w:val="bottom"/>
            <w:gridSpan w:val="3"/>
          </w:tcPr>
          <w:p>
            <w:pPr>
              <w:jc w:val="center"/>
              <w:ind w:left="827"/>
              <w:spacing w:after="0"/>
              <w:rPr>
                <w:sz w:val="20"/>
                <w:szCs w:val="20"/>
                <w:color w:val="auto"/>
              </w:rPr>
            </w:pPr>
            <w:r>
              <w:rPr>
                <w:rFonts w:ascii="Times New Roman" w:cs="Times New Roman" w:eastAsia="Times New Roman" w:hAnsi="Times New Roman"/>
                <w:sz w:val="15"/>
                <w:szCs w:val="15"/>
                <w:color w:val="auto"/>
              </w:rPr>
              <w:t xml:space="preserve">Bhaskar Chaudhuri </w:t>
            </w:r>
            <w:r>
              <w:rPr>
                <w:rFonts w:ascii="Times New Roman" w:cs="Times New Roman" w:eastAsia="Times New Roman" w:hAnsi="Times New Roman"/>
                <w:sz w:val="13"/>
                <w:szCs w:val="13"/>
                <w:color w:val="auto"/>
              </w:rPr>
              <w:t>(2)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214,281</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2,999,999.31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Horowitz Limited Partnership VIII</w:t>
            </w:r>
          </w:p>
        </w:tc>
        <w:tc>
          <w:tcPr>
            <w:tcW w:w="2720" w:type="dxa"/>
            <w:vAlign w:val="bottom"/>
            <w:gridSpan w:val="3"/>
            <w:shd w:val="clear" w:color="auto" w:fill="CCEEFF"/>
          </w:tcPr>
          <w:p>
            <w:pPr>
              <w:jc w:val="center"/>
              <w:ind w:left="807"/>
              <w:spacing w:after="0"/>
              <w:rPr>
                <w:sz w:val="20"/>
                <w:szCs w:val="20"/>
                <w:color w:val="auto"/>
              </w:rPr>
            </w:pPr>
            <w:r>
              <w:rPr>
                <w:rFonts w:ascii="Times New Roman" w:cs="Times New Roman" w:eastAsia="Times New Roman" w:hAnsi="Times New Roman"/>
                <w:sz w:val="15"/>
                <w:szCs w:val="15"/>
                <w:color w:val="auto"/>
              </w:rPr>
              <w:t>Jason Tester</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71,427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999,999.77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RTW Investments, LP </w:t>
            </w:r>
            <w:r>
              <w:rPr>
                <w:rFonts w:ascii="Times New Roman" w:cs="Times New Roman" w:eastAsia="Times New Roman" w:hAnsi="Times New Roman"/>
                <w:sz w:val="13"/>
                <w:szCs w:val="13"/>
                <w:color w:val="auto"/>
              </w:rPr>
              <w:t>(3)</w:t>
            </w:r>
          </w:p>
        </w:tc>
        <w:tc>
          <w:tcPr>
            <w:tcW w:w="1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1,071,406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14,999,998.40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Entities affiliated with Cormorant Asset Management,</w:t>
            </w:r>
          </w:p>
        </w:tc>
        <w:tc>
          <w:tcPr>
            <w:tcW w:w="15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 xml:space="preserve">LP </w:t>
            </w:r>
            <w:r>
              <w:rPr>
                <w:rFonts w:ascii="Times New Roman" w:cs="Times New Roman" w:eastAsia="Times New Roman" w:hAnsi="Times New Roman"/>
                <w:sz w:val="13"/>
                <w:szCs w:val="13"/>
                <w:color w:val="auto"/>
              </w:rPr>
              <w:t>(4)</w:t>
            </w:r>
          </w:p>
        </w:tc>
        <w:tc>
          <w:tcPr>
            <w:tcW w:w="1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714,268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9,999,995.81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6515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22" w:lineRule="exact"/>
        <w:rPr>
          <w:sz w:val="20"/>
          <w:szCs w:val="20"/>
          <w:color w:val="auto"/>
        </w:rPr>
      </w:pPr>
    </w:p>
    <w:p>
      <w:pPr>
        <w:ind w:left="1280" w:hanging="360"/>
        <w:spacing w:after="0"/>
        <w:tabs>
          <w:tab w:leader="none" w:pos="128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Goldberg was designated by Vivo Capital Fund IX, L.P. but does not have any voting or investment control over the shares held by Vivo Capital Fund IX, L.P.</w:t>
      </w:r>
    </w:p>
    <w:p>
      <w:pPr>
        <w:spacing w:after="0" w:line="2" w:lineRule="exact"/>
        <w:rPr>
          <w:rFonts w:ascii="Times New Roman" w:cs="Times New Roman" w:eastAsia="Times New Roman" w:hAnsi="Times New Roman"/>
          <w:sz w:val="12"/>
          <w:szCs w:val="12"/>
          <w:color w:val="auto"/>
        </w:rPr>
      </w:pPr>
    </w:p>
    <w:p>
      <w:pPr>
        <w:ind w:left="1280" w:hanging="360"/>
        <w:spacing w:after="0" w:line="220" w:lineRule="auto"/>
        <w:tabs>
          <w:tab w:leader="none" w:pos="128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Chaudhuri was designated by Frazier Life Sciences IX, L.P. but does not have any voting or investment control over the shares held by Frazier Life Sciences IX, L.P.</w:t>
      </w:r>
    </w:p>
    <w:p>
      <w:pPr>
        <w:ind w:left="1280" w:right="80" w:hanging="360"/>
        <w:spacing w:after="0" w:line="220" w:lineRule="auto"/>
        <w:tabs>
          <w:tab w:leader="none" w:pos="128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RTW Investments, LP holding shares of our Series C preferred stock which are aggregated for purposes of reporting share ownership information include RTW Master Fund, Ltd., RTW Innovation Master Fund, Ltd. and RTW Venture Fund Limited.</w:t>
      </w:r>
    </w:p>
    <w:p>
      <w:pPr>
        <w:ind w:left="1280" w:right="140" w:hanging="360"/>
        <w:spacing w:after="0" w:line="236" w:lineRule="auto"/>
        <w:tabs>
          <w:tab w:leader="none" w:pos="128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Entities affiliated with Cormorant Asset Management, LP holding shares of our Series C preferred stock which are aggregated for purposes of reporting share ownership information include Cormorant Private Healthcare Fund III, LP, Cormorant Private Healthcare Fund II, LP, Cormorant Global Healthcare Master Fund, LP and CRMA SPV, L.P.</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Agreements with Stockholders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Investors’ Rights Agreement</w:t>
      </w:r>
    </w:p>
    <w:p>
      <w:pPr>
        <w:spacing w:after="0" w:line="200" w:lineRule="exact"/>
        <w:rPr>
          <w:sz w:val="20"/>
          <w:szCs w:val="20"/>
          <w:color w:val="auto"/>
        </w:rPr>
      </w:pPr>
    </w:p>
    <w:p>
      <w:pPr>
        <w:ind w:left="920" w:right="80" w:firstLine="753"/>
        <w:spacing w:after="0" w:line="263" w:lineRule="auto"/>
        <w:rPr>
          <w:sz w:val="20"/>
          <w:szCs w:val="20"/>
          <w:color w:val="auto"/>
        </w:rPr>
      </w:pPr>
      <w:r>
        <w:rPr>
          <w:rFonts w:ascii="Times New Roman" w:cs="Times New Roman" w:eastAsia="Times New Roman" w:hAnsi="Times New Roman"/>
          <w:sz w:val="15"/>
          <w:szCs w:val="15"/>
          <w:color w:val="auto"/>
        </w:rPr>
        <w:t>We are party to an amended and restated investors’ rights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1" w:lineRule="exact"/>
        <w:rPr>
          <w:sz w:val="20"/>
          <w:szCs w:val="20"/>
          <w:color w:val="auto"/>
        </w:rPr>
      </w:pPr>
    </w:p>
    <w:p>
      <w:pPr>
        <w:ind w:left="920" w:right="120"/>
        <w:spacing w:after="0" w:line="262" w:lineRule="auto"/>
        <w:tabs>
          <w:tab w:leader="none" w:pos="12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Ackermann and (ix) Dr. Azamian.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 Registration Rights” elsewhere in this prospectus for additional information regarding these registration rights.</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Voting Agreement</w:t>
      </w:r>
    </w:p>
    <w:p>
      <w:pPr>
        <w:spacing w:after="0" w:line="200" w:lineRule="exact"/>
        <w:rPr>
          <w:sz w:val="20"/>
          <w:szCs w:val="20"/>
          <w:color w:val="auto"/>
        </w:rPr>
      </w:pPr>
    </w:p>
    <w:p>
      <w:pPr>
        <w:ind w:left="920" w:right="360" w:firstLine="753"/>
        <w:spacing w:after="0" w:line="263" w:lineRule="auto"/>
        <w:rPr>
          <w:sz w:val="20"/>
          <w:szCs w:val="20"/>
          <w:color w:val="auto"/>
        </w:rPr>
      </w:pPr>
      <w:r>
        <w:rPr>
          <w:rFonts w:ascii="Times New Roman" w:cs="Times New Roman" w:eastAsia="Times New Roman" w:hAnsi="Times New Roman"/>
          <w:sz w:val="15"/>
          <w:szCs w:val="15"/>
          <w:color w:val="auto"/>
        </w:rPr>
        <w:t>We are party to an amended and restated voting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1" w:lineRule="exact"/>
        <w:rPr>
          <w:sz w:val="20"/>
          <w:szCs w:val="20"/>
          <w:color w:val="auto"/>
        </w:rPr>
      </w:pPr>
    </w:p>
    <w:p>
      <w:pPr>
        <w:ind w:left="920" w:right="260"/>
        <w:spacing w:after="0" w:line="262" w:lineRule="auto"/>
        <w:tabs>
          <w:tab w:leader="none" w:pos="1266"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Ackermann, (ix) Dr. Azamian, (x) Mr. Greenstein and (xi) Dr. Neervannan.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96"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186 -</w:t>
      </w:r>
    </w:p>
    <w:p>
      <w:pPr>
        <w:sectPr>
          <w:pgSz w:w="11900" w:h="16838" w:orient="portrait"/>
          <w:cols w:equalWidth="0" w:num="1">
            <w:col w:w="10340"/>
          </w:cols>
          <w:pgMar w:left="320" w:top="410" w:right="1239" w:bottom="1440" w:gutter="0" w:footer="0" w:header="0"/>
        </w:sectPr>
      </w:pPr>
    </w:p>
    <w:bookmarkStart w:id="189" w:name="page190"/>
    <w:bookmarkEnd w:id="18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Right of First Refusal and Co-Sale Agreement</w:t>
      </w:r>
    </w:p>
    <w:p>
      <w:pPr>
        <w:spacing w:after="0" w:line="200" w:lineRule="exact"/>
        <w:rPr>
          <w:sz w:val="20"/>
          <w:szCs w:val="20"/>
          <w:color w:val="auto"/>
        </w:rPr>
      </w:pPr>
    </w:p>
    <w:p>
      <w:pPr>
        <w:ind w:left="920" w:right="200" w:firstLine="753"/>
        <w:spacing w:after="0" w:line="263" w:lineRule="auto"/>
        <w:rPr>
          <w:sz w:val="20"/>
          <w:szCs w:val="20"/>
          <w:color w:val="auto"/>
        </w:rPr>
      </w:pPr>
      <w:r>
        <w:rPr>
          <w:rFonts w:ascii="Times New Roman" w:cs="Times New Roman" w:eastAsia="Times New Roman" w:hAnsi="Times New Roman"/>
          <w:sz w:val="15"/>
          <w:szCs w:val="15"/>
          <w:color w:val="auto"/>
        </w:rPr>
        <w:t>We are party to an amended and restated first refusal and co-sale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1" w:lineRule="exact"/>
        <w:rPr>
          <w:sz w:val="20"/>
          <w:szCs w:val="20"/>
          <w:color w:val="auto"/>
        </w:rPr>
      </w:pPr>
    </w:p>
    <w:p>
      <w:pPr>
        <w:ind w:left="920"/>
        <w:spacing w:after="0" w:line="264" w:lineRule="auto"/>
        <w:tabs>
          <w:tab w:leader="none" w:pos="1266"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Ackermann, (ix) Dr. Azamian, (x) Mr. Greenstein and (xi) Dr. Neervannan.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Indemnification Agreements</w:t>
      </w:r>
    </w:p>
    <w:p>
      <w:pPr>
        <w:spacing w:after="0" w:line="200"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We have entered, and intend to continue to enter, into separate indemnification agreements with each of our directors and executive officers, in addition to the indemnification provided for in our restated certificate of incorporation and amended and restated bylaws. The indemnification agreements and our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 — Limitation of Liability and Indemnification” elsewhere in this prospectus for additional information.</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Compensation Arrangements with Executive Officers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Leo Greenstein Offer Letter</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On March 15, 2020 we entered into an Offer Letter with Leo Greenstein to serve as our Chief Financial Officer pursuant to which</w:t>
      </w:r>
    </w:p>
    <w:p>
      <w:pPr>
        <w:spacing w:after="0" w:line="26"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5"/>
          <w:szCs w:val="15"/>
          <w:color w:val="auto"/>
        </w:rPr>
        <w:t>Mr. Greenstein is entitled to receive an annual base salary of $360,000, an annual incentive bonus with a target equal to 35% of his annual base salary, a signing bonus of $40,000 and an option to purchase 140,163 shares of our common stock. Effective upon our initial public offering, Mr. Greenstein’s annual base salary will be increased to $378,000, and his annual incentive bonus target will be increased to 40% of his annual base salary. Pursuant to his Offer Letter, Mr. Greenstein is eligible to receive severance benefits upon an involuntary termination of his employment. If the involuntary termination is prior to or more than 12 months after a change in control, he is eligible to receive severance consisting of six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bonus payment equal to (i) a prorated portion of his target bonus for the year in which his termination occurs and (ii) 150% of such target bonus.</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Seshadri Neervannan Offer Letter</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On June 4, 2020 we entered into an Offer Letter with Seshadri Neervannan to serve as our Chief Operating Officer pursuant to which</w:t>
      </w:r>
    </w:p>
    <w:p>
      <w:pPr>
        <w:spacing w:after="0" w:line="26"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15"/>
          <w:szCs w:val="15"/>
          <w:color w:val="auto"/>
        </w:rPr>
        <w:t>Mr. Neervannan is entitled to receive an annual base salary of $400,000, an annual incentive bonus with a target equal to 35% of his annual base salary, a signing bonus of $75,000 (50% of which will be paid on January 31, 2021 and 50% of which will be paid on July 31, 2021) and an option to purchase 233,605 shares of our common stock. Effective upon our initial public offering, Mr. Neervannan’s annual base salary will be increased to $420,000, and his annual incentive bonus target will be increased to 40% of his annual base salary. Pursuant to his Offer Letter, Mr. Neervannan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w:t>
      </w:r>
    </w:p>
    <w:p>
      <w:pPr>
        <w:spacing w:after="0" w:line="10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-187-</w:t>
      </w:r>
    </w:p>
    <w:p>
      <w:pPr>
        <w:sectPr>
          <w:pgSz w:w="11900" w:h="16838" w:orient="portrait"/>
          <w:cols w:equalWidth="0" w:num="1">
            <w:col w:w="10320"/>
          </w:cols>
          <w:pgMar w:left="320" w:top="410" w:right="1259" w:bottom="1440" w:gutter="0" w:footer="0" w:header="0"/>
        </w:sectPr>
      </w:pPr>
    </w:p>
    <w:bookmarkStart w:id="190" w:name="page191"/>
    <w:bookmarkEnd w:id="19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Aziz Mottiwala Offer Letter</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On June 22, 2020 we entered into an Offer Letter with Aziz Mottiwala to serve as our Chief Commercial Officer pursuant to which</w:t>
      </w:r>
    </w:p>
    <w:p>
      <w:pPr>
        <w:spacing w:after="0" w:line="26"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5"/>
          <w:szCs w:val="15"/>
          <w:color w:val="auto"/>
        </w:rPr>
        <w:t>Mr. Mottiwala is entitled to receive an annual base salary of $360,000, an annual incentive bonus with a target equal to 35% of his annual base salary, a signing bonus of $100,000 (50% of which was paid on August 25, 2020 and 50% of which will be paid on February 10, 2021) and an option to purchase 104,788 shares of our common stock. Effective upon our initial public offering, Mr. Mottiwala’s annual base salary will be increased to $378,000, and his annual incentive bonus target will be increased to 40% of his annual base salary. Pursuant to his Offer Letter, Mr. Mottiwala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Related Party Transaction Policy</w:t>
      </w:r>
    </w:p>
    <w:p>
      <w:pPr>
        <w:spacing w:after="0" w:line="200" w:lineRule="exact"/>
        <w:rPr>
          <w:sz w:val="20"/>
          <w:szCs w:val="20"/>
          <w:color w:val="auto"/>
        </w:rPr>
      </w:pPr>
    </w:p>
    <w:p>
      <w:pPr>
        <w:ind w:left="920" w:right="100" w:firstLine="753"/>
        <w:spacing w:after="0" w:line="262" w:lineRule="auto"/>
        <w:rPr>
          <w:sz w:val="20"/>
          <w:szCs w:val="20"/>
          <w:color w:val="auto"/>
        </w:rPr>
      </w:pPr>
      <w:r>
        <w:rPr>
          <w:rFonts w:ascii="Times New Roman" w:cs="Times New Roman" w:eastAsia="Times New Roman" w:hAnsi="Times New Roman"/>
          <w:sz w:val="15"/>
          <w:szCs w:val="15"/>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58"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-188-</w:t>
      </w:r>
    </w:p>
    <w:p>
      <w:pPr>
        <w:sectPr>
          <w:pgSz w:w="11900" w:h="16838" w:orient="portrait"/>
          <w:cols w:equalWidth="0" w:num="1">
            <w:col w:w="10300"/>
          </w:cols>
          <w:pgMar w:left="320" w:top="410" w:right="1279" w:bottom="1440" w:gutter="0" w:footer="0" w:header="0"/>
        </w:sectPr>
      </w:pPr>
    </w:p>
    <w:bookmarkStart w:id="191" w:name="page192"/>
    <w:bookmarkEnd w:id="19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200" w:lineRule="exact"/>
        <w:rPr>
          <w:sz w:val="20"/>
          <w:szCs w:val="20"/>
          <w:color w:val="auto"/>
        </w:rPr>
      </w:pPr>
    </w:p>
    <w:p>
      <w:pPr>
        <w:ind w:left="920" w:right="22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sets forth information with respect to the beneficial ownership of our common stock as of September 30, 2020 and as adjusted to reflect the sale of common stock offered by us in this offering, for:</w:t>
      </w:r>
    </w:p>
    <w:p>
      <w:pPr>
        <w:spacing w:after="0" w:line="155" w:lineRule="exact"/>
        <w:rPr>
          <w:sz w:val="20"/>
          <w:szCs w:val="20"/>
          <w:color w:val="auto"/>
        </w:rPr>
      </w:pPr>
    </w:p>
    <w:p>
      <w:pPr>
        <w:ind w:left="2040" w:hanging="278"/>
        <w:spacing w:after="0"/>
        <w:tabs>
          <w:tab w:leader="none" w:pos="20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named executive officers;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executive officers and directors as a group;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who is known by us to beneficially own more than 5% of our common stock.</w:t>
      </w:r>
    </w:p>
    <w:p>
      <w:pPr>
        <w:spacing w:after="0" w:line="196" w:lineRule="exact"/>
        <w:rPr>
          <w:sz w:val="20"/>
          <w:szCs w:val="20"/>
          <w:color w:val="auto"/>
        </w:rPr>
      </w:pPr>
    </w:p>
    <w:p>
      <w:pPr>
        <w:jc w:val="both"/>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of the SEC.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5" w:lineRule="exact"/>
        <w:rPr>
          <w:sz w:val="20"/>
          <w:szCs w:val="20"/>
          <w:color w:val="auto"/>
        </w:rPr>
      </w:pPr>
    </w:p>
    <w:p>
      <w:pPr>
        <w:ind w:left="920" w:right="100" w:firstLine="753"/>
        <w:spacing w:after="0" w:line="260" w:lineRule="auto"/>
        <w:rPr>
          <w:sz w:val="20"/>
          <w:szCs w:val="20"/>
          <w:color w:val="auto"/>
        </w:rPr>
      </w:pPr>
      <w:r>
        <w:rPr>
          <w:rFonts w:ascii="Times New Roman" w:cs="Times New Roman" w:eastAsia="Times New Roman" w:hAnsi="Times New Roman"/>
          <w:sz w:val="15"/>
          <w:szCs w:val="15"/>
          <w:color w:val="auto"/>
        </w:rPr>
        <w:t>Applicable percentage ownership is based on 13,995,006 shares of common stock outstanding as of September 30, 2020, after giving effect to the conversion of all 11,107,018 outstanding shares of preferred stock as of that date, into an aggregate of 11,107,018 shares of our common stock, but excluding 179,375 shares of common stock, which were issued upon the early exercise of certain stock options, but are not outstanding as they are subject to a right to repurchase. For purposes of computing percentage ownership after this offering, we have assumed that (i) 5,000,000 shares of common stock will be issued by us in this offering; (ii) the underwriters will not exercise their option to purchase up to 750,000 additional shares and</w:t>
      </w:r>
    </w:p>
    <w:p>
      <w:pPr>
        <w:spacing w:after="0" w:line="2" w:lineRule="exact"/>
        <w:rPr>
          <w:sz w:val="20"/>
          <w:szCs w:val="20"/>
          <w:color w:val="auto"/>
        </w:rPr>
      </w:pPr>
    </w:p>
    <w:p>
      <w:pPr>
        <w:ind w:left="920" w:right="20"/>
        <w:spacing w:after="0" w:line="259" w:lineRule="auto"/>
        <w:tabs>
          <w:tab w:leader="none" w:pos="1189"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our executive officers, directors, stockholders who beneficially own more than five percent of our common stock or affiliates of the foregoing will participate in this offering, including pursuant to our reserved share program. If any shares of our common stock are purchased in the offering by our officers, directors, stockholders who beneficially own more than five percent of our common stock or affiliates of the foregoing, the number and percentage of shares of our common stock beneficially owned by such entities after this offering will differ from the amounts set forth in the below table. 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of September 30, 2020. We did not deem these shares outstanding, however, such shares were included for the purpose of computing the percentage ownership of any other person or entity.</w:t>
      </w:r>
    </w:p>
    <w:p>
      <w:pPr>
        <w:spacing w:after="0" w:line="156" w:lineRule="exact"/>
        <w:rPr>
          <w:sz w:val="20"/>
          <w:szCs w:val="20"/>
          <w:color w:val="auto"/>
        </w:rPr>
      </w:pPr>
    </w:p>
    <w:p>
      <w:pPr>
        <w:ind w:left="920" w:right="60" w:firstLine="753"/>
        <w:spacing w:after="0" w:line="293" w:lineRule="auto"/>
        <w:rPr>
          <w:sz w:val="20"/>
          <w:szCs w:val="20"/>
          <w:color w:val="auto"/>
        </w:rPr>
      </w:pPr>
      <w:r>
        <w:rPr>
          <w:rFonts w:ascii="Times New Roman" w:cs="Times New Roman" w:eastAsia="Times New Roman" w:hAnsi="Times New Roman"/>
          <w:sz w:val="15"/>
          <w:szCs w:val="15"/>
          <w:color w:val="auto"/>
        </w:rPr>
        <w:t>Unless otherwise indicated, the address of each beneficial owner listed in the table below is c/o Tarsus Pharmaceuticals, Inc., 15440 Laguna Canyon Road, Suite 160, Irvine, California 92618.</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Shares Beneficially Owned</w:t>
            </w:r>
          </w:p>
        </w:tc>
        <w:tc>
          <w:tcPr>
            <w:tcW w:w="140" w:type="dxa"/>
            <w:vAlign w:val="bottom"/>
          </w:tcPr>
          <w:p>
            <w:pPr>
              <w:spacing w:after="0"/>
              <w:rPr>
                <w:sz w:val="12"/>
                <w:szCs w:val="12"/>
                <w:color w:val="auto"/>
              </w:rPr>
            </w:pPr>
          </w:p>
        </w:tc>
        <w:tc>
          <w:tcPr>
            <w:tcW w:w="1520" w:type="dxa"/>
            <w:vAlign w:val="bottom"/>
            <w:gridSpan w:val="5"/>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Shares Beneficially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5"/>
          </w:tcPr>
          <w:p>
            <w:pPr>
              <w:jc w:val="right"/>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Owned After</w:t>
            </w:r>
          </w:p>
        </w:tc>
        <w:tc>
          <w:tcPr>
            <w:tcW w:w="0" w:type="dxa"/>
            <w:vAlign w:val="bottom"/>
          </w:tcPr>
          <w:p>
            <w:pPr>
              <w:spacing w:after="0"/>
              <w:rPr>
                <w:sz w:val="1"/>
                <w:szCs w:val="1"/>
                <w:color w:val="auto"/>
              </w:rPr>
            </w:pPr>
          </w:p>
        </w:tc>
      </w:tr>
      <w:tr>
        <w:trPr>
          <w:trHeight w:val="158"/>
        </w:trPr>
        <w:tc>
          <w:tcPr>
            <w:tcW w:w="41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Prior to this Offering</w:t>
            </w:r>
          </w:p>
        </w:tc>
        <w:tc>
          <w:tcPr>
            <w:tcW w:w="140" w:type="dxa"/>
            <w:vAlign w:val="bottom"/>
          </w:tcPr>
          <w:p>
            <w:pPr>
              <w:spacing w:after="0"/>
              <w:rPr>
                <w:sz w:val="13"/>
                <w:szCs w:val="13"/>
                <w:color w:val="auto"/>
              </w:rPr>
            </w:pPr>
          </w:p>
        </w:tc>
        <w:tc>
          <w:tcPr>
            <w:tcW w:w="1520" w:type="dxa"/>
            <w:vAlign w:val="bottom"/>
            <w:gridSpan w:val="5"/>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this Offering</w:t>
            </w:r>
          </w:p>
        </w:tc>
        <w:tc>
          <w:tcPr>
            <w:tcW w:w="0" w:type="dxa"/>
            <w:vAlign w:val="bottom"/>
          </w:tcPr>
          <w:p>
            <w:pPr>
              <w:spacing w:after="0"/>
              <w:rPr>
                <w:sz w:val="1"/>
                <w:szCs w:val="1"/>
                <w:color w:val="auto"/>
              </w:rPr>
            </w:pPr>
          </w:p>
        </w:tc>
      </w:tr>
      <w:tr>
        <w:trPr>
          <w:trHeight w:val="110"/>
        </w:trPr>
        <w:tc>
          <w:tcPr>
            <w:tcW w:w="4160" w:type="dxa"/>
            <w:vAlign w:val="bottom"/>
            <w:gridSpan w:val="3"/>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ind w:right="280"/>
              <w:spacing w:after="0" w:line="110"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72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ind w:right="280"/>
              <w:spacing w:after="0" w:line="110"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7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Named Executive Officers and Directors:</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Bobak Azamian </w:t>
            </w:r>
            <w:r>
              <w:rPr>
                <w:rFonts w:ascii="Times New Roman" w:cs="Times New Roman" w:eastAsia="Times New Roman" w:hAnsi="Times New Roman"/>
                <w:sz w:val="13"/>
                <w:szCs w:val="13"/>
                <w:color w:val="auto"/>
              </w:rPr>
              <w:t>(1)</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1,907,596</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13.01%</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1,907,596</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9.70%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Michael Ackermann </w:t>
            </w:r>
            <w:r>
              <w:rPr>
                <w:rFonts w:ascii="Times New Roman" w:cs="Times New Roman" w:eastAsia="Times New Roman" w:hAnsi="Times New Roman"/>
                <w:sz w:val="13"/>
                <w:szCs w:val="13"/>
                <w:color w:val="auto"/>
              </w:rPr>
              <w:t>(2)</w:t>
            </w:r>
          </w:p>
        </w:tc>
        <w:tc>
          <w:tcPr>
            <w:tcW w:w="2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1,464,325</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10.29</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1,464,325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Jason Tester </w:t>
            </w:r>
            <w:r>
              <w:rPr>
                <w:rFonts w:ascii="Times New Roman" w:cs="Times New Roman" w:eastAsia="Times New Roman" w:hAnsi="Times New Roman"/>
                <w:sz w:val="13"/>
                <w:szCs w:val="13"/>
                <w:color w:val="auto"/>
              </w:rPr>
              <w:t>(3)</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1,777,456</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12.70</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1,777,456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Andrew Goldberg</w:t>
            </w: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William J. Link </w:t>
            </w:r>
            <w:r>
              <w:rPr>
                <w:rFonts w:ascii="Times New Roman" w:cs="Times New Roman" w:eastAsia="Times New Roman" w:hAnsi="Times New Roman"/>
                <w:sz w:val="13"/>
                <w:szCs w:val="13"/>
                <w:color w:val="auto"/>
              </w:rPr>
              <w:t>(4)</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1,246,933</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8.91</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1,246,933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Bhaskar Chaudhuri</w:t>
            </w: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Leo M. Greenstein </w:t>
            </w:r>
            <w:r>
              <w:rPr>
                <w:rFonts w:ascii="Times New Roman" w:cs="Times New Roman" w:eastAsia="Times New Roman" w:hAnsi="Times New Roman"/>
                <w:sz w:val="13"/>
                <w:szCs w:val="13"/>
                <w:color w:val="auto"/>
              </w:rPr>
              <w:t>(5)</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118,257</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118,257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Seshadri Neervannan </w:t>
            </w:r>
            <w:r>
              <w:rPr>
                <w:rFonts w:ascii="Times New Roman" w:cs="Times New Roman" w:eastAsia="Times New Roman" w:hAnsi="Times New Roman"/>
                <w:sz w:val="13"/>
                <w:szCs w:val="13"/>
                <w:color w:val="auto"/>
              </w:rPr>
              <w:t>(6)</w:t>
            </w:r>
          </w:p>
        </w:tc>
        <w:tc>
          <w:tcPr>
            <w:tcW w:w="2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101,524</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101,524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Aziz Mottiwala </w:t>
            </w:r>
            <w:r>
              <w:rPr>
                <w:rFonts w:ascii="Times New Roman" w:cs="Times New Roman" w:eastAsia="Times New Roman" w:hAnsi="Times New Roman"/>
                <w:sz w:val="13"/>
                <w:szCs w:val="13"/>
                <w:color w:val="auto"/>
              </w:rPr>
              <w:t>(7)</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56,620</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56,620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Mark Holdbrook </w:t>
            </w:r>
            <w:r>
              <w:rPr>
                <w:rFonts w:ascii="Times New Roman" w:cs="Times New Roman" w:eastAsia="Times New Roman" w:hAnsi="Times New Roman"/>
                <w:sz w:val="13"/>
                <w:szCs w:val="13"/>
                <w:color w:val="auto"/>
              </w:rPr>
              <w:t>(8)</w:t>
            </w:r>
          </w:p>
        </w:tc>
        <w:tc>
          <w:tcPr>
            <w:tcW w:w="2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86,734</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86,734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All executive officers and directors as a group (10 persons) </w:t>
            </w:r>
            <w:r>
              <w:rPr>
                <w:rFonts w:ascii="Times New Roman" w:cs="Times New Roman" w:eastAsia="Times New Roman" w:hAnsi="Times New Roman"/>
                <w:sz w:val="13"/>
                <w:szCs w:val="13"/>
                <w:color w:val="auto"/>
              </w:rPr>
              <w:t>(9)</w:t>
            </w:r>
          </w:p>
        </w:tc>
        <w:tc>
          <w:tcPr>
            <w:tcW w:w="252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6,759,445</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44.78</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6,759,445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80" w:type="dxa"/>
            <w:vAlign w:val="bottom"/>
          </w:tcPr>
          <w:p>
            <w:pPr>
              <w:jc w:val="right"/>
              <w:ind w:right="963"/>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320" w:top="410" w:right="1239" w:bottom="1440" w:gutter="0" w:footer="0" w:header="0"/>
        </w:sectPr>
      </w:pPr>
    </w:p>
    <w:bookmarkStart w:id="192" w:name="page193"/>
    <w:bookmarkEnd w:id="19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00" w:type="dxa"/>
            <w:vAlign w:val="bottom"/>
            <w:gridSpan w:val="7"/>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Shares Beneficially Owned</w:t>
            </w:r>
          </w:p>
        </w:tc>
        <w:tc>
          <w:tcPr>
            <w:tcW w:w="160" w:type="dxa"/>
            <w:vAlign w:val="bottom"/>
          </w:tcPr>
          <w:p>
            <w:pPr>
              <w:spacing w:after="0"/>
              <w:rPr>
                <w:sz w:val="12"/>
                <w:szCs w:val="12"/>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Shares Beneficially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700" w:type="dxa"/>
            <w:vAlign w:val="bottom"/>
            <w:gridSpan w:val="7"/>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5"/>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Owned After</w:t>
            </w:r>
          </w:p>
        </w:tc>
        <w:tc>
          <w:tcPr>
            <w:tcW w:w="0" w:type="dxa"/>
            <w:vAlign w:val="bottom"/>
          </w:tcPr>
          <w:p>
            <w:pPr>
              <w:spacing w:after="0"/>
              <w:rPr>
                <w:sz w:val="1"/>
                <w:szCs w:val="1"/>
                <w:color w:val="auto"/>
              </w:rPr>
            </w:pPr>
          </w:p>
        </w:tc>
      </w:tr>
      <w:tr>
        <w:trPr>
          <w:trHeight w:val="158"/>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00" w:type="dxa"/>
            <w:vAlign w:val="bottom"/>
          </w:tcPr>
          <w:p>
            <w:pPr>
              <w:spacing w:after="0"/>
              <w:rPr>
                <w:sz w:val="13"/>
                <w:szCs w:val="13"/>
                <w:color w:val="auto"/>
              </w:rPr>
            </w:pPr>
          </w:p>
        </w:tc>
        <w:tc>
          <w:tcPr>
            <w:tcW w:w="1600" w:type="dxa"/>
            <w:vAlign w:val="bottom"/>
            <w:gridSpan w:val="6"/>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Prior to this Offering</w:t>
            </w:r>
          </w:p>
        </w:tc>
        <w:tc>
          <w:tcPr>
            <w:tcW w:w="160" w:type="dxa"/>
            <w:vAlign w:val="bottom"/>
          </w:tcPr>
          <w:p>
            <w:pPr>
              <w:spacing w:after="0"/>
              <w:rPr>
                <w:sz w:val="13"/>
                <w:szCs w:val="13"/>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this Offering</w:t>
            </w:r>
          </w:p>
        </w:tc>
        <w:tc>
          <w:tcPr>
            <w:tcW w:w="0" w:type="dxa"/>
            <w:vAlign w:val="bottom"/>
          </w:tcPr>
          <w:p>
            <w:pPr>
              <w:spacing w:after="0"/>
              <w:rPr>
                <w:sz w:val="1"/>
                <w:szCs w:val="1"/>
                <w:color w:val="auto"/>
              </w:rPr>
            </w:pPr>
          </w:p>
        </w:tc>
      </w:tr>
      <w:tr>
        <w:trPr>
          <w:trHeight w:val="110"/>
        </w:trPr>
        <w:tc>
          <w:tcPr>
            <w:tcW w:w="6180" w:type="dxa"/>
            <w:vAlign w:val="bottom"/>
            <w:gridSpan w:val="3"/>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ind w:right="280"/>
              <w:spacing w:after="0" w:line="110"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6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ind w:right="280"/>
              <w:spacing w:after="0" w:line="110"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7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5% Stockholders:</w:t>
            </w:r>
          </w:p>
        </w:tc>
        <w:tc>
          <w:tcPr>
            <w:tcW w:w="4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Horowitz Limited Partnership VIII </w:t>
            </w:r>
            <w:r>
              <w:rPr>
                <w:rFonts w:ascii="Times New Roman" w:cs="Times New Roman" w:eastAsia="Times New Roman" w:hAnsi="Times New Roman"/>
                <w:sz w:val="13"/>
                <w:szCs w:val="13"/>
                <w:color w:val="auto"/>
              </w:rPr>
              <w:t>(10)</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w w:val="99"/>
              </w:rPr>
              <w:t>1,802,730</w:t>
            </w: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12.88</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1,802,730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Vivo Capital Fund IX, L.P. </w:t>
            </w:r>
            <w:r>
              <w:rPr>
                <w:rFonts w:ascii="Times New Roman" w:cs="Times New Roman" w:eastAsia="Times New Roman" w:hAnsi="Times New Roman"/>
                <w:sz w:val="13"/>
                <w:szCs w:val="13"/>
                <w:color w:val="auto"/>
              </w:rPr>
              <w:t>(11)</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9"/>
              </w:rPr>
              <w:t>2,995,035</w:t>
            </w:r>
          </w:p>
        </w:tc>
        <w:tc>
          <w:tcPr>
            <w:tcW w:w="9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21.40</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2,995,035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Flying L Investments XI, LLC </w:t>
            </w:r>
            <w:r>
              <w:rPr>
                <w:rFonts w:ascii="Times New Roman" w:cs="Times New Roman" w:eastAsia="Times New Roman" w:hAnsi="Times New Roman"/>
                <w:sz w:val="13"/>
                <w:szCs w:val="13"/>
                <w:color w:val="auto"/>
              </w:rPr>
              <w:t>(12)</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w w:val="99"/>
              </w:rPr>
              <w:t>1,112,301</w:t>
            </w: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7.95</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1,112,301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Frazier Life Sciences IX, L.P. </w:t>
            </w:r>
            <w:r>
              <w:rPr>
                <w:rFonts w:ascii="Times New Roman" w:cs="Times New Roman" w:eastAsia="Times New Roman" w:hAnsi="Times New Roman"/>
                <w:sz w:val="13"/>
                <w:szCs w:val="13"/>
                <w:color w:val="auto"/>
              </w:rPr>
              <w:t>(13)</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9"/>
              </w:rPr>
              <w:t>1,604,657</w:t>
            </w:r>
          </w:p>
        </w:tc>
        <w:tc>
          <w:tcPr>
            <w:tcW w:w="9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11.47</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1,604,657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Visionary Venture Fund </w:t>
            </w:r>
            <w:r>
              <w:rPr>
                <w:rFonts w:ascii="Times New Roman" w:cs="Times New Roman" w:eastAsia="Times New Roman" w:hAnsi="Times New Roman"/>
                <w:sz w:val="13"/>
                <w:szCs w:val="13"/>
                <w:color w:val="auto"/>
              </w:rPr>
              <w:t>(14)</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834,225</w:t>
            </w: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5.96</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834,225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RTW Investments, LP </w:t>
            </w:r>
            <w:r>
              <w:rPr>
                <w:rFonts w:ascii="Times New Roman" w:cs="Times New Roman" w:eastAsia="Times New Roman" w:hAnsi="Times New Roman"/>
                <w:sz w:val="13"/>
                <w:szCs w:val="13"/>
                <w:color w:val="auto"/>
              </w:rPr>
              <w:t>(15)</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9"/>
              </w:rPr>
              <w:t>1,071,406</w:t>
            </w:r>
          </w:p>
        </w:tc>
        <w:tc>
          <w:tcPr>
            <w:tcW w:w="9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7.66</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1,071,406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Entities affiliated with Cormorant Asset Management, LP </w:t>
            </w:r>
            <w:r>
              <w:rPr>
                <w:rFonts w:ascii="Times New Roman" w:cs="Times New Roman" w:eastAsia="Times New Roman" w:hAnsi="Times New Roman"/>
                <w:sz w:val="13"/>
                <w:szCs w:val="13"/>
                <w:color w:val="auto"/>
              </w:rPr>
              <w:t>(16)</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714,268</w:t>
            </w:r>
          </w:p>
        </w:tc>
        <w:tc>
          <w:tcPr>
            <w:tcW w:w="96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5.10</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714,268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64135</wp:posOffset>
            </wp:positionV>
            <wp:extent cx="6515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12" w:lineRule="exact"/>
        <w:rPr>
          <w:sz w:val="20"/>
          <w:szCs w:val="20"/>
          <w:color w:val="auto"/>
        </w:rPr>
      </w:pPr>
    </w:p>
    <w:p>
      <w:pPr>
        <w:ind w:left="1280" w:hanging="360"/>
        <w:spacing w:after="0"/>
        <w:tabs>
          <w:tab w:leader="none" w:pos="128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beneficial ownership of less than one percent.</w:t>
      </w:r>
    </w:p>
    <w:p>
      <w:pPr>
        <w:spacing w:after="0" w:line="214" w:lineRule="exact"/>
        <w:rPr>
          <w:sz w:val="20"/>
          <w:szCs w:val="20"/>
          <w:color w:val="auto"/>
        </w:rPr>
      </w:pPr>
    </w:p>
    <w:p>
      <w:pPr>
        <w:ind w:left="1280" w:right="40" w:hanging="360"/>
        <w:spacing w:after="0" w:line="239"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1,750 shares of common stock held directly by Dr. Azamian (ii) 672,575 shares of common stock issuable pursuant to options held directly by Dr. Azamian exercisable within 60 days of September 30, 2020, and (iii) 1,233,271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175" w:lineRule="exact"/>
        <w:rPr>
          <w:rFonts w:ascii="Times New Roman" w:cs="Times New Roman" w:eastAsia="Times New Roman" w:hAnsi="Times New Roman"/>
          <w:sz w:val="12"/>
          <w:szCs w:val="12"/>
          <w:color w:val="auto"/>
        </w:rPr>
      </w:pPr>
    </w:p>
    <w:p>
      <w:pPr>
        <w:ind w:left="1280" w:right="780" w:hanging="360"/>
        <w:spacing w:after="0" w:line="257"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1,228,924 shares of common stock held directly by Dr. Ackermann and (ii) 235,401 shares of common stock issuable pursuant to options held directly by Dr. Ackermann exercisable within 60 days of September 30, 2020.</w:t>
      </w:r>
    </w:p>
    <w:p>
      <w:pPr>
        <w:spacing w:after="0" w:line="165" w:lineRule="exact"/>
        <w:rPr>
          <w:rFonts w:ascii="Times New Roman" w:cs="Times New Roman" w:eastAsia="Times New Roman" w:hAnsi="Times New Roman"/>
          <w:sz w:val="12"/>
          <w:szCs w:val="12"/>
          <w:color w:val="auto"/>
        </w:rPr>
      </w:pPr>
    </w:p>
    <w:p>
      <w:pPr>
        <w:ind w:left="1280" w:right="80" w:hanging="360"/>
        <w:spacing w:after="0" w:line="234"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1,752,183 shares of common stock held by Horowitz Limited Partnership VIII and (ii) 25,273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w:t>
      </w:r>
    </w:p>
    <w:p>
      <w:pPr>
        <w:spacing w:after="0" w:line="176" w:lineRule="exact"/>
        <w:rPr>
          <w:rFonts w:ascii="Times New Roman" w:cs="Times New Roman" w:eastAsia="Times New Roman" w:hAnsi="Times New Roman"/>
          <w:sz w:val="12"/>
          <w:szCs w:val="12"/>
          <w:color w:val="auto"/>
        </w:rPr>
      </w:pPr>
    </w:p>
    <w:p>
      <w:pPr>
        <w:ind w:left="1280" w:right="40" w:hanging="360"/>
        <w:spacing w:after="0" w:line="239"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134,632 shares of common stock held directly by Dr. Link and (ii) 1,112,301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175" w:lineRule="exact"/>
        <w:rPr>
          <w:rFonts w:ascii="Times New Roman" w:cs="Times New Roman" w:eastAsia="Times New Roman" w:hAnsi="Times New Roman"/>
          <w:sz w:val="12"/>
          <w:szCs w:val="12"/>
          <w:color w:val="auto"/>
        </w:rPr>
      </w:pPr>
    </w:p>
    <w:p>
      <w:pPr>
        <w:ind w:left="1280" w:right="240" w:hanging="360"/>
        <w:spacing w:after="0" w:line="257"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67,316 shares of common stock held directly by Mr. Greenstein and (ii) 50,941 shares of common stock issuable pursuant to options held directly by Mr. Greenstein exercisable within 60 days of September 30, 2020.</w:t>
      </w:r>
    </w:p>
    <w:p>
      <w:pPr>
        <w:spacing w:after="0" w:line="165" w:lineRule="exact"/>
        <w:rPr>
          <w:rFonts w:ascii="Times New Roman" w:cs="Times New Roman" w:eastAsia="Times New Roman" w:hAnsi="Times New Roman"/>
          <w:sz w:val="12"/>
          <w:szCs w:val="12"/>
          <w:color w:val="auto"/>
        </w:rPr>
      </w:pPr>
    </w:p>
    <w:p>
      <w:pPr>
        <w:ind w:left="1280" w:right="120" w:hanging="360"/>
        <w:spacing w:after="0" w:line="257"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49,864 shares of common stock held directly by Mr. Neervannan and (ii) 51,660 shares of common stock issuable pursuant to options held directly by Mr. Neervannan exercisable within 60 days of September 30, 2020.</w:t>
      </w:r>
    </w:p>
    <w:p>
      <w:pPr>
        <w:spacing w:after="0" w:line="165" w:lineRule="exact"/>
        <w:rPr>
          <w:rFonts w:ascii="Times New Roman" w:cs="Times New Roman" w:eastAsia="Times New Roman" w:hAnsi="Times New Roman"/>
          <w:sz w:val="12"/>
          <w:szCs w:val="12"/>
          <w:color w:val="auto"/>
        </w:rPr>
      </w:pPr>
    </w:p>
    <w:p>
      <w:pPr>
        <w:ind w:left="1280" w:right="360" w:hanging="360"/>
        <w:spacing w:after="0" w:line="257"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53,853 shares of common stock held directly by Mr. Mottiwala and (ii) 2,767 shares of common stock issuable pursuant to options held directly by Mr. Mottiwala exercisable within 60 days of September 30, 2020.</w:t>
      </w:r>
    </w:p>
    <w:p>
      <w:pPr>
        <w:spacing w:after="0" w:line="165"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86,734 shares of common stock issuable pursuant to options held directly by Mr. Holdbrook exercisable within 60 days of September 30, 2020.</w:t>
      </w:r>
    </w:p>
    <w:p>
      <w:pPr>
        <w:spacing w:after="0" w:line="196" w:lineRule="exact"/>
        <w:rPr>
          <w:rFonts w:ascii="Times New Roman" w:cs="Times New Roman" w:eastAsia="Times New Roman" w:hAnsi="Times New Roman"/>
          <w:sz w:val="12"/>
          <w:szCs w:val="12"/>
          <w:color w:val="auto"/>
        </w:rPr>
      </w:pPr>
    </w:p>
    <w:p>
      <w:pPr>
        <w:ind w:left="1280" w:hanging="360"/>
        <w:spacing w:after="0"/>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footnotes (1) through (8) above.</w:t>
      </w:r>
    </w:p>
    <w:p>
      <w:pPr>
        <w:spacing w:after="0" w:line="196" w:lineRule="exact"/>
        <w:rPr>
          <w:rFonts w:ascii="Times New Roman" w:cs="Times New Roman" w:eastAsia="Times New Roman" w:hAnsi="Times New Roman"/>
          <w:sz w:val="12"/>
          <w:szCs w:val="12"/>
          <w:color w:val="auto"/>
        </w:rPr>
      </w:pPr>
    </w:p>
    <w:p>
      <w:pPr>
        <w:ind w:left="1280" w:right="220" w:hanging="360"/>
        <w:spacing w:after="0" w:line="234"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1,752,183 shares of common stock held by Horowitz Limited Partnership VIII and (ii) 50,547 shares of common stock held by Adam S. Horowitz Revocable Trust.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The principal business address of Horowitz Limited Partnership VIII is 27241 La Paz Road, Suite B, Laguna Niguel, CA 92677.</w:t>
      </w:r>
    </w:p>
    <w:p>
      <w:pPr>
        <w:spacing w:after="0" w:line="176" w:lineRule="exact"/>
        <w:rPr>
          <w:rFonts w:ascii="Times New Roman" w:cs="Times New Roman" w:eastAsia="Times New Roman" w:hAnsi="Times New Roman"/>
          <w:sz w:val="12"/>
          <w:szCs w:val="12"/>
          <w:color w:val="auto"/>
        </w:rPr>
      </w:pPr>
    </w:p>
    <w:p>
      <w:pPr>
        <w:ind w:left="1280" w:right="140" w:hanging="360"/>
        <w:spacing w:after="0" w:line="234" w:lineRule="auto"/>
        <w:tabs>
          <w:tab w:leader="none" w:pos="12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2,995,035 shares of common stock held of record by Vivo Capital Fund IX, L.P. Vivo Capital IX, LLC is the general partner of Vivo Capital Fund IX, L.P. The voting members of Vivo Capital IX, LLC are Frank Kung, Edgar Engleman, Shan Fu, Jack Nielsen and Michael Chang.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101" w:lineRule="exact"/>
        <w:rPr>
          <w:rFonts w:ascii="Times New Roman" w:cs="Times New Roman" w:eastAsia="Times New Roman" w:hAnsi="Times New Roman"/>
          <w:sz w:val="12"/>
          <w:szCs w:val="12"/>
          <w:color w:val="auto"/>
        </w:rPr>
      </w:pPr>
    </w:p>
    <w:p>
      <w:pPr>
        <w:ind w:left="5500" w:hanging="81"/>
        <w:spacing w:after="0"/>
        <w:tabs>
          <w:tab w:leader="none" w:pos="5500" w:val="left"/>
        </w:tabs>
        <w:numPr>
          <w:ilvl w:val="1"/>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190 -</w:t>
      </w:r>
    </w:p>
    <w:p>
      <w:pPr>
        <w:sectPr>
          <w:pgSz w:w="11900" w:h="16838" w:orient="portrait"/>
          <w:cols w:equalWidth="0" w:num="1">
            <w:col w:w="10340"/>
          </w:cols>
          <w:pgMar w:left="320" w:top="410" w:right="1239" w:bottom="1440" w:gutter="0" w:footer="0" w:header="0"/>
        </w:sectPr>
      </w:pPr>
    </w:p>
    <w:bookmarkStart w:id="193" w:name="page194"/>
    <w:bookmarkEnd w:id="19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4" w:lineRule="exact"/>
        <w:rPr>
          <w:sz w:val="20"/>
          <w:szCs w:val="20"/>
          <w:color w:val="auto"/>
        </w:rPr>
      </w:pPr>
    </w:p>
    <w:p>
      <w:pPr>
        <w:ind w:left="1280" w:hanging="360"/>
        <w:spacing w:after="0"/>
        <w:tabs>
          <w:tab w:leader="none" w:pos="128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1,112,301 shares of common stock owned by Flying L Investments XI, LLC. Dr. Link is the Manager of Flying L Investments XI, LLC, and in his capacity as such,</w:t>
      </w:r>
    </w:p>
    <w:p>
      <w:pPr>
        <w:spacing w:after="0" w:line="2" w:lineRule="exact"/>
        <w:rPr>
          <w:rFonts w:ascii="Times New Roman" w:cs="Times New Roman" w:eastAsia="Times New Roman" w:hAnsi="Times New Roman"/>
          <w:sz w:val="12"/>
          <w:szCs w:val="12"/>
          <w:color w:val="auto"/>
        </w:rPr>
      </w:pPr>
    </w:p>
    <w:p>
      <w:pPr>
        <w:ind w:left="1280" w:right="80"/>
        <w:spacing w:after="0" w:line="23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175" w:lineRule="exact"/>
        <w:rPr>
          <w:rFonts w:ascii="Times New Roman" w:cs="Times New Roman" w:eastAsia="Times New Roman" w:hAnsi="Times New Roman"/>
          <w:sz w:val="12"/>
          <w:szCs w:val="12"/>
          <w:color w:val="auto"/>
        </w:rPr>
      </w:pPr>
    </w:p>
    <w:p>
      <w:pPr>
        <w:ind w:left="1280" w:right="80" w:hanging="360"/>
        <w:spacing w:after="0" w:line="234" w:lineRule="auto"/>
        <w:tabs>
          <w:tab w:leader="none" w:pos="128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1,604,657 shares of common stock owned by Frazier Life Sciences IX, L.P., or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176" w:lineRule="exact"/>
        <w:rPr>
          <w:rFonts w:ascii="Times New Roman" w:cs="Times New Roman" w:eastAsia="Times New Roman" w:hAnsi="Times New Roman"/>
          <w:sz w:val="12"/>
          <w:szCs w:val="12"/>
          <w:color w:val="auto"/>
        </w:rPr>
      </w:pPr>
    </w:p>
    <w:p>
      <w:pPr>
        <w:ind w:left="1280" w:hanging="360"/>
        <w:spacing w:after="0" w:line="234" w:lineRule="auto"/>
        <w:tabs>
          <w:tab w:leader="none" w:pos="128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627,671 shares of common stock held by Visionary Venture Fund II (QP), LP and (ii) 206,554 shares of common stock owned by Visionary Venture Fund II, LP. VMP Investments, Inc. is the manager of Visionary Venture Fund II, LP and Visionary Venture Fund II (QP). Jeffry K Weinhuff is the President of VMP Investments, Inc. and disclaims beneficial ownership of the shares held by Visionary Venture Fund II, LP and Visionary Venture Fund II (QP) except to the extent of his pecuniary interest in such shares. The principal business address of Visionary Venture Fund II, LP is 65 Enterprise, Suite 330, Aliso Viejo, CA 92656.</w:t>
      </w:r>
    </w:p>
    <w:p>
      <w:pPr>
        <w:spacing w:after="0" w:line="176" w:lineRule="exact"/>
        <w:rPr>
          <w:rFonts w:ascii="Times New Roman" w:cs="Times New Roman" w:eastAsia="Times New Roman" w:hAnsi="Times New Roman"/>
          <w:sz w:val="12"/>
          <w:szCs w:val="12"/>
          <w:color w:val="auto"/>
        </w:rPr>
      </w:pPr>
    </w:p>
    <w:p>
      <w:pPr>
        <w:ind w:left="1280" w:hanging="360"/>
        <w:spacing w:after="0" w:line="230" w:lineRule="auto"/>
        <w:tabs>
          <w:tab w:leader="none" w:pos="128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1,071,406 shares of common stock held in the aggregate by RTW Master Fund, Ltd., RTW Innovation Master Fund, Ltd. and RTW Venture Fund Limited, or the Funds. The Funds are managed by RTW Investments, LP, or the Adviser. The Adviser, in its capacity as the investment manager of the Funds, has the power to vote and the power to direct the disposition of the shares held by the Funds. Accordingly, the Adviser may be deemed to be the beneficial owner of such securities. Roderick Wong, M.D., as the Managing Partner of the Adviser, has the power to direct the vote and disposition of the securities held by the Adviser. Dr. Wong disclaims beneficial ownership of the shares held by the Funds, except to the extent of his pecuniary interest therein. The address and principal office of RTW Investments, LP is 40 10th Avenue, Floor 7, New York, NY 10014, and the address of Dr. Wong and each of the Funds is c/o RTW Investments, LP, 40 10th Avenue, Floor 7, New York, NY 10014.</w:t>
      </w:r>
    </w:p>
    <w:p>
      <w:pPr>
        <w:spacing w:after="0" w:line="174" w:lineRule="exact"/>
        <w:rPr>
          <w:rFonts w:ascii="Times New Roman" w:cs="Times New Roman" w:eastAsia="Times New Roman" w:hAnsi="Times New Roman"/>
          <w:sz w:val="12"/>
          <w:szCs w:val="12"/>
          <w:color w:val="auto"/>
        </w:rPr>
      </w:pPr>
    </w:p>
    <w:p>
      <w:pPr>
        <w:ind w:left="1280" w:right="20" w:hanging="360"/>
        <w:spacing w:after="0" w:line="226" w:lineRule="auto"/>
        <w:tabs>
          <w:tab w:leader="none" w:pos="128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351,849 shares of common stock held by Cormorant Private Healthcare Fund III, LP, or Cormorant PHF III, (ii) 281,422 shares of common stock held by Cormorant Private Healthcare Fund II, LP, or Cormorant PHF II, (iii) 75,498 shares of common stock held by Cormorant Global Healthcare Master Fund, LP, or Cormorant GHMF, and (iv) 5,499 shares of common stock held by CRMA SPV, L.P., or CRMA SPV.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 extent of its or hers pecuniary interest therein. The address of the principal business office of Cormorant PHF III, Cormorant PHF II, Cormorant GHMF and CRMA SPV is 200 Clarendon Street, 52nd Floor, Boston, MA 02116.</w:t>
      </w:r>
    </w:p>
    <w:p>
      <w:pPr>
        <w:spacing w:after="0" w:line="103" w:lineRule="exact"/>
        <w:rPr>
          <w:rFonts w:ascii="Times New Roman" w:cs="Times New Roman" w:eastAsia="Times New Roman" w:hAnsi="Times New Roman"/>
          <w:sz w:val="12"/>
          <w:szCs w:val="12"/>
          <w:color w:val="auto"/>
        </w:rPr>
      </w:pPr>
    </w:p>
    <w:p>
      <w:pPr>
        <w:ind w:left="5500" w:hanging="81"/>
        <w:spacing w:after="0"/>
        <w:tabs>
          <w:tab w:leader="none" w:pos="5500"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191 -</w:t>
      </w:r>
    </w:p>
    <w:p>
      <w:pPr>
        <w:sectPr>
          <w:pgSz w:w="11900" w:h="16838" w:orient="portrait"/>
          <w:cols w:equalWidth="0" w:num="1">
            <w:col w:w="10320"/>
          </w:cols>
          <w:pgMar w:left="320" w:top="410" w:right="1259" w:bottom="1440" w:gutter="0" w:footer="0" w:header="0"/>
        </w:sectPr>
      </w:pPr>
    </w:p>
    <w:bookmarkStart w:id="194" w:name="page195"/>
    <w:bookmarkEnd w:id="19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are filed as exhibits to the registration statement relating to this prospectus.</w:t>
      </w:r>
    </w:p>
    <w:p>
      <w:pPr>
        <w:spacing w:after="0" w:line="153" w:lineRule="exact"/>
        <w:rPr>
          <w:sz w:val="20"/>
          <w:szCs w:val="20"/>
          <w:color w:val="auto"/>
        </w:rPr>
      </w:pPr>
    </w:p>
    <w:p>
      <w:pPr>
        <w:ind w:left="920" w:right="80" w:firstLine="753"/>
        <w:spacing w:after="0" w:line="293" w:lineRule="auto"/>
        <w:rPr>
          <w:sz w:val="20"/>
          <w:szCs w:val="20"/>
          <w:color w:val="auto"/>
        </w:rPr>
      </w:pPr>
      <w:r>
        <w:rPr>
          <w:rFonts w:ascii="Times New Roman" w:cs="Times New Roman" w:eastAsia="Times New Roman" w:hAnsi="Times New Roman"/>
          <w:sz w:val="15"/>
          <w:szCs w:val="15"/>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32"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Upon the completion of this offering, our authorized capital stock will consist of 210,000,000 shares, all with a par value of $0.0001 per share, of which:</w:t>
      </w:r>
    </w:p>
    <w:p>
      <w:pPr>
        <w:spacing w:after="0" w:line="155" w:lineRule="exact"/>
        <w:rPr>
          <w:sz w:val="20"/>
          <w:szCs w:val="20"/>
          <w:color w:val="auto"/>
        </w:rPr>
      </w:pPr>
    </w:p>
    <w:p>
      <w:pPr>
        <w:ind w:left="2040" w:hanging="278"/>
        <w:spacing w:after="0"/>
        <w:tabs>
          <w:tab w:leader="none" w:pos="20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200,000,000 shares are designated common stock;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10,000,000 shares are designated preferred stock.</w:t>
      </w:r>
    </w:p>
    <w:p>
      <w:pPr>
        <w:spacing w:after="0" w:line="196" w:lineRule="exact"/>
        <w:rPr>
          <w:sz w:val="20"/>
          <w:szCs w:val="20"/>
          <w:color w:val="auto"/>
        </w:rPr>
      </w:pPr>
    </w:p>
    <w:p>
      <w:pPr>
        <w:jc w:val="both"/>
        <w:ind w:left="920" w:right="500" w:firstLine="847"/>
        <w:spacing w:after="0" w:line="275" w:lineRule="auto"/>
        <w:rPr>
          <w:sz w:val="20"/>
          <w:szCs w:val="20"/>
          <w:color w:val="auto"/>
        </w:rPr>
      </w:pPr>
      <w:r>
        <w:rPr>
          <w:rFonts w:ascii="Times New Roman" w:cs="Times New Roman" w:eastAsia="Times New Roman" w:hAnsi="Times New Roman"/>
          <w:sz w:val="15"/>
          <w:szCs w:val="15"/>
          <w:color w:val="auto"/>
        </w:rPr>
        <w:t>As of June 30, 2020, after giving effect to the conversion of all of our 11,107,018 outstanding shares of preferred stock, including 2,857,079 shares of Series C preferred stock issued in September 2020, into an aggregate of 11,107,018 shares of our common stock, there were outstanding:</w:t>
      </w:r>
    </w:p>
    <w:p>
      <w:pPr>
        <w:spacing w:after="0" w:line="168" w:lineRule="exact"/>
        <w:rPr>
          <w:sz w:val="20"/>
          <w:szCs w:val="20"/>
          <w:color w:val="auto"/>
        </w:rPr>
      </w:pPr>
    </w:p>
    <w:p>
      <w:pPr>
        <w:ind w:left="2040" w:right="100" w:hanging="278"/>
        <w:spacing w:after="0" w:line="293" w:lineRule="auto"/>
        <w:tabs>
          <w:tab w:leader="none" w:pos="20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13,759,014 shares of our common stock (which excludes 67,316 shares of common stock that are not outstanding as they are subject to a right of repurchase) held of record by 28 stockholders; and</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1,230,701 shares of our common stock issuable upon exercise of outstanding stock options.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200"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200" w:lineRule="exact"/>
        <w:rPr>
          <w:sz w:val="20"/>
          <w:szCs w:val="20"/>
          <w:color w:val="auto"/>
        </w:rPr>
      </w:pPr>
    </w:p>
    <w:p>
      <w:pPr>
        <w:ind w:left="920" w:right="80" w:firstLine="753"/>
        <w:spacing w:after="0" w:line="265" w:lineRule="auto"/>
        <w:rPr>
          <w:sz w:val="20"/>
          <w:szCs w:val="20"/>
          <w:color w:val="auto"/>
        </w:rPr>
      </w:pPr>
      <w:r>
        <w:rPr>
          <w:rFonts w:ascii="Times New Roman" w:cs="Times New Roman" w:eastAsia="Times New Roman" w:hAnsi="Times New Roman"/>
          <w:sz w:val="15"/>
          <w:szCs w:val="15"/>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No Preemptive or Similar Rights</w:t>
      </w:r>
    </w:p>
    <w:p>
      <w:pPr>
        <w:spacing w:after="0" w:line="200"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5"/>
          <w:szCs w:val="15"/>
          <w:color w:val="auto"/>
        </w:rPr>
        <w:t>Our common stock is not entitled to preemptive rights and is not subject to conversion, redemption or sinking fund provisions.</w:t>
      </w:r>
    </w:p>
    <w:p>
      <w:pPr>
        <w:spacing w:after="0" w:line="13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color w:val="auto"/>
        </w:rPr>
        <w:t>-192-</w:t>
      </w:r>
    </w:p>
    <w:p>
      <w:pPr>
        <w:sectPr>
          <w:pgSz w:w="11900" w:h="16838" w:orient="portrait"/>
          <w:cols w:equalWidth="0" w:num="1">
            <w:col w:w="10280"/>
          </w:cols>
          <w:pgMar w:left="320" w:top="410" w:right="1299" w:bottom="1440" w:gutter="0" w:footer="0" w:header="0"/>
        </w:sectPr>
      </w:pPr>
    </w:p>
    <w:bookmarkStart w:id="195" w:name="page196"/>
    <w:bookmarkEnd w:id="19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Right to Receive Liquidation Distributions</w:t>
      </w:r>
    </w:p>
    <w:p>
      <w:pPr>
        <w:spacing w:after="0" w:line="200" w:lineRule="exact"/>
        <w:rPr>
          <w:sz w:val="20"/>
          <w:szCs w:val="20"/>
          <w:color w:val="auto"/>
        </w:rPr>
      </w:pPr>
    </w:p>
    <w:p>
      <w:pPr>
        <w:jc w:val="both"/>
        <w:ind w:left="920" w:right="220" w:firstLine="753"/>
        <w:spacing w:after="0" w:line="275" w:lineRule="auto"/>
        <w:rPr>
          <w:sz w:val="20"/>
          <w:szCs w:val="20"/>
          <w:color w:val="auto"/>
        </w:rPr>
      </w:pPr>
      <w:r>
        <w:rPr>
          <w:rFonts w:ascii="Times New Roman" w:cs="Times New Roman" w:eastAsia="Times New Roman" w:hAnsi="Times New Roman"/>
          <w:sz w:val="15"/>
          <w:szCs w:val="15"/>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200"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As of June 30, 2020, there were options to purchase 1,230,701 shares of our common stock outstanding, with an average exercise price of $1.60, all of which were subject to options granted under our 2016 Plan.</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200" w:lineRule="exact"/>
        <w:rPr>
          <w:sz w:val="20"/>
          <w:szCs w:val="20"/>
          <w:color w:val="auto"/>
        </w:rPr>
      </w:pPr>
    </w:p>
    <w:p>
      <w:pPr>
        <w:ind w:left="920" w:right="60" w:firstLine="753"/>
        <w:spacing w:after="0" w:line="272" w:lineRule="auto"/>
        <w:rPr>
          <w:sz w:val="20"/>
          <w:szCs w:val="20"/>
          <w:color w:val="auto"/>
        </w:rPr>
      </w:pPr>
      <w:r>
        <w:rPr>
          <w:rFonts w:ascii="Times New Roman" w:cs="Times New Roman" w:eastAsia="Times New Roman" w:hAnsi="Times New Roman"/>
          <w:sz w:val="15"/>
          <w:szCs w:val="15"/>
          <w:color w:val="auto"/>
        </w:rPr>
        <w:t>Following the completion of this offering, the holders of 11,107,018 shares of our common stock issued upon the conversion of our preferred stock will be entitled to contractual rights to require us to register those shares under the Securities Act. These registration rights are provided under the terms of our amended and restated investors’ rights agreement between us and the holders of these shares, which we entered into on September 24, 2020.</w:t>
      </w:r>
    </w:p>
    <w:p>
      <w:pPr>
        <w:spacing w:after="0" w:line="336" w:lineRule="exact"/>
        <w:rPr>
          <w:sz w:val="20"/>
          <w:szCs w:val="20"/>
          <w:color w:val="auto"/>
        </w:rPr>
      </w:pPr>
    </w:p>
    <w:p>
      <w:pPr>
        <w:ind w:left="920" w:right="80" w:firstLine="753"/>
        <w:spacing w:after="0" w:line="265" w:lineRule="auto"/>
        <w:rPr>
          <w:sz w:val="20"/>
          <w:szCs w:val="20"/>
          <w:color w:val="auto"/>
        </w:rPr>
      </w:pPr>
      <w:r>
        <w:rPr>
          <w:rFonts w:ascii="Times New Roman" w:cs="Times New Roman" w:eastAsia="Times New Roman" w:hAnsi="Times New Roman"/>
          <w:sz w:val="15"/>
          <w:szCs w:val="15"/>
          <w:color w:val="auto"/>
        </w:rPr>
        <w:t>We will pay all expenses relating to any demand or piggyback registration described below, other than underwriting discounts and commissions. The registration rights terminate upon the earliest to occur of: (i) the fifth anniversary of the completion of this offering; (ii) a liquidation event; or (iii) with respect to the registration rights of an individual holder, such earlier time after this offering at which the holder (a) can sell all of its shares in compliance with Rule 144(b)(1)(i) or (b) holds one percent or less of our outstanding common stock and all shares held by the holder can be sold in any three-month period without registration in compliance with Rule 144.</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200" w:lineRule="exact"/>
        <w:rPr>
          <w:sz w:val="20"/>
          <w:szCs w:val="20"/>
          <w:color w:val="auto"/>
        </w:rPr>
      </w:pPr>
    </w:p>
    <w:p>
      <w:pPr>
        <w:jc w:val="both"/>
        <w:ind w:left="920" w:right="60" w:firstLine="753"/>
        <w:spacing w:after="0" w:line="261" w:lineRule="auto"/>
        <w:rPr>
          <w:sz w:val="20"/>
          <w:szCs w:val="20"/>
          <w:color w:val="auto"/>
        </w:rPr>
      </w:pPr>
      <w:r>
        <w:rPr>
          <w:rFonts w:ascii="Times New Roman" w:cs="Times New Roman" w:eastAsia="Times New Roman" w:hAnsi="Times New Roman"/>
          <w:sz w:val="15"/>
          <w:szCs w:val="15"/>
          <w:color w:val="auto"/>
        </w:rPr>
        <w:t>The holders of the registrable securities will be entitled to certain demand registration rights. At any time beginning six months following the effectiveness of this offering, the holders of 30% or more of the registrable securities then outstanding may make a written request that we register some or all of their registrable securities, subject to certain specified conditions and exceptions. We are required to use commercially reasonable efforts to effect the registration and will pay all registration expenses, other than underwriting discounts and commissions, related to any demand registration.</w:t>
      </w:r>
    </w:p>
    <w:p>
      <w:pPr>
        <w:spacing w:after="0" w:line="2" w:lineRule="exact"/>
        <w:rPr>
          <w:sz w:val="20"/>
          <w:szCs w:val="20"/>
          <w:color w:val="auto"/>
        </w:rPr>
      </w:pPr>
    </w:p>
    <w:p>
      <w:pPr>
        <w:ind w:left="920" w:right="20"/>
        <w:spacing w:after="0" w:line="273" w:lineRule="auto"/>
        <w:rPr>
          <w:sz w:val="20"/>
          <w:szCs w:val="20"/>
          <w:color w:val="auto"/>
        </w:rPr>
      </w:pPr>
      <w:r>
        <w:rPr>
          <w:rFonts w:ascii="Times New Roman" w:cs="Times New Roman" w:eastAsia="Times New Roman" w:hAnsi="Times New Roman"/>
          <w:sz w:val="15"/>
          <w:szCs w:val="15"/>
          <w:color w:val="auto"/>
        </w:rPr>
        <w:t>Such request for registration must cover securities with an aggregate offering price of at least $20,000,000. We are not obligated to effect more than two of these registrations.</w:t>
      </w:r>
    </w:p>
    <w:p>
      <w:pPr>
        <w:spacing w:after="0" w:line="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-193-</w:t>
      </w:r>
    </w:p>
    <w:p>
      <w:pPr>
        <w:sectPr>
          <w:pgSz w:w="11900" w:h="16838" w:orient="portrait"/>
          <w:cols w:equalWidth="0" w:num="1">
            <w:col w:w="10280"/>
          </w:cols>
          <w:pgMar w:left="320" w:top="410" w:right="1299" w:bottom="1440" w:gutter="0" w:footer="0" w:header="0"/>
        </w:sectPr>
      </w:pPr>
    </w:p>
    <w:bookmarkStart w:id="196" w:name="page197"/>
    <w:bookmarkEnd w:id="19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Piggyback Registration Rights</w:t>
      </w:r>
    </w:p>
    <w:p>
      <w:pPr>
        <w:spacing w:after="0" w:line="200"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In connection with this offering, holders of our registrable securities were entitled to, and the necessary percentage of holders waived, their rights to notice of this offering and to include their registrable securities in this offering. If we propose to register any of our securities under the Securities Act either for our own account or for the account of other stockholders in another offering, the holders of shares having registration rights will, subject to certain exceptions, be entitled to include their shares in our registration statement, provided that the underwriters of any such offering have the right to limit the number of shares included in the registration. These registration rights are subject to specified other conditions and limitations as set forth in our amended and restated investors’ rights agreement.</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Form S-3 Registration Rights</w:t>
      </w:r>
    </w:p>
    <w:p>
      <w:pPr>
        <w:spacing w:after="0" w:line="200"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At any time after we are qualified to file a registration statement on Form S-3, and subject to limitations and conditions specified in the amended and restated investors’ rights agreement, the holders of 25% or more of the registrable securities then outstanding may make a written request that we prepare and file a registration statement on Form S-3 under the Securities Act covering their shares, so long as the aggregate price to the public is at least $10,000,000. We are not obligated to effect more than two of these Form S-3 registrations in any 12-month period. Such holders will pay pro rata all expenses related to filing a registration statement on Form S-3.</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Delaware Law</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178" w:lineRule="exact"/>
        <w:rPr>
          <w:sz w:val="20"/>
          <w:szCs w:val="20"/>
          <w:color w:val="auto"/>
        </w:rPr>
      </w:pPr>
    </w:p>
    <w:p>
      <w:pPr>
        <w:ind w:left="2040" w:hanging="278"/>
        <w:spacing w:after="0"/>
        <w:tabs>
          <w:tab w:leader="none" w:pos="20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is approved by the board of directors prior to the time that the interested stockholder became an interested stockholder;</w:t>
      </w:r>
    </w:p>
    <w:p>
      <w:pPr>
        <w:spacing w:after="0" w:line="219" w:lineRule="exact"/>
        <w:rPr>
          <w:rFonts w:ascii="Times New Roman" w:cs="Times New Roman" w:eastAsia="Times New Roman" w:hAnsi="Times New Roman"/>
          <w:sz w:val="15"/>
          <w:szCs w:val="15"/>
          <w:color w:val="auto"/>
        </w:rPr>
      </w:pPr>
    </w:p>
    <w:p>
      <w:pPr>
        <w:ind w:left="2040" w:hanging="278"/>
        <w:spacing w:after="0" w:line="265" w:lineRule="auto"/>
        <w:tabs>
          <w:tab w:leader="none" w:pos="20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77" w:lineRule="exact"/>
        <w:rPr>
          <w:rFonts w:ascii="Times New Roman" w:cs="Times New Roman" w:eastAsia="Times New Roman" w:hAnsi="Times New Roman"/>
          <w:sz w:val="15"/>
          <w:szCs w:val="15"/>
          <w:color w:val="auto"/>
        </w:rPr>
      </w:pPr>
    </w:p>
    <w:p>
      <w:pPr>
        <w:ind w:left="2040" w:right="40" w:hanging="278"/>
        <w:spacing w:after="0" w:line="275" w:lineRule="auto"/>
        <w:tabs>
          <w:tab w:leader="none" w:pos="2040"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45" w:lineRule="exact"/>
        <w:rPr>
          <w:sz w:val="20"/>
          <w:szCs w:val="20"/>
          <w:color w:val="auto"/>
        </w:rPr>
      </w:pPr>
    </w:p>
    <w:p>
      <w:pPr>
        <w:jc w:val="both"/>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-194-</w:t>
      </w:r>
    </w:p>
    <w:p>
      <w:pPr>
        <w:sectPr>
          <w:pgSz w:w="11900" w:h="16838" w:orient="portrait"/>
          <w:cols w:equalWidth="0" w:num="1">
            <w:col w:w="10320"/>
          </w:cols>
          <w:pgMar w:left="320" w:top="410" w:right="1259" w:bottom="1440" w:gutter="0" w:footer="0" w:header="0"/>
        </w:sectPr>
      </w:pPr>
    </w:p>
    <w:bookmarkStart w:id="197" w:name="page198"/>
    <w:bookmarkEnd w:id="19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Certificate of Incorporation and Bylaw Provisions</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64" w:lineRule="exact"/>
        <w:rPr>
          <w:sz w:val="20"/>
          <w:szCs w:val="20"/>
          <w:color w:val="auto"/>
        </w:rPr>
      </w:pPr>
    </w:p>
    <w:p>
      <w:pPr>
        <w:ind w:left="2040" w:right="80" w:hanging="278"/>
        <w:spacing w:after="0" w:line="267" w:lineRule="auto"/>
        <w:tabs>
          <w:tab w:leader="none" w:pos="20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Board of Directors Vacancies. </w:t>
      </w:r>
      <w:r>
        <w:rPr>
          <w:rFonts w:ascii="Times New Roman" w:cs="Times New Roman" w:eastAsia="Times New Roman" w:hAnsi="Times New Roman"/>
          <w:sz w:val="15"/>
          <w:szCs w:val="15"/>
          <w:color w:val="auto"/>
        </w:rPr>
        <w:t>Our amended and restated certificate of incorporation and amended and restated bylaws will authorize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70" w:lineRule="exact"/>
        <w:rPr>
          <w:rFonts w:ascii="Times New Roman" w:cs="Times New Roman" w:eastAsia="Times New Roman" w:hAnsi="Times New Roman"/>
          <w:sz w:val="15"/>
          <w:szCs w:val="15"/>
          <w:color w:val="auto"/>
        </w:rPr>
      </w:pPr>
    </w:p>
    <w:p>
      <w:pPr>
        <w:ind w:left="2040" w:right="40" w:hanging="278"/>
        <w:spacing w:after="0" w:line="267" w:lineRule="auto"/>
        <w:tabs>
          <w:tab w:leader="none" w:pos="20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Classified Board. </w:t>
      </w:r>
      <w:r>
        <w:rPr>
          <w:rFonts w:ascii="Times New Roman" w:cs="Times New Roman" w:eastAsia="Times New Roman" w:hAnsi="Times New Roman"/>
          <w:sz w:val="15"/>
          <w:szCs w:val="15"/>
          <w:color w:val="auto"/>
        </w:rPr>
        <w:t>Our amended and restated certificate of incorporation and amended and restated bylaws will provide that our board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0" w:lineRule="exact"/>
        <w:rPr>
          <w:rFonts w:ascii="Times New Roman" w:cs="Times New Roman" w:eastAsia="Times New Roman" w:hAnsi="Times New Roman"/>
          <w:sz w:val="15"/>
          <w:szCs w:val="15"/>
          <w:color w:val="auto"/>
        </w:rPr>
      </w:pPr>
    </w:p>
    <w:p>
      <w:pPr>
        <w:ind w:left="2040" w:hanging="278"/>
        <w:spacing w:after="0" w:line="267" w:lineRule="auto"/>
        <w:tabs>
          <w:tab w:leader="none" w:pos="20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Stockholder Action; Special Meeting of Stockholders. </w:t>
      </w:r>
      <w:r>
        <w:rPr>
          <w:rFonts w:ascii="Times New Roman" w:cs="Times New Roman" w:eastAsia="Times New Roman" w:hAnsi="Times New Roman"/>
          <w:sz w:val="15"/>
          <w:szCs w:val="15"/>
          <w:color w:val="auto"/>
        </w:rPr>
        <w:t>Our amended and restated certificate of incorporation will provide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70" w:lineRule="exact"/>
        <w:rPr>
          <w:rFonts w:ascii="Times New Roman" w:cs="Times New Roman" w:eastAsia="Times New Roman" w:hAnsi="Times New Roman"/>
          <w:sz w:val="15"/>
          <w:szCs w:val="15"/>
          <w:color w:val="auto"/>
        </w:rPr>
      </w:pPr>
    </w:p>
    <w:p>
      <w:pPr>
        <w:ind w:left="2040" w:right="20" w:hanging="278"/>
        <w:spacing w:after="0" w:line="267" w:lineRule="auto"/>
        <w:tabs>
          <w:tab w:leader="none" w:pos="20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Advance Notice Requirements for Stockholder Proposals and Director Nominations. </w:t>
      </w:r>
      <w:r>
        <w:rPr>
          <w:rFonts w:ascii="Times New Roman" w:cs="Times New Roman" w:eastAsia="Times New Roman" w:hAnsi="Times New Roman"/>
          <w:sz w:val="15"/>
          <w:szCs w:val="15"/>
          <w:color w:val="auto"/>
        </w:rPr>
        <w:t>Our amended and restated bylaws will provide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70" w:lineRule="exact"/>
        <w:rPr>
          <w:rFonts w:ascii="Times New Roman" w:cs="Times New Roman" w:eastAsia="Times New Roman" w:hAnsi="Times New Roman"/>
          <w:sz w:val="15"/>
          <w:szCs w:val="15"/>
          <w:color w:val="auto"/>
        </w:rPr>
      </w:pPr>
    </w:p>
    <w:p>
      <w:pPr>
        <w:ind w:left="2040" w:right="80" w:hanging="278"/>
        <w:spacing w:after="0" w:line="267" w:lineRule="auto"/>
        <w:tabs>
          <w:tab w:leader="none" w:pos="2040"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Issuance of Undesignated Preferred Stock. </w:t>
      </w:r>
      <w:r>
        <w:rPr>
          <w:rFonts w:ascii="Times New Roman" w:cs="Times New Roman" w:eastAsia="Times New Roman" w:hAnsi="Times New Roman"/>
          <w:sz w:val="15"/>
          <w:szCs w:val="15"/>
          <w:color w:val="auto"/>
        </w:rPr>
        <w:t>Our board of directors will have, the authority, without further action by the holders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to issue up to 1,346,329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200"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owed by any of our directors, officers, employees or stockholders to us or our stockholders; any action asserting a claim against us arising pursuant to the Delaware General Corporation Law, our amended and restated certificate of incorporation or our amended and restated bylaws or any action asserting a claim against us that is governed by the internal affairs</w:t>
      </w:r>
    </w:p>
    <w:p>
      <w:pPr>
        <w:spacing w:after="0" w:line="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-195-</w:t>
      </w:r>
    </w:p>
    <w:p>
      <w:pPr>
        <w:sectPr>
          <w:pgSz w:w="11900" w:h="16838" w:orient="portrait"/>
          <w:cols w:equalWidth="0" w:num="1">
            <w:col w:w="10300"/>
          </w:cols>
          <w:pgMar w:left="320" w:top="410" w:right="1279" w:bottom="1440" w:gutter="0" w:footer="0" w:header="0"/>
        </w:sectPr>
      </w:pPr>
    </w:p>
    <w:bookmarkStart w:id="198" w:name="page199"/>
    <w:bookmarkEnd w:id="19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4" w:lineRule="auto"/>
        <w:rPr>
          <w:sz w:val="20"/>
          <w:szCs w:val="20"/>
          <w:color w:val="auto"/>
        </w:rPr>
      </w:pPr>
      <w:r>
        <w:rPr>
          <w:rFonts w:ascii="Times New Roman" w:cs="Times New Roman" w:eastAsia="Times New Roman" w:hAnsi="Times New Roman"/>
          <w:sz w:val="15"/>
          <w:szCs w:val="15"/>
          <w:color w:val="auto"/>
        </w:rPr>
        <w:t>doctrine. Our amended and restated certificate of incorporation will also provide that the U.S. federal district courts will be the exclusive forum for resolving any complaint asserting a cause of action arising under the Securities Act. Some companies that adopted a similar federal district court forum selection provision were subject to a suit in the Chancery Court of Delaware by stockholders who asserted that the provision is not enforceable. While the Delaware Supreme Court held that such federal district court forum selection provision was in fact valid, there can be no assurance that federal courts or other state courts will follow the holding of the Delaware Supreme Court or determine that the our federal district court forum selection provision should be enforced in a particular case.</w:t>
      </w:r>
    </w:p>
    <w:p>
      <w:pPr>
        <w:spacing w:after="0" w:line="153"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54"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Upon the completion of this offering, the transfer agent and registrar for our common stock will be ComputerShare Trust Company, N.A.</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The transfer agent’s address is 462 South 4</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Street, Suite 1600, Louisville, KY 40202.</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have applied to list our common stock on the Nasdaq Global Market under the symbol “TARS.”</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-196-</w:t>
      </w:r>
    </w:p>
    <w:p>
      <w:pPr>
        <w:sectPr>
          <w:pgSz w:w="11900" w:h="16838" w:orient="portrait"/>
          <w:cols w:equalWidth="0" w:num="1">
            <w:col w:w="10220"/>
          </w:cols>
          <w:pgMar w:left="320" w:top="410" w:right="1359" w:bottom="1440" w:gutter="0" w:footer="0" w:header="0"/>
        </w:sectPr>
      </w:pPr>
    </w:p>
    <w:bookmarkStart w:id="199" w:name="page200"/>
    <w:bookmarkEnd w:id="19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200"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Before this offering, there has not been a public market for shares of our common stock and a liquid trading market for our common stock may not develop or be sustained after this offering.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through sales of equity securities in the future.</w:t>
      </w:r>
    </w:p>
    <w:p>
      <w:pPr>
        <w:spacing w:after="0" w:line="152"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Upon the closing of this offering, we will have outstanding 18,759,014 shares of our common stock, based on the number of shares outstanding as of June 30, 2020. This includes 5,000,000 shares of common stock that we are selling in this offering, which shares may be resold in the public market immediately unless purchased by our affiliates, excludes 67,316 shares subject to a right of repurchase, and assumes (i) no additional exercise of outstanding options other than as described elsewhere in this prospectus and (ii) the conversion of all of our 11,107,018 outstanding shares of our preferred stock, including the conversion of 2,857,079 shares of Series C preferred stock issued in September 2020, into an aggregate of 11,107,018 shares of our common stock upon the closing of this offering.</w:t>
      </w:r>
    </w:p>
    <w:p>
      <w:pPr>
        <w:spacing w:after="0" w:line="153" w:lineRule="exact"/>
        <w:rPr>
          <w:sz w:val="20"/>
          <w:szCs w:val="20"/>
          <w:color w:val="auto"/>
        </w:rPr>
      </w:pPr>
    </w:p>
    <w:p>
      <w:pPr>
        <w:ind w:left="920" w:right="160" w:firstLine="753"/>
        <w:spacing w:after="0" w:line="264" w:lineRule="auto"/>
        <w:rPr>
          <w:sz w:val="20"/>
          <w:szCs w:val="20"/>
          <w:color w:val="auto"/>
        </w:rPr>
      </w:pPr>
      <w:r>
        <w:rPr>
          <w:rFonts w:ascii="Times New Roman" w:cs="Times New Roman" w:eastAsia="Times New Roman" w:hAnsi="Times New Roman"/>
          <w:sz w:val="15"/>
          <w:szCs w:val="15"/>
          <w:color w:val="auto"/>
        </w:rPr>
        <w:t>Of these shares, all shares sold in this offering will be freely tradable without restriction under the Securities Act, unless purchased by our “affiliates,” as that term is defined in Rule 144 under the Securities Act. The remaining 13,759,014 shares of common stock (which excludes 67,316 shares that are subject to a right of repurchase) that are not sold in this offering will be “restricted securities,” as that term is defined in Rule 144 under the Securities Act, and we expect that substantially all of these restricted securities will be subject to the 180-day lock-up period under the lock-up agreements as described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53" w:lineRule="exact"/>
        <w:rPr>
          <w:sz w:val="20"/>
          <w:szCs w:val="20"/>
          <w:color w:val="auto"/>
        </w:rPr>
      </w:pPr>
    </w:p>
    <w:p>
      <w:pPr>
        <w:jc w:val="both"/>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In addition, we, our executive officers and directors, and all of our other security holders have entered into market standoff agreements with us or lock-up agreements with the underwriters under which they have agreed, subject to specific exceptions, not to sell any of our capital stock until at least 180 days after the date of this prospectus, as described below. As a result of these agreements and the provisions of our investors’ rights agreement disclosed in “Description of Capital Stock—Registration Rights,” subject to the provisions of Rule 144 or Rule 701, 18,759,014 shares will be available for sale in the public market as follows:</w:t>
      </w:r>
    </w:p>
    <w:p>
      <w:pPr>
        <w:spacing w:after="0" w:line="178" w:lineRule="exact"/>
        <w:rPr>
          <w:sz w:val="20"/>
          <w:szCs w:val="20"/>
          <w:color w:val="auto"/>
        </w:rPr>
      </w:pPr>
    </w:p>
    <w:p>
      <w:pPr>
        <w:ind w:left="2040" w:right="80" w:hanging="278"/>
        <w:spacing w:after="0" w:line="293" w:lineRule="auto"/>
        <w:tabs>
          <w:tab w:leader="none" w:pos="20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beginning on the date of this prospectus, the 5,000,000 shares sold in this offering will be immediately available for sale in the public market, unless purchased by our affiliates;</w:t>
      </w:r>
    </w:p>
    <w:p>
      <w:pPr>
        <w:spacing w:after="0" w:line="155" w:lineRule="exact"/>
        <w:rPr>
          <w:rFonts w:ascii="Times New Roman" w:cs="Times New Roman" w:eastAsia="Times New Roman" w:hAnsi="Times New Roman"/>
          <w:sz w:val="15"/>
          <w:szCs w:val="15"/>
          <w:color w:val="auto"/>
        </w:rPr>
      </w:pPr>
    </w:p>
    <w:p>
      <w:pPr>
        <w:ind w:left="2040" w:right="20" w:hanging="278"/>
        <w:spacing w:after="0" w:line="268" w:lineRule="auto"/>
        <w:tabs>
          <w:tab w:leader="none" w:pos="20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beginning 181 days after the date of this prospectus, 13,759,014 additional shares (which excludes 67,316 shares that are subject to a right of repurchase) will become eligible for sale in the public market, of which 10,309,606 shares will be held by our current officers, directors and greater than 10% stockholders, assuming that our existing stockholders do not participate in this offering, including pursuant to our reserved share program; and</w:t>
      </w:r>
    </w:p>
    <w:p>
      <w:pPr>
        <w:spacing w:after="0" w:line="174" w:lineRule="exact"/>
        <w:rPr>
          <w:rFonts w:ascii="Times New Roman" w:cs="Times New Roman" w:eastAsia="Times New Roman" w:hAnsi="Times New Roman"/>
          <w:sz w:val="15"/>
          <w:szCs w:val="15"/>
          <w:color w:val="auto"/>
        </w:rPr>
      </w:pPr>
    </w:p>
    <w:p>
      <w:pPr>
        <w:ind w:left="2040" w:right="380" w:hanging="278"/>
        <w:spacing w:after="0" w:line="293" w:lineRule="auto"/>
        <w:tabs>
          <w:tab w:leader="none" w:pos="20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remainder of the shares will be eligible for sale in the public market from time to time thereafter, subject in some cases to the volume and other restrictions of Rule 144, as described below.</w:t>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cannot estimate the number of shares of our common stock that our existing stockholders will elect to sell under Rule 144.</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200" w:lineRule="exact"/>
        <w:rPr>
          <w:sz w:val="20"/>
          <w:szCs w:val="20"/>
          <w:color w:val="auto"/>
        </w:rPr>
      </w:pPr>
    </w:p>
    <w:p>
      <w:pPr>
        <w:jc w:val="both"/>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Exchange Act, for at least 90 days before the</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-197-</w:t>
      </w:r>
    </w:p>
    <w:p>
      <w:pPr>
        <w:sectPr>
          <w:pgSz w:w="11900" w:h="16838" w:orient="portrait"/>
          <w:cols w:equalWidth="0" w:num="1">
            <w:col w:w="10320"/>
          </w:cols>
          <w:pgMar w:left="320" w:top="410" w:right="1259" w:bottom="1440" w:gutter="0" w:footer="0" w:header="0"/>
        </w:sectPr>
      </w:pPr>
    </w:p>
    <w:bookmarkStart w:id="200" w:name="page201"/>
    <w:bookmarkEnd w:id="20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4" w:lineRule="auto"/>
        <w:rPr>
          <w:sz w:val="20"/>
          <w:szCs w:val="20"/>
          <w:color w:val="auto"/>
        </w:rPr>
      </w:pPr>
      <w:r>
        <w:rPr>
          <w:rFonts w:ascii="Times New Roman" w:cs="Times New Roman" w:eastAsia="Times New Roman" w:hAnsi="Times New Roman"/>
          <w:sz w:val="15"/>
          <w:szCs w:val="15"/>
          <w:color w:val="auto"/>
        </w:rPr>
        <w:t>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76" w:lineRule="exact"/>
        <w:rPr>
          <w:sz w:val="20"/>
          <w:szCs w:val="20"/>
          <w:color w:val="auto"/>
        </w:rPr>
      </w:pPr>
    </w:p>
    <w:p>
      <w:pPr>
        <w:ind w:left="2040" w:hanging="278"/>
        <w:spacing w:after="0" w:line="293" w:lineRule="auto"/>
        <w:tabs>
          <w:tab w:leader="none" w:pos="20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number of shares of our capital stock then outstanding, which will equal 188,264 shares immediately after the completion of this offering, assuming no exercise by the underwriters of their option to purchase additional shares; or</w:t>
      </w:r>
    </w:p>
    <w:p>
      <w:pPr>
        <w:spacing w:after="0" w:line="155" w:lineRule="exact"/>
        <w:rPr>
          <w:rFonts w:ascii="Times New Roman" w:cs="Times New Roman" w:eastAsia="Times New Roman" w:hAnsi="Times New Roman"/>
          <w:sz w:val="15"/>
          <w:szCs w:val="15"/>
          <w:color w:val="auto"/>
        </w:rPr>
      </w:pPr>
    </w:p>
    <w:p>
      <w:pPr>
        <w:ind w:left="2040" w:right="20" w:hanging="278"/>
        <w:spacing w:after="0" w:line="293" w:lineRule="auto"/>
        <w:tabs>
          <w:tab w:leader="none" w:pos="2040"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trading volume of our common stock on Nasdaq during the four calendar weeks preceding the filing of a notice on Form 144 with respect to such sale.</w:t>
      </w:r>
    </w:p>
    <w:p>
      <w:pPr>
        <w:spacing w:after="0" w:line="132" w:lineRule="exact"/>
        <w:rPr>
          <w:sz w:val="20"/>
          <w:szCs w:val="20"/>
          <w:color w:val="auto"/>
        </w:rPr>
      </w:pPr>
    </w:p>
    <w:p>
      <w:pPr>
        <w:ind w:left="920" w:right="260"/>
        <w:spacing w:after="0" w:line="293" w:lineRule="auto"/>
        <w:rPr>
          <w:sz w:val="20"/>
          <w:szCs w:val="20"/>
          <w:color w:val="auto"/>
        </w:rPr>
      </w:pPr>
      <w:r>
        <w:rPr>
          <w:rFonts w:ascii="Times New Roman" w:cs="Times New Roman" w:eastAsia="Times New Roman" w:hAnsi="Times New Roman"/>
          <w:sz w:val="15"/>
          <w:szCs w:val="15"/>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200"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5"/>
          <w:szCs w:val="15"/>
          <w:color w:val="auto"/>
        </w:rPr>
        <w:t>Any of our employees, directors, officers, consultants, advisors or service providers, other than a person who is deemed to have been one of our affiliates during the immediately preceding 90 days, who purchased shares under a written compensatory plan or contract prior to this offering may be entitled to rely on the resale provisions of Rule 701. Rule 701, as currently in effect, permits resales of shares,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200"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In connection with this offering, we and each of our directors and officers and all of our other security holders have agreed that, without the prior written consent of BofA Securities, Inc. and Jefferies LLC, on behalf of the underwriters, we and they will not, subject to certain exceptions, during the period ending 180 days after the date of this prospectus:</w:t>
      </w:r>
    </w:p>
    <w:p>
      <w:pPr>
        <w:spacing w:after="0" w:line="168" w:lineRule="exact"/>
        <w:rPr>
          <w:sz w:val="20"/>
          <w:szCs w:val="20"/>
          <w:color w:val="auto"/>
        </w:rPr>
      </w:pPr>
    </w:p>
    <w:p>
      <w:pPr>
        <w:ind w:left="2040" w:right="120" w:hanging="278"/>
        <w:spacing w:after="0" w:line="268" w:lineRule="auto"/>
        <w:tabs>
          <w:tab w:leader="none" w:pos="20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174" w:lineRule="exact"/>
        <w:rPr>
          <w:rFonts w:ascii="Times New Roman" w:cs="Times New Roman" w:eastAsia="Times New Roman" w:hAnsi="Times New Roman"/>
          <w:sz w:val="15"/>
          <w:szCs w:val="15"/>
          <w:color w:val="auto"/>
        </w:rPr>
      </w:pPr>
    </w:p>
    <w:p>
      <w:pPr>
        <w:ind w:left="2040" w:right="160" w:hanging="278"/>
        <w:spacing w:after="0" w:line="275" w:lineRule="auto"/>
        <w:tabs>
          <w:tab w:leader="none" w:pos="20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167"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disclose the intention to do any of the foregoing.</w:t>
      </w:r>
    </w:p>
    <w:p>
      <w:pPr>
        <w:spacing w:after="0" w:line="138"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198 -</w:t>
      </w:r>
    </w:p>
    <w:p>
      <w:pPr>
        <w:sectPr>
          <w:pgSz w:w="11900" w:h="16838" w:orient="portrait"/>
          <w:cols w:equalWidth="0" w:num="1">
            <w:col w:w="10320"/>
          </w:cols>
          <w:pgMar w:left="320" w:top="410" w:right="1259" w:bottom="1440" w:gutter="0" w:footer="0" w:header="0"/>
        </w:sectPr>
      </w:pPr>
    </w:p>
    <w:bookmarkStart w:id="201" w:name="page202"/>
    <w:bookmarkEnd w:id="20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Each of our directors and executive officers and the holders of substantially all of our outstanding stock and stock options have also agreed during such 180-period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54"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200" w:lineRule="exact"/>
        <w:rPr>
          <w:sz w:val="20"/>
          <w:szCs w:val="20"/>
          <w:color w:val="auto"/>
        </w:rPr>
      </w:pPr>
    </w:p>
    <w:p>
      <w:pPr>
        <w:ind w:left="920" w:right="60" w:firstLine="753"/>
        <w:spacing w:after="0" w:line="264" w:lineRule="auto"/>
        <w:rPr>
          <w:sz w:val="20"/>
          <w:szCs w:val="20"/>
          <w:color w:val="auto"/>
        </w:rPr>
      </w:pPr>
      <w:r>
        <w:rPr>
          <w:rFonts w:ascii="Times New Roman" w:cs="Times New Roman" w:eastAsia="Times New Roman" w:hAnsi="Times New Roman"/>
          <w:sz w:val="15"/>
          <w:szCs w:val="15"/>
          <w:color w:val="auto"/>
        </w:rPr>
        <w:t>Under our amended and restated investors’ rights agreement, after the completion of this offering, the holders of up to 11,107,018 shares of our common stock will, subject to the lock-up agreements referred to above, be entitled to certain rights, subject to certain conditions, to require us to file registration statements covering their shares or to include their shares in registration statements that we may file for ourselves or other stockholders.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Equity Plans</w:t>
      </w:r>
    </w:p>
    <w:p>
      <w:pPr>
        <w:spacing w:after="0" w:line="200" w:lineRule="exact"/>
        <w:rPr>
          <w:sz w:val="20"/>
          <w:szCs w:val="20"/>
          <w:color w:val="auto"/>
        </w:rPr>
      </w:pPr>
    </w:p>
    <w:p>
      <w:pPr>
        <w:ind w:left="920" w:right="80" w:firstLine="753"/>
        <w:spacing w:after="0" w:line="263" w:lineRule="auto"/>
        <w:rPr>
          <w:sz w:val="20"/>
          <w:szCs w:val="20"/>
          <w:color w:val="auto"/>
        </w:rPr>
      </w:pPr>
      <w:r>
        <w:rPr>
          <w:rFonts w:ascii="Times New Roman" w:cs="Times New Roman" w:eastAsia="Times New Roman" w:hAnsi="Times New Roman"/>
          <w:sz w:val="15"/>
          <w:szCs w:val="15"/>
          <w:color w:val="auto"/>
        </w:rPr>
        <w:t>As of June 30, 2020, we had outstanding options to purchase an aggregate of 1,230,701 shares of our common stock under the 2016 Plan. Following this offering, we intend to file a registration statement on Form S-8 under the Securities Act to register all of the shares of our common stock subject to options outstanding or reserved for issuance under the 2016 Plan, the 2020 Plan and the 2020 ESPP.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2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-199-</w:t>
      </w:r>
    </w:p>
    <w:p>
      <w:pPr>
        <w:sectPr>
          <w:pgSz w:w="11900" w:h="16838" w:orient="portrait"/>
          <w:cols w:equalWidth="0" w:num="1">
            <w:col w:w="10320"/>
          </w:cols>
          <w:pgMar w:left="320" w:top="410" w:right="1259" w:bottom="1440" w:gutter="0" w:footer="0" w:header="0"/>
        </w:sectPr>
      </w:pPr>
    </w:p>
    <w:bookmarkStart w:id="202" w:name="page203"/>
    <w:bookmarkEnd w:id="20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FOR NON-U.S. HOLDERS OF OUR COMMON STOCK</w:t>
      </w:r>
    </w:p>
    <w:p>
      <w:pPr>
        <w:spacing w:after="0" w:line="182"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75" w:lineRule="exact"/>
        <w:rPr>
          <w:sz w:val="20"/>
          <w:szCs w:val="20"/>
          <w:color w:val="auto"/>
        </w:rPr>
      </w:pPr>
    </w:p>
    <w:p>
      <w:pPr>
        <w:ind w:left="2040" w:hanging="278"/>
        <w:spacing w:after="0"/>
        <w:tabs>
          <w:tab w:leader="none" w:pos="20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citizen or resident of the United States;</w:t>
      </w:r>
    </w:p>
    <w:p>
      <w:pPr>
        <w:spacing w:after="0" w:line="219" w:lineRule="exact"/>
        <w:rPr>
          <w:rFonts w:ascii="Times New Roman" w:cs="Times New Roman" w:eastAsia="Times New Roman" w:hAnsi="Times New Roman"/>
          <w:sz w:val="15"/>
          <w:szCs w:val="15"/>
          <w:color w:val="auto"/>
        </w:rPr>
      </w:pPr>
    </w:p>
    <w:p>
      <w:pPr>
        <w:ind w:left="2040" w:right="120" w:hanging="278"/>
        <w:spacing w:after="0" w:line="293" w:lineRule="auto"/>
        <w:tabs>
          <w:tab w:leader="none" w:pos="20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includable in gross income for U.S. federal income tax purposes regardless of its source; or</w:t>
      </w:r>
    </w:p>
    <w:p>
      <w:pPr>
        <w:spacing w:after="0" w:line="219" w:lineRule="exact"/>
        <w:rPr>
          <w:rFonts w:ascii="Times New Roman" w:cs="Times New Roman" w:eastAsia="Times New Roman" w:hAnsi="Times New Roman"/>
          <w:sz w:val="15"/>
          <w:szCs w:val="15"/>
          <w:color w:val="auto"/>
        </w:rPr>
      </w:pPr>
    </w:p>
    <w:p>
      <w:pPr>
        <w:ind w:left="2040" w:right="20" w:hanging="278"/>
        <w:spacing w:after="0" w:line="275" w:lineRule="auto"/>
        <w:tabs>
          <w:tab w:leader="none" w:pos="20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45" w:lineRule="exact"/>
        <w:rPr>
          <w:sz w:val="20"/>
          <w:szCs w:val="20"/>
          <w:color w:val="auto"/>
        </w:rPr>
      </w:pPr>
    </w:p>
    <w:p>
      <w:pPr>
        <w:ind w:left="920" w:firstLine="753"/>
        <w:spacing w:after="0" w:line="259" w:lineRule="auto"/>
        <w:rPr>
          <w:sz w:val="20"/>
          <w:szCs w:val="20"/>
          <w:color w:val="auto"/>
        </w:rPr>
      </w:pPr>
      <w:r>
        <w:rPr>
          <w:rFonts w:ascii="Times New Roman" w:cs="Times New Roman" w:eastAsia="Times New Roman" w:hAnsi="Times New Roman"/>
          <w:sz w:val="15"/>
          <w:szCs w:val="15"/>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59" w:lineRule="exact"/>
        <w:rPr>
          <w:sz w:val="20"/>
          <w:szCs w:val="20"/>
          <w:color w:val="auto"/>
        </w:rPr>
      </w:pPr>
    </w:p>
    <w:p>
      <w:pPr>
        <w:ind w:left="920" w:right="520"/>
        <w:spacing w:after="0" w:line="277" w:lineRule="auto"/>
        <w:rPr>
          <w:sz w:val="20"/>
          <w:szCs w:val="20"/>
          <w:color w:val="auto"/>
        </w:rPr>
      </w:pPr>
      <w:r>
        <w:rPr>
          <w:rFonts w:ascii="Times New Roman" w:cs="Times New Roman" w:eastAsia="Times New Roman" w:hAnsi="Times New Roman"/>
          <w:sz w:val="15"/>
          <w:szCs w:val="15"/>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200" w:lineRule="exact"/>
        <w:rPr>
          <w:sz w:val="20"/>
          <w:szCs w:val="20"/>
          <w:color w:val="auto"/>
        </w:rPr>
      </w:pPr>
    </w:p>
    <w:p>
      <w:pPr>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-200-</w:t>
      </w:r>
    </w:p>
    <w:p>
      <w:pPr>
        <w:sectPr>
          <w:pgSz w:w="11900" w:h="16838" w:orient="portrait"/>
          <w:cols w:equalWidth="0" w:num="1">
            <w:col w:w="10300"/>
          </w:cols>
          <w:pgMar w:left="320" w:top="410" w:right="1279" w:bottom="1440" w:gutter="0" w:footer="0" w:header="0"/>
        </w:sectPr>
      </w:pPr>
    </w:p>
    <w:bookmarkStart w:id="203" w:name="page204"/>
    <w:bookmarkEnd w:id="20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60"/>
        <w:spacing w:after="0" w:line="265" w:lineRule="auto"/>
        <w:rPr>
          <w:sz w:val="20"/>
          <w:szCs w:val="20"/>
          <w:color w:val="auto"/>
        </w:rPr>
      </w:pPr>
      <w:r>
        <w:rPr>
          <w:rFonts w:ascii="Times New Roman" w:cs="Times New Roman" w:eastAsia="Times New Roman" w:hAnsi="Times New Roman"/>
          <w:sz w:val="15"/>
          <w:szCs w:val="15"/>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54"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0" w:lineRule="exact"/>
        <w:rPr>
          <w:sz w:val="20"/>
          <w:szCs w:val="20"/>
          <w:color w:val="auto"/>
        </w:rPr>
      </w:pPr>
    </w:p>
    <w:p>
      <w:pPr>
        <w:ind w:left="920" w:right="80" w:firstLine="753"/>
        <w:spacing w:after="0" w:line="262" w:lineRule="auto"/>
        <w:rPr>
          <w:sz w:val="20"/>
          <w:szCs w:val="20"/>
          <w:color w:val="auto"/>
        </w:rPr>
      </w:pPr>
      <w:r>
        <w:rPr>
          <w:rFonts w:ascii="Times New Roman" w:cs="Times New Roman" w:eastAsia="Times New Roman" w:hAnsi="Times New Roman"/>
          <w:sz w:val="15"/>
          <w:szCs w:val="15"/>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3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Gain on Sale or Other Disposition of Common Stock</w:t>
      </w:r>
    </w:p>
    <w:p>
      <w:pPr>
        <w:spacing w:after="0" w:line="200" w:lineRule="exact"/>
        <w:rPr>
          <w:sz w:val="20"/>
          <w:szCs w:val="20"/>
          <w:color w:val="auto"/>
        </w:rPr>
      </w:pPr>
    </w:p>
    <w:p>
      <w:pPr>
        <w:jc w:val="both"/>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168" w:lineRule="exact"/>
        <w:rPr>
          <w:sz w:val="20"/>
          <w:szCs w:val="20"/>
          <w:color w:val="auto"/>
        </w:rPr>
      </w:pPr>
    </w:p>
    <w:p>
      <w:pPr>
        <w:ind w:left="2040" w:right="120" w:hanging="278"/>
        <w:spacing w:after="0" w:line="275" w:lineRule="auto"/>
        <w:tabs>
          <w:tab w:leader="none" w:pos="20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167" w:lineRule="exact"/>
        <w:rPr>
          <w:rFonts w:ascii="Times New Roman" w:cs="Times New Roman" w:eastAsia="Times New Roman" w:hAnsi="Times New Roman"/>
          <w:sz w:val="15"/>
          <w:szCs w:val="15"/>
          <w:color w:val="auto"/>
        </w:rPr>
      </w:pPr>
    </w:p>
    <w:p>
      <w:pPr>
        <w:ind w:left="2040" w:right="80" w:hanging="278"/>
        <w:spacing w:after="0" w:line="268" w:lineRule="auto"/>
        <w:tabs>
          <w:tab w:leader="none" w:pos="20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174" w:lineRule="exact"/>
        <w:rPr>
          <w:rFonts w:ascii="Times New Roman" w:cs="Times New Roman" w:eastAsia="Times New Roman" w:hAnsi="Times New Roman"/>
          <w:sz w:val="15"/>
          <w:szCs w:val="15"/>
          <w:color w:val="auto"/>
        </w:rPr>
      </w:pPr>
    </w:p>
    <w:p>
      <w:pPr>
        <w:ind w:left="2040" w:right="160" w:hanging="278"/>
        <w:spacing w:after="0" w:line="293" w:lineRule="auto"/>
        <w:tabs>
          <w:tab w:leader="none" w:pos="20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rules of the Foreign Investment in Real Property Tax Act, or FIRPTA, treat the gain as effectively connected with a U.S. trade or business.</w:t>
      </w:r>
    </w:p>
    <w:p>
      <w:pPr>
        <w:spacing w:after="0" w:line="74" w:lineRule="exact"/>
        <w:rPr>
          <w:rFonts w:ascii="Times New Roman" w:cs="Times New Roman" w:eastAsia="Times New Roman" w:hAnsi="Times New Roman"/>
          <w:sz w:val="15"/>
          <w:szCs w:val="15"/>
          <w:color w:val="auto"/>
        </w:rPr>
      </w:pPr>
    </w:p>
    <w:p>
      <w:pPr>
        <w:ind w:left="5500" w:hanging="81"/>
        <w:spacing w:after="0"/>
        <w:tabs>
          <w:tab w:leader="none" w:pos="550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201 -</w:t>
      </w:r>
    </w:p>
    <w:p>
      <w:pPr>
        <w:sectPr>
          <w:pgSz w:w="11900" w:h="16838" w:orient="portrait"/>
          <w:cols w:equalWidth="0" w:num="1">
            <w:col w:w="10320"/>
          </w:cols>
          <w:pgMar w:left="320" w:top="410" w:right="1259" w:bottom="1440" w:gutter="0" w:footer="0" w:header="0"/>
        </w:sectPr>
      </w:pPr>
    </w:p>
    <w:bookmarkStart w:id="204" w:name="page205"/>
    <w:bookmarkEnd w:id="20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58" w:lineRule="exact"/>
        <w:rPr>
          <w:sz w:val="20"/>
          <w:szCs w:val="20"/>
          <w:color w:val="auto"/>
        </w:rPr>
      </w:pPr>
    </w:p>
    <w:p>
      <w:pPr>
        <w:ind w:left="920" w:right="100" w:firstLine="753"/>
        <w:spacing w:after="0" w:line="262" w:lineRule="auto"/>
        <w:rPr>
          <w:sz w:val="20"/>
          <w:szCs w:val="20"/>
          <w:color w:val="auto"/>
        </w:rPr>
      </w:pPr>
      <w:r>
        <w:rPr>
          <w:rFonts w:ascii="Times New Roman" w:cs="Times New Roman" w:eastAsia="Times New Roman" w:hAnsi="Times New Roman"/>
          <w:sz w:val="15"/>
          <w:szCs w:val="15"/>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200" w:lineRule="exact"/>
        <w:rPr>
          <w:sz w:val="20"/>
          <w:szCs w:val="20"/>
          <w:color w:val="auto"/>
        </w:rPr>
      </w:pPr>
    </w:p>
    <w:p>
      <w:pPr>
        <w:jc w:val="both"/>
        <w:ind w:left="920" w:firstLine="753"/>
        <w:spacing w:after="0" w:line="268" w:lineRule="auto"/>
        <w:rPr>
          <w:sz w:val="20"/>
          <w:szCs w:val="20"/>
          <w:color w:val="auto"/>
        </w:rPr>
      </w:pPr>
      <w:r>
        <w:rPr>
          <w:rFonts w:ascii="Times New Roman" w:cs="Times New Roman" w:eastAsia="Times New Roman" w:hAnsi="Times New Roman"/>
          <w:sz w:val="15"/>
          <w:szCs w:val="15"/>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52" w:lineRule="exact"/>
        <w:rPr>
          <w:sz w:val="20"/>
          <w:szCs w:val="20"/>
          <w:color w:val="auto"/>
        </w:rPr>
      </w:pPr>
    </w:p>
    <w:p>
      <w:pPr>
        <w:ind w:left="920" w:right="160" w:firstLine="753"/>
        <w:spacing w:after="0" w:line="275" w:lineRule="auto"/>
        <w:rPr>
          <w:sz w:val="20"/>
          <w:szCs w:val="20"/>
          <w:color w:val="auto"/>
        </w:rPr>
      </w:pPr>
      <w:r>
        <w:rPr>
          <w:rFonts w:ascii="Times New Roman" w:cs="Times New Roman" w:eastAsia="Times New Roman" w:hAnsi="Times New Roman"/>
          <w:sz w:val="15"/>
          <w:szCs w:val="15"/>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45" w:lineRule="exact"/>
        <w:rPr>
          <w:sz w:val="20"/>
          <w:szCs w:val="20"/>
          <w:color w:val="auto"/>
        </w:rPr>
      </w:pPr>
    </w:p>
    <w:p>
      <w:pPr>
        <w:ind w:left="920" w:right="80" w:firstLine="753"/>
        <w:spacing w:after="0" w:line="263" w:lineRule="auto"/>
        <w:rPr>
          <w:sz w:val="20"/>
          <w:szCs w:val="20"/>
          <w:color w:val="auto"/>
        </w:rPr>
      </w:pPr>
      <w:r>
        <w:rPr>
          <w:rFonts w:ascii="Times New Roman" w:cs="Times New Roman" w:eastAsia="Times New Roman" w:hAnsi="Times New Roman"/>
          <w:sz w:val="15"/>
          <w:szCs w:val="15"/>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342"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Foreign Account Tax Compliance Act</w:t>
      </w:r>
    </w:p>
    <w:p>
      <w:pPr>
        <w:spacing w:after="0" w:line="200" w:lineRule="exact"/>
        <w:rPr>
          <w:sz w:val="20"/>
          <w:szCs w:val="20"/>
          <w:color w:val="auto"/>
        </w:rPr>
      </w:pPr>
    </w:p>
    <w:p>
      <w:pPr>
        <w:ind w:left="920" w:right="440" w:firstLine="753"/>
        <w:spacing w:after="0" w:line="293" w:lineRule="auto"/>
        <w:rPr>
          <w:sz w:val="20"/>
          <w:szCs w:val="20"/>
          <w:color w:val="auto"/>
        </w:rPr>
      </w:pPr>
      <w:r>
        <w:rPr>
          <w:rFonts w:ascii="Times New Roman" w:cs="Times New Roman" w:eastAsia="Times New Roman" w:hAnsi="Times New Roman"/>
          <w:sz w:val="15"/>
          <w:szCs w:val="15"/>
          <w:color w:val="auto"/>
        </w:rPr>
        <w:t>Under the Foreign Account Tax Compliance Act, or FATCA, withholding tax of 30% applies to certain payments to foreign financial institutions, investment funds and certain other non-U.S. persons that fail to</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-202-</w:t>
      </w:r>
    </w:p>
    <w:p>
      <w:pPr>
        <w:sectPr>
          <w:pgSz w:w="11900" w:h="16838" w:orient="portrait"/>
          <w:cols w:equalWidth="0" w:num="1">
            <w:col w:w="10280"/>
          </w:cols>
          <w:pgMar w:left="320" w:top="410" w:right="1299" w:bottom="1440" w:gutter="0" w:footer="0" w:header="0"/>
        </w:sectPr>
      </w:pPr>
    </w:p>
    <w:bookmarkStart w:id="205" w:name="page206"/>
    <w:bookmarkEnd w:id="20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200"/>
        <w:spacing w:after="0" w:line="265" w:lineRule="auto"/>
        <w:rPr>
          <w:sz w:val="20"/>
          <w:szCs w:val="20"/>
          <w:color w:val="auto"/>
        </w:rPr>
      </w:pPr>
      <w:r>
        <w:rPr>
          <w:rFonts w:ascii="Times New Roman" w:cs="Times New Roman" w:eastAsia="Times New Roman" w:hAnsi="Times New Roman"/>
          <w:sz w:val="15"/>
          <w:szCs w:val="15"/>
          <w:color w:val="auto"/>
        </w:rPr>
        <w:t>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54" w:lineRule="exact"/>
        <w:rPr>
          <w:sz w:val="20"/>
          <w:szCs w:val="20"/>
          <w:color w:val="auto"/>
        </w:rPr>
      </w:pPr>
    </w:p>
    <w:p>
      <w:pPr>
        <w:ind w:left="920" w:right="220" w:firstLine="753"/>
        <w:spacing w:after="0" w:line="275" w:lineRule="auto"/>
        <w:rPr>
          <w:sz w:val="20"/>
          <w:szCs w:val="20"/>
          <w:color w:val="auto"/>
        </w:rPr>
      </w:pPr>
      <w:r>
        <w:rPr>
          <w:rFonts w:ascii="Times New Roman" w:cs="Times New Roman" w:eastAsia="Times New Roman" w:hAnsi="Times New Roman"/>
          <w:sz w:val="15"/>
          <w:szCs w:val="15"/>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45" w:lineRule="exact"/>
        <w:rPr>
          <w:sz w:val="20"/>
          <w:szCs w:val="20"/>
          <w:color w:val="auto"/>
        </w:rPr>
      </w:pPr>
    </w:p>
    <w:p>
      <w:pPr>
        <w:ind w:left="920" w:right="620" w:firstLine="753"/>
        <w:spacing w:after="0" w:line="293" w:lineRule="auto"/>
        <w:rPr>
          <w:sz w:val="20"/>
          <w:szCs w:val="20"/>
          <w:color w:val="auto"/>
        </w:rPr>
      </w:pPr>
      <w:r>
        <w:rPr>
          <w:rFonts w:ascii="Times New Roman" w:cs="Times New Roman" w:eastAsia="Times New Roman" w:hAnsi="Times New Roman"/>
          <w:sz w:val="15"/>
          <w:szCs w:val="15"/>
          <w:color w:val="auto"/>
        </w:rPr>
        <w:t>Prospective investors are encouraged to consult with their own tax advisors regarding the possible implications of FATCA on their investment in our common stock.</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Federal Estate Tax</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41" w:lineRule="exact"/>
        <w:rPr>
          <w:sz w:val="20"/>
          <w:szCs w:val="20"/>
          <w:color w:val="auto"/>
        </w:rPr>
      </w:pPr>
    </w:p>
    <w:p>
      <w:pPr>
        <w:ind w:left="920" w:right="180" w:firstLine="753"/>
        <w:spacing w:after="0" w:line="265" w:lineRule="auto"/>
        <w:rPr>
          <w:sz w:val="20"/>
          <w:szCs w:val="20"/>
          <w:color w:val="auto"/>
        </w:rPr>
      </w:pPr>
      <w:r>
        <w:rPr>
          <w:rFonts w:ascii="Times New Roman" w:cs="Times New Roman" w:eastAsia="Times New Roman" w:hAnsi="Times New Roman"/>
          <w:sz w:val="15"/>
          <w:szCs w:val="15"/>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-203-</w:t>
      </w:r>
    </w:p>
    <w:p>
      <w:pPr>
        <w:sectPr>
          <w:pgSz w:w="11900" w:h="16838" w:orient="portrait"/>
          <w:cols w:equalWidth="0" w:num="1">
            <w:col w:w="10320"/>
          </w:cols>
          <w:pgMar w:left="320" w:top="410" w:right="1259" w:bottom="1440" w:gutter="0" w:footer="0" w:header="0"/>
        </w:sectPr>
      </w:pPr>
    </w:p>
    <w:bookmarkStart w:id="206" w:name="page207"/>
    <w:bookmarkEnd w:id="20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BofA Securities, Inc., Jefferies LLC and Raymond James &amp; Associates,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68"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7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Underwriter</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BofA Securities, Inc.</w:t>
            </w: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Raymond James &amp; Associates, Inc.</w:t>
            </w: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LifeSci Capital LLC</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Ladenburg Thalmann &amp; Co. Inc.</w:t>
            </w:r>
          </w:p>
        </w:tc>
        <w:tc>
          <w:tcPr>
            <w:tcW w:w="9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right="400" w:firstLine="753"/>
        <w:spacing w:after="0" w:line="268" w:lineRule="auto"/>
        <w:rPr>
          <w:sz w:val="20"/>
          <w:szCs w:val="20"/>
          <w:color w:val="auto"/>
        </w:rPr>
      </w:pPr>
      <w:r>
        <w:rPr>
          <w:rFonts w:ascii="Times New Roman" w:cs="Times New Roman" w:eastAsia="Times New Roman" w:hAnsi="Times New Roman"/>
          <w:sz w:val="15"/>
          <w:szCs w:val="15"/>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52" w:lineRule="exact"/>
        <w:rPr>
          <w:sz w:val="20"/>
          <w:szCs w:val="20"/>
          <w:color w:val="auto"/>
        </w:rPr>
      </w:pPr>
    </w:p>
    <w:p>
      <w:pPr>
        <w:ind w:left="920" w:right="260" w:firstLine="753"/>
        <w:spacing w:after="0" w:line="293" w:lineRule="auto"/>
        <w:rPr>
          <w:sz w:val="20"/>
          <w:szCs w:val="20"/>
          <w:color w:val="auto"/>
        </w:rPr>
      </w:pPr>
      <w:r>
        <w:rPr>
          <w:rFonts w:ascii="Times New Roman" w:cs="Times New Roman" w:eastAsia="Times New Roman" w:hAnsi="Times New Roman"/>
          <w:sz w:val="15"/>
          <w:szCs w:val="15"/>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left="920" w:right="160" w:firstLine="753"/>
        <w:spacing w:after="0" w:line="268" w:lineRule="auto"/>
        <w:rPr>
          <w:sz w:val="20"/>
          <w:szCs w:val="20"/>
          <w:color w:val="auto"/>
        </w:rPr>
      </w:pPr>
      <w:r>
        <w:rPr>
          <w:rFonts w:ascii="Times New Roman" w:cs="Times New Roman" w:eastAsia="Times New Roman" w:hAnsi="Times New Roman"/>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Commissions and Discounts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representatives have advised us that the underwriters propose initially to offer the shares to the public at the public offering price set</w:t>
      </w:r>
    </w:p>
    <w:p>
      <w:pPr>
        <w:spacing w:after="0" w:line="26" w:lineRule="exact"/>
        <w:rPr>
          <w:sz w:val="20"/>
          <w:szCs w:val="20"/>
          <w:color w:val="auto"/>
        </w:rPr>
      </w:pPr>
    </w:p>
    <w:p>
      <w:pPr>
        <w:ind w:left="920" w:right="160"/>
        <w:spacing w:after="0" w:line="273" w:lineRule="auto"/>
        <w:rPr>
          <w:sz w:val="20"/>
          <w:szCs w:val="20"/>
          <w:color w:val="auto"/>
        </w:rPr>
      </w:pPr>
      <w:r>
        <w:rPr>
          <w:rFonts w:ascii="Times New Roman" w:cs="Times New Roman" w:eastAsia="Times New Roman" w:hAnsi="Times New Roman"/>
          <w:sz w:val="15"/>
          <w:szCs w:val="15"/>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46" w:lineRule="exact"/>
        <w:rPr>
          <w:sz w:val="20"/>
          <w:szCs w:val="20"/>
          <w:color w:val="auto"/>
        </w:rPr>
      </w:pPr>
    </w:p>
    <w:p>
      <w:pPr>
        <w:ind w:left="920" w:right="18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48"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Per Share</w:t>
            </w:r>
          </w:p>
        </w:tc>
        <w:tc>
          <w:tcPr>
            <w:tcW w:w="540" w:type="dxa"/>
            <w:vAlign w:val="bottom"/>
          </w:tcPr>
          <w:p>
            <w:pPr>
              <w:spacing w:after="0"/>
              <w:rPr>
                <w:sz w:val="12"/>
                <w:szCs w:val="12"/>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Without Option</w:t>
            </w:r>
          </w:p>
        </w:tc>
        <w:tc>
          <w:tcPr>
            <w:tcW w:w="500" w:type="dxa"/>
            <w:vAlign w:val="bottom"/>
          </w:tcPr>
          <w:p>
            <w:pPr>
              <w:spacing w:after="0"/>
              <w:rPr>
                <w:sz w:val="12"/>
                <w:szCs w:val="12"/>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With Option</w:t>
            </w:r>
          </w:p>
        </w:tc>
        <w:tc>
          <w:tcPr>
            <w:tcW w:w="40" w:type="dxa"/>
            <w:vAlign w:val="bottom"/>
          </w:tcPr>
          <w:p>
            <w:pPr>
              <w:spacing w:after="0"/>
              <w:rPr>
                <w:sz w:val="12"/>
                <w:szCs w:val="12"/>
                <w:color w:val="auto"/>
              </w:rPr>
            </w:pPr>
          </w:p>
        </w:tc>
      </w:tr>
      <w:tr>
        <w:trPr>
          <w:trHeight w:val="17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72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r>
      <w:tr>
        <w:trPr>
          <w:trHeight w:val="184"/>
        </w:trPr>
        <w:tc>
          <w:tcPr>
            <w:tcW w:w="3720" w:type="dxa"/>
            <w:vAlign w:val="bottom"/>
          </w:tcPr>
          <w:p>
            <w:pPr>
              <w:spacing w:after="0"/>
              <w:rPr>
                <w:sz w:val="20"/>
                <w:szCs w:val="20"/>
                <w:color w:val="auto"/>
              </w:rPr>
            </w:pPr>
            <w:r>
              <w:rPr>
                <w:rFonts w:ascii="Times New Roman" w:cs="Times New Roman" w:eastAsia="Times New Roman" w:hAnsi="Times New Roman"/>
                <w:sz w:val="15"/>
                <w:szCs w:val="15"/>
                <w:color w:val="auto"/>
              </w:rPr>
              <w:t>Underwriting discounts and commissions</w:t>
            </w:r>
          </w:p>
        </w:tc>
        <w:tc>
          <w:tcPr>
            <w:tcW w:w="1720" w:type="dxa"/>
            <w:vAlign w:val="bottom"/>
            <w:gridSpan w:val="2"/>
          </w:tcPr>
          <w:p>
            <w:pPr>
              <w:jc w:val="right"/>
              <w:ind w:right="399"/>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r>
      <w:tr>
        <w:trPr>
          <w:trHeight w:val="18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72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The expenses of the offering, not including the underwriting discount, are estimated at $2.3 million and are payable by us. We have also agreed to reimburse the underwriters for their expenses relating to clearance of this offering with the Financial Industry Regulatory Authority in an amount up to $40,000. We have also agreed to reimburse the underwriters (including the affiliate of BofA Securities, Inc.) for certain fees and expenses in connection with the reserved share program described below, including the fees and disbursements of counsel to the underwriters (including counsel to the affiliate of BofA Securities, Inc.) in an amount up to $20,000.</w:t>
      </w:r>
    </w:p>
    <w:p>
      <w:pPr>
        <w:spacing w:after="0" w:line="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-204-</w:t>
      </w:r>
    </w:p>
    <w:p>
      <w:pPr>
        <w:sectPr>
          <w:pgSz w:w="11900" w:h="16838" w:orient="portrait"/>
          <w:cols w:equalWidth="0" w:num="1">
            <w:col w:w="10280"/>
          </w:cols>
          <w:pgMar w:left="320" w:top="410" w:right="1299" w:bottom="1440" w:gutter="0" w:footer="0" w:header="0"/>
        </w:sectPr>
      </w:pPr>
    </w:p>
    <w:bookmarkStart w:id="207" w:name="page208"/>
    <w:bookmarkEnd w:id="20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Option to Purchase Additional Shares</w:t>
      </w:r>
    </w:p>
    <w:p>
      <w:pPr>
        <w:spacing w:after="0" w:line="200"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We have granted an option to the underwriters, exercisable for 30 days after the date of this prospectus, to purchase up to 750,000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Reserved Share Program</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At our request, an affiliate of BofA Securities, Inc., a participating underwriter, has reserved for sale, at the initial public offering price, up to approximately 3.7% of the shares offered by this prospectus for sale to some of our business associates and certain other persons associated with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 Sales of Similar Securities</w:t>
      </w:r>
    </w:p>
    <w:p>
      <w:pPr>
        <w:spacing w:after="0" w:line="200" w:lineRule="exact"/>
        <w:rPr>
          <w:sz w:val="20"/>
          <w:szCs w:val="20"/>
          <w:color w:val="auto"/>
        </w:rPr>
      </w:pPr>
    </w:p>
    <w:p>
      <w:pPr>
        <w:ind w:left="920" w:right="20" w:firstLine="847"/>
        <w:spacing w:after="0" w:line="268" w:lineRule="auto"/>
        <w:rPr>
          <w:sz w:val="20"/>
          <w:szCs w:val="20"/>
          <w:color w:val="auto"/>
        </w:rPr>
      </w:pPr>
      <w:r>
        <w:rPr>
          <w:rFonts w:ascii="Times New Roman" w:cs="Times New Roman" w:eastAsia="Times New Roman" w:hAnsi="Times New Roman"/>
          <w:sz w:val="15"/>
          <w:szCs w:val="15"/>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175" w:lineRule="exact"/>
        <w:rPr>
          <w:sz w:val="20"/>
          <w:szCs w:val="20"/>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pledge, sell or contract to sell any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any option or contract to purchase any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 any option or contract to sell any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any option, right or warrant for the sale of any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lend or otherwise dispose of or transfer any common stock,</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request or demand that we file or make a confidential submission of a registration statement related to the common stock,</w:t>
      </w:r>
    </w:p>
    <w:p>
      <w:pPr>
        <w:spacing w:after="0" w:line="219" w:lineRule="exact"/>
        <w:rPr>
          <w:rFonts w:ascii="Times New Roman" w:cs="Times New Roman" w:eastAsia="Times New Roman" w:hAnsi="Times New Roman"/>
          <w:sz w:val="15"/>
          <w:szCs w:val="15"/>
          <w:color w:val="auto"/>
        </w:rPr>
      </w:pPr>
    </w:p>
    <w:p>
      <w:pPr>
        <w:ind w:left="2040" w:right="260" w:hanging="278"/>
        <w:spacing w:after="0" w:line="293" w:lineRule="auto"/>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disclose the intention to do any of the foregoing.</w:t>
      </w:r>
    </w:p>
    <w:p>
      <w:pPr>
        <w:spacing w:after="0" w:line="196" w:lineRule="exact"/>
        <w:rPr>
          <w:sz w:val="20"/>
          <w:szCs w:val="20"/>
          <w:color w:val="auto"/>
        </w:rPr>
      </w:pPr>
    </w:p>
    <w:p>
      <w:pPr>
        <w:ind w:left="920" w:right="140" w:firstLine="753"/>
        <w:spacing w:after="0" w:line="264" w:lineRule="auto"/>
        <w:rPr>
          <w:sz w:val="20"/>
          <w:szCs w:val="20"/>
          <w:color w:val="auto"/>
        </w:rPr>
      </w:pPr>
      <w:r>
        <w:rPr>
          <w:rFonts w:ascii="Times New Roman" w:cs="Times New Roman" w:eastAsia="Times New Roman" w:hAnsi="Times New Roman"/>
          <w:sz w:val="15"/>
          <w:szCs w:val="15"/>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 In addition, in the event that one or more stockholders is granted an early release from any restriction on transfer described in the lock-up agreements during the lockup period described therein with respect to our securities in an aggregate amount in excess one percent of our issued and outstanding shares of common stock on</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-205-</w:t>
      </w:r>
    </w:p>
    <w:p>
      <w:pPr>
        <w:sectPr>
          <w:pgSz w:w="11900" w:h="16838" w:orient="portrait"/>
          <w:cols w:equalWidth="0" w:num="1">
            <w:col w:w="10320"/>
          </w:cols>
          <w:pgMar w:left="320" w:top="410" w:right="1259" w:bottom="1440" w:gutter="0" w:footer="0" w:header="0"/>
        </w:sectPr>
      </w:pPr>
    </w:p>
    <w:bookmarkStart w:id="208" w:name="page209"/>
    <w:bookmarkEnd w:id="20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spacing w:after="0" w:line="265" w:lineRule="auto"/>
        <w:rPr>
          <w:sz w:val="20"/>
          <w:szCs w:val="20"/>
          <w:color w:val="auto"/>
        </w:rPr>
      </w:pPr>
      <w:r>
        <w:rPr>
          <w:rFonts w:ascii="Times New Roman" w:cs="Times New Roman" w:eastAsia="Times New Roman" w:hAnsi="Times New Roman"/>
          <w:sz w:val="15"/>
          <w:szCs w:val="15"/>
          <w:color w:val="auto"/>
        </w:rPr>
        <w:t>an as-converted to common stock basis (whether in one or multiple releases), then each stockholder holding in excess of five percent of the outstanding shares of our securities on an as-converted to common stock basis, or a Major Holder, will automatically be granted an early release on the same terms from the lock-up restrictions on transfer under the lock-up agreement on a pro-rata basis. In the event of an underwritten primary or secondary public offering or sale of our common stock during the period ending 180 days after the date of this prospectus, such early release shall only apply with respect to such Major Holder’s participation in such offering.</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Nasdaq Global Market Listing</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have applied to list our common stock on the Nasdaq Global Market under the symbol “TARS.”</w:t>
      </w:r>
    </w:p>
    <w:p>
      <w:pPr>
        <w:spacing w:after="0" w:line="196" w:lineRule="exact"/>
        <w:rPr>
          <w:sz w:val="20"/>
          <w:szCs w:val="20"/>
          <w:color w:val="auto"/>
        </w:rPr>
      </w:pPr>
    </w:p>
    <w:p>
      <w:pPr>
        <w:ind w:left="920" w:right="20" w:firstLine="753"/>
        <w:spacing w:after="0" w:line="275" w:lineRule="auto"/>
        <w:rPr>
          <w:sz w:val="20"/>
          <w:szCs w:val="20"/>
          <w:color w:val="auto"/>
        </w:rPr>
      </w:pPr>
      <w:r>
        <w:rPr>
          <w:rFonts w:ascii="Times New Roman" w:cs="Times New Roman" w:eastAsia="Times New Roman" w:hAnsi="Times New Roman"/>
          <w:sz w:val="15"/>
          <w:szCs w:val="15"/>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68" w:lineRule="exact"/>
        <w:rPr>
          <w:sz w:val="20"/>
          <w:szCs w:val="20"/>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multiples of publicly traded companies that the representatives believe to be comparable to us,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information,</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history of, and the prospects for, our company and the industry in which we compete,</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assessment of our management, its past and present operations, and the prospects for, and timing of, our future revenues,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present state of our development, and</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above factors in relation to market values and various valuation measures of other companies engaged in activities similar to ours.</w:t>
      </w:r>
    </w:p>
    <w:p>
      <w:pPr>
        <w:spacing w:after="0" w:line="196" w:lineRule="exact"/>
        <w:rPr>
          <w:sz w:val="20"/>
          <w:szCs w:val="20"/>
          <w:color w:val="auto"/>
        </w:rPr>
      </w:pPr>
    </w:p>
    <w:p>
      <w:pPr>
        <w:ind w:left="920" w:right="380" w:firstLine="753"/>
        <w:spacing w:after="0" w:line="293" w:lineRule="auto"/>
        <w:rPr>
          <w:sz w:val="20"/>
          <w:szCs w:val="20"/>
          <w:color w:val="auto"/>
        </w:rPr>
      </w:pPr>
      <w:r>
        <w:rPr>
          <w:rFonts w:ascii="Times New Roman" w:cs="Times New Roman" w:eastAsia="Times New Roman" w:hAnsi="Times New Roman"/>
          <w:sz w:val="15"/>
          <w:szCs w:val="15"/>
          <w:color w:val="auto"/>
        </w:rPr>
        <w:t>An active trading market for the shares may not develop. It is also possible that after the offering the shares will not trade in the public market at or above the initial public offering price.</w:t>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underwriters do not expect to sell more than 5% of the shares in the aggregate to accounts over which they exercise discretionary</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authority.</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Price Stabilization, Short Positions and Penalty Bids</w:t>
      </w:r>
    </w:p>
    <w:p>
      <w:pPr>
        <w:spacing w:after="0" w:line="200" w:lineRule="exact"/>
        <w:rPr>
          <w:sz w:val="20"/>
          <w:szCs w:val="20"/>
          <w:color w:val="auto"/>
        </w:rPr>
      </w:pPr>
    </w:p>
    <w:p>
      <w:pPr>
        <w:ind w:left="920" w:right="280" w:firstLine="753"/>
        <w:spacing w:after="0" w:line="275" w:lineRule="auto"/>
        <w:rPr>
          <w:sz w:val="20"/>
          <w:szCs w:val="20"/>
          <w:color w:val="auto"/>
        </w:rPr>
      </w:pPr>
      <w:r>
        <w:rPr>
          <w:rFonts w:ascii="Times New Roman" w:cs="Times New Roman" w:eastAsia="Times New Roman" w:hAnsi="Times New Roman"/>
          <w:sz w:val="15"/>
          <w:szCs w:val="15"/>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45"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-206-</w:t>
      </w:r>
    </w:p>
    <w:p>
      <w:pPr>
        <w:sectPr>
          <w:pgSz w:w="11900" w:h="16838" w:orient="portrait"/>
          <w:cols w:equalWidth="0" w:num="1">
            <w:col w:w="10320"/>
          </w:cols>
          <w:pgMar w:left="320" w:top="410" w:right="1259" w:bottom="1440" w:gutter="0" w:footer="0" w:header="0"/>
        </w:sectPr>
      </w:pPr>
    </w:p>
    <w:bookmarkStart w:id="209" w:name="page210"/>
    <w:bookmarkEnd w:id="20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line="265" w:lineRule="auto"/>
        <w:rPr>
          <w:sz w:val="20"/>
          <w:szCs w:val="20"/>
          <w:color w:val="auto"/>
        </w:rPr>
      </w:pPr>
      <w:r>
        <w:rPr>
          <w:rFonts w:ascii="Times New Roman" w:cs="Times New Roman" w:eastAsia="Times New Roman" w:hAnsi="Times New Roman"/>
          <w:sz w:val="15"/>
          <w:szCs w:val="15"/>
          <w:color w:val="auto"/>
        </w:rPr>
        <w:t>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54"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5"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52" w:lineRule="exact"/>
        <w:rPr>
          <w:sz w:val="20"/>
          <w:szCs w:val="20"/>
          <w:color w:val="auto"/>
        </w:rPr>
      </w:pPr>
    </w:p>
    <w:p>
      <w:pPr>
        <w:ind w:left="920" w:right="180" w:firstLine="753"/>
        <w:spacing w:after="0" w:line="275" w:lineRule="auto"/>
        <w:rPr>
          <w:sz w:val="20"/>
          <w:szCs w:val="20"/>
          <w:color w:val="auto"/>
        </w:rPr>
      </w:pPr>
      <w:r>
        <w:rPr>
          <w:rFonts w:ascii="Times New Roman" w:cs="Times New Roman" w:eastAsia="Times New Roman" w:hAnsi="Times New Roman"/>
          <w:sz w:val="15"/>
          <w:szCs w:val="15"/>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Electronic Distribution</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In connection with the offering, certain of the underwriters or securities dealers may distribute prospectuses by electronic means, such as</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e-mail.</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Other Relationships</w:t>
      </w:r>
    </w:p>
    <w:p>
      <w:pPr>
        <w:spacing w:after="0" w:line="200"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54"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European Economic Area and the United Kingdom</w:t>
      </w:r>
    </w:p>
    <w:p>
      <w:pPr>
        <w:spacing w:after="0" w:line="200" w:lineRule="exact"/>
        <w:rPr>
          <w:sz w:val="20"/>
          <w:szCs w:val="20"/>
          <w:color w:val="auto"/>
        </w:rPr>
      </w:pPr>
    </w:p>
    <w:p>
      <w:pPr>
        <w:ind w:left="920" w:right="40" w:firstLine="753"/>
        <w:spacing w:after="0" w:line="268"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-207-</w:t>
      </w:r>
    </w:p>
    <w:p>
      <w:pPr>
        <w:sectPr>
          <w:pgSz w:w="11900" w:h="16838" w:orient="portrait"/>
          <w:cols w:equalWidth="0" w:num="1">
            <w:col w:w="10320"/>
          </w:cols>
          <w:pgMar w:left="320" w:top="410" w:right="1259" w:bottom="1440" w:gutter="0" w:footer="0" w:header="0"/>
        </w:sectPr>
      </w:pPr>
    </w:p>
    <w:bookmarkStart w:id="210" w:name="page211"/>
    <w:bookmarkEnd w:id="21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offers of shares may be made to the public in that Relevant State at any time under the following exemptions under the Prospectus Regulation:</w:t>
      </w:r>
    </w:p>
    <w:p>
      <w:pPr>
        <w:spacing w:after="0" w:line="219" w:lineRule="exact"/>
        <w:rPr>
          <w:sz w:val="20"/>
          <w:szCs w:val="20"/>
          <w:color w:val="auto"/>
        </w:rPr>
      </w:pPr>
    </w:p>
    <w:p>
      <w:pPr>
        <w:ind w:left="2040" w:hanging="278"/>
        <w:spacing w:after="0"/>
        <w:tabs>
          <w:tab w:leader="none" w:pos="20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the Prospectus Regulation;</w:t>
      </w:r>
    </w:p>
    <w:p>
      <w:pPr>
        <w:spacing w:after="0" w:line="219" w:lineRule="exact"/>
        <w:rPr>
          <w:rFonts w:ascii="Times New Roman" w:cs="Times New Roman" w:eastAsia="Times New Roman" w:hAnsi="Times New Roman"/>
          <w:sz w:val="15"/>
          <w:szCs w:val="15"/>
          <w:color w:val="auto"/>
        </w:rPr>
      </w:pPr>
    </w:p>
    <w:p>
      <w:pPr>
        <w:ind w:left="2040" w:right="420" w:hanging="278"/>
        <w:spacing w:after="0" w:line="293" w:lineRule="auto"/>
        <w:tabs>
          <w:tab w:leader="none" w:pos="20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the Prospectus Regulation), subject to obtaining the prior consent of the representatives for any such offer; or</w:t>
      </w:r>
    </w:p>
    <w:p>
      <w:pPr>
        <w:spacing w:after="0" w:line="155" w:lineRule="exact"/>
        <w:rPr>
          <w:rFonts w:ascii="Times New Roman" w:cs="Times New Roman" w:eastAsia="Times New Roman" w:hAnsi="Times New Roman"/>
          <w:sz w:val="15"/>
          <w:szCs w:val="15"/>
          <w:color w:val="auto"/>
        </w:rPr>
      </w:pPr>
    </w:p>
    <w:p>
      <w:pPr>
        <w:ind w:left="2040" w:right="80" w:hanging="278"/>
        <w:spacing w:after="0" w:line="275" w:lineRule="auto"/>
        <w:tabs>
          <w:tab w:leader="none" w:pos="204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left="920" w:right="540" w:firstLine="753"/>
        <w:spacing w:after="0" w:line="275" w:lineRule="auto"/>
        <w:rPr>
          <w:sz w:val="20"/>
          <w:szCs w:val="20"/>
          <w:color w:val="auto"/>
        </w:rPr>
      </w:pPr>
      <w:r>
        <w:rPr>
          <w:rFonts w:ascii="Times New Roman" w:cs="Times New Roman" w:eastAsia="Times New Roman" w:hAnsi="Times New Roman"/>
          <w:sz w:val="15"/>
          <w:szCs w:val="15"/>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45"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54" w:lineRule="exact"/>
        <w:rPr>
          <w:sz w:val="20"/>
          <w:szCs w:val="20"/>
          <w:color w:val="auto"/>
        </w:rPr>
      </w:pPr>
    </w:p>
    <w:p>
      <w:pPr>
        <w:ind w:left="920" w:right="560" w:firstLine="753"/>
        <w:spacing w:after="0" w:line="293" w:lineRule="auto"/>
        <w:rPr>
          <w:sz w:val="20"/>
          <w:szCs w:val="20"/>
          <w:color w:val="auto"/>
        </w:rPr>
      </w:pPr>
      <w:r>
        <w:rPr>
          <w:rFonts w:ascii="Times New Roman" w:cs="Times New Roman" w:eastAsia="Times New Roman" w:hAnsi="Times New Roman"/>
          <w:sz w:val="15"/>
          <w:szCs w:val="15"/>
          <w:color w:val="auto"/>
        </w:rPr>
        <w:t>The Company, the underwriters and their respective affiliates will rely upon the truth and accuracy of the foregoing representations, acknowledgements and agreements.</w:t>
      </w:r>
    </w:p>
    <w:p>
      <w:pPr>
        <w:spacing w:after="0" w:line="132"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5"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References to the Prospectus Regulation includes, in relation to the UK, the Prospectus Regulation as it forms part of UK domestic law by virtue of the European Union (Withdrawal) Act 2018.</w:t>
      </w:r>
    </w:p>
    <w:p>
      <w:pPr>
        <w:spacing w:after="0" w:line="13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above selling restriction is in addition to any other selling restrictions set out below.</w:t>
      </w:r>
    </w:p>
    <w:p>
      <w:pPr>
        <w:spacing w:after="0" w:line="196"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United Kingdom</w:t>
      </w:r>
    </w:p>
    <w:p>
      <w:pPr>
        <w:spacing w:after="0" w:line="20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w:t>
      </w:r>
    </w:p>
    <w:p>
      <w:pPr>
        <w:spacing w:after="0" w:line="28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-208-</w:t>
      </w:r>
    </w:p>
    <w:p>
      <w:pPr>
        <w:sectPr>
          <w:pgSz w:w="11900" w:h="16838" w:orient="portrait"/>
          <w:cols w:equalWidth="0" w:num="1">
            <w:col w:w="10320"/>
          </w:cols>
          <w:pgMar w:left="320" w:top="410" w:right="1259" w:bottom="1440" w:gutter="0" w:footer="0" w:header="0"/>
        </w:sectPr>
      </w:pPr>
    </w:p>
    <w:bookmarkStart w:id="211" w:name="page212"/>
    <w:bookmarkEnd w:id="21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180"/>
        <w:spacing w:after="0" w:line="272" w:lineRule="auto"/>
        <w:rPr>
          <w:sz w:val="20"/>
          <w:szCs w:val="20"/>
          <w:color w:val="auto"/>
        </w:rPr>
      </w:pPr>
      <w:r>
        <w:rPr>
          <w:rFonts w:ascii="Times New Roman" w:cs="Times New Roman" w:eastAsia="Times New Roman" w:hAnsi="Times New Roman"/>
          <w:sz w:val="15"/>
          <w:szCs w:val="15"/>
          <w:color w:val="auto"/>
        </w:rPr>
        <w:t>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Switzerland</w:t>
      </w:r>
    </w:p>
    <w:p>
      <w:pPr>
        <w:spacing w:after="0" w:line="200" w:lineRule="exact"/>
        <w:rPr>
          <w:sz w:val="20"/>
          <w:szCs w:val="20"/>
          <w:color w:val="auto"/>
        </w:rPr>
      </w:pPr>
    </w:p>
    <w:p>
      <w:pPr>
        <w:ind w:left="920" w:right="20" w:firstLine="753"/>
        <w:spacing w:after="0" w:line="265" w:lineRule="auto"/>
        <w:rPr>
          <w:sz w:val="20"/>
          <w:szCs w:val="20"/>
          <w:color w:val="auto"/>
        </w:rPr>
      </w:pPr>
      <w:r>
        <w:rPr>
          <w:rFonts w:ascii="Times New Roman" w:cs="Times New Roman" w:eastAsia="Times New Roman" w:hAnsi="Times New Roman"/>
          <w:sz w:val="15"/>
          <w:szCs w:val="15"/>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4"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Dubai International Financial Centre</w:t>
      </w:r>
    </w:p>
    <w:p>
      <w:pPr>
        <w:spacing w:after="0" w:line="200" w:lineRule="exact"/>
        <w:rPr>
          <w:sz w:val="20"/>
          <w:szCs w:val="20"/>
          <w:color w:val="auto"/>
        </w:rPr>
      </w:pPr>
    </w:p>
    <w:p>
      <w:pPr>
        <w:ind w:left="920" w:right="80" w:firstLine="753"/>
        <w:spacing w:after="0" w:line="263" w:lineRule="auto"/>
        <w:rPr>
          <w:sz w:val="20"/>
          <w:szCs w:val="20"/>
          <w:color w:val="auto"/>
        </w:rPr>
      </w:pPr>
      <w:r>
        <w:rPr>
          <w:rFonts w:ascii="Times New Roman" w:cs="Times New Roman" w:eastAsia="Times New Roman" w:hAnsi="Times New Roman"/>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Australia</w:t>
      </w:r>
    </w:p>
    <w:p>
      <w:pPr>
        <w:spacing w:after="0" w:line="200" w:lineRule="exact"/>
        <w:rPr>
          <w:sz w:val="20"/>
          <w:szCs w:val="20"/>
          <w:color w:val="auto"/>
        </w:rPr>
      </w:pPr>
    </w:p>
    <w:p>
      <w:pPr>
        <w:jc w:val="both"/>
        <w:ind w:left="920" w:right="400" w:firstLine="753"/>
        <w:spacing w:after="0" w:line="268" w:lineRule="auto"/>
        <w:rPr>
          <w:sz w:val="20"/>
          <w:szCs w:val="20"/>
          <w:color w:val="auto"/>
        </w:rPr>
      </w:pPr>
      <w:r>
        <w:rPr>
          <w:rFonts w:ascii="Times New Roman" w:cs="Times New Roman" w:eastAsia="Times New Roman" w:hAnsi="Times New Roman"/>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52" w:lineRule="exact"/>
        <w:rPr>
          <w:sz w:val="20"/>
          <w:szCs w:val="20"/>
          <w:color w:val="auto"/>
        </w:rPr>
      </w:pPr>
    </w:p>
    <w:p>
      <w:pPr>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52" w:lineRule="exact"/>
        <w:rPr>
          <w:sz w:val="20"/>
          <w:szCs w:val="20"/>
          <w:color w:val="auto"/>
        </w:rPr>
      </w:pPr>
    </w:p>
    <w:p>
      <w:pPr>
        <w:ind w:left="920" w:right="40" w:firstLine="753"/>
        <w:spacing w:after="0" w:line="293" w:lineRule="auto"/>
        <w:rPr>
          <w:sz w:val="20"/>
          <w:szCs w:val="20"/>
          <w:color w:val="auto"/>
        </w:rPr>
      </w:pPr>
      <w:r>
        <w:rPr>
          <w:rFonts w:ascii="Times New Roman" w:cs="Times New Roman" w:eastAsia="Times New Roman" w:hAnsi="Times New Roman"/>
          <w:sz w:val="15"/>
          <w:szCs w:val="15"/>
          <w:color w:val="auto"/>
        </w:rPr>
        <w:t>The shares applied for by Exempt Investors in Australia must not be offered for sale in Australia in the period of 12 months after the date of allotment under the offering, except in circumstances where disclosure to</w:t>
      </w:r>
    </w:p>
    <w:p>
      <w:pPr>
        <w:spacing w:after="0" w:line="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-209-</w:t>
      </w:r>
    </w:p>
    <w:p>
      <w:pPr>
        <w:sectPr>
          <w:pgSz w:w="11900" w:h="16838" w:orient="portrait"/>
          <w:cols w:equalWidth="0" w:num="1">
            <w:col w:w="10320"/>
          </w:cols>
          <w:pgMar w:left="320" w:top="410" w:right="1259" w:bottom="1440" w:gutter="0" w:footer="0" w:header="0"/>
        </w:sectPr>
      </w:pPr>
    </w:p>
    <w:bookmarkStart w:id="212" w:name="page213"/>
    <w:bookmarkEnd w:id="21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jc w:val="both"/>
        <w:ind w:left="920" w:right="420"/>
        <w:spacing w:after="0" w:line="275" w:lineRule="auto"/>
        <w:rPr>
          <w:sz w:val="20"/>
          <w:szCs w:val="20"/>
          <w:color w:val="auto"/>
        </w:rPr>
      </w:pPr>
      <w:r>
        <w:rPr>
          <w:rFonts w:ascii="Times New Roman" w:cs="Times New Roman" w:eastAsia="Times New Roman" w:hAnsi="Times New Roman"/>
          <w:sz w:val="15"/>
          <w:szCs w:val="15"/>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5" w:lineRule="exact"/>
        <w:rPr>
          <w:sz w:val="20"/>
          <w:szCs w:val="20"/>
          <w:color w:val="auto"/>
        </w:rPr>
      </w:pPr>
    </w:p>
    <w:p>
      <w:pPr>
        <w:jc w:val="both"/>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Hong Kong</w:t>
      </w:r>
    </w:p>
    <w:p>
      <w:pPr>
        <w:spacing w:after="0" w:line="200"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Japan</w:t>
      </w:r>
    </w:p>
    <w:p>
      <w:pPr>
        <w:spacing w:after="0" w:line="200"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Singapore</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-210-</w:t>
      </w:r>
    </w:p>
    <w:p>
      <w:pPr>
        <w:sectPr>
          <w:pgSz w:w="11900" w:h="16838" w:orient="portrait"/>
          <w:cols w:equalWidth="0" w:num="1">
            <w:col w:w="10320"/>
          </w:cols>
          <w:pgMar w:left="320" w:top="410" w:right="1259" w:bottom="1440" w:gutter="0" w:footer="0" w:header="0"/>
        </w:sectPr>
      </w:pPr>
    </w:p>
    <w:bookmarkStart w:id="213" w:name="page214"/>
    <w:bookmarkEnd w:id="21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w:t>
      </w:r>
    </w:p>
    <w:p>
      <w:pPr>
        <w:spacing w:after="0" w:line="219" w:lineRule="exact"/>
        <w:rPr>
          <w:sz w:val="20"/>
          <w:szCs w:val="20"/>
          <w:color w:val="auto"/>
        </w:rPr>
      </w:pPr>
    </w:p>
    <w:p>
      <w:pPr>
        <w:ind w:left="2040" w:right="300" w:hanging="370"/>
        <w:spacing w:after="0" w:line="293" w:lineRule="auto"/>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5" w:lineRule="exact"/>
        <w:rPr>
          <w:rFonts w:ascii="Times New Roman" w:cs="Times New Roman" w:eastAsia="Times New Roman" w:hAnsi="Times New Roman"/>
          <w:sz w:val="15"/>
          <w:szCs w:val="15"/>
          <w:color w:val="auto"/>
        </w:rPr>
      </w:pPr>
    </w:p>
    <w:p>
      <w:pPr>
        <w:ind w:left="2040" w:hanging="370"/>
        <w:spacing w:after="0" w:line="268" w:lineRule="auto"/>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74" w:lineRule="exact"/>
        <w:rPr>
          <w:rFonts w:ascii="Times New Roman" w:cs="Times New Roman" w:eastAsia="Times New Roman" w:hAnsi="Times New Roman"/>
          <w:sz w:val="15"/>
          <w:szCs w:val="15"/>
          <w:color w:val="auto"/>
        </w:rPr>
      </w:pPr>
    </w:p>
    <w:p>
      <w:pPr>
        <w:ind w:left="2040" w:right="800" w:hanging="370"/>
        <w:spacing w:after="0" w:line="293" w:lineRule="auto"/>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275(1A) or Section 276(4)(i)(B) of the SFA;</w:t>
      </w:r>
    </w:p>
    <w:p>
      <w:pPr>
        <w:spacing w:after="0" w:line="155" w:lineRule="exact"/>
        <w:rPr>
          <w:rFonts w:ascii="Times New Roman" w:cs="Times New Roman" w:eastAsia="Times New Roman" w:hAnsi="Times New Roman"/>
          <w:sz w:val="15"/>
          <w:szCs w:val="15"/>
          <w:color w:val="auto"/>
        </w:rPr>
      </w:pPr>
    </w:p>
    <w:p>
      <w:pPr>
        <w:ind w:left="2040" w:hanging="370"/>
        <w:spacing w:after="0"/>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w:t>
      </w:r>
    </w:p>
    <w:p>
      <w:pPr>
        <w:spacing w:after="0" w:line="219" w:lineRule="exact"/>
        <w:rPr>
          <w:rFonts w:ascii="Times New Roman" w:cs="Times New Roman" w:eastAsia="Times New Roman" w:hAnsi="Times New Roman"/>
          <w:sz w:val="15"/>
          <w:szCs w:val="15"/>
          <w:color w:val="auto"/>
        </w:rPr>
      </w:pPr>
    </w:p>
    <w:p>
      <w:pPr>
        <w:ind w:left="2040" w:hanging="370"/>
        <w:spacing w:after="0"/>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 or</w:t>
      </w:r>
    </w:p>
    <w:p>
      <w:pPr>
        <w:spacing w:after="0" w:line="219" w:lineRule="exact"/>
        <w:rPr>
          <w:rFonts w:ascii="Times New Roman" w:cs="Times New Roman" w:eastAsia="Times New Roman" w:hAnsi="Times New Roman"/>
          <w:sz w:val="15"/>
          <w:szCs w:val="15"/>
          <w:color w:val="auto"/>
        </w:rPr>
      </w:pPr>
    </w:p>
    <w:p>
      <w:pPr>
        <w:ind w:left="2040" w:hanging="370"/>
        <w:spacing w:after="0"/>
        <w:tabs>
          <w:tab w:leader="none" w:pos="204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specified in Section 276(7) of the SFA.</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Canada</w:t>
      </w:r>
    </w:p>
    <w:p>
      <w:pPr>
        <w:spacing w:after="0" w:line="200"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or subsection 73.3(1) of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xml:space="preserve"> (Ontario), and are permitted clients, as defined in National Instrument 31-103 </w:t>
      </w:r>
      <w:r>
        <w:rPr>
          <w:rFonts w:ascii="Times New Roman" w:cs="Times New Roman" w:eastAsia="Times New Roman" w:hAnsi="Times New Roman"/>
          <w:sz w:val="15"/>
          <w:szCs w:val="15"/>
          <w:i w:val="1"/>
          <w:iCs w:val="1"/>
          <w:color w:val="auto"/>
        </w:rPr>
        <w:t>Registration Requirements, Exemptions and Ongoing Registrant Obligations</w:t>
      </w:r>
      <w:r>
        <w:rPr>
          <w:rFonts w:ascii="Times New Roman" w:cs="Times New Roman" w:eastAsia="Times New Roman" w:hAnsi="Times New Roman"/>
          <w:sz w:val="15"/>
          <w:szCs w:val="15"/>
          <w:color w:val="auto"/>
        </w:rPr>
        <w:t>. Any resale of the shares must be made in accordance with an exemption from, or in a transaction not subject to, the prospectus requirements of applicable securities laws.</w:t>
      </w:r>
    </w:p>
    <w:p>
      <w:pPr>
        <w:spacing w:after="0" w:line="152" w:lineRule="exact"/>
        <w:rPr>
          <w:sz w:val="20"/>
          <w:szCs w:val="20"/>
          <w:color w:val="auto"/>
        </w:rPr>
      </w:pPr>
    </w:p>
    <w:p>
      <w:pPr>
        <w:ind w:left="920" w:right="160" w:firstLine="753"/>
        <w:spacing w:after="0" w:line="268"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jc w:val="both"/>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5"/>
          <w:szCs w:val="15"/>
          <w:i w:val="1"/>
          <w:iCs w:val="1"/>
          <w:color w:val="auto"/>
        </w:rPr>
        <w:t>Underwriting Conflicts</w:t>
      </w:r>
      <w:r>
        <w:rPr>
          <w:rFonts w:ascii="Times New Roman" w:cs="Times New Roman" w:eastAsia="Times New Roman" w:hAnsi="Times New Roman"/>
          <w:sz w:val="15"/>
          <w:szCs w:val="15"/>
          <w:color w:val="auto"/>
        </w:rPr>
        <w:t xml:space="preserve"> (NI 33-105), the underwriters are not required to comply with the disclosure requirements of NI 33-105 regarding underwriter conflicts of interest in connection with this offering.</w:t>
      </w:r>
    </w:p>
    <w:p>
      <w:pPr>
        <w:spacing w:after="0" w:line="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-211-</w:t>
      </w:r>
    </w:p>
    <w:p>
      <w:pPr>
        <w:sectPr>
          <w:pgSz w:w="11900" w:h="16838" w:orient="portrait"/>
          <w:cols w:equalWidth="0" w:num="1">
            <w:col w:w="10300"/>
          </w:cols>
          <w:pgMar w:left="320" w:top="410" w:right="1279" w:bottom="1440" w:gutter="0" w:footer="0" w:header="0"/>
        </w:sectPr>
      </w:pPr>
    </w:p>
    <w:bookmarkStart w:id="214" w:name="page215"/>
    <w:bookmarkEnd w:id="21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validity of the shares of our common stock offered in this prospectus will be passed upon for us by Gunderson Dettmer Stough Villeneuve Franklin &amp; Hachigian, LLP, San Diego, California. Shearman &amp; Sterling LLP, New York, New York is acting as counsel for the underwriters in connection with this offering. Certain investment partnerships comprised of partners of Gunderson Dettmer Stough Villeneuve Franklin &amp; Hachigian, LLP, own an interest representing less than one percent of the shares of our common stock.</w:t>
      </w:r>
    </w:p>
    <w:p>
      <w:pPr>
        <w:spacing w:after="0" w:line="1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200"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Ernst &amp; Young LLP, independent registered public accounting firm, has audited our financial statements at December 31, 2018 and 2019, and for each of the two years in the period ended December 31, 2019, as set forth in their report. We’ve included our financial statements in the prospectus and elsewhere in the registration statement in reliance on Ernst &amp; Young LLP’s report, given on their authority as experts in accounting and auditing.</w:t>
      </w:r>
    </w:p>
    <w:p>
      <w:pPr>
        <w:spacing w:after="0" w:line="14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200" w:lineRule="exact"/>
        <w:rPr>
          <w:sz w:val="20"/>
          <w:szCs w:val="20"/>
          <w:color w:val="auto"/>
        </w:rPr>
      </w:pPr>
    </w:p>
    <w:p>
      <w:pPr>
        <w:ind w:left="920" w:right="60" w:firstLine="753"/>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have filed with the SEC a registration statement on </w:t>
      </w:r>
      <w:hyperlink r:id="rId289">
        <w:r>
          <w:rPr>
            <w:rFonts w:ascii="Times New Roman" w:cs="Times New Roman" w:eastAsia="Times New Roman" w:hAnsi="Times New Roman"/>
            <w:sz w:val="15"/>
            <w:szCs w:val="15"/>
            <w:u w:val="single" w:color="auto"/>
            <w:color w:val="0000EE"/>
          </w:rPr>
          <w:t>Form S-1</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under the Securities Act with respect to the shares of common stock offered by this prospectus. This prospectus, which constitutes a part of the registration statement, does not contain all of the information set forth in the registration statement or the exhibits, schedules and amendments to the registration statement. Please refer to the registration statement and to the exhibits and schedules for further information with respect to the common stock offered by this prospectus. Statements contained in this prospectus regarding the contents of any contract, agreement or other document are only summaries. With respect to any contract, agreement or document that is filed as an exhibit to the registration statement, you should refer to the exhibit for a copy of the contract, agreement or document, and each statement in this prospectus regarding that contract, agreement or document is qualified by reference to the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The information on the SEC’s web site is not part of this prospectus, and any references to this web site or any other web site are inactive textual references only.</w:t>
      </w:r>
    </w:p>
    <w:p>
      <w:pPr>
        <w:spacing w:after="0" w:line="160"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on the SEC’s website referred to above. We also maintain a website at www.tarsusrx.com,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-212-</w:t>
      </w:r>
    </w:p>
    <w:p>
      <w:pPr>
        <w:sectPr>
          <w:pgSz w:w="11900" w:h="16838" w:orient="portrait"/>
          <w:cols w:equalWidth="0" w:num="1">
            <w:col w:w="10300"/>
          </w:cols>
          <w:pgMar w:left="320" w:top="410" w:right="1279" w:bottom="1440" w:gutter="0" w:footer="0" w:header="0"/>
        </w:sectPr>
      </w:pPr>
    </w:p>
    <w:bookmarkStart w:id="215" w:name="page216"/>
    <w:bookmarkEnd w:id="21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INDEX TO THE FINANCIAL STATEMENTS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100" w:type="dxa"/>
            <w:vAlign w:val="bottom"/>
            <w:vMerge w:val="restart"/>
          </w:tcPr>
          <w:p>
            <w:pPr>
              <w:spacing w:after="0"/>
              <w:rPr>
                <w:rFonts w:ascii="Times New Roman" w:cs="Times New Roman" w:eastAsia="Times New Roman" w:hAnsi="Times New Roman"/>
                <w:sz w:val="15"/>
                <w:szCs w:val="15"/>
                <w:u w:val="single" w:color="auto"/>
                <w:color w:val="0000EE"/>
              </w:rPr>
            </w:pPr>
            <w:hyperlink w:anchor="page217">
              <w:r>
                <w:rPr>
                  <w:rFonts w:ascii="Times New Roman" w:cs="Times New Roman" w:eastAsia="Times New Roman" w:hAnsi="Times New Roman"/>
                  <w:sz w:val="15"/>
                  <w:szCs w:val="15"/>
                  <w:u w:val="single" w:color="auto"/>
                  <w:color w:val="0000EE"/>
                </w:rPr>
                <w:t>Report of Independent Registered Public Accounting Firm</w:t>
              </w:r>
            </w:hyperlink>
          </w:p>
        </w:tc>
        <w:tc>
          <w:tcPr>
            <w:tcW w:w="5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Pages</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F-2</w:t>
            </w:r>
          </w:p>
        </w:tc>
        <w:tc>
          <w:tcPr>
            <w:tcW w:w="0" w:type="dxa"/>
            <w:vAlign w:val="bottom"/>
          </w:tcPr>
          <w:p>
            <w:pPr>
              <w:spacing w:after="0"/>
              <w:rPr>
                <w:sz w:val="1"/>
                <w:szCs w:val="1"/>
                <w:color w:val="auto"/>
              </w:rPr>
            </w:pPr>
          </w:p>
        </w:tc>
      </w:tr>
      <w:tr>
        <w:trPr>
          <w:trHeight w:val="184"/>
        </w:trPr>
        <w:tc>
          <w:tcPr>
            <w:tcW w:w="4100" w:type="dxa"/>
            <w:vAlign w:val="bottom"/>
          </w:tcPr>
          <w:p>
            <w:pPr>
              <w:spacing w:after="0"/>
              <w:rPr>
                <w:rFonts w:ascii="Times New Roman" w:cs="Times New Roman" w:eastAsia="Times New Roman" w:hAnsi="Times New Roman"/>
                <w:sz w:val="15"/>
                <w:szCs w:val="15"/>
                <w:u w:val="single" w:color="auto"/>
                <w:color w:val="0000EE"/>
              </w:rPr>
            </w:pPr>
            <w:hyperlink w:anchor="page218">
              <w:r>
                <w:rPr>
                  <w:rFonts w:ascii="Times New Roman" w:cs="Times New Roman" w:eastAsia="Times New Roman" w:hAnsi="Times New Roman"/>
                  <w:sz w:val="15"/>
                  <w:szCs w:val="15"/>
                  <w:u w:val="single" w:color="auto"/>
                  <w:color w:val="0000EE"/>
                </w:rPr>
                <w:t>Balance Sheets</w:t>
              </w:r>
            </w:hyperlink>
          </w:p>
        </w:tc>
        <w:tc>
          <w:tcPr>
            <w:tcW w:w="49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F-3</w:t>
            </w:r>
          </w:p>
        </w:tc>
        <w:tc>
          <w:tcPr>
            <w:tcW w:w="0" w:type="dxa"/>
            <w:vAlign w:val="bottom"/>
          </w:tcPr>
          <w:p>
            <w:pPr>
              <w:spacing w:after="0"/>
              <w:rPr>
                <w:sz w:val="1"/>
                <w:szCs w:val="1"/>
                <w:color w:val="auto"/>
              </w:rPr>
            </w:pPr>
          </w:p>
        </w:tc>
      </w:tr>
      <w:tr>
        <w:trPr>
          <w:trHeight w:val="184"/>
        </w:trPr>
        <w:tc>
          <w:tcPr>
            <w:tcW w:w="4100" w:type="dxa"/>
            <w:vAlign w:val="bottom"/>
          </w:tcPr>
          <w:p>
            <w:pPr>
              <w:spacing w:after="0"/>
              <w:rPr>
                <w:rFonts w:ascii="Times New Roman" w:cs="Times New Roman" w:eastAsia="Times New Roman" w:hAnsi="Times New Roman"/>
                <w:sz w:val="15"/>
                <w:szCs w:val="15"/>
                <w:u w:val="single" w:color="auto"/>
                <w:color w:val="0000EE"/>
              </w:rPr>
            </w:pPr>
            <w:hyperlink w:anchor="page219">
              <w:r>
                <w:rPr>
                  <w:rFonts w:ascii="Times New Roman" w:cs="Times New Roman" w:eastAsia="Times New Roman" w:hAnsi="Times New Roman"/>
                  <w:sz w:val="15"/>
                  <w:szCs w:val="15"/>
                  <w:u w:val="single" w:color="auto"/>
                  <w:color w:val="0000EE"/>
                </w:rPr>
                <w:t>Statements of Operations and Comprehensive Loss</w:t>
              </w:r>
            </w:hyperlink>
          </w:p>
        </w:tc>
        <w:tc>
          <w:tcPr>
            <w:tcW w:w="49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F-4</w:t>
            </w:r>
          </w:p>
        </w:tc>
        <w:tc>
          <w:tcPr>
            <w:tcW w:w="0" w:type="dxa"/>
            <w:vAlign w:val="bottom"/>
          </w:tcPr>
          <w:p>
            <w:pPr>
              <w:spacing w:after="0"/>
              <w:rPr>
                <w:sz w:val="1"/>
                <w:szCs w:val="1"/>
                <w:color w:val="auto"/>
              </w:rPr>
            </w:pPr>
          </w:p>
        </w:tc>
      </w:tr>
      <w:tr>
        <w:trPr>
          <w:trHeight w:val="184"/>
        </w:trPr>
        <w:tc>
          <w:tcPr>
            <w:tcW w:w="4100" w:type="dxa"/>
            <w:vAlign w:val="bottom"/>
          </w:tcPr>
          <w:p>
            <w:pPr>
              <w:spacing w:after="0"/>
              <w:rPr>
                <w:rFonts w:ascii="Times New Roman" w:cs="Times New Roman" w:eastAsia="Times New Roman" w:hAnsi="Times New Roman"/>
                <w:sz w:val="15"/>
                <w:szCs w:val="15"/>
                <w:u w:val="single" w:color="auto"/>
                <w:color w:val="0000EE"/>
              </w:rPr>
            </w:pPr>
            <w:hyperlink w:anchor="page220">
              <w:r>
                <w:rPr>
                  <w:rFonts w:ascii="Times New Roman" w:cs="Times New Roman" w:eastAsia="Times New Roman" w:hAnsi="Times New Roman"/>
                  <w:sz w:val="15"/>
                  <w:szCs w:val="15"/>
                  <w:u w:val="single" w:color="auto"/>
                  <w:color w:val="0000EE"/>
                </w:rPr>
                <w:t>Statements of Preferred Stock and Stockholders’ Deficit</w:t>
              </w:r>
            </w:hyperlink>
          </w:p>
        </w:tc>
        <w:tc>
          <w:tcPr>
            <w:tcW w:w="49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F-5</w:t>
            </w:r>
          </w:p>
        </w:tc>
        <w:tc>
          <w:tcPr>
            <w:tcW w:w="0" w:type="dxa"/>
            <w:vAlign w:val="bottom"/>
          </w:tcPr>
          <w:p>
            <w:pPr>
              <w:spacing w:after="0"/>
              <w:rPr>
                <w:sz w:val="1"/>
                <w:szCs w:val="1"/>
                <w:color w:val="auto"/>
              </w:rPr>
            </w:pPr>
          </w:p>
        </w:tc>
      </w:tr>
      <w:tr>
        <w:trPr>
          <w:trHeight w:val="184"/>
        </w:trPr>
        <w:tc>
          <w:tcPr>
            <w:tcW w:w="4100" w:type="dxa"/>
            <w:vAlign w:val="bottom"/>
          </w:tcPr>
          <w:p>
            <w:pPr>
              <w:spacing w:after="0"/>
              <w:rPr>
                <w:rFonts w:ascii="Times New Roman" w:cs="Times New Roman" w:eastAsia="Times New Roman" w:hAnsi="Times New Roman"/>
                <w:sz w:val="15"/>
                <w:szCs w:val="15"/>
                <w:u w:val="single" w:color="auto"/>
                <w:color w:val="0000EE"/>
              </w:rPr>
            </w:pPr>
            <w:hyperlink w:anchor="page221">
              <w:r>
                <w:rPr>
                  <w:rFonts w:ascii="Times New Roman" w:cs="Times New Roman" w:eastAsia="Times New Roman" w:hAnsi="Times New Roman"/>
                  <w:sz w:val="15"/>
                  <w:szCs w:val="15"/>
                  <w:u w:val="single" w:color="auto"/>
                  <w:color w:val="0000EE"/>
                </w:rPr>
                <w:t>Statements of Cash Flows</w:t>
              </w:r>
            </w:hyperlink>
          </w:p>
        </w:tc>
        <w:tc>
          <w:tcPr>
            <w:tcW w:w="49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F-6</w:t>
            </w:r>
          </w:p>
        </w:tc>
        <w:tc>
          <w:tcPr>
            <w:tcW w:w="0" w:type="dxa"/>
            <w:vAlign w:val="bottom"/>
          </w:tcPr>
          <w:p>
            <w:pPr>
              <w:spacing w:after="0"/>
              <w:rPr>
                <w:sz w:val="1"/>
                <w:szCs w:val="1"/>
                <w:color w:val="auto"/>
              </w:rPr>
            </w:pPr>
          </w:p>
        </w:tc>
      </w:tr>
      <w:tr>
        <w:trPr>
          <w:trHeight w:val="199"/>
        </w:trPr>
        <w:tc>
          <w:tcPr>
            <w:tcW w:w="4100" w:type="dxa"/>
            <w:vAlign w:val="bottom"/>
          </w:tcPr>
          <w:p>
            <w:pPr>
              <w:spacing w:after="0"/>
              <w:rPr>
                <w:rFonts w:ascii="Times New Roman" w:cs="Times New Roman" w:eastAsia="Times New Roman" w:hAnsi="Times New Roman"/>
                <w:sz w:val="15"/>
                <w:szCs w:val="15"/>
                <w:u w:val="single" w:color="auto"/>
                <w:color w:val="0000EE"/>
              </w:rPr>
            </w:pPr>
            <w:hyperlink w:anchor="page222">
              <w:r>
                <w:rPr>
                  <w:rFonts w:ascii="Times New Roman" w:cs="Times New Roman" w:eastAsia="Times New Roman" w:hAnsi="Times New Roman"/>
                  <w:sz w:val="15"/>
                  <w:szCs w:val="15"/>
                  <w:u w:val="single" w:color="auto"/>
                  <w:color w:val="0000EE"/>
                </w:rPr>
                <w:t>Notes to Financial Statements</w:t>
              </w:r>
            </w:hyperlink>
          </w:p>
        </w:tc>
        <w:tc>
          <w:tcPr>
            <w:tcW w:w="49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F-7</w:t>
            </w:r>
          </w:p>
        </w:tc>
        <w:tc>
          <w:tcPr>
            <w:tcW w:w="0" w:type="dxa"/>
            <w:vAlign w:val="bottom"/>
          </w:tcPr>
          <w:p>
            <w:pPr>
              <w:spacing w:after="0"/>
              <w:rPr>
                <w:sz w:val="1"/>
                <w:szCs w:val="1"/>
                <w:color w:val="auto"/>
              </w:rPr>
            </w:pPr>
          </w:p>
        </w:tc>
      </w:tr>
      <w:tr>
        <w:trPr>
          <w:trHeight w:val="311"/>
        </w:trPr>
        <w:tc>
          <w:tcPr>
            <w:tcW w:w="4100" w:type="dxa"/>
            <w:vAlign w:val="bottom"/>
          </w:tcPr>
          <w:p>
            <w:pPr>
              <w:spacing w:after="0"/>
              <w:rPr>
                <w:sz w:val="24"/>
                <w:szCs w:val="24"/>
                <w:color w:val="auto"/>
              </w:rPr>
            </w:pPr>
          </w:p>
        </w:tc>
        <w:tc>
          <w:tcPr>
            <w:tcW w:w="5260" w:type="dxa"/>
            <w:vAlign w:val="bottom"/>
            <w:gridSpan w:val="2"/>
          </w:tcPr>
          <w:p>
            <w:pPr>
              <w:jc w:val="right"/>
              <w:ind w:right="4463"/>
              <w:spacing w:after="0"/>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216" w:name="page217"/>
    <w:bookmarkEnd w:id="21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To the Stockholders and the Board of Directors of Tarsus Pharmaceuticals, Inc.</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200" w:lineRule="exact"/>
        <w:rPr>
          <w:sz w:val="20"/>
          <w:szCs w:val="20"/>
          <w:color w:val="auto"/>
        </w:rPr>
      </w:pPr>
    </w:p>
    <w:p>
      <w:pPr>
        <w:ind w:left="920"/>
        <w:spacing w:after="0" w:line="265" w:lineRule="auto"/>
        <w:rPr>
          <w:sz w:val="20"/>
          <w:szCs w:val="20"/>
          <w:color w:val="auto"/>
        </w:rPr>
      </w:pPr>
      <w:r>
        <w:rPr>
          <w:rFonts w:ascii="Times New Roman" w:cs="Times New Roman" w:eastAsia="Times New Roman" w:hAnsi="Times New Roman"/>
          <w:sz w:val="15"/>
          <w:szCs w:val="15"/>
          <w:color w:val="auto"/>
        </w:rPr>
        <w:t>We have audited the accompanying balance sheets of Tarsus Pharmaceuticals, Inc. (the Company) as of December 31, 2018 and 2019, the related statements of operations and comprehensive loss,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00" w:lineRule="exact"/>
        <w:rPr>
          <w:sz w:val="20"/>
          <w:szCs w:val="20"/>
          <w:color w:val="auto"/>
        </w:rPr>
      </w:pPr>
    </w:p>
    <w:p>
      <w:pPr>
        <w:ind w:left="920" w:right="60"/>
        <w:spacing w:after="0" w:line="268"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left="920" w:right="380"/>
        <w:spacing w:after="0" w:line="265"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4" w:lineRule="exact"/>
        <w:rPr>
          <w:sz w:val="20"/>
          <w:szCs w:val="20"/>
          <w:color w:val="auto"/>
        </w:rPr>
      </w:pPr>
    </w:p>
    <w:p>
      <w:pPr>
        <w:ind w:left="920"/>
        <w:spacing w:after="0" w:line="268"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We have served as the Company’s auditor since 2020.</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Irvine, California</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August 7, 2020</w:t>
      </w:r>
    </w:p>
    <w:p>
      <w:pPr>
        <w:spacing w:after="0" w:line="12" w:lineRule="exact"/>
        <w:rPr>
          <w:sz w:val="20"/>
          <w:szCs w:val="20"/>
          <w:color w:val="auto"/>
        </w:rPr>
      </w:pPr>
    </w:p>
    <w:p>
      <w:pPr>
        <w:ind w:left="920" w:right="580"/>
        <w:spacing w:after="0" w:line="273" w:lineRule="auto"/>
        <w:rPr>
          <w:sz w:val="20"/>
          <w:szCs w:val="20"/>
          <w:color w:val="auto"/>
        </w:rPr>
      </w:pPr>
      <w:r>
        <w:rPr>
          <w:rFonts w:ascii="Times New Roman" w:cs="Times New Roman" w:eastAsia="Times New Roman" w:hAnsi="Times New Roman"/>
          <w:sz w:val="15"/>
          <w:szCs w:val="15"/>
          <w:color w:val="auto"/>
        </w:rPr>
        <w:t>except for the retroactive effect of the 1-for-7.4276 reverse stock split as described in the second paragraph of Note 1(a), as to which the date is October 9, 2020</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F-2</w:t>
      </w:r>
    </w:p>
    <w:p>
      <w:pPr>
        <w:sectPr>
          <w:pgSz w:w="11900" w:h="16838" w:orient="portrait"/>
          <w:cols w:equalWidth="0" w:num="1">
            <w:col w:w="10300"/>
          </w:cols>
          <w:pgMar w:left="320" w:top="410" w:right="1279" w:bottom="1440" w:gutter="0" w:footer="0" w:header="0"/>
        </w:sectPr>
      </w:pPr>
    </w:p>
    <w:bookmarkStart w:id="217" w:name="page218"/>
    <w:bookmarkEnd w:id="21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7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BALANCE SHEETS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thousands, except share and par value amounts)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4"/>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vMerge w:val="restart"/>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2"/>
                <w:szCs w:val="12"/>
                <w:b w:val="1"/>
                <w:bCs w:val="1"/>
                <w:color w:val="auto"/>
              </w:rPr>
              <w:t>as of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0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4"/>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04"/>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center"/>
              <w:ind w:right="8"/>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57,952</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53,135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Restricted cash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receivables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58,030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54,706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of accumulated depreciation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2,389</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58,316</w:t>
            </w:r>
          </w:p>
        </w:tc>
        <w:tc>
          <w:tcPr>
            <w:tcW w:w="1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56,239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PREFERRED STOCK AND STOCKHOLDERS’ (DEFICIT) EQUITY</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6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6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 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Series A Preferred Stock, $0.0001 par value; 1,575,030 shares authorized, issued and 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at December 31, 2018, December 31, 2019, and June 30, 2020 (unaudited); liquidation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preference of $3,650 at December 31, 2018, December 31, 2019 and June 30, 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(unaudited); no shares authorized, issued or outstanding, pro forma (unaudited)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Series B Preferred Stock, $0.0001 par value; zero shares authorized, issued or outstanding at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December 31, 2018 and 6,731,649 shares authorized and 6,674,909 shares issued and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outstanding at December 31, 2019 and June 30, 2020 (unaudited); liquidation preference of $0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at December 31, 2018, and $60,010 at December 31, 2019 and June 30, 2020, (unaudited); no</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shares authorized, issued or outstanding, pro forma (unaudited)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7"/>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(deficit) equity:</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line="170" w:lineRule="exact"/>
              <w:rPr>
                <w:sz w:val="20"/>
                <w:szCs w:val="20"/>
                <w:color w:val="auto"/>
              </w:rPr>
            </w:pPr>
            <w:r>
              <w:rPr>
                <w:rFonts w:ascii="Times New Roman" w:cs="Times New Roman" w:eastAsia="Times New Roman" w:hAnsi="Times New Roman"/>
                <w:sz w:val="15"/>
                <w:szCs w:val="15"/>
                <w:color w:val="auto"/>
              </w:rPr>
              <w:t>Common stock, $0.0001 par value; 13,867,198 shares authorized; 2,677,846 shares issued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and 2,078,918 outstanding, which excludes 598,928 shares subject to repurchase at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December 31, 2018; 2,650,919 shares issued and 2,646,619 outstanding, which excludes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4,300 shares subject to repurchase at December 31, 2019; 2,719,312 shares issued and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2,651,996 outstanding, which excludes 67,316 shares subject to repurchase at June 30,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2020 (unaudited); 13,867,198 shares authorized, 10,969,251 shares issued and 10,901,935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outstanding, which excludes 67,316 shares subject to repurchase pro forma (unaudited)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63,607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(1,364)</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(6,034)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(11,241)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(11,241)</w:t>
            </w:r>
          </w:p>
        </w:tc>
        <w:tc>
          <w:tcPr>
            <w:tcW w:w="0" w:type="dxa"/>
            <w:vAlign w:val="bottom"/>
          </w:tcPr>
          <w:p>
            <w:pPr>
              <w:spacing w:after="0"/>
              <w:rPr>
                <w:sz w:val="1"/>
                <w:szCs w:val="1"/>
                <w:color w:val="auto"/>
              </w:rPr>
            </w:pP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stockholders’ (deficit) equity</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6"/>
              </w:rPr>
              <w:t>(1,354)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(6,005)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Total liabilities, preferred stock and stockholders’ (deficit) equity</w:t>
            </w:r>
          </w:p>
        </w:tc>
        <w:tc>
          <w:tcPr>
            <w:tcW w:w="1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2,389</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58,316</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56,239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See accompanying notes to these financial statements.</w:t>
      </w:r>
    </w:p>
    <w:p>
      <w:pPr>
        <w:spacing w:after="0" w:line="13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F-3</w:t>
      </w:r>
    </w:p>
    <w:p>
      <w:pPr>
        <w:sectPr>
          <w:pgSz w:w="11900" w:h="16838" w:orient="portrait"/>
          <w:cols w:equalWidth="0" w:num="1">
            <w:col w:w="10340"/>
          </w:cols>
          <w:pgMar w:left="320" w:top="410" w:right="1239" w:bottom="1440" w:gutter="0" w:footer="0" w:header="0"/>
        </w:sectPr>
      </w:pPr>
    </w:p>
    <w:bookmarkStart w:id="218" w:name="page219"/>
    <w:bookmarkEnd w:id="21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STATEMENTS OF OPERATIONS AND COMPREHENSIVE LOSS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amounts)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6"/>
            <w:vMerge w:val="restart"/>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gridSpan w:val="6"/>
          </w:tcPr>
          <w:p>
            <w:pPr>
              <w:ind w:left="1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gridSpan w:val="6"/>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5"/>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4"/>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Operating expenses: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3,162</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w:t>
            </w:r>
          </w:p>
        </w:tc>
        <w:tc>
          <w:tcPr>
            <w:tcW w:w="2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 before other income (expense) and income taxes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(1,350)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(4,298)</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(2,580)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(5,381)</w:t>
            </w:r>
          </w:p>
        </w:tc>
        <w:tc>
          <w:tcPr>
            <w:tcW w:w="0" w:type="dxa"/>
            <w:vAlign w:val="bottom"/>
          </w:tcPr>
          <w:p>
            <w:pPr>
              <w:spacing w:after="0"/>
              <w:rPr>
                <w:sz w:val="1"/>
                <w:szCs w:val="1"/>
                <w:color w:val="auto"/>
              </w:rPr>
            </w:pPr>
          </w:p>
        </w:tc>
      </w:tr>
      <w:tr>
        <w:trPr>
          <w:trHeight w:val="187"/>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(40)</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Loss on extinguishment of convertible notes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(255)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(76)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Total other income (expense)</w:t>
            </w: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(4,670</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loss per share attributable to common stockholders, basic and diluted</w:t>
            </w:r>
          </w:p>
        </w:tc>
        <w:tc>
          <w:tcPr>
            <w:tcW w:w="2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42"/>
              <w:spacing w:after="0" w:line="171" w:lineRule="exact"/>
              <w:rPr>
                <w:sz w:val="20"/>
                <w:szCs w:val="20"/>
                <w:color w:val="auto"/>
              </w:rPr>
            </w:pPr>
            <w:r>
              <w:rPr>
                <w:rFonts w:ascii="Times New Roman" w:cs="Times New Roman" w:eastAsia="Times New Roman" w:hAnsi="Times New Roman"/>
                <w:sz w:val="15"/>
                <w:szCs w:val="15"/>
                <w:color w:val="auto"/>
              </w:rPr>
              <w:t>(0.75)</w:t>
            </w:r>
          </w:p>
        </w:tc>
        <w:tc>
          <w:tcPr>
            <w:tcW w:w="2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2"/>
              <w:spacing w:after="0" w:line="171" w:lineRule="exact"/>
              <w:rPr>
                <w:sz w:val="20"/>
                <w:szCs w:val="20"/>
                <w:color w:val="auto"/>
              </w:rPr>
            </w:pPr>
            <w:r>
              <w:rPr>
                <w:rFonts w:ascii="Times New Roman" w:cs="Times New Roman" w:eastAsia="Times New Roman" w:hAnsi="Times New Roman"/>
                <w:sz w:val="15"/>
                <w:szCs w:val="15"/>
                <w:color w:val="auto"/>
              </w:rPr>
              <w:t>(1.98)</w:t>
            </w:r>
          </w:p>
        </w:tc>
        <w:tc>
          <w:tcPr>
            <w:tcW w:w="2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2"/>
              <w:spacing w:after="0" w:line="171" w:lineRule="exact"/>
              <w:rPr>
                <w:sz w:val="20"/>
                <w:szCs w:val="20"/>
                <w:color w:val="auto"/>
              </w:rPr>
            </w:pPr>
            <w:r>
              <w:rPr>
                <w:rFonts w:ascii="Times New Roman" w:cs="Times New Roman" w:eastAsia="Times New Roman" w:hAnsi="Times New Roman"/>
                <w:sz w:val="15"/>
                <w:szCs w:val="15"/>
                <w:color w:val="auto"/>
              </w:rPr>
              <w:t>(1.15)</w:t>
            </w:r>
          </w:p>
        </w:tc>
        <w:tc>
          <w:tcPr>
            <w:tcW w:w="2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line="171" w:lineRule="exact"/>
              <w:rPr>
                <w:sz w:val="20"/>
                <w:szCs w:val="20"/>
                <w:color w:val="auto"/>
              </w:rPr>
            </w:pPr>
            <w:r>
              <w:rPr>
                <w:rFonts w:ascii="Times New Roman" w:cs="Times New Roman" w:eastAsia="Times New Roman" w:hAnsi="Times New Roman"/>
                <w:sz w:val="15"/>
                <w:szCs w:val="15"/>
                <w:color w:val="auto"/>
              </w:rPr>
              <w:t>(1.96)</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outstanding used in computing net loss per share</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attributable to common stockholders, basic and diluted</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1,759,495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2,362,768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2,238,793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2,650,843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Pro forma net loss per share attributable to common stockholders, basic and</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diluted (unaudited)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(1.09)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outstanding used in computing pro forma net loss per</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share attributable to common stockholders, basic and diluted (unaudited)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4,285,262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10,900,782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See accompanying notes to these financial statements.</w:t>
      </w:r>
    </w:p>
    <w:p>
      <w:pPr>
        <w:spacing w:after="0" w:line="13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F-4</w:t>
      </w:r>
    </w:p>
    <w:p>
      <w:pPr>
        <w:sectPr>
          <w:pgSz w:w="11900" w:h="16838" w:orient="portrait"/>
          <w:cols w:equalWidth="0" w:num="1">
            <w:col w:w="10340"/>
          </w:cols>
          <w:pgMar w:left="320" w:top="410" w:right="1239" w:bottom="1440" w:gutter="0" w:footer="0" w:header="0"/>
        </w:sectPr>
      </w:pPr>
    </w:p>
    <w:bookmarkStart w:id="219" w:name="page220"/>
    <w:bookmarkEnd w:id="21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STATEMENTS OF PREFERRED STOCK AND STOCKHOLDERS’ DEFICIT</w:t>
      </w:r>
    </w:p>
    <w:p>
      <w:pPr>
        <w:spacing w:after="0" w:line="3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ectPr>
          <w:pgSz w:w="11900" w:h="16838" w:orient="portrait"/>
          <w:cols w:equalWidth="0" w:num="1">
            <w:col w:w="10280"/>
          </w:cols>
          <w:pgMar w:left="320" w:top="410" w:right="1299" w:bottom="1440" w:gutter="0" w:footer="0" w:header="0"/>
        </w:sectPr>
      </w:pP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2017</w:t>
            </w:r>
          </w:p>
        </w:tc>
        <w:tc>
          <w:tcPr>
            <w:tcW w:w="600" w:type="dxa"/>
            <w:vAlign w:val="bottom"/>
            <w:tcBorders>
              <w:bottom w:val="single" w:sz="8" w:color="auto"/>
            </w:tcBorders>
            <w:gridSpan w:val="2"/>
          </w:tcPr>
          <w:p>
            <w:pPr>
              <w:jc w:val="right"/>
              <w:ind w:right="79"/>
              <w:spacing w:after="0" w:line="118" w:lineRule="exact"/>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59"/>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99"/>
        </w:trPr>
        <w:tc>
          <w:tcPr>
            <w:tcW w:w="4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spacing w:after="0"/>
              <w:rPr>
                <w:sz w:val="8"/>
                <w:szCs w:val="8"/>
                <w:color w:val="auto"/>
              </w:rPr>
            </w:pPr>
          </w:p>
        </w:tc>
        <w:tc>
          <w:tcPr>
            <w:tcW w:w="24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Net loss</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Recognition of stock-based compensation expense</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Issuance of common stock under stock purchase agreements</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Vesting of founder shares subject to repurchase</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Lapse of repurchase rights related to common stock issued pursuant to early</w:t>
            </w:r>
          </w:p>
        </w:tc>
        <w:tc>
          <w:tcPr>
            <w:tcW w:w="2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360"/>
              <w:spacing w:after="0" w:line="127" w:lineRule="exact"/>
              <w:rPr>
                <w:sz w:val="20"/>
                <w:szCs w:val="20"/>
                <w:color w:val="auto"/>
              </w:rPr>
            </w:pPr>
            <w:r>
              <w:rPr>
                <w:rFonts w:ascii="Times New Roman" w:cs="Times New Roman" w:eastAsia="Times New Roman" w:hAnsi="Times New Roman"/>
                <w:sz w:val="12"/>
                <w:szCs w:val="12"/>
                <w:color w:val="auto"/>
              </w:rPr>
              <w:t>exercises</w:t>
            </w:r>
          </w:p>
        </w:tc>
        <w:tc>
          <w:tcPr>
            <w:tcW w:w="2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Issuance of Series A Preferred Stock for cash, net of issuance costs of $86</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1,575,030</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3,564</w:t>
            </w:r>
          </w:p>
        </w:tc>
        <w:tc>
          <w:tcPr>
            <w:tcW w:w="0" w:type="dxa"/>
            <w:vAlign w:val="bottom"/>
          </w:tcPr>
          <w:p>
            <w:pPr>
              <w:spacing w:after="0"/>
              <w:rPr>
                <w:sz w:val="1"/>
                <w:szCs w:val="1"/>
                <w:color w:val="auto"/>
              </w:rPr>
            </w:pPr>
          </w:p>
        </w:tc>
      </w:tr>
      <w:tr>
        <w:trPr>
          <w:trHeight w:val="110"/>
        </w:trPr>
        <w:tc>
          <w:tcPr>
            <w:tcW w:w="4400" w:type="dxa"/>
            <w:vAlign w:val="bottom"/>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December 31, 2018</w:t>
            </w:r>
          </w:p>
        </w:tc>
        <w:tc>
          <w:tcPr>
            <w:tcW w:w="60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1,575,030</w:t>
            </w:r>
          </w:p>
        </w:tc>
        <w:tc>
          <w:tcPr>
            <w:tcW w:w="60" w:type="dxa"/>
            <w:vAlign w:val="bottom"/>
          </w:tcPr>
          <w:p>
            <w:pPr>
              <w:spacing w:after="0"/>
              <w:rPr>
                <w:sz w:val="9"/>
                <w:szCs w:val="9"/>
                <w:color w:val="auto"/>
              </w:rPr>
            </w:pPr>
          </w:p>
        </w:tc>
        <w:tc>
          <w:tcPr>
            <w:tcW w:w="1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3,564</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Net loss</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Recognition of stock-based compensation expense</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Vesting of founder shares subject to repurchase</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Lapse of repurchase rights related to common stock issued pursuant to early</w:t>
            </w:r>
          </w:p>
        </w:tc>
        <w:tc>
          <w:tcPr>
            <w:tcW w:w="2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360"/>
              <w:spacing w:after="0" w:line="127" w:lineRule="exact"/>
              <w:rPr>
                <w:sz w:val="20"/>
                <w:szCs w:val="20"/>
                <w:color w:val="auto"/>
              </w:rPr>
            </w:pPr>
            <w:r>
              <w:rPr>
                <w:rFonts w:ascii="Times New Roman" w:cs="Times New Roman" w:eastAsia="Times New Roman" w:hAnsi="Times New Roman"/>
                <w:sz w:val="12"/>
                <w:szCs w:val="12"/>
                <w:color w:val="auto"/>
              </w:rPr>
              <w:t>exercises</w:t>
            </w:r>
          </w:p>
        </w:tc>
        <w:tc>
          <w:tcPr>
            <w:tcW w:w="2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Issuance of Series B Preferred Stock upon conversion of Convertible Notes</w:t>
            </w:r>
          </w:p>
        </w:tc>
        <w:tc>
          <w:tcPr>
            <w:tcW w:w="60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268,056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2,410</w:t>
            </w:r>
          </w:p>
        </w:tc>
        <w:tc>
          <w:tcPr>
            <w:tcW w:w="0" w:type="dxa"/>
            <w:vAlign w:val="bottom"/>
          </w:tcPr>
          <w:p>
            <w:pPr>
              <w:spacing w:after="0"/>
              <w:rPr>
                <w:sz w:val="1"/>
                <w:szCs w:val="1"/>
                <w:color w:val="auto"/>
              </w:rPr>
            </w:pPr>
          </w:p>
        </w:tc>
      </w:tr>
      <w:tr>
        <w:trPr>
          <w:trHeight w:val="147"/>
        </w:trPr>
        <w:tc>
          <w:tcPr>
            <w:tcW w:w="4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Issuance of Series B Preferred Stock for cash, net of issuance costs of $172</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6,406,853</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57,428</w:t>
            </w:r>
          </w:p>
        </w:tc>
        <w:tc>
          <w:tcPr>
            <w:tcW w:w="0" w:type="dxa"/>
            <w:vAlign w:val="bottom"/>
          </w:tcPr>
          <w:p>
            <w:pPr>
              <w:spacing w:after="0"/>
              <w:rPr>
                <w:sz w:val="1"/>
                <w:szCs w:val="1"/>
                <w:color w:val="auto"/>
              </w:rPr>
            </w:pPr>
          </w:p>
        </w:tc>
      </w:tr>
      <w:tr>
        <w:trPr>
          <w:trHeight w:val="108"/>
        </w:trPr>
        <w:tc>
          <w:tcPr>
            <w:tcW w:w="44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of December 31, 2019</w:t>
            </w:r>
          </w:p>
        </w:tc>
        <w:tc>
          <w:tcPr>
            <w:tcW w:w="6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8,249,939</w:t>
            </w:r>
          </w:p>
        </w:tc>
        <w:tc>
          <w:tcPr>
            <w:tcW w:w="60" w:type="dxa"/>
            <w:vAlign w:val="bottom"/>
          </w:tcPr>
          <w:p>
            <w:pPr>
              <w:spacing w:after="0"/>
              <w:rPr>
                <w:sz w:val="9"/>
                <w:szCs w:val="9"/>
                <w:color w:val="auto"/>
              </w:rPr>
            </w:pP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63,402</w:t>
            </w:r>
          </w:p>
        </w:tc>
        <w:tc>
          <w:tcPr>
            <w:tcW w:w="0" w:type="dxa"/>
            <w:vAlign w:val="bottom"/>
          </w:tcPr>
          <w:p>
            <w:pPr>
              <w:spacing w:after="0"/>
              <w:rPr>
                <w:sz w:val="1"/>
                <w:szCs w:val="1"/>
                <w:color w:val="auto"/>
              </w:rPr>
            </w:pPr>
          </w:p>
        </w:tc>
      </w:tr>
      <w:tr>
        <w:trPr>
          <w:trHeight w:val="129"/>
        </w:trPr>
        <w:tc>
          <w:tcPr>
            <w:tcW w:w="44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as of December 31, 2018</w:t>
            </w: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1,575,030</w:t>
            </w: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3,564</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Net loss (unaudited)</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Recognition of stock-based compensation expense (unaudited)</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Vesting of founder shares subject to repurchase (unaudited)</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Lapse of repurchase rights related to common stock issued pursuant to early</w:t>
            </w:r>
          </w:p>
        </w:tc>
        <w:tc>
          <w:tcPr>
            <w:tcW w:w="2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44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exercises (unaudited)</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of June 30, 2019 (unaudited)</w:t>
            </w:r>
          </w:p>
        </w:tc>
        <w:tc>
          <w:tcPr>
            <w:tcW w:w="6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1,575,030</w:t>
            </w:r>
          </w:p>
        </w:tc>
        <w:tc>
          <w:tcPr>
            <w:tcW w:w="60" w:type="dxa"/>
            <w:vAlign w:val="bottom"/>
          </w:tcPr>
          <w:p>
            <w:pPr>
              <w:spacing w:after="0"/>
              <w:rPr>
                <w:sz w:val="9"/>
                <w:szCs w:val="9"/>
                <w:color w:val="auto"/>
              </w:rPr>
            </w:pP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2"/>
                <w:szCs w:val="12"/>
                <w:color w:val="auto"/>
              </w:rPr>
              <w:t>3,564</w:t>
            </w:r>
          </w:p>
        </w:tc>
        <w:tc>
          <w:tcPr>
            <w:tcW w:w="0" w:type="dxa"/>
            <w:vAlign w:val="bottom"/>
          </w:tcPr>
          <w:p>
            <w:pPr>
              <w:spacing w:after="0"/>
              <w:rPr>
                <w:sz w:val="1"/>
                <w:szCs w:val="1"/>
                <w:color w:val="auto"/>
              </w:rPr>
            </w:pPr>
          </w:p>
        </w:tc>
      </w:tr>
      <w:tr>
        <w:trPr>
          <w:trHeight w:val="129"/>
        </w:trPr>
        <w:tc>
          <w:tcPr>
            <w:tcW w:w="440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as of December 31, 2019</w:t>
            </w: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8,249,939</w:t>
            </w:r>
          </w:p>
        </w:tc>
        <w:tc>
          <w:tcPr>
            <w:tcW w:w="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63,402</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Net loss (unaudited)</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Recognition of stock-based compensation expense (unaudited)</w:t>
            </w:r>
          </w:p>
        </w:tc>
        <w:tc>
          <w:tcPr>
            <w:tcW w:w="260" w:type="dxa"/>
            <w:vAlign w:val="bottom"/>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240"/>
              <w:spacing w:after="0" w:line="127" w:lineRule="exact"/>
              <w:rPr>
                <w:sz w:val="20"/>
                <w:szCs w:val="20"/>
                <w:color w:val="auto"/>
              </w:rPr>
            </w:pPr>
            <w:r>
              <w:rPr>
                <w:rFonts w:ascii="Times New Roman" w:cs="Times New Roman" w:eastAsia="Times New Roman" w:hAnsi="Times New Roman"/>
                <w:sz w:val="12"/>
                <w:szCs w:val="12"/>
                <w:color w:val="auto"/>
              </w:rPr>
              <w:t>Lapse of repurchase rights related to common stock issued pursuant to early</w:t>
            </w:r>
          </w:p>
        </w:tc>
        <w:tc>
          <w:tcPr>
            <w:tcW w:w="26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4400" w:type="dxa"/>
            <w:vAlign w:val="bottom"/>
          </w:tcPr>
          <w:p>
            <w:pPr>
              <w:ind w:left="360"/>
              <w:spacing w:after="0" w:line="127" w:lineRule="exact"/>
              <w:rPr>
                <w:sz w:val="20"/>
                <w:szCs w:val="20"/>
                <w:color w:val="auto"/>
              </w:rPr>
            </w:pPr>
            <w:r>
              <w:rPr>
                <w:rFonts w:ascii="Times New Roman" w:cs="Times New Roman" w:eastAsia="Times New Roman" w:hAnsi="Times New Roman"/>
                <w:sz w:val="12"/>
                <w:szCs w:val="12"/>
                <w:color w:val="auto"/>
              </w:rPr>
              <w:t>exercises (unaudited)</w:t>
            </w:r>
          </w:p>
        </w:tc>
        <w:tc>
          <w:tcPr>
            <w:tcW w:w="2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Exercise of vested stock options (unaudited)</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44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Balance as of June 30, 2020 (unaudited)</w:t>
            </w:r>
          </w:p>
        </w:tc>
        <w:tc>
          <w:tcPr>
            <w:tcW w:w="600" w:type="dxa"/>
            <w:vAlign w:val="bottom"/>
            <w:tcBorders>
              <w:bottom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8,249,939</w:t>
            </w:r>
          </w:p>
        </w:tc>
        <w:tc>
          <w:tcPr>
            <w:tcW w:w="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63,402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-2832735</wp:posOffset>
            </wp:positionV>
            <wp:extent cx="5973445" cy="28403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973445" cy="284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9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gridSpan w:val="4"/>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00" w:type="dxa"/>
            <w:vAlign w:val="bottom"/>
            <w:gridSpan w:val="6"/>
            <w:vMerge w:val="continue"/>
          </w:tcPr>
          <w:p>
            <w:pPr>
              <w:spacing w:after="0"/>
              <w:rPr>
                <w:sz w:val="12"/>
                <w:szCs w:val="12"/>
                <w:color w:val="auto"/>
              </w:rPr>
            </w:pPr>
          </w:p>
        </w:tc>
        <w:tc>
          <w:tcPr>
            <w:tcW w:w="82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80"/>
              </w:rPr>
              <w:t>Shares</w:t>
            </w:r>
          </w:p>
        </w:tc>
        <w:tc>
          <w:tcPr>
            <w:tcW w:w="540" w:type="dxa"/>
            <w:vAlign w:val="bottom"/>
            <w:gridSpan w:val="4"/>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4"/>
          </w:tcPr>
          <w:p>
            <w:pPr>
              <w:jc w:val="right"/>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360" w:type="dxa"/>
            <w:vAlign w:val="bottom"/>
            <w:tcBorders>
              <w:top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color w:val="auto"/>
                <w:w w:val="77"/>
              </w:rPr>
              <w:t>1,434,027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w w:val="71"/>
              </w:rPr>
              <w:t>1</w:t>
            </w:r>
          </w:p>
        </w:tc>
        <w:tc>
          <w:tcPr>
            <w:tcW w:w="18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tcPr>
          <w:p>
            <w:pPr>
              <w:ind w:left="300"/>
              <w:spacing w:after="0" w:line="99" w:lineRule="exact"/>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8"/>
                <w:szCs w:val="8"/>
                <w:color w:val="auto"/>
              </w:rPr>
            </w:pPr>
          </w:p>
        </w:tc>
        <w:tc>
          <w:tcPr>
            <w:tcW w:w="220" w:type="dxa"/>
            <w:vAlign w:val="bottom"/>
            <w:gridSpan w:val="2"/>
          </w:tcPr>
          <w:p>
            <w:pPr>
              <w:jc w:val="right"/>
              <w:ind w:right="34"/>
              <w:spacing w:after="0" w:line="99"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1"/>
                <w:szCs w:val="11"/>
                <w:color w:val="auto"/>
              </w:rPr>
              <w:t>(45)</w:t>
            </w:r>
          </w:p>
        </w:tc>
        <w:tc>
          <w:tcPr>
            <w:tcW w:w="1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(1,319)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(1,319)</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5,385</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1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538,532</w:t>
            </w:r>
          </w:p>
        </w:tc>
        <w:tc>
          <w:tcPr>
            <w:tcW w:w="100" w:type="dxa"/>
            <w:vAlign w:val="bottom"/>
          </w:tcPr>
          <w:p>
            <w:pPr>
              <w:spacing w:after="0"/>
              <w:rPr>
                <w:sz w:val="13"/>
                <w:szCs w:val="13"/>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1"/>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100,974</w:t>
            </w:r>
          </w:p>
        </w:tc>
        <w:tc>
          <w:tcPr>
            <w:tcW w:w="1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0"/>
        </w:trPr>
        <w:tc>
          <w:tcPr>
            <w:tcW w:w="540" w:type="dxa"/>
            <w:vAlign w:val="bottom"/>
            <w:tcBorders>
              <w:top w:val="single" w:sz="8" w:color="auto"/>
            </w:tcBorders>
            <w:gridSpan w:val="4"/>
          </w:tcPr>
          <w:p>
            <w:pPr>
              <w:jc w:val="right"/>
              <w:spacing w:after="0" w:line="110" w:lineRule="exact"/>
              <w:rPr>
                <w:sz w:val="20"/>
                <w:szCs w:val="20"/>
                <w:color w:val="auto"/>
              </w:rPr>
            </w:pPr>
            <w:r>
              <w:rPr>
                <w:rFonts w:ascii="Times New Roman" w:cs="Times New Roman" w:eastAsia="Times New Roman" w:hAnsi="Times New Roman"/>
                <w:sz w:val="12"/>
                <w:szCs w:val="12"/>
                <w:color w:val="auto"/>
              </w:rPr>
              <w:t>2,078,918</w:t>
            </w: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(1,364)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(1,354)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(4,670)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(4,670)</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493,654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74,047</w:t>
            </w:r>
          </w:p>
        </w:tc>
        <w:tc>
          <w:tcPr>
            <w:tcW w:w="1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jc w:val="right"/>
              <w:ind w:right="1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0"/>
        </w:trPr>
        <w:tc>
          <w:tcPr>
            <w:tcW w:w="540" w:type="dxa"/>
            <w:vAlign w:val="bottom"/>
            <w:tcBorders>
              <w:top w:val="single" w:sz="8" w:color="auto"/>
            </w:tcBorders>
            <w:gridSpan w:val="4"/>
          </w:tcPr>
          <w:p>
            <w:pPr>
              <w:jc w:val="right"/>
              <w:spacing w:after="0" w:line="110" w:lineRule="exact"/>
              <w:rPr>
                <w:sz w:val="20"/>
                <w:szCs w:val="20"/>
                <w:color w:val="auto"/>
              </w:rPr>
            </w:pPr>
            <w:r>
              <w:rPr>
                <w:rFonts w:ascii="Times New Roman" w:cs="Times New Roman" w:eastAsia="Times New Roman" w:hAnsi="Times New Roman"/>
                <w:sz w:val="12"/>
                <w:szCs w:val="12"/>
                <w:color w:val="auto"/>
              </w:rPr>
              <w:t>2,646,619</w:t>
            </w: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2</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(6,034)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(6,005)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2,078,918</w:t>
            </w:r>
          </w:p>
        </w:tc>
        <w:tc>
          <w:tcPr>
            <w:tcW w:w="42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8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9</w:t>
            </w:r>
          </w:p>
        </w:tc>
        <w:tc>
          <w:tcPr>
            <w:tcW w:w="220" w:type="dxa"/>
            <w:vAlign w:val="bottom"/>
            <w:gridSpan w:val="2"/>
          </w:tcPr>
          <w:p>
            <w:pPr>
              <w:jc w:val="right"/>
              <w:ind w:right="34"/>
              <w:spacing w:after="0" w:line="127"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(1,364)</w:t>
            </w:r>
          </w:p>
        </w:tc>
        <w:tc>
          <w:tcPr>
            <w:tcW w:w="1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(1,354)</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(2,576)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(2,576)</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2"/>
                <w:szCs w:val="12"/>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269,264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50,486</w:t>
            </w:r>
          </w:p>
        </w:tc>
        <w:tc>
          <w:tcPr>
            <w:tcW w:w="100" w:type="dxa"/>
            <w:vAlign w:val="bottom"/>
          </w:tcPr>
          <w:p>
            <w:pPr>
              <w:spacing w:after="0"/>
              <w:rPr>
                <w:sz w:val="20"/>
                <w:szCs w:val="20"/>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0"/>
        </w:trPr>
        <w:tc>
          <w:tcPr>
            <w:tcW w:w="540" w:type="dxa"/>
            <w:vAlign w:val="bottom"/>
            <w:tcBorders>
              <w:top w:val="single" w:sz="8" w:color="auto"/>
            </w:tcBorders>
            <w:gridSpan w:val="4"/>
          </w:tcPr>
          <w:p>
            <w:pPr>
              <w:jc w:val="right"/>
              <w:spacing w:after="0" w:line="110" w:lineRule="exact"/>
              <w:rPr>
                <w:sz w:val="20"/>
                <w:szCs w:val="20"/>
                <w:color w:val="auto"/>
              </w:rPr>
            </w:pPr>
            <w:r>
              <w:rPr>
                <w:rFonts w:ascii="Times New Roman" w:cs="Times New Roman" w:eastAsia="Times New Roman" w:hAnsi="Times New Roman"/>
                <w:sz w:val="12"/>
                <w:szCs w:val="12"/>
                <w:color w:val="auto"/>
              </w:rPr>
              <w:t>2,398,668</w:t>
            </w: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2</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(3,940)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(3,920)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2,646,619</w:t>
            </w:r>
          </w:p>
        </w:tc>
        <w:tc>
          <w:tcPr>
            <w:tcW w:w="42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80" w:type="dxa"/>
            <w:vAlign w:val="bottom"/>
            <w:gridSpan w:val="2"/>
          </w:tcPr>
          <w:p>
            <w:pPr>
              <w:ind w:left="10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auto"/>
              </w:rPr>
              <w:t>27</w:t>
            </w:r>
          </w:p>
        </w:tc>
        <w:tc>
          <w:tcPr>
            <w:tcW w:w="220" w:type="dxa"/>
            <w:vAlign w:val="bottom"/>
            <w:gridSpan w:val="2"/>
          </w:tcPr>
          <w:p>
            <w:pPr>
              <w:jc w:val="right"/>
              <w:ind w:right="34"/>
              <w:spacing w:after="0" w:line="127"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(6,034)</w:t>
            </w:r>
          </w:p>
        </w:tc>
        <w:tc>
          <w:tcPr>
            <w:tcW w:w="1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(6,005)</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80" w:type="dxa"/>
            <w:vAlign w:val="bottom"/>
            <w:gridSpan w:val="2"/>
          </w:tcPr>
          <w:p>
            <w:pPr>
              <w:ind w:left="260"/>
              <w:spacing w:after="0" w:line="127" w:lineRule="exact"/>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30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right"/>
              <w:ind w:right="40"/>
              <w:spacing w:after="0" w:line="127" w:lineRule="exact"/>
              <w:rPr>
                <w:sz w:val="20"/>
                <w:szCs w:val="20"/>
                <w:color w:val="auto"/>
              </w:rPr>
            </w:pPr>
            <w:r>
              <w:rPr>
                <w:rFonts w:ascii="Times New Roman" w:cs="Times New Roman" w:eastAsia="Times New Roman" w:hAnsi="Times New Roman"/>
                <w:sz w:val="12"/>
                <w:szCs w:val="12"/>
                <w:color w:val="auto"/>
              </w:rPr>
              <w:t>(5,207)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jc w:val="right"/>
              <w:spacing w:after="0" w:line="127" w:lineRule="exact"/>
              <w:rPr>
                <w:sz w:val="20"/>
                <w:szCs w:val="20"/>
                <w:color w:val="auto"/>
              </w:rPr>
            </w:pPr>
            <w:r>
              <w:rPr>
                <w:rFonts w:ascii="Times New Roman" w:cs="Times New Roman" w:eastAsia="Times New Roman" w:hAnsi="Times New Roman"/>
                <w:sz w:val="12"/>
                <w:szCs w:val="12"/>
                <w:color w:val="auto"/>
              </w:rPr>
              <w:t>(5,207)</w:t>
            </w: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w w:val="88"/>
              </w:rPr>
              <w:t>177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4,300</w:t>
            </w:r>
          </w:p>
        </w:tc>
        <w:tc>
          <w:tcPr>
            <w:tcW w:w="1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5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1,077</w:t>
            </w:r>
          </w:p>
        </w:tc>
        <w:tc>
          <w:tcPr>
            <w:tcW w:w="100" w:type="dxa"/>
            <w:vAlign w:val="bottom"/>
          </w:tcPr>
          <w:p>
            <w:pPr>
              <w:spacing w:after="0"/>
              <w:rPr>
                <w:sz w:val="12"/>
                <w:szCs w:val="12"/>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540" w:type="dxa"/>
            <w:vAlign w:val="bottom"/>
            <w:tcBorders>
              <w:top w:val="single" w:sz="8" w:color="auto"/>
              <w:bottom w:val="single" w:sz="8" w:color="auto"/>
            </w:tcBorders>
            <w:gridSpan w:val="4"/>
          </w:tcPr>
          <w:p>
            <w:pPr>
              <w:jc w:val="right"/>
              <w:spacing w:after="0" w:line="130" w:lineRule="exact"/>
              <w:rPr>
                <w:sz w:val="20"/>
                <w:szCs w:val="20"/>
                <w:color w:val="auto"/>
              </w:rPr>
            </w:pPr>
            <w:r>
              <w:rPr>
                <w:rFonts w:ascii="Times New Roman" w:cs="Times New Roman" w:eastAsia="Times New Roman" w:hAnsi="Times New Roman"/>
                <w:sz w:val="12"/>
                <w:szCs w:val="12"/>
                <w:color w:val="auto"/>
              </w:rPr>
              <w:t>2,651,996</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gridSpan w:val="2"/>
          </w:tcPr>
          <w:p>
            <w:pPr>
              <w:ind w:left="300"/>
              <w:spacing w:after="0" w:line="130" w:lineRule="exact"/>
              <w:rPr>
                <w:sz w:val="20"/>
                <w:szCs w:val="20"/>
                <w:color w:val="auto"/>
              </w:rPr>
            </w:pPr>
            <w:r>
              <w:rPr>
                <w:rFonts w:ascii="Times New Roman" w:cs="Times New Roman" w:eastAsia="Times New Roman" w:hAnsi="Times New Roman"/>
                <w:sz w:val="12"/>
                <w:szCs w:val="12"/>
                <w:color w:val="auto"/>
                <w:w w:val="88"/>
              </w:rPr>
              <w:t>204</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2"/>
                <w:szCs w:val="12"/>
                <w:color w:val="auto"/>
              </w:rPr>
              <w:t>(11,241)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2"/>
                <w:szCs w:val="12"/>
                <w:color w:val="auto"/>
              </w:rPr>
              <w:t>(11,035)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160"/>
            <w:col w:w="3460"/>
          </w:cols>
          <w:pgMar w:left="320" w:top="410" w:right="1299" w:bottom="1440" w:gutter="0" w:footer="0" w:header="0"/>
          <w:type w:val="continuous"/>
        </w:sectPr>
      </w:pPr>
    </w:p>
    <w:p>
      <w:pPr>
        <w:spacing w:after="0" w:line="16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See accompanying notes to these financial statements.</w:t>
      </w:r>
    </w:p>
    <w:p>
      <w:pPr>
        <w:spacing w:after="0" w:line="1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F-5</w:t>
      </w:r>
    </w:p>
    <w:p>
      <w:pPr>
        <w:sectPr>
          <w:pgSz w:w="11900" w:h="16838" w:orient="portrait"/>
          <w:cols w:equalWidth="0" w:num="1">
            <w:col w:w="10280"/>
          </w:cols>
          <w:pgMar w:left="320" w:top="410" w:right="1299" w:bottom="1440" w:gutter="0" w:footer="0" w:header="0"/>
          <w:type w:val="continuous"/>
        </w:sectPr>
      </w:pPr>
    </w:p>
    <w:bookmarkStart w:id="220" w:name="page221"/>
    <w:bookmarkEnd w:id="22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STATEMENTS OF CASH FLOWS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10"/>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00" w:type="dxa"/>
            <w:vAlign w:val="bottom"/>
          </w:tcPr>
          <w:p>
            <w:pPr>
              <w:spacing w:after="0"/>
              <w:rPr>
                <w:sz w:val="12"/>
                <w:szCs w:val="12"/>
                <w:color w:val="auto"/>
              </w:rPr>
            </w:pPr>
          </w:p>
        </w:tc>
        <w:tc>
          <w:tcPr>
            <w:tcW w:w="1660" w:type="dxa"/>
            <w:vAlign w:val="bottom"/>
            <w:gridSpan w:val="11"/>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2019</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w w:val="92"/>
              </w:rPr>
              <w:t>(1,319)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(4,670)</w:t>
            </w:r>
          </w:p>
        </w:tc>
        <w:tc>
          <w:tcPr>
            <w:tcW w:w="280" w:type="dxa"/>
            <w:vAlign w:val="bottom"/>
            <w:gridSpan w:val="2"/>
          </w:tcPr>
          <w:p>
            <w:pPr>
              <w:jc w:val="right"/>
              <w:ind w:right="67"/>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(2,576)</w:t>
            </w: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(5,207)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4"/>
                <w:szCs w:val="14"/>
                <w:i w:val="1"/>
                <w:iCs w:val="1"/>
                <w:color w:val="auto"/>
              </w:rPr>
              <w:t>(Note 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 xml:space="preserve">Amortization of operating lease right-of-use asset </w:t>
            </w:r>
            <w:r>
              <w:rPr>
                <w:rFonts w:ascii="Times New Roman" w:cs="Times New Roman" w:eastAsia="Times New Roman" w:hAnsi="Times New Roman"/>
                <w:sz w:val="14"/>
                <w:szCs w:val="14"/>
                <w:i w:val="1"/>
                <w:iCs w:val="1"/>
                <w:color w:val="auto"/>
              </w:rPr>
              <w:t>(Note 10(a))</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xml:space="preserve">Change in fair value of derivative liabilities </w:t>
            </w:r>
            <w:r>
              <w:rPr>
                <w:rFonts w:ascii="Times New Roman" w:cs="Times New Roman" w:eastAsia="Times New Roman" w:hAnsi="Times New Roman"/>
                <w:sz w:val="14"/>
                <w:szCs w:val="14"/>
                <w:i w:val="1"/>
                <w:iCs w:val="1"/>
                <w:color w:val="auto"/>
              </w:rPr>
              <w:t>(Note 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Non-cash related party interest expense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xml:space="preserve">Loss on extinguishment of convertible notes </w:t>
            </w:r>
            <w:r>
              <w:rPr>
                <w:rFonts w:ascii="Times New Roman" w:cs="Times New Roman" w:eastAsia="Times New Roman" w:hAnsi="Times New Roman"/>
                <w:sz w:val="14"/>
                <w:szCs w:val="14"/>
                <w:i w:val="1"/>
                <w:iCs w:val="1"/>
                <w:color w:val="auto"/>
              </w:rPr>
              <w:t>(Note 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receivables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w w:val="83"/>
              </w:rPr>
              <w:t>(1,183)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w w:val="92"/>
              </w:rPr>
              <w:t>(3,673)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7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Proceeds from issuance of Series A Preferred Stock, net of issuance costs </w:t>
            </w:r>
            <w:r>
              <w:rPr>
                <w:rFonts w:ascii="Times New Roman" w:cs="Times New Roman" w:eastAsia="Times New Roman" w:hAnsi="Times New Roman"/>
                <w:sz w:val="14"/>
                <w:szCs w:val="14"/>
                <w:i w:val="1"/>
                <w:iCs w:val="1"/>
                <w:color w:val="auto"/>
              </w:rPr>
              <w:t>(Note 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xml:space="preserve">Proceeds from issuance of Series B Preferred Stock, net of issuance costs </w:t>
            </w:r>
            <w:r>
              <w:rPr>
                <w:rFonts w:ascii="Times New Roman" w:cs="Times New Roman" w:eastAsia="Times New Roman" w:hAnsi="Times New Roman"/>
                <w:sz w:val="14"/>
                <w:szCs w:val="14"/>
                <w:i w:val="1"/>
                <w:iCs w:val="1"/>
                <w:color w:val="auto"/>
              </w:rPr>
              <w:t>(Note 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3"/>
              </w:rPr>
              <w:t>57,456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xml:space="preserve">Proceeds from issuance of convertible notes, net of issuance costs </w:t>
            </w:r>
            <w:r>
              <w:rPr>
                <w:rFonts w:ascii="Times New Roman" w:cs="Times New Roman" w:eastAsia="Times New Roman" w:hAnsi="Times New Roman"/>
                <w:sz w:val="14"/>
                <w:szCs w:val="14"/>
                <w:i w:val="1"/>
                <w:iCs w:val="1"/>
                <w:color w:val="auto"/>
              </w:rPr>
              <w:t>(Note 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1,989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early exercise of stock options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 w:type="dxa"/>
            <w:vAlign w:val="bottom"/>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59,445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3"/>
              </w:rPr>
              <w:t>55,597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year</w:t>
            </w: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2,375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57,972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year</w:t>
            </w:r>
          </w:p>
        </w:tc>
        <w:tc>
          <w:tcPr>
            <w:tcW w:w="20" w:type="dxa"/>
            <w:vAlign w:val="bottom"/>
          </w:tcPr>
          <w:p>
            <w:pPr>
              <w:spacing w:after="0"/>
              <w:rPr>
                <w:sz w:val="15"/>
                <w:szCs w:val="15"/>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3"/>
              </w:rPr>
              <w:t>57,972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3"/>
              </w:rPr>
              <w:t>57,952</w:t>
            </w:r>
          </w:p>
        </w:tc>
        <w:tc>
          <w:tcPr>
            <w:tcW w:w="140" w:type="dxa"/>
            <w:vAlign w:val="bottom"/>
          </w:tcPr>
          <w:p>
            <w:pPr>
              <w:spacing w:after="0"/>
              <w:rPr>
                <w:sz w:val="15"/>
                <w:szCs w:val="15"/>
                <w:color w:val="auto"/>
              </w:rPr>
            </w:pPr>
          </w:p>
        </w:tc>
        <w:tc>
          <w:tcPr>
            <w:tcW w:w="280" w:type="dxa"/>
            <w:vAlign w:val="bottom"/>
            <w:gridSpan w:val="2"/>
          </w:tcPr>
          <w:p>
            <w:pPr>
              <w:jc w:val="right"/>
              <w:ind w:right="67"/>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60" w:type="dxa"/>
            <w:vAlign w:val="bottom"/>
          </w:tcPr>
          <w:p>
            <w:pPr>
              <w:spacing w:after="0"/>
              <w:rPr>
                <w:sz w:val="15"/>
                <w:szCs w:val="15"/>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53,135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0" w:type="dxa"/>
            <w:vAlign w:val="bottom"/>
          </w:tcPr>
          <w:p>
            <w:pPr>
              <w:spacing w:after="0"/>
              <w:rPr>
                <w:sz w:val="15"/>
                <w:szCs w:val="15"/>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w w:val="93"/>
              </w:rPr>
              <w:t>57,972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53,155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Noncash Investing and Financing Activities: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Operating lease right-of-use asset obtained in exchange for operating lease liability</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5"/>
                <w:szCs w:val="15"/>
                <w:color w:val="auto"/>
              </w:rPr>
            </w:pPr>
          </w:p>
        </w:tc>
        <w:tc>
          <w:tcPr>
            <w:tcW w:w="280" w:type="dxa"/>
            <w:vAlign w:val="bottom"/>
            <w:gridSpan w:val="2"/>
          </w:tcPr>
          <w:p>
            <w:pPr>
              <w:jc w:val="right"/>
              <w:ind w:right="67"/>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5"/>
                <w:szCs w:val="15"/>
                <w:color w:val="auto"/>
              </w:rPr>
            </w:pPr>
          </w:p>
        </w:tc>
        <w:tc>
          <w:tcPr>
            <w:tcW w:w="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shd w:val="clear" w:color="auto" w:fill="CCEEFF"/>
          </w:tcPr>
          <w:p>
            <w:pPr>
              <w:ind w:left="540"/>
              <w:spacing w:after="0" w:line="159" w:lineRule="exact"/>
              <w:rPr>
                <w:sz w:val="20"/>
                <w:szCs w:val="20"/>
                <w:color w:val="auto"/>
              </w:rPr>
            </w:pPr>
            <w:r>
              <w:rPr>
                <w:rFonts w:ascii="Times New Roman" w:cs="Times New Roman" w:eastAsia="Times New Roman" w:hAnsi="Times New Roman"/>
                <w:sz w:val="14"/>
                <w:szCs w:val="14"/>
                <w:color w:val="auto"/>
              </w:rPr>
              <w:t>Settlement of derivative liabilities upon conversion of convertible notes (Note 9)</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363</w:t>
            </w:r>
          </w:p>
        </w:tc>
        <w:tc>
          <w:tcPr>
            <w:tcW w:w="1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7"/>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 xml:space="preserve">Additions of property and equipment in accounts payable and other accrued liabilities </w:t>
            </w:r>
            <w:r>
              <w:rPr>
                <w:rFonts w:ascii="Times New Roman" w:cs="Times New Roman" w:eastAsia="Times New Roman" w:hAnsi="Times New Roman"/>
                <w:sz w:val="14"/>
                <w:szCs w:val="14"/>
                <w:i w:val="1"/>
                <w:iCs w:val="1"/>
                <w:color w:val="auto"/>
              </w:rPr>
              <w:t>(Note 3(b))</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gridSpan w:val="4"/>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gridSpan w:val="3"/>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Series B Preferred Stock issuance costs in accounts payable and other accrued liabilities</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 xml:space="preserve">Conversion of convertible notes to Series B Preferred Stock </w:t>
            </w:r>
            <w:r>
              <w:rPr>
                <w:rFonts w:ascii="Times New Roman" w:cs="Times New Roman" w:eastAsia="Times New Roman" w:hAnsi="Times New Roman"/>
                <w:sz w:val="14"/>
                <w:szCs w:val="14"/>
                <w:i w:val="1"/>
                <w:iCs w:val="1"/>
                <w:color w:val="auto"/>
              </w:rPr>
              <w:t>(Note 9)</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bottom w:val="single" w:sz="8" w:color="auto"/>
            </w:tcBorders>
            <w:gridSpan w:val="4"/>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2,410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6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Convertible notes issuance costs included in accounts payable and accrued liabilities</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Deferred offering costs included in accounts payable and accrued liabilities</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6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gridSpan w:val="3"/>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See accompanying notes to these financial statements.</w:t>
      </w:r>
    </w:p>
    <w:p>
      <w:pPr>
        <w:spacing w:after="0" w:line="13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color w:val="auto"/>
        </w:rPr>
        <w:t>F-6</w:t>
      </w:r>
    </w:p>
    <w:p>
      <w:pPr>
        <w:sectPr>
          <w:pgSz w:w="11900" w:h="16838" w:orient="portrait"/>
          <w:cols w:equalWidth="0" w:num="1">
            <w:col w:w="10340"/>
          </w:cols>
          <w:pgMar w:left="320" w:top="410" w:right="1239" w:bottom="1440" w:gutter="0" w:footer="0" w:header="0"/>
        </w:sectPr>
      </w:pPr>
    </w:p>
    <w:bookmarkStart w:id="221" w:name="page222"/>
    <w:bookmarkEnd w:id="22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178" w:lineRule="exact"/>
        <w:rPr>
          <w:sz w:val="20"/>
          <w:szCs w:val="20"/>
          <w:color w:val="auto"/>
        </w:rPr>
      </w:pPr>
    </w:p>
    <w:p>
      <w:pPr>
        <w:ind w:left="920" w:right="3300"/>
        <w:spacing w:after="0" w:line="387" w:lineRule="auto"/>
        <w:rPr>
          <w:sz w:val="20"/>
          <w:szCs w:val="20"/>
          <w:color w:val="auto"/>
        </w:rPr>
      </w:pPr>
      <w:r>
        <w:rPr>
          <w:rFonts w:ascii="Times New Roman" w:cs="Times New Roman" w:eastAsia="Times New Roman" w:hAnsi="Times New Roman"/>
          <w:sz w:val="15"/>
          <w:szCs w:val="15"/>
          <w:b w:val="1"/>
          <w:bCs w:val="1"/>
          <w:color w:val="auto"/>
        </w:rPr>
        <w:t xml:space="preserve">1. DESCRIPTION OF BUSINESS AND PRESENTATION OF FINANCIAL STATEMENTS </w:t>
      </w:r>
      <w:r>
        <w:rPr>
          <w:rFonts w:ascii="Times New Roman" w:cs="Times New Roman" w:eastAsia="Times New Roman" w:hAnsi="Times New Roman"/>
          <w:sz w:val="15"/>
          <w:szCs w:val="15"/>
          <w:b w:val="1"/>
          <w:bCs w:val="1"/>
          <w:i w:val="1"/>
          <w:iCs w:val="1"/>
          <w:color w:val="auto"/>
        </w:rPr>
        <w:t>(a) Description of Business</w:t>
      </w:r>
    </w:p>
    <w:p>
      <w:pPr>
        <w:spacing w:after="0" w:line="1" w:lineRule="exact"/>
        <w:rPr>
          <w:sz w:val="20"/>
          <w:szCs w:val="20"/>
          <w:color w:val="auto"/>
        </w:rPr>
      </w:pPr>
    </w:p>
    <w:p>
      <w:pPr>
        <w:jc w:val="both"/>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45" w:lineRule="exact"/>
        <w:rPr>
          <w:sz w:val="20"/>
          <w:szCs w:val="20"/>
          <w:color w:val="auto"/>
        </w:rPr>
      </w:pPr>
    </w:p>
    <w:p>
      <w:pPr>
        <w:ind w:left="920" w:right="200" w:firstLine="753"/>
        <w:spacing w:after="0" w:line="275" w:lineRule="auto"/>
        <w:rPr>
          <w:sz w:val="20"/>
          <w:szCs w:val="20"/>
          <w:color w:val="auto"/>
        </w:rPr>
      </w:pPr>
      <w:r>
        <w:rPr>
          <w:rFonts w:ascii="Times New Roman" w:cs="Times New Roman" w:eastAsia="Times New Roman" w:hAnsi="Times New Roman"/>
          <w:sz w:val="15"/>
          <w:szCs w:val="15"/>
          <w:color w:val="auto"/>
        </w:rPr>
        <w:t>On October 8, 2020, the Board of Directors approved a 1-for-7.4276 reverse stock split of the Company’s capital stock and the Company filed a certificate of amendment to its restated certificate of incorporation to effect the split. The par value was not adjusted as a result of the reverse split. All share and per share information included in the accompanying financial statements has been adjusted to reflect this reverse stock split.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(b) Liquidity Risks</w:t>
      </w:r>
    </w:p>
    <w:p>
      <w:pPr>
        <w:spacing w:after="0" w:line="200" w:lineRule="exact"/>
        <w:rPr>
          <w:sz w:val="20"/>
          <w:szCs w:val="20"/>
          <w:color w:val="auto"/>
        </w:rPr>
      </w:pPr>
    </w:p>
    <w:p>
      <w:pPr>
        <w:ind w:left="920" w:right="140" w:firstLine="753"/>
        <w:spacing w:after="0" w:line="262" w:lineRule="auto"/>
        <w:rPr>
          <w:sz w:val="20"/>
          <w:szCs w:val="20"/>
          <w:color w:val="auto"/>
        </w:rPr>
      </w:pPr>
      <w:r>
        <w:rPr>
          <w:rFonts w:ascii="Times New Roman" w:cs="Times New Roman" w:eastAsia="Times New Roman" w:hAnsi="Times New Roman"/>
          <w:sz w:val="15"/>
          <w:szCs w:val="15"/>
          <w:color w:val="auto"/>
        </w:rPr>
        <w:t>The Company has no revenue and incurred losses and negative cash flows from operations since inception, resulting in an accumulated deficit of $6.0 million as of December 31, 2019, and $11.2 million as of June 30, 2020. The Company’s cash and cash equivalents was $2.4 million, $58.0 million, and $53.1 million as of December 31, 2018, December 31, 2019, and June 30, 2020, respectively, and has historically financed its operations primarily through equity capital raises. Additionally, in September 2020, the Company received $40.0 million in gross cash proceeds from the sale of its Series C preferred stock. See Note 12. The Company believes that existing capital resources, including the cash proceeds received from the issuance of Series C preferred stock, will be sufficient to meet projected operating requirements for at least 12 months from the date of issuance of the accompanying financial statements, though expects to incur operating losses and negative cash flows for the foreseeable future.</w:t>
      </w:r>
    </w:p>
    <w:p>
      <w:pPr>
        <w:spacing w:after="0" w:line="158"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53" w:lineRule="exact"/>
        <w:rPr>
          <w:sz w:val="20"/>
          <w:szCs w:val="20"/>
          <w:color w:val="auto"/>
        </w:rPr>
      </w:pPr>
    </w:p>
    <w:p>
      <w:pPr>
        <w:ind w:left="920" w:right="20" w:firstLine="753"/>
        <w:spacing w:after="0" w:line="261" w:lineRule="auto"/>
        <w:rPr>
          <w:sz w:val="20"/>
          <w:szCs w:val="20"/>
          <w:color w:val="auto"/>
        </w:rPr>
      </w:pPr>
      <w:r>
        <w:rPr>
          <w:rFonts w:ascii="Times New Roman" w:cs="Times New Roman" w:eastAsia="Times New Roman" w:hAnsi="Times New Roman"/>
          <w:sz w:val="15"/>
          <w:szCs w:val="15"/>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w:t>
      </w:r>
    </w:p>
    <w:p>
      <w:pPr>
        <w:spacing w:after="0" w:line="2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F-7</w:t>
      </w:r>
    </w:p>
    <w:p>
      <w:pPr>
        <w:sectPr>
          <w:pgSz w:w="11900" w:h="16838" w:orient="portrait"/>
          <w:cols w:equalWidth="0" w:num="1">
            <w:col w:w="10300"/>
          </w:cols>
          <w:pgMar w:left="320" w:top="410" w:right="1279" w:bottom="1440" w:gutter="0" w:footer="0" w:header="0"/>
        </w:sectPr>
      </w:pPr>
    </w:p>
    <w:bookmarkStart w:id="222" w:name="page223"/>
    <w:bookmarkEnd w:id="22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180"/>
        <w:spacing w:after="0" w:line="275" w:lineRule="auto"/>
        <w:rPr>
          <w:sz w:val="20"/>
          <w:szCs w:val="20"/>
          <w:color w:val="auto"/>
        </w:rPr>
      </w:pPr>
      <w:r>
        <w:rPr>
          <w:rFonts w:ascii="Times New Roman" w:cs="Times New Roman" w:eastAsia="Times New Roman" w:hAnsi="Times New Roman"/>
          <w:sz w:val="15"/>
          <w:szCs w:val="15"/>
          <w:color w:val="auto"/>
        </w:rPr>
        <w:t>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 Operating Segment</w:t>
      </w:r>
    </w:p>
    <w:p>
      <w:pPr>
        <w:spacing w:after="0" w:line="200" w:lineRule="exact"/>
        <w:rPr>
          <w:sz w:val="20"/>
          <w:szCs w:val="20"/>
          <w:color w:val="auto"/>
        </w:rPr>
      </w:pPr>
    </w:p>
    <w:p>
      <w:pPr>
        <w:jc w:val="both"/>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commercialization.</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 Emerging Growth Company Status</w:t>
      </w:r>
    </w:p>
    <w:p>
      <w:pPr>
        <w:spacing w:after="0" w:line="200"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 Unaudited Interim Financial Information</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interim condensed balance sheet as of June 30, 2020, and the interim condensed statements of operations and comprehensive loss, changes in preferred stock and stockholders’ deficit and cash flows for the six months ended June 30, 2019 and 2020 are unaudited. These unaudited interim financial statements have been prepared on the same basis as the Company’s annual financial statements and, in the opinion of management, reflect all adjustments, which consist of only normal recurring adjustments, necessary for the fair statement of the Company’s financial information. The financial data and other information disclosed in these notes related to the six month periods are also unaudited. The condensed interim results for the six months ended June 30, 2020 are not necessarily indicative of results to be expected for the year ending December 31, 2020, any other interim periods or any future year or period.</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(f) Unaudited Pro Forma Information</w:t>
      </w:r>
    </w:p>
    <w:p>
      <w:pPr>
        <w:spacing w:after="0" w:line="200" w:lineRule="exact"/>
        <w:rPr>
          <w:sz w:val="20"/>
          <w:szCs w:val="20"/>
          <w:color w:val="auto"/>
        </w:rPr>
      </w:pPr>
    </w:p>
    <w:p>
      <w:pPr>
        <w:ind w:left="920" w:right="180" w:firstLine="753"/>
        <w:spacing w:after="0" w:line="265" w:lineRule="auto"/>
        <w:rPr>
          <w:sz w:val="20"/>
          <w:szCs w:val="20"/>
          <w:color w:val="auto"/>
        </w:rPr>
      </w:pPr>
      <w:r>
        <w:rPr>
          <w:rFonts w:ascii="Times New Roman" w:cs="Times New Roman" w:eastAsia="Times New Roman" w:hAnsi="Times New Roman"/>
          <w:sz w:val="15"/>
          <w:szCs w:val="15"/>
          <w:color w:val="auto"/>
        </w:rPr>
        <w:t>The unaudited pro forma stockholders’ equity in the accompanying balance sheet as of June 30, 2020 assumes the conversion of all of the outstanding preferred stock of the Company on a one-to-one basis into 8,249,939 shares of common stock immediately prior to the completion of the Company’s planned initial public offering (“IPO”). The unaudited pro forma stockholders’ equity in the balance sheet assumes that the completion of the IPO had occurred as of June 30, 2020 and excludes shares of the Company’s common stock issued in the proposed IPO and any related proceeds therefrom.</w:t>
      </w:r>
    </w:p>
    <w:p>
      <w:pPr>
        <w:spacing w:after="0" w:line="154" w:lineRule="exact"/>
        <w:rPr>
          <w:sz w:val="20"/>
          <w:szCs w:val="20"/>
          <w:color w:val="auto"/>
        </w:rPr>
      </w:pPr>
    </w:p>
    <w:p>
      <w:pPr>
        <w:ind w:left="920" w:right="200" w:firstLine="753"/>
        <w:spacing w:after="0" w:line="293" w:lineRule="auto"/>
        <w:rPr>
          <w:sz w:val="20"/>
          <w:szCs w:val="20"/>
          <w:color w:val="auto"/>
        </w:rPr>
      </w:pPr>
      <w:r>
        <w:rPr>
          <w:rFonts w:ascii="Times New Roman" w:cs="Times New Roman" w:eastAsia="Times New Roman" w:hAnsi="Times New Roman"/>
          <w:sz w:val="15"/>
          <w:szCs w:val="15"/>
          <w:color w:val="auto"/>
        </w:rPr>
        <w:t>The unaudited pro forma net loss per share information for the six months ended June 30, 2020 assumes the conversion of all outstanding preferred stock into 8,249,939 shares of the Company’s common stock at the beginning of the period or the date of issuance, if later.</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F-8</w:t>
      </w:r>
    </w:p>
    <w:p>
      <w:pPr>
        <w:sectPr>
          <w:pgSz w:w="11900" w:h="16838" w:orient="portrait"/>
          <w:cols w:equalWidth="0" w:num="1">
            <w:col w:w="10320"/>
          </w:cols>
          <w:pgMar w:left="320" w:top="410" w:right="1259" w:bottom="1440" w:gutter="0" w:footer="0" w:header="0"/>
        </w:sectPr>
      </w:pPr>
    </w:p>
    <w:bookmarkStart w:id="223" w:name="page224"/>
    <w:bookmarkEnd w:id="22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right="3280"/>
        <w:spacing w:after="0" w:line="387" w:lineRule="auto"/>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AND USE OF ESTIMATES </w:t>
      </w:r>
      <w:r>
        <w:rPr>
          <w:rFonts w:ascii="Times New Roman" w:cs="Times New Roman" w:eastAsia="Times New Roman" w:hAnsi="Times New Roman"/>
          <w:sz w:val="15"/>
          <w:szCs w:val="15"/>
          <w:b w:val="1"/>
          <w:bCs w:val="1"/>
          <w:i w:val="1"/>
          <w:iCs w:val="1"/>
          <w:color w:val="auto"/>
        </w:rPr>
        <w:t>(i) Basis of Presentation</w:t>
      </w:r>
    </w:p>
    <w:p>
      <w:pPr>
        <w:spacing w:after="0" w:line="1"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U.S. generally accepted accounting principles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 (iii) expense accruals related to research and development activities, including clinical trials, and (iv) valuation of convertible notes, derivative instruments, and preferred stock.</w:t>
      </w:r>
    </w:p>
    <w:p>
      <w:pPr>
        <w:spacing w:after="0" w:line="158" w:lineRule="exact"/>
        <w:rPr>
          <w:sz w:val="20"/>
          <w:szCs w:val="20"/>
          <w:color w:val="auto"/>
        </w:rPr>
      </w:pPr>
    </w:p>
    <w:p>
      <w:pPr>
        <w:ind w:left="920" w:right="460" w:firstLine="753"/>
        <w:spacing w:after="0" w:line="293" w:lineRule="auto"/>
        <w:rPr>
          <w:sz w:val="20"/>
          <w:szCs w:val="20"/>
          <w:color w:val="auto"/>
        </w:rPr>
      </w:pPr>
      <w:r>
        <w:rPr>
          <w:rFonts w:ascii="Times New Roman" w:cs="Times New Roman" w:eastAsia="Times New Roman" w:hAnsi="Times New Roman"/>
          <w:sz w:val="15"/>
          <w:szCs w:val="15"/>
          <w:color w:val="auto"/>
        </w:rPr>
        <w:t>Accounting policies and estimates that most significantly impact the presented amounts within these financial statements are further described below:</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(ii) Cash and Cash Equivalents</w:t>
      </w:r>
    </w:p>
    <w:p>
      <w:pPr>
        <w:spacing w:after="0" w:line="200"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Cash and cash equivalents consist of bank deposits and highly liquid investments, including money market fund accounts, with original maturities of three months or less from the purchase date.</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(iii) Restricted Cash</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Restricted cash represents cash held as collateral for the Company’s corporate credit card program. Any cash that is legally or contractually restricted from immediate use is classified as restricted cash.</w:t>
      </w:r>
    </w:p>
    <w:p>
      <w:pPr>
        <w:spacing w:after="0" w:line="132"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 xml:space="preserve">In November 2016, the Financial Accounting Standards Board (“FASB”) issued Accounting Standards Update (“ASU”) No. 2016-18, </w:t>
      </w:r>
      <w:r>
        <w:rPr>
          <w:rFonts w:ascii="Times New Roman" w:cs="Times New Roman" w:eastAsia="Times New Roman" w:hAnsi="Times New Roman"/>
          <w:sz w:val="15"/>
          <w:szCs w:val="15"/>
          <w:i w:val="1"/>
          <w:iCs w:val="1"/>
          <w:color w:val="auto"/>
        </w:rPr>
        <w:t xml:space="preserve">Statement of Cash Flows (Topic 230): Restricted Cash </w:t>
      </w:r>
      <w:r>
        <w:rPr>
          <w:rFonts w:ascii="Times New Roman" w:cs="Times New Roman" w:eastAsia="Times New Roman" w:hAnsi="Times New Roman"/>
          <w:sz w:val="15"/>
          <w:szCs w:val="15"/>
          <w:color w:val="auto"/>
        </w:rPr>
        <w:t>(“ASU 2016-18”), which requires companies to include restricted cash and restricted cash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equivalents in cash and cash equivalents when reconciling beginning-of-period and end-of-period total amounts shown on the statement of cash flows. The Company early adopted </w:t>
      </w:r>
      <w:r>
        <w:rPr>
          <w:rFonts w:ascii="Times New Roman" w:cs="Times New Roman" w:eastAsia="Times New Roman" w:hAnsi="Times New Roman"/>
          <w:sz w:val="15"/>
          <w:szCs w:val="15"/>
          <w:i w:val="1"/>
          <w:iCs w:val="1"/>
          <w:color w:val="auto"/>
        </w:rPr>
        <w:t>ASU 2016-18</w:t>
      </w:r>
      <w:r>
        <w:rPr>
          <w:rFonts w:ascii="Times New Roman" w:cs="Times New Roman" w:eastAsia="Times New Roman" w:hAnsi="Times New Roman"/>
          <w:sz w:val="15"/>
          <w:szCs w:val="15"/>
          <w:color w:val="auto"/>
        </w:rPr>
        <w:t xml:space="preserve"> on January 1, 2018, as reflected in the accompanying Statements of Cash Flows.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(iv) Concentration of Credit Risk and Other Risks and Uncertainties</w:t>
      </w:r>
    </w:p>
    <w:p>
      <w:pPr>
        <w:spacing w:after="0" w:line="200" w:lineRule="exact"/>
        <w:rPr>
          <w:sz w:val="20"/>
          <w:szCs w:val="20"/>
          <w:color w:val="auto"/>
        </w:rPr>
      </w:pPr>
    </w:p>
    <w:p>
      <w:pPr>
        <w:ind w:left="920" w:right="220" w:firstLine="753"/>
        <w:spacing w:after="0" w:line="293"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32" w:lineRule="exact"/>
        <w:rPr>
          <w:sz w:val="20"/>
          <w:szCs w:val="20"/>
          <w:color w:val="auto"/>
        </w:rPr>
      </w:pPr>
    </w:p>
    <w:p>
      <w:pPr>
        <w:jc w:val="both"/>
        <w:ind w:left="920" w:right="80" w:firstLine="753"/>
        <w:spacing w:after="0" w:line="268" w:lineRule="auto"/>
        <w:rPr>
          <w:sz w:val="20"/>
          <w:szCs w:val="20"/>
          <w:color w:val="auto"/>
        </w:rPr>
      </w:pPr>
      <w:r>
        <w:rPr>
          <w:rFonts w:ascii="Times New Roman" w:cs="Times New Roman" w:eastAsia="Times New Roman" w:hAnsi="Times New Roman"/>
          <w:sz w:val="15"/>
          <w:szCs w:val="15"/>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F-9</w:t>
      </w:r>
    </w:p>
    <w:p>
      <w:pPr>
        <w:sectPr>
          <w:pgSz w:w="11900" w:h="16838" w:orient="portrait"/>
          <w:cols w:equalWidth="0" w:num="1">
            <w:col w:w="10240"/>
          </w:cols>
          <w:pgMar w:left="320" w:top="410" w:right="1339" w:bottom="1440" w:gutter="0" w:footer="0" w:header="0"/>
        </w:sectPr>
      </w:pPr>
    </w:p>
    <w:bookmarkStart w:id="224" w:name="page225"/>
    <w:bookmarkEnd w:id="22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The Company’s results of operations involve numerous risks and uncertainties. Factors that could affect the Company’s operating results and cause actual results to vary materially from expectations include, but are not limited to, uncertainty of results of clinical trials, uncertainty of regulatory approval of the Company’s potential product candidates, including TP-03 for ophthalmic conditions, TP-04 for treatment of skin conditions and TP-05 for prophylaxis of Lyme and community malaria reduction, uncertainty of market acceptance of its product candidates, competition from substitute products and larger companies, securing and protecting proprietary technology, strategic relationships and dependence on key individuals and sole source suppliers.</w:t>
      </w:r>
    </w:p>
    <w:p>
      <w:pPr>
        <w:spacing w:after="0" w:line="339"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 Property and Equipment</w:t>
      </w:r>
    </w:p>
    <w:p>
      <w:pPr>
        <w:spacing w:after="0" w:line="200" w:lineRule="exact"/>
        <w:rPr>
          <w:sz w:val="20"/>
          <w:szCs w:val="20"/>
          <w:color w:val="auto"/>
        </w:rPr>
      </w:pPr>
    </w:p>
    <w:p>
      <w:pPr>
        <w:ind w:left="920" w:right="120" w:firstLine="753"/>
        <w:spacing w:after="0" w:line="261" w:lineRule="auto"/>
        <w:rPr>
          <w:sz w:val="20"/>
          <w:szCs w:val="20"/>
          <w:color w:val="auto"/>
        </w:rPr>
      </w:pPr>
      <w:r>
        <w:rPr>
          <w:rFonts w:ascii="Times New Roman" w:cs="Times New Roman" w:eastAsia="Times New Roman" w:hAnsi="Times New Roman"/>
          <w:sz w:val="15"/>
          <w:szCs w:val="15"/>
          <w:color w:val="auto"/>
        </w:rPr>
        <w:t>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events or changes in business circumstances during the years ended December 31, 2018 and 2019 or the six months ended June 30, 2020 that indicated the carrying amounts of any long-lived assets were not fully recoverable.</w:t>
      </w:r>
    </w:p>
    <w:p>
      <w:pPr>
        <w:spacing w:after="0" w:line="3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(vi) Derivative Instruments</w:t>
      </w:r>
    </w:p>
    <w:p>
      <w:pPr>
        <w:spacing w:after="0" w:line="200" w:lineRule="exact"/>
        <w:rPr>
          <w:sz w:val="20"/>
          <w:szCs w:val="20"/>
          <w:color w:val="auto"/>
        </w:rPr>
      </w:pPr>
    </w:p>
    <w:p>
      <w:pPr>
        <w:ind w:left="920" w:right="160" w:firstLine="753"/>
        <w:spacing w:after="0" w:line="265" w:lineRule="auto"/>
        <w:rPr>
          <w:sz w:val="20"/>
          <w:szCs w:val="20"/>
          <w:color w:val="auto"/>
        </w:rPr>
      </w:pPr>
      <w:r>
        <w:rPr>
          <w:rFonts w:ascii="Times New Roman" w:cs="Times New Roman" w:eastAsia="Times New Roman" w:hAnsi="Times New Roman"/>
          <w:sz w:val="15"/>
          <w:szCs w:val="15"/>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and Comprehensive Loss (see </w:t>
      </w:r>
      <w:r>
        <w:rPr>
          <w:rFonts w:ascii="Times New Roman" w:cs="Times New Roman" w:eastAsia="Times New Roman" w:hAnsi="Times New Roman"/>
          <w:sz w:val="15"/>
          <w:szCs w:val="15"/>
          <w:i w:val="1"/>
          <w:iCs w:val="1"/>
          <w:color w:val="auto"/>
        </w:rPr>
        <w:t>Note 8</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(vii) Research and Development Costs</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Prior to receiving invoices from its vendors, the Company accrues expense for pre-clinical studies and clinical trial</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F-10</w:t>
      </w:r>
    </w:p>
    <w:p>
      <w:pPr>
        <w:sectPr>
          <w:pgSz w:w="11900" w:h="16838" w:orient="portrait"/>
          <w:cols w:equalWidth="0" w:num="1">
            <w:col w:w="10300"/>
          </w:cols>
          <w:pgMar w:left="320" w:top="410" w:right="1279" w:bottom="1440" w:gutter="0" w:footer="0" w:header="0"/>
        </w:sectPr>
      </w:pPr>
    </w:p>
    <w:bookmarkStart w:id="225" w:name="page226"/>
    <w:bookmarkEnd w:id="22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jc w:val="both"/>
        <w:ind w:left="920" w:right="200"/>
        <w:spacing w:after="0" w:line="275" w:lineRule="auto"/>
        <w:rPr>
          <w:sz w:val="20"/>
          <w:szCs w:val="20"/>
          <w:color w:val="auto"/>
        </w:rPr>
      </w:pPr>
      <w:r>
        <w:rPr>
          <w:rFonts w:ascii="Times New Roman" w:cs="Times New Roman" w:eastAsia="Times New Roman" w:hAnsi="Times New Roman"/>
          <w:sz w:val="15"/>
          <w:szCs w:val="15"/>
          <w:color w:val="auto"/>
        </w:rPr>
        <w:t>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45" w:lineRule="exact"/>
        <w:rPr>
          <w:sz w:val="20"/>
          <w:szCs w:val="20"/>
          <w:color w:val="auto"/>
        </w:rPr>
      </w:pPr>
    </w:p>
    <w:p>
      <w:pPr>
        <w:ind w:left="920" w:right="140" w:firstLine="753"/>
        <w:spacing w:after="0" w:line="262" w:lineRule="auto"/>
        <w:rPr>
          <w:sz w:val="20"/>
          <w:szCs w:val="20"/>
          <w:color w:val="auto"/>
        </w:rPr>
      </w:pPr>
      <w:r>
        <w:rPr>
          <w:rFonts w:ascii="Times New Roman" w:cs="Times New Roman" w:eastAsia="Times New Roman" w:hAnsi="Times New Roman"/>
          <w:sz w:val="15"/>
          <w:szCs w:val="15"/>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Times New Roman" w:cs="Times New Roman" w:eastAsia="Times New Roman" w:hAnsi="Times New Roman"/>
          <w:sz w:val="15"/>
          <w:szCs w:val="15"/>
          <w:i w:val="1"/>
          <w:iCs w:val="1"/>
          <w:color w:val="auto"/>
        </w:rPr>
        <w:t>Note 10(b)</w:t>
      </w:r>
      <w:r>
        <w:rPr>
          <w:rFonts w:ascii="Times New Roman" w:cs="Times New Roman" w:eastAsia="Times New Roman" w:hAnsi="Times New Roman"/>
          <w:sz w:val="15"/>
          <w:szCs w:val="15"/>
          <w:color w:val="auto"/>
        </w:rPr>
        <w:t>) was evaluated and determined to represent an asset acquisition. Because this asset had not yet received regulatory approval and has no alternative future use, its fair value was immediately recognized as research and development expense. In addition, any future milestone payments made before product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(viii) Deferred Offering Costs</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Costs directly related to the Company’s IPO are deferred for expense recognition and instead capitalized and recorded on the accompanying balance sheets. These costs consist of legal fees, accounting fees, and other applicable professional services. These deferred offering costs will be reclassified to “additional paid in capital” upon the closing of the planned IPO. In the event that the Company’s plans for an IPO are terminated, all deferred offering costs will be recognized within “general and administrative” and expensed in the same period on the Company’s statements of operations and comprehensive loss. There were no deferred offering costs capitalized as of December 31, 2018 and 2019. As of June 30, 2020, $0.1 million of deferred offering costs are reported on the accompanying Balance Sheets within “other assets.”</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(ix) Stock-Based Compensation</w:t>
      </w:r>
    </w:p>
    <w:p>
      <w:pPr>
        <w:spacing w:after="0" w:line="200"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5"/>
          <w:szCs w:val="15"/>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58" w:lineRule="exact"/>
        <w:rPr>
          <w:sz w:val="20"/>
          <w:szCs w:val="20"/>
          <w:color w:val="auto"/>
        </w:rPr>
      </w:pPr>
    </w:p>
    <w:p>
      <w:pPr>
        <w:ind w:left="920" w:right="40" w:firstLine="753"/>
        <w:spacing w:after="0" w:line="267" w:lineRule="auto"/>
        <w:rPr>
          <w:sz w:val="20"/>
          <w:szCs w:val="20"/>
          <w:color w:val="auto"/>
        </w:rPr>
      </w:pPr>
      <w:r>
        <w:rPr>
          <w:rFonts w:ascii="Times New Roman" w:cs="Times New Roman" w:eastAsia="Times New Roman" w:hAnsi="Times New Roman"/>
          <w:sz w:val="15"/>
          <w:szCs w:val="15"/>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2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F-11</w:t>
      </w:r>
    </w:p>
    <w:p>
      <w:pPr>
        <w:sectPr>
          <w:pgSz w:w="11900" w:h="16838" w:orient="portrait"/>
          <w:cols w:equalWidth="0" w:num="1">
            <w:col w:w="10280"/>
          </w:cols>
          <w:pgMar w:left="320" w:top="410" w:right="1299" w:bottom="1440" w:gutter="0" w:footer="0" w:header="0"/>
        </w:sectPr>
      </w:pPr>
    </w:p>
    <w:bookmarkStart w:id="226" w:name="page227"/>
    <w:bookmarkEnd w:id="22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20" w:firstLine="753"/>
        <w:spacing w:after="0" w:line="262" w:lineRule="auto"/>
        <w:rPr>
          <w:sz w:val="20"/>
          <w:szCs w:val="20"/>
          <w:color w:val="auto"/>
        </w:rPr>
      </w:pPr>
      <w:r>
        <w:rPr>
          <w:rFonts w:ascii="Times New Roman" w:cs="Times New Roman" w:eastAsia="Times New Roman" w:hAnsi="Times New Roman"/>
          <w:sz w:val="15"/>
          <w:szCs w:val="15"/>
          <w:color w:val="auto"/>
        </w:rPr>
        <w:t>Management estimates the expected term of awarded stock options utilizing the “simplified method” for awards as the Company does not yet have sufficient exercise history since its November 2016 formation. Further, the Company is privately-held and therefore lacks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58" w:lineRule="exact"/>
        <w:rPr>
          <w:sz w:val="20"/>
          <w:szCs w:val="20"/>
          <w:color w:val="auto"/>
        </w:rPr>
      </w:pPr>
    </w:p>
    <w:p>
      <w:pPr>
        <w:ind w:left="920" w:right="100" w:firstLine="753"/>
        <w:spacing w:after="0" w:line="264" w:lineRule="auto"/>
        <w:rPr>
          <w:sz w:val="20"/>
          <w:szCs w:val="20"/>
          <w:color w:val="auto"/>
        </w:rPr>
      </w:pPr>
      <w:r>
        <w:rPr>
          <w:rFonts w:ascii="Times New Roman" w:cs="Times New Roman" w:eastAsia="Times New Roman" w:hAnsi="Times New Roman"/>
          <w:sz w:val="15"/>
          <w:szCs w:val="15"/>
          <w:color w:val="auto"/>
        </w:rPr>
        <w:t>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 Income Taxes</w:t>
      </w:r>
    </w:p>
    <w:p>
      <w:pPr>
        <w:spacing w:after="0" w:line="200" w:lineRule="exact"/>
        <w:rPr>
          <w:sz w:val="20"/>
          <w:szCs w:val="20"/>
          <w:color w:val="auto"/>
        </w:rPr>
      </w:pPr>
    </w:p>
    <w:p>
      <w:pPr>
        <w:ind w:left="920" w:right="120" w:firstLine="753"/>
        <w:spacing w:after="0" w:line="262" w:lineRule="auto"/>
        <w:rPr>
          <w:sz w:val="20"/>
          <w:szCs w:val="20"/>
          <w:color w:val="auto"/>
        </w:rPr>
      </w:pPr>
      <w:r>
        <w:rPr>
          <w:rFonts w:ascii="Times New Roman" w:cs="Times New Roman" w:eastAsia="Times New Roman" w:hAnsi="Times New Roman"/>
          <w:sz w:val="15"/>
          <w:szCs w:val="15"/>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58"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45" w:lineRule="exact"/>
        <w:rPr>
          <w:sz w:val="20"/>
          <w:szCs w:val="20"/>
          <w:color w:val="auto"/>
        </w:rPr>
      </w:pPr>
    </w:p>
    <w:p>
      <w:pPr>
        <w:ind w:left="920" w:right="240" w:firstLine="753"/>
        <w:spacing w:after="0" w:line="275" w:lineRule="auto"/>
        <w:rPr>
          <w:sz w:val="20"/>
          <w:szCs w:val="20"/>
          <w:color w:val="auto"/>
        </w:rPr>
      </w:pPr>
      <w:r>
        <w:rPr>
          <w:rFonts w:ascii="Times New Roman" w:cs="Times New Roman" w:eastAsia="Times New Roman" w:hAnsi="Times New Roman"/>
          <w:sz w:val="15"/>
          <w:szCs w:val="15"/>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(xi) Preferred Stock</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The Company classifies preferred stock outside of stockholders’ deficit on the accompanying balance sheets. The requirements of a deemed liquidation event, as defined within its amended and restated certificate of</w:t>
      </w:r>
    </w:p>
    <w:p>
      <w:pPr>
        <w:spacing w:after="0" w:line="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F-12</w:t>
      </w:r>
    </w:p>
    <w:p>
      <w:pPr>
        <w:sectPr>
          <w:pgSz w:w="11900" w:h="16838" w:orient="portrait"/>
          <w:cols w:equalWidth="0" w:num="1">
            <w:col w:w="10280"/>
          </w:cols>
          <w:pgMar w:left="320" w:top="410" w:right="1299" w:bottom="1440" w:gutter="0" w:footer="0" w:header="0"/>
        </w:sectPr>
      </w:pPr>
    </w:p>
    <w:bookmarkStart w:id="227" w:name="page228"/>
    <w:bookmarkEnd w:id="22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60"/>
        <w:spacing w:after="0" w:line="265" w:lineRule="auto"/>
        <w:rPr>
          <w:sz w:val="20"/>
          <w:szCs w:val="20"/>
          <w:color w:val="auto"/>
        </w:rPr>
      </w:pPr>
      <w:r>
        <w:rPr>
          <w:rFonts w:ascii="Times New Roman" w:cs="Times New Roman" w:eastAsia="Times New Roman" w:hAnsi="Times New Roman"/>
          <w:sz w:val="15"/>
          <w:szCs w:val="15"/>
          <w:color w:val="auto"/>
        </w:rPr>
        <w:t>incorporation filed in 2019 (the “2019 Amended and Restated Certificate of Incorporation”) are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records the issuance of preferred stock at the issuance 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(xii) Net Loss per Share Attributable to Common Stockholders</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Basic net loss per share attributable to common stockholders is calculated by dividing the net loss by the weighted-average number of shares of common stock outstanding for the period, without the consideration for 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(xiii) Unaudited Pro forma Net Loss Per Share Attributable to Common Stockholders</w:t>
      </w:r>
    </w:p>
    <w:p>
      <w:pPr>
        <w:spacing w:after="0" w:line="200"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The unaudited pro forma basic and diluted net loss per share attributable to common stockholders has been computed to give effect to the automatic conversion of all outstanding preferred stock into shares of common stock using the if-converted method immediately prior to the closing of a qualifying IPO (</w:t>
      </w:r>
      <w:r>
        <w:rPr>
          <w:rFonts w:ascii="Times New Roman" w:cs="Times New Roman" w:eastAsia="Times New Roman" w:hAnsi="Times New Roman"/>
          <w:sz w:val="15"/>
          <w:szCs w:val="15"/>
          <w:i w:val="1"/>
          <w:iCs w:val="1"/>
          <w:color w:val="auto"/>
        </w:rPr>
        <w:t>Note 4</w:t>
      </w:r>
      <w:r>
        <w:rPr>
          <w:rFonts w:ascii="Times New Roman" w:cs="Times New Roman" w:eastAsia="Times New Roman" w:hAnsi="Times New Roman"/>
          <w:sz w:val="15"/>
          <w:szCs w:val="15"/>
          <w:color w:val="auto"/>
        </w:rPr>
        <w:t>) as though such IPO had occurred as of the beginning of the period or the date of issuance, if later. The unaudited pro forma net loss per share does not include the shares expected to be sold and related proceeds to be received from the IPO of Tarsus’ common stock.</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(xiv) Fair Value Measurements</w:t>
      </w:r>
    </w:p>
    <w:p>
      <w:pPr>
        <w:spacing w:after="0" w:line="200"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72" w:lineRule="exact"/>
        <w:rPr>
          <w:sz w:val="20"/>
          <w:szCs w:val="20"/>
          <w:color w:val="auto"/>
        </w:rPr>
      </w:pPr>
    </w:p>
    <w:p>
      <w:pPr>
        <w:ind w:left="2040" w:right="100" w:hanging="278"/>
        <w:spacing w:after="0" w:line="298" w:lineRule="auto"/>
        <w:tabs>
          <w:tab w:leader="none" w:pos="20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Quoted prices (unadjusted) in active markets for identical assets or liabilities that are publicly accessible at the measurement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date.</w:t>
      </w:r>
    </w:p>
    <w:p>
      <w:pPr>
        <w:spacing w:after="0" w:line="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F-13</w:t>
      </w:r>
    </w:p>
    <w:p>
      <w:pPr>
        <w:sectPr>
          <w:pgSz w:w="11900" w:h="16838" w:orient="portrait"/>
          <w:cols w:equalWidth="0" w:num="1">
            <w:col w:w="10320"/>
          </w:cols>
          <w:pgMar w:left="320" w:top="410" w:right="1259" w:bottom="1440" w:gutter="0" w:footer="0" w:header="0"/>
        </w:sectPr>
      </w:pPr>
    </w:p>
    <w:bookmarkStart w:id="228" w:name="page229"/>
    <w:bookmarkEnd w:id="22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2040" w:right="140" w:hanging="278"/>
        <w:spacing w:after="0" w:line="277" w:lineRule="auto"/>
        <w:tabs>
          <w:tab w:leader="none" w:pos="20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2: </w:t>
      </w:r>
      <w:r>
        <w:rPr>
          <w:rFonts w:ascii="Times New Roman" w:cs="Times New Roman" w:eastAsia="Times New Roman" w:hAnsi="Times New Roman"/>
          <w:sz w:val="15"/>
          <w:szCs w:val="15"/>
          <w:color w:val="auto"/>
        </w:rPr>
        <w:t>Observable prices that are based on inputs not quoted on active markets, but that are corroborated by market data. These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inputs may include quoted prices for similar assets or liabilities or quoted market prices in markets that are not active to the general public.</w:t>
      </w:r>
    </w:p>
    <w:p>
      <w:pPr>
        <w:spacing w:after="0" w:line="163" w:lineRule="exact"/>
        <w:rPr>
          <w:rFonts w:ascii="Times New Roman" w:cs="Times New Roman" w:eastAsia="Times New Roman" w:hAnsi="Times New Roman"/>
          <w:sz w:val="15"/>
          <w:szCs w:val="15"/>
          <w:color w:val="auto"/>
        </w:rPr>
      </w:pPr>
    </w:p>
    <w:p>
      <w:pPr>
        <w:ind w:left="2040" w:right="40" w:hanging="278"/>
        <w:spacing w:after="0" w:line="298" w:lineRule="auto"/>
        <w:tabs>
          <w:tab w:leader="none" w:pos="20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Level 3: </w:t>
      </w:r>
      <w:r>
        <w:rPr>
          <w:rFonts w:ascii="Times New Roman" w:cs="Times New Roman" w:eastAsia="Times New Roman" w:hAnsi="Times New Roman"/>
          <w:sz w:val="15"/>
          <w:szCs w:val="15"/>
          <w:color w:val="auto"/>
        </w:rPr>
        <w:t>Unobservable inputs that are supported by little or no market activity and that are significant to the fair value of the assets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liabilities.</w:t>
      </w:r>
    </w:p>
    <w:p>
      <w:pPr>
        <w:spacing w:after="0" w:line="129" w:lineRule="exact"/>
        <w:rPr>
          <w:sz w:val="20"/>
          <w:szCs w:val="20"/>
          <w:color w:val="auto"/>
        </w:rPr>
      </w:pPr>
    </w:p>
    <w:p>
      <w:pPr>
        <w:ind w:left="920" w:right="720" w:firstLine="753"/>
        <w:spacing w:after="0" w:line="293" w:lineRule="auto"/>
        <w:rPr>
          <w:sz w:val="20"/>
          <w:szCs w:val="20"/>
          <w:color w:val="auto"/>
        </w:rPr>
      </w:pPr>
      <w:r>
        <w:rPr>
          <w:rFonts w:ascii="Times New Roman" w:cs="Times New Roman" w:eastAsia="Times New Roman" w:hAnsi="Times New Roman"/>
          <w:sz w:val="15"/>
          <w:szCs w:val="15"/>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(xv) Comprehensive Loss</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Comprehensive loss represents all changes in stockholders’ deficit, except those resulting from distributions to stockholders. For all periods presented, comprehensive loss was the same as reported net loss.</w:t>
      </w:r>
    </w:p>
    <w:p>
      <w:pPr>
        <w:spacing w:after="0" w:line="12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(xvi) Recently Issued or Effective Accounting Standards</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3. BALANCE SHEET ACCOUNT DETAIL</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composition of selected financial statement captions that comprise the accompanying balance sheets are summarized below:</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 Prepaid Expenses and Other Current Assets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“Prepaid expenses and other current assets” consists of the following:</w:t>
      </w:r>
    </w:p>
    <w:p>
      <w:pPr>
        <w:spacing w:after="0" w:line="212"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right"/>
              <w:ind w:right="12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00" w:type="dxa"/>
            <w:vAlign w:val="bottom"/>
          </w:tcPr>
          <w:p>
            <w:pPr>
              <w:spacing w:after="0"/>
              <w:rPr>
                <w:sz w:val="12"/>
                <w:szCs w:val="12"/>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18"/>
        </w:trPr>
        <w:tc>
          <w:tcPr>
            <w:tcW w:w="20" w:type="dxa"/>
            <w:vAlign w:val="bottom"/>
          </w:tcPr>
          <w:p>
            <w:pPr>
              <w:spacing w:after="0"/>
              <w:rPr>
                <w:sz w:val="10"/>
                <w:szCs w:val="10"/>
                <w:color w:val="auto"/>
              </w:rPr>
            </w:pPr>
          </w:p>
        </w:tc>
        <w:tc>
          <w:tcPr>
            <w:tcW w:w="328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50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w w:val="99"/>
              </w:rPr>
              <w:t>2019</w:t>
            </w:r>
          </w:p>
        </w:tc>
        <w:tc>
          <w:tcPr>
            <w:tcW w:w="5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2"/>
                <w:szCs w:val="12"/>
                <w:b w:val="1"/>
                <w:bCs w:val="1"/>
                <w:color w:val="auto"/>
                <w:w w:val="99"/>
              </w:rPr>
              <w:t>2020</w:t>
            </w:r>
          </w:p>
        </w:tc>
        <w:tc>
          <w:tcPr>
            <w:tcW w:w="40" w:type="dxa"/>
            <w:vAlign w:val="bottom"/>
            <w:tcBorders>
              <w:bottom w:val="single" w:sz="8" w:color="CCEEFF"/>
            </w:tcBorders>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26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40" w:type="dxa"/>
            <w:vAlign w:val="bottom"/>
            <w:shd w:val="clear" w:color="auto" w:fill="CCEEFF"/>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Clinical research organization service assets</w:t>
            </w:r>
          </w:p>
        </w:tc>
        <w:tc>
          <w:tcPr>
            <w:tcW w:w="2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4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20" w:type="dxa"/>
            <w:vAlign w:val="bottom"/>
            <w:gridSpan w:val="2"/>
          </w:tcPr>
          <w:p>
            <w:pPr>
              <w:jc w:val="right"/>
              <w:ind w:right="1788"/>
              <w:spacing w:after="0"/>
              <w:rPr>
                <w:sz w:val="20"/>
                <w:szCs w:val="20"/>
                <w:color w:val="auto"/>
              </w:rPr>
            </w:pPr>
            <w:r>
              <w:rPr>
                <w:rFonts w:ascii="Times New Roman" w:cs="Times New Roman" w:eastAsia="Times New Roman" w:hAnsi="Times New Roman"/>
                <w:sz w:val="15"/>
                <w:szCs w:val="15"/>
                <w:color w:val="auto"/>
              </w:rPr>
              <w:t>F-14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60"/>
          </w:cols>
          <w:pgMar w:left="320" w:top="410" w:right="1319" w:bottom="1440" w:gutter="0" w:footer="0" w:header="0"/>
        </w:sectPr>
      </w:pPr>
    </w:p>
    <w:bookmarkStart w:id="229" w:name="page230"/>
    <w:bookmarkEnd w:id="22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(b) Property and Equipment, net of Accumulated Depreciation</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consists of the following:</w:t>
      </w:r>
    </w:p>
    <w:p>
      <w:pPr>
        <w:spacing w:after="0" w:line="212"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6"/>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tcPr>
          <w:p>
            <w:pPr>
              <w:spacing w:after="0"/>
              <w:rPr>
                <w:sz w:val="12"/>
                <w:szCs w:val="12"/>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18"/>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2018</w:t>
            </w: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25"/>
              <w:spacing w:after="0" w:line="118" w:lineRule="exact"/>
              <w:rPr>
                <w:sz w:val="20"/>
                <w:szCs w:val="20"/>
                <w:color w:val="auto"/>
              </w:rPr>
            </w:pPr>
            <w:r>
              <w:rPr>
                <w:rFonts w:ascii="Times New Roman" w:cs="Times New Roman" w:eastAsia="Times New Roman" w:hAnsi="Times New Roman"/>
                <w:sz w:val="12"/>
                <w:szCs w:val="12"/>
                <w:b w:val="1"/>
                <w:bCs w:val="1"/>
                <w:color w:val="auto"/>
                <w:w w:val="91"/>
              </w:rPr>
              <w:t>2020</w:t>
            </w:r>
          </w:p>
        </w:tc>
        <w:tc>
          <w:tcPr>
            <w:tcW w:w="40" w:type="dxa"/>
            <w:vAlign w:val="bottom"/>
          </w:tcPr>
          <w:p>
            <w:pPr>
              <w:spacing w:after="0"/>
              <w:rPr>
                <w:sz w:val="10"/>
                <w:szCs w:val="10"/>
                <w:color w:val="auto"/>
              </w:rPr>
            </w:pPr>
          </w:p>
        </w:tc>
      </w:tr>
      <w:tr>
        <w:trPr>
          <w:trHeight w:val="17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79"/>
              </w:rPr>
              <w:t>1</w:t>
            </w: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40" w:type="dxa"/>
            <w:vAlign w:val="bottom"/>
            <w:tcBorders>
              <w:top w:val="single" w:sz="8" w:color="CCEEFF"/>
            </w:tcBorders>
            <w:shd w:val="clear" w:color="auto" w:fill="CCEEFF"/>
          </w:tcPr>
          <w:p>
            <w:pPr>
              <w:spacing w:after="0"/>
              <w:rPr>
                <w:sz w:val="15"/>
                <w:szCs w:val="15"/>
                <w:color w:val="auto"/>
              </w:rPr>
            </w:pPr>
          </w:p>
        </w:tc>
      </w:tr>
      <w:tr>
        <w:trPr>
          <w:trHeight w:val="184"/>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74</w:t>
            </w:r>
          </w:p>
        </w:tc>
      </w:tr>
      <w:tr>
        <w:trPr>
          <w:trHeight w:val="18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Lab equipment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6</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92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138</w:t>
            </w:r>
          </w:p>
        </w:tc>
      </w:tr>
      <w:tr>
        <w:trPr>
          <w:trHeight w:val="184"/>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89</w:t>
            </w:r>
          </w:p>
        </w:tc>
      </w:tr>
      <w:tr>
        <w:trPr>
          <w:trHeight w:val="184"/>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33</w:t>
            </w: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at cost</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w w:val="79"/>
              </w:rPr>
              <w:t>7</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192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40" w:type="dxa"/>
            <w:vAlign w:val="bottom"/>
          </w:tcPr>
          <w:p>
            <w:pPr>
              <w:spacing w:after="0"/>
              <w:rPr>
                <w:sz w:val="16"/>
                <w:szCs w:val="16"/>
                <w:color w:val="auto"/>
              </w:rPr>
            </w:pPr>
          </w:p>
        </w:tc>
      </w:tr>
      <w:tr>
        <w:trPr>
          <w:trHeight w:val="184"/>
        </w:trPr>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w:t>
            </w: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of accumulated depreciation</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w w:val="79"/>
              </w:rPr>
              <w:t>6</w:t>
            </w:r>
          </w:p>
        </w:tc>
        <w:tc>
          <w:tcPr>
            <w:tcW w:w="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154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40" w:type="dxa"/>
            <w:vAlign w:val="bottom"/>
          </w:tcPr>
          <w:p>
            <w:pPr>
              <w:spacing w:after="0"/>
              <w:rPr>
                <w:sz w:val="16"/>
                <w:szCs w:val="16"/>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Depreciation expense (included within “total operating expenses” in the accompanying Statements of Operations and Comprehensive Loss) for the years ended December 31, 2018 and 2019 was $1 thousand and $37 thousand, respectively. Depreciation expense for the six months ended June 30, 2019 and 2020 was $9 thousand and $32 thousand, respectively.</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 Accounts Payable and Other Accrued Liabilities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“Accounts payable and other accrued liabilities” consists of the following:</w:t>
      </w:r>
    </w:p>
    <w:p>
      <w:pPr>
        <w:spacing w:after="0" w:line="212"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1280" w:type="dxa"/>
            <w:vAlign w:val="bottom"/>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0" w:type="dxa"/>
            <w:vAlign w:val="bottom"/>
          </w:tcPr>
          <w:p>
            <w:pPr>
              <w:spacing w:after="0"/>
              <w:rPr>
                <w:sz w:val="1"/>
                <w:szCs w:val="1"/>
                <w:color w:val="auto"/>
              </w:rPr>
            </w:pPr>
          </w:p>
        </w:tc>
      </w:tr>
      <w:tr>
        <w:trPr>
          <w:trHeight w:val="118"/>
        </w:trPr>
        <w:tc>
          <w:tcPr>
            <w:tcW w:w="478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2018</w:t>
            </w:r>
          </w:p>
        </w:tc>
        <w:tc>
          <w:tcPr>
            <w:tcW w:w="44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29"/>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accounts payable</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$175</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$456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Shares subject to repurchase from its founders </w:t>
            </w:r>
            <w:r>
              <w:rPr>
                <w:rFonts w:ascii="Times New Roman" w:cs="Times New Roman" w:eastAsia="Times New Roman" w:hAnsi="Times New Roman"/>
                <w:sz w:val="15"/>
                <w:szCs w:val="15"/>
                <w:i w:val="1"/>
                <w:iCs w:val="1"/>
                <w:color w:val="auto"/>
              </w:rPr>
              <w:t>(Note 5)</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 current portion</w:t>
            </w:r>
          </w:p>
        </w:tc>
        <w:tc>
          <w:tcPr>
            <w:tcW w:w="7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Accrued clinical studies</w:t>
            </w:r>
          </w:p>
        </w:tc>
        <w:tc>
          <w:tcPr>
            <w:tcW w:w="76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1,150</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Employee stock option early exercise liability, current portion</w:t>
            </w:r>
          </w:p>
        </w:tc>
        <w:tc>
          <w:tcPr>
            <w:tcW w:w="7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Other accrued liabilities</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176</w:t>
            </w:r>
          </w:p>
        </w:tc>
        <w:tc>
          <w:tcPr>
            <w:tcW w:w="4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520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2,803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3240"/>
              <w:spacing w:after="0"/>
              <w:rPr>
                <w:sz w:val="20"/>
                <w:szCs w:val="20"/>
                <w:color w:val="auto"/>
              </w:rPr>
            </w:pPr>
            <w:r>
              <w:rPr>
                <w:rFonts w:ascii="Times New Roman" w:cs="Times New Roman" w:eastAsia="Times New Roman" w:hAnsi="Times New Roman"/>
                <w:sz w:val="15"/>
                <w:szCs w:val="15"/>
                <w:color w:val="auto"/>
              </w:rPr>
              <w:t>F-15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10" w:right="1319" w:bottom="1440" w:gutter="0" w:footer="0" w:header="0"/>
        </w:sectPr>
      </w:pPr>
    </w:p>
    <w:bookmarkStart w:id="230" w:name="page231"/>
    <w:bookmarkEnd w:id="23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 Other Long-Term Liabilities</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“Other long-term liabilities” consists of the following:</w:t>
      </w:r>
    </w:p>
    <w:p>
      <w:pPr>
        <w:spacing w:after="0" w:line="212"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tcPr>
          <w:p>
            <w:pPr>
              <w:ind w:left="2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12"/>
                <w:szCs w:val="12"/>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18"/>
        </w:trPr>
        <w:tc>
          <w:tcPr>
            <w:tcW w:w="4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800" w:type="dxa"/>
            <w:vAlign w:val="bottom"/>
            <w:tcBorders>
              <w:top w:val="single" w:sz="8" w:color="auto"/>
            </w:tcBorders>
            <w:gridSpan w:val="2"/>
          </w:tcPr>
          <w:p>
            <w:pPr>
              <w:jc w:val="center"/>
              <w:ind w:left="431"/>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2"/>
                <w:szCs w:val="12"/>
                <w:b w:val="1"/>
                <w:bCs w:val="1"/>
                <w:color w:val="auto"/>
                <w:w w:val="91"/>
              </w:rPr>
              <w:t>2020</w:t>
            </w:r>
          </w:p>
        </w:tc>
        <w:tc>
          <w:tcPr>
            <w:tcW w:w="40" w:type="dxa"/>
            <w:vAlign w:val="bottom"/>
          </w:tcPr>
          <w:p>
            <w:pPr>
              <w:spacing w:after="0"/>
              <w:rPr>
                <w:sz w:val="10"/>
                <w:szCs w:val="10"/>
                <w:color w:val="auto"/>
              </w:rPr>
            </w:pPr>
          </w:p>
        </w:tc>
      </w:tr>
      <w:tr>
        <w:trPr>
          <w:trHeight w:val="176"/>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 non-current portion</w:t>
            </w: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w w:val="97"/>
              </w:rPr>
              <w:t>$—</w:t>
            </w:r>
          </w:p>
        </w:tc>
        <w:tc>
          <w:tcPr>
            <w:tcW w:w="5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w:t>
            </w:r>
          </w:p>
        </w:tc>
        <w:tc>
          <w:tcPr>
            <w:tcW w:w="40" w:type="dxa"/>
            <w:vAlign w:val="bottom"/>
            <w:tcBorders>
              <w:top w:val="single" w:sz="8" w:color="CCEEFF"/>
            </w:tcBorders>
            <w:shd w:val="clear" w:color="auto" w:fill="CCEEFF"/>
          </w:tcPr>
          <w:p>
            <w:pPr>
              <w:spacing w:after="0"/>
              <w:rPr>
                <w:sz w:val="15"/>
                <w:szCs w:val="15"/>
                <w:color w:val="auto"/>
              </w:rPr>
            </w:pPr>
          </w:p>
        </w:tc>
      </w:tr>
      <w:tr>
        <w:trPr>
          <w:trHeight w:val="184"/>
        </w:trPr>
        <w:tc>
          <w:tcPr>
            <w:tcW w:w="4380" w:type="dxa"/>
            <w:vAlign w:val="bottom"/>
          </w:tcPr>
          <w:p>
            <w:pPr>
              <w:spacing w:after="0"/>
              <w:rPr>
                <w:sz w:val="20"/>
                <w:szCs w:val="20"/>
                <w:color w:val="auto"/>
              </w:rPr>
            </w:pPr>
            <w:r>
              <w:rPr>
                <w:rFonts w:ascii="Times New Roman" w:cs="Times New Roman" w:eastAsia="Times New Roman" w:hAnsi="Times New Roman"/>
                <w:sz w:val="15"/>
                <w:szCs w:val="15"/>
                <w:color w:val="auto"/>
              </w:rPr>
              <w:t>Employee stock option early exercise liability, non-current portion</w:t>
            </w:r>
          </w:p>
        </w:tc>
        <w:tc>
          <w:tcPr>
            <w:tcW w:w="2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53</w:t>
            </w:r>
          </w:p>
        </w:tc>
      </w:tr>
      <w:tr>
        <w:trPr>
          <w:trHeight w:val="23"/>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w w:val="97"/>
              </w:rPr>
              <w:t>$—</w:t>
            </w:r>
          </w:p>
        </w:tc>
        <w:tc>
          <w:tcPr>
            <w:tcW w:w="1060" w:type="dxa"/>
            <w:vAlign w:val="bottom"/>
            <w:gridSpan w:val="3"/>
            <w:shd w:val="clear" w:color="auto" w:fill="CCEEFF"/>
          </w:tcPr>
          <w:p>
            <w:pPr>
              <w:jc w:val="center"/>
              <w:ind w:left="171"/>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100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797</w:t>
            </w:r>
          </w:p>
        </w:tc>
      </w:tr>
      <w:tr>
        <w:trPr>
          <w:trHeight w:val="20"/>
        </w:trPr>
        <w:tc>
          <w:tcPr>
            <w:tcW w:w="4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4. STOCKHOLDERS’ EQUITY</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Authorized Stock</w:t>
      </w:r>
    </w:p>
    <w:p>
      <w:pPr>
        <w:spacing w:after="0" w:line="200" w:lineRule="exact"/>
        <w:rPr>
          <w:sz w:val="20"/>
          <w:szCs w:val="20"/>
          <w:color w:val="auto"/>
        </w:rPr>
      </w:pPr>
    </w:p>
    <w:p>
      <w:pPr>
        <w:jc w:val="both"/>
        <w:ind w:left="920" w:right="260" w:firstLine="753"/>
        <w:spacing w:after="0" w:line="275" w:lineRule="auto"/>
        <w:rPr>
          <w:sz w:val="20"/>
          <w:szCs w:val="20"/>
          <w:color w:val="auto"/>
        </w:rPr>
      </w:pPr>
      <w:r>
        <w:rPr>
          <w:rFonts w:ascii="Times New Roman" w:cs="Times New Roman" w:eastAsia="Times New Roman" w:hAnsi="Times New Roman"/>
          <w:sz w:val="15"/>
          <w:szCs w:val="15"/>
          <w:color w:val="auto"/>
        </w:rPr>
        <w:t>Under the December 2019 Amended and Restated Certificate of Incorporation, the Company is authorized to issue two classes of stock: common and preferred. The total number of shares authorized for issuance is 13.9 million of common shares and 8.3 million of preferred shares, of which 1.6 million shares are designated as Series A Preferred Stock and 6.7 million shares are designated as Series B Preferred Stock.</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 Overview</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A Preferred Stock Issuance</w:t>
      </w:r>
    </w:p>
    <w:p>
      <w:pPr>
        <w:spacing w:after="0" w:line="200" w:lineRule="exact"/>
        <w:rPr>
          <w:sz w:val="20"/>
          <w:szCs w:val="20"/>
          <w:color w:val="auto"/>
        </w:rPr>
      </w:pPr>
    </w:p>
    <w:p>
      <w:pPr>
        <w:ind w:left="920" w:right="140" w:firstLine="753"/>
        <w:spacing w:after="0" w:line="293" w:lineRule="auto"/>
        <w:rPr>
          <w:sz w:val="20"/>
          <w:szCs w:val="20"/>
          <w:color w:val="auto"/>
        </w:rPr>
      </w:pPr>
      <w:r>
        <w:rPr>
          <w:rFonts w:ascii="Times New Roman" w:cs="Times New Roman" w:eastAsia="Times New Roman" w:hAnsi="Times New Roman"/>
          <w:sz w:val="15"/>
          <w:szCs w:val="15"/>
          <w:color w:val="auto"/>
        </w:rPr>
        <w:t>In March and May 2018, the Company executed a private placement Series A Stock Purchase Agreement and issued 1.6 million shares of Series A Preferred Stock at $2.3174 per share for net proceeds of $3.6 million, after issuance costs of $0.1 million.</w:t>
      </w:r>
    </w:p>
    <w:p>
      <w:pPr>
        <w:spacing w:after="0" w:line="137"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13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Liquidation</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0" w:type="dxa"/>
            <w:vAlign w:val="bottom"/>
          </w:tcPr>
          <w:p>
            <w:pPr>
              <w:spacing w:after="0"/>
              <w:rPr>
                <w:sz w:val="1"/>
                <w:szCs w:val="1"/>
                <w:color w:val="auto"/>
              </w:rPr>
            </w:pPr>
          </w:p>
        </w:tc>
      </w:tr>
      <w:tr>
        <w:trPr>
          <w:trHeight w:val="127"/>
        </w:trPr>
        <w:tc>
          <w:tcPr>
            <w:tcW w:w="13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of December 31, 2018</w:t>
            </w:r>
          </w:p>
        </w:tc>
        <w:tc>
          <w:tcPr>
            <w:tcW w:w="2300" w:type="dxa"/>
            <w:vAlign w:val="bottom"/>
            <w:vMerge w:val="restart"/>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Authorized</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8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980" w:type="dxa"/>
            <w:vAlign w:val="bottom"/>
            <w:gridSpan w:val="2"/>
            <w:vMerge w:val="continue"/>
          </w:tcPr>
          <w:p>
            <w:pPr>
              <w:spacing w:after="0"/>
              <w:rPr>
                <w:sz w:val="11"/>
                <w:szCs w:val="11"/>
                <w:color w:val="auto"/>
              </w:rPr>
            </w:pPr>
          </w:p>
        </w:tc>
        <w:tc>
          <w:tcPr>
            <w:tcW w:w="560" w:type="dxa"/>
            <w:vAlign w:val="bottom"/>
            <w:gridSpan w:val="2"/>
          </w:tcPr>
          <w:p>
            <w:pPr>
              <w:jc w:val="center"/>
              <w:ind w:right="40"/>
              <w:spacing w:after="0" w:line="127" w:lineRule="exact"/>
              <w:rPr>
                <w:sz w:val="20"/>
                <w:szCs w:val="20"/>
                <w:color w:val="auto"/>
              </w:rPr>
            </w:pPr>
            <w:r>
              <w:rPr>
                <w:rFonts w:ascii="Times New Roman" w:cs="Times New Roman" w:eastAsia="Times New Roman" w:hAnsi="Times New Roman"/>
                <w:sz w:val="12"/>
                <w:szCs w:val="12"/>
                <w:b w:val="1"/>
                <w:bCs w:val="1"/>
                <w:color w:val="auto"/>
              </w:rPr>
              <w:t>Issue</w:t>
            </w:r>
          </w:p>
        </w:tc>
        <w:tc>
          <w:tcPr>
            <w:tcW w:w="0" w:type="dxa"/>
            <w:vAlign w:val="bottom"/>
          </w:tcPr>
          <w:p>
            <w:pPr>
              <w:spacing w:after="0"/>
              <w:rPr>
                <w:sz w:val="1"/>
                <w:szCs w:val="1"/>
                <w:color w:val="auto"/>
              </w:rPr>
            </w:pPr>
          </w:p>
        </w:tc>
      </w:tr>
      <w:tr>
        <w:trPr>
          <w:trHeight w:val="157"/>
        </w:trPr>
        <w:tc>
          <w:tcPr>
            <w:tcW w:w="1300" w:type="dxa"/>
            <w:vAlign w:val="bottom"/>
            <w:tcBorders>
              <w:bottom w:val="single" w:sz="8" w:color="auto"/>
            </w:tcBorders>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0" w:type="dxa"/>
            <w:vAlign w:val="bottom"/>
          </w:tcPr>
          <w:p>
            <w:pPr>
              <w:spacing w:after="0"/>
              <w:rPr>
                <w:sz w:val="1"/>
                <w:szCs w:val="1"/>
                <w:color w:val="auto"/>
              </w:rPr>
            </w:pPr>
          </w:p>
        </w:tc>
      </w:tr>
      <w:tr>
        <w:trPr>
          <w:trHeight w:val="168"/>
        </w:trPr>
        <w:tc>
          <w:tcPr>
            <w:tcW w:w="360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Series A Preferred Stock</w:t>
            </w:r>
          </w:p>
        </w:tc>
        <w:tc>
          <w:tcPr>
            <w:tcW w:w="680" w:type="dxa"/>
            <w:vAlign w:val="bottom"/>
            <w:tcBorders>
              <w:top w:val="single" w:sz="8" w:color="auto"/>
            </w:tcBorders>
            <w:shd w:val="clear" w:color="auto" w:fill="CCEEFF"/>
          </w:tcPr>
          <w:p>
            <w:pPr>
              <w:ind w:left="60"/>
              <w:spacing w:after="0" w:line="168" w:lineRule="exact"/>
              <w:rPr>
                <w:sz w:val="20"/>
                <w:szCs w:val="20"/>
                <w:color w:val="auto"/>
              </w:rPr>
            </w:pPr>
            <w:r>
              <w:rPr>
                <w:rFonts w:ascii="Times New Roman" w:cs="Times New Roman" w:eastAsia="Times New Roman" w:hAnsi="Times New Roman"/>
                <w:sz w:val="15"/>
                <w:szCs w:val="15"/>
                <w:color w:val="auto"/>
                <w:w w:val="99"/>
              </w:rPr>
              <w:t>1,726,063</w:t>
            </w:r>
          </w:p>
        </w:tc>
        <w:tc>
          <w:tcPr>
            <w:tcW w:w="3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1,575,030</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$ 3,564</w:t>
            </w:r>
          </w:p>
        </w:tc>
        <w:tc>
          <w:tcPr>
            <w:tcW w:w="3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   3,650</w:t>
            </w:r>
          </w:p>
        </w:tc>
        <w:tc>
          <w:tcPr>
            <w:tcW w:w="3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$2.3174</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B Preferred Stock Issuance</w:t>
      </w:r>
    </w:p>
    <w:p>
      <w:pPr>
        <w:spacing w:after="0" w:line="200" w:lineRule="exact"/>
        <w:rPr>
          <w:sz w:val="20"/>
          <w:szCs w:val="20"/>
          <w:color w:val="auto"/>
        </w:rPr>
      </w:pPr>
    </w:p>
    <w:p>
      <w:pPr>
        <w:ind w:left="920" w:firstLine="753"/>
        <w:spacing w:after="0" w:line="265" w:lineRule="auto"/>
        <w:rPr>
          <w:sz w:val="20"/>
          <w:szCs w:val="20"/>
          <w:color w:val="auto"/>
        </w:rPr>
      </w:pPr>
      <w:r>
        <w:rPr>
          <w:rFonts w:ascii="Times New Roman" w:cs="Times New Roman" w:eastAsia="Times New Roman" w:hAnsi="Times New Roman"/>
          <w:sz w:val="15"/>
          <w:szCs w:val="15"/>
          <w:color w:val="auto"/>
        </w:rPr>
        <w:t xml:space="preserve">In December 2019, the Company executed a private placement Series B Stock Purchase Agreement of 6.7 million shares of Series B Preferred Stock at $8.9904 per share for net proceeds of $57.4 million, after issuance costs of $0.2 million. Concurrently, convertible notes issued in May, August, and October 2019 for aggregate proceeds of $2.0 million were converted based on principal and accrued interest, and the Company issued 0.3 million shares of Series B Preferred Stock at its contractual conversion price (see </w:t>
      </w:r>
      <w:r>
        <w:rPr>
          <w:rFonts w:ascii="Times New Roman" w:cs="Times New Roman" w:eastAsia="Times New Roman" w:hAnsi="Times New Roman"/>
          <w:sz w:val="15"/>
          <w:szCs w:val="15"/>
          <w:i w:val="1"/>
          <w:iCs w:val="1"/>
          <w:color w:val="auto"/>
        </w:rPr>
        <w:t>Note 9</w:t>
      </w:r>
      <w:r>
        <w:rPr>
          <w:rFonts w:ascii="Times New Roman" w:cs="Times New Roman" w:eastAsia="Times New Roman" w:hAnsi="Times New Roman"/>
          <w:sz w:val="15"/>
          <w:szCs w:val="15"/>
          <w:color w:val="auto"/>
        </w:rPr>
        <w:t>). The table below includes preferred stock details as of December 31, 2019 and June 30, 2020.</w:t>
      </w:r>
    </w:p>
    <w:p>
      <w:pPr>
        <w:spacing w:after="0" w:line="159"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 and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Liquidation</w:t>
            </w:r>
          </w:p>
        </w:tc>
        <w:tc>
          <w:tcPr>
            <w:tcW w:w="18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Original</w:t>
            </w:r>
          </w:p>
        </w:tc>
        <w:tc>
          <w:tcPr>
            <w:tcW w:w="0" w:type="dxa"/>
            <w:vAlign w:val="bottom"/>
          </w:tcPr>
          <w:p>
            <w:pPr>
              <w:spacing w:after="0"/>
              <w:rPr>
                <w:sz w:val="1"/>
                <w:szCs w:val="1"/>
                <w:color w:val="auto"/>
              </w:rPr>
            </w:pPr>
          </w:p>
        </w:tc>
      </w:tr>
      <w:tr>
        <w:trPr>
          <w:trHeight w:val="125"/>
        </w:trPr>
        <w:tc>
          <w:tcPr>
            <w:tcW w:w="3440" w:type="dxa"/>
            <w:vAlign w:val="bottom"/>
            <w:gridSpan w:val="3"/>
            <w:vMerge w:val="continue"/>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Authorized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360" w:type="dxa"/>
            <w:vAlign w:val="bottom"/>
          </w:tcPr>
          <w:p>
            <w:pPr>
              <w:spacing w:after="0"/>
              <w:rPr>
                <w:sz w:val="10"/>
                <w:szCs w:val="10"/>
                <w:color w:val="auto"/>
              </w:rPr>
            </w:pPr>
          </w:p>
        </w:tc>
        <w:tc>
          <w:tcPr>
            <w:tcW w:w="880" w:type="dxa"/>
            <w:vAlign w:val="bottom"/>
            <w:gridSpan w:val="3"/>
          </w:tcPr>
          <w:p>
            <w:pPr>
              <w:jc w:val="center"/>
              <w:ind w:right="360"/>
              <w:spacing w:after="0" w:line="126"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Issue</w:t>
            </w:r>
          </w:p>
        </w:tc>
        <w:tc>
          <w:tcPr>
            <w:tcW w:w="0" w:type="dxa"/>
            <w:vAlign w:val="bottom"/>
          </w:tcPr>
          <w:p>
            <w:pPr>
              <w:spacing w:after="0"/>
              <w:rPr>
                <w:sz w:val="1"/>
                <w:szCs w:val="1"/>
                <w:color w:val="auto"/>
              </w:rPr>
            </w:pPr>
          </w:p>
        </w:tc>
      </w:tr>
      <w:tr>
        <w:trPr>
          <w:trHeight w:val="138"/>
        </w:trPr>
        <w:tc>
          <w:tcPr>
            <w:tcW w:w="3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June 30, 2020</w:t>
            </w:r>
          </w:p>
        </w:tc>
        <w:tc>
          <w:tcPr>
            <w:tcW w:w="10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180" w:type="dxa"/>
            <w:vAlign w:val="bottom"/>
          </w:tcPr>
          <w:p>
            <w:pPr>
              <w:spacing w:after="0"/>
              <w:rPr>
                <w:sz w:val="12"/>
                <w:szCs w:val="12"/>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4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Series A Preferred Stock</w:t>
            </w:r>
          </w:p>
        </w:tc>
        <w:tc>
          <w:tcPr>
            <w:tcW w:w="7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1,575,030</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1,575,030</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3,564</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3,650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$ 2.3174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Series B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6,731,649</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6,674,909</w:t>
            </w:r>
          </w:p>
        </w:tc>
        <w:tc>
          <w:tcPr>
            <w:tcW w:w="3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59,838</w:t>
            </w:r>
          </w:p>
        </w:tc>
        <w:tc>
          <w:tcPr>
            <w:tcW w:w="3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60,010</w:t>
            </w:r>
          </w:p>
        </w:tc>
        <w:tc>
          <w:tcPr>
            <w:tcW w:w="780" w:type="dxa"/>
            <w:vAlign w:val="bottom"/>
            <w:gridSpan w:val="3"/>
          </w:tcPr>
          <w:p>
            <w:pPr>
              <w:jc w:val="center"/>
              <w:ind w:left="43"/>
              <w:spacing w:after="0"/>
              <w:rPr>
                <w:sz w:val="20"/>
                <w:szCs w:val="20"/>
                <w:color w:val="auto"/>
              </w:rPr>
            </w:pPr>
            <w:r>
              <w:rPr>
                <w:rFonts w:ascii="Times New Roman" w:cs="Times New Roman" w:eastAsia="Times New Roman" w:hAnsi="Times New Roman"/>
                <w:sz w:val="15"/>
                <w:szCs w:val="15"/>
                <w:color w:val="auto"/>
              </w:rPr>
              <w:t>$ 8.9904</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8,306,679</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8,249,939</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63,402</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63,660</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F-16</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320" w:top="410" w:right="1299" w:bottom="1440" w:gutter="0" w:footer="0" w:header="0"/>
        </w:sectPr>
      </w:pPr>
    </w:p>
    <w:bookmarkStart w:id="231" w:name="page232"/>
    <w:bookmarkEnd w:id="23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Significant Provisions of Series A and Series B Preferred Stock</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Conversion Rights and Mandatory Conversion</w:t>
      </w:r>
    </w:p>
    <w:p>
      <w:pPr>
        <w:spacing w:after="0" w:line="200" w:lineRule="exact"/>
        <w:rPr>
          <w:sz w:val="20"/>
          <w:szCs w:val="20"/>
          <w:color w:val="auto"/>
        </w:rPr>
      </w:pPr>
    </w:p>
    <w:p>
      <w:pPr>
        <w:ind w:left="920" w:right="160" w:firstLine="753"/>
        <w:spacing w:after="0" w:line="262" w:lineRule="auto"/>
        <w:rPr>
          <w:sz w:val="20"/>
          <w:szCs w:val="20"/>
          <w:color w:val="auto"/>
        </w:rPr>
      </w:pPr>
      <w:r>
        <w:rPr>
          <w:rFonts w:ascii="Times New Roman" w:cs="Times New Roman" w:eastAsia="Times New Roman" w:hAnsi="Times New Roman"/>
          <w:sz w:val="15"/>
          <w:szCs w:val="15"/>
          <w:color w:val="auto"/>
        </w:rPr>
        <w:t>Each share of Series A and Series B Preferred Stock is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158" w:lineRule="exact"/>
        <w:rPr>
          <w:sz w:val="20"/>
          <w:szCs w:val="20"/>
          <w:color w:val="auto"/>
        </w:rPr>
      </w:pPr>
    </w:p>
    <w:p>
      <w:pPr>
        <w:ind w:left="920" w:right="160" w:firstLine="753"/>
        <w:spacing w:after="0" w:line="265" w:lineRule="auto"/>
        <w:rPr>
          <w:sz w:val="20"/>
          <w:szCs w:val="20"/>
          <w:color w:val="auto"/>
        </w:rPr>
      </w:pPr>
      <w:r>
        <w:rPr>
          <w:rFonts w:ascii="Times New Roman" w:cs="Times New Roman" w:eastAsia="Times New Roman" w:hAnsi="Times New Roman"/>
          <w:sz w:val="15"/>
          <w:szCs w:val="15"/>
          <w:color w:val="auto"/>
        </w:rPr>
        <w:t>Mandatory conversion into common shares will occur upon either (i) the closing of a Qualified Public Offering, which is defined in the December 2019 Amended and Restated Certificate of Incorporation to include the sale of common stock in a firm commitment underwritten public offering on Form S-1, the public offering price of which is at least $3.03 per share and that results in at least $60 million of proceeds, or (ii) by vote or written consent or agreement of the holders of a majority of the then-outstanding shares of Series A and Series B Preferred Stock, voting together as a single class on an as-converted basis.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Liquidation Preference</w:t>
      </w:r>
    </w:p>
    <w:p>
      <w:pPr>
        <w:spacing w:after="0" w:line="200" w:lineRule="exact"/>
        <w:rPr>
          <w:sz w:val="20"/>
          <w:szCs w:val="20"/>
          <w:color w:val="auto"/>
        </w:rPr>
      </w:pPr>
    </w:p>
    <w:p>
      <w:pPr>
        <w:ind w:left="920" w:firstLine="753"/>
        <w:spacing w:after="0" w:line="260" w:lineRule="auto"/>
        <w:rPr>
          <w:sz w:val="20"/>
          <w:szCs w:val="20"/>
          <w:color w:val="auto"/>
        </w:rPr>
      </w:pPr>
      <w:r>
        <w:rPr>
          <w:rFonts w:ascii="Times New Roman" w:cs="Times New Roman" w:eastAsia="Times New Roman" w:hAnsi="Times New Roman"/>
          <w:sz w:val="15"/>
          <w:szCs w:val="15"/>
          <w:color w:val="auto"/>
        </w:rPr>
        <w:t xml:space="preserve">In the event of any Liquidation Event (as defined in the December 2019 Amended and Restated Certificate of Incorporation), the holders of Series A and B Preferred Stock are first entitled to proceeds or assets available for distribution that are in preference of any distribution to common stockholders (the “Liquidation Preference”); provided, however, that if the holders of Series A and Series B Preferred Stock would receive greater proceeds in a Liquidation Event as a result of their conversion to common stock such shares of Series A and/or Series B Preferred Stock shall be deemed to have automatically thus converted. This Liquidation Preference is equal to the </w:t>
      </w:r>
      <w:r>
        <w:rPr>
          <w:rFonts w:ascii="Times New Roman" w:cs="Times New Roman" w:eastAsia="Times New Roman" w:hAnsi="Times New Roman"/>
          <w:sz w:val="15"/>
          <w:szCs w:val="15"/>
          <w:i w:val="1"/>
          <w:iCs w:val="1"/>
          <w:color w:val="auto"/>
        </w:rPr>
        <w:t>sum of</w:t>
      </w:r>
      <w:r>
        <w:rPr>
          <w:rFonts w:ascii="Times New Roman" w:cs="Times New Roman" w:eastAsia="Times New Roman" w:hAnsi="Times New Roman"/>
          <w:sz w:val="15"/>
          <w:szCs w:val="15"/>
          <w:color w:val="auto"/>
        </w:rPr>
        <w:t xml:space="preserve"> (i) the original issue price of Series A and Series B Preferred Stock ($2.3174 and $8.9904 per share, respectively) for each outstanding share of Series A and Series B Preferred Stock and (ii) any declared but unpaid dividends for each outstanding share of Series A and Series B Preferred Stock. If the proceeds from the Liquidation Event are less than the Liquidation Preference, then all available proceeds will be distributed ratably to the holders of Series A and Series B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1.3 million shares of Series B Preferred</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F-17</w:t>
      </w:r>
    </w:p>
    <w:p>
      <w:pPr>
        <w:sectPr>
          <w:pgSz w:w="11900" w:h="16838" w:orient="portrait"/>
          <w:cols w:equalWidth="0" w:num="1">
            <w:col w:w="10320"/>
          </w:cols>
          <w:pgMar w:left="320" w:top="410" w:right="1259" w:bottom="1440" w:gutter="0" w:footer="0" w:header="0"/>
        </w:sectPr>
      </w:pPr>
    </w:p>
    <w:bookmarkStart w:id="232" w:name="page233"/>
    <w:bookmarkEnd w:id="23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260"/>
        <w:spacing w:after="0" w:line="275" w:lineRule="auto"/>
        <w:rPr>
          <w:sz w:val="20"/>
          <w:szCs w:val="20"/>
          <w:color w:val="auto"/>
        </w:rPr>
      </w:pPr>
      <w:r>
        <w:rPr>
          <w:rFonts w:ascii="Times New Roman" w:cs="Times New Roman" w:eastAsia="Times New Roman" w:hAnsi="Times New Roman"/>
          <w:sz w:val="15"/>
          <w:szCs w:val="15"/>
          <w:color w:val="auto"/>
        </w:rPr>
        <w:t>Stock remain outstanding, its holders are entitled to elect two directors (each a “Series B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200"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The holders of Preferred Stock are entitled to receive dividends, when, as and if declared by the Board of Directors at the applicable dividend rate set forth in the December 2019 Amended and Restated Certificate of Incorporation ($0.22 and $0.74 per annum for each share of Series A and Series B Preferred Stock, respectively), prior and in preference to any declaration or payment of any cash dividend on the common stock. The Company cannot declare, pay, or set aside any dividends on shares of any class or series of capital stock unless the Series A and Series B Preferred Stockholders first receive a dividend in an amount equal to the greater of (i) applicable dividend rate, or (ii) the dividend payable to such other class or series of capital stock. No cash dividends have been declared to date.</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Redemption Rights</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Series A and Series B Preferred Stock are not redeemable at the option of its holder under the terms of the December 2019 Amended and Restated Certificate of Incorporation. Upon certain change in control events that are outside of the Company’s control, including its liquidation, sale or transfer of control, the preferred stock is contingently redeemable.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Common Stock Overview and Reserve for Future Issuance</w:t>
      </w:r>
    </w:p>
    <w:p>
      <w:pPr>
        <w:spacing w:after="0" w:line="200" w:lineRule="exact"/>
        <w:rPr>
          <w:sz w:val="20"/>
          <w:szCs w:val="20"/>
          <w:color w:val="auto"/>
        </w:rPr>
      </w:pPr>
    </w:p>
    <w:p>
      <w:pPr>
        <w:ind w:left="920" w:right="220" w:firstLine="753"/>
        <w:spacing w:after="0" w:line="275" w:lineRule="auto"/>
        <w:rPr>
          <w:sz w:val="20"/>
          <w:szCs w:val="20"/>
          <w:color w:val="auto"/>
        </w:rPr>
      </w:pPr>
      <w:r>
        <w:rPr>
          <w:rFonts w:ascii="Times New Roman" w:cs="Times New Roman" w:eastAsia="Times New Roman" w:hAnsi="Times New Roman"/>
          <w:sz w:val="15"/>
          <w:szCs w:val="15"/>
          <w:color w:val="auto"/>
        </w:rPr>
        <w:t>Common stockholders have one vote for each share of common stock held and are entitled to receive any dividends declared by the Company’s Board of Directors when legally available for distribution, subject to the dividend rights of the holders of Series A and Series B preferred stock discussed above. For the years ended December 31, 2018 and 2019 and for the six months ended June 30, 2020, no dividends were declared.</w:t>
      </w:r>
    </w:p>
    <w:p>
      <w:pPr>
        <w:spacing w:after="0" w:line="145" w:lineRule="exact"/>
        <w:rPr>
          <w:sz w:val="20"/>
          <w:szCs w:val="20"/>
          <w:color w:val="auto"/>
        </w:rPr>
      </w:pPr>
    </w:p>
    <w:p>
      <w:pPr>
        <w:jc w:val="both"/>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As of December 31, 2018 and 2019, and June 30, 2020, the Company had 2.7 million common shares issued. At December 31, 2018 and 2019, and June 30, 2020, the Company had 2.1 million, 2.6 million, and 2.7 million common shares outstanding, respectively. The following shares of common stock were reserved for issuance:</w:t>
      </w:r>
    </w:p>
    <w:p>
      <w:pPr>
        <w:spacing w:after="0" w:line="161"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40" w:type="dxa"/>
            <w:vAlign w:val="bottom"/>
            <w:gridSpan w:val="4"/>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18"/>
        </w:trPr>
        <w:tc>
          <w:tcPr>
            <w:tcW w:w="378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280" w:type="dxa"/>
            <w:vAlign w:val="bottom"/>
            <w:tcBorders>
              <w:top w:val="single" w:sz="8" w:color="auto"/>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6"/>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268"/>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7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 outstanding</w:t>
            </w:r>
          </w:p>
        </w:tc>
        <w:tc>
          <w:tcPr>
            <w:tcW w:w="10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1,575,030</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8,249,939</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8,249,939</w:t>
            </w:r>
          </w:p>
        </w:tc>
        <w:tc>
          <w:tcPr>
            <w:tcW w:w="60" w:type="dxa"/>
            <w:vAlign w:val="bottom"/>
            <w:shd w:val="clear" w:color="auto" w:fill="CCEEFF"/>
          </w:tcPr>
          <w:p>
            <w:pPr>
              <w:spacing w:after="0"/>
              <w:rPr>
                <w:sz w:val="15"/>
                <w:szCs w:val="15"/>
                <w:color w:val="auto"/>
              </w:rPr>
            </w:pPr>
          </w:p>
        </w:tc>
      </w:tr>
      <w:tr>
        <w:trPr>
          <w:trHeight w:val="18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issued and outstanding under the 2016 Plan</w:t>
            </w:r>
          </w:p>
        </w:tc>
        <w:tc>
          <w:tcPr>
            <w:tcW w:w="210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267,041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297,142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1,230,701</w:t>
            </w:r>
          </w:p>
        </w:tc>
      </w:tr>
      <w:tr>
        <w:trPr>
          <w:trHeight w:val="1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available for future grant under the 2016 Plan</w:t>
            </w:r>
          </w:p>
        </w:tc>
        <w:tc>
          <w:tcPr>
            <w:tcW w:w="2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75,869</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2,150,867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1,148,915</w:t>
            </w:r>
          </w:p>
        </w:tc>
      </w:tr>
      <w:tr>
        <w:trPr>
          <w:trHeight w:val="188"/>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Total shares of common stock reserved</w:t>
            </w:r>
          </w:p>
        </w:tc>
        <w:tc>
          <w:tcPr>
            <w:tcW w:w="10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1,917,940</w:t>
            </w:r>
          </w:p>
        </w:tc>
        <w:tc>
          <w:tcPr>
            <w:tcW w:w="2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10,697,948</w:t>
            </w:r>
          </w:p>
        </w:tc>
        <w:tc>
          <w:tcPr>
            <w:tcW w:w="2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10,629,555</w:t>
            </w:r>
          </w:p>
        </w:tc>
        <w:tc>
          <w:tcPr>
            <w:tcW w:w="60" w:type="dxa"/>
            <w:vAlign w:val="bottom"/>
          </w:tcPr>
          <w:p>
            <w:pPr>
              <w:spacing w:after="0"/>
              <w:rPr>
                <w:sz w:val="16"/>
                <w:szCs w:val="16"/>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3780" w:type="dxa"/>
            <w:vAlign w:val="bottom"/>
          </w:tcPr>
          <w:p>
            <w:pPr>
              <w:spacing w:after="0"/>
              <w:rPr>
                <w:sz w:val="24"/>
                <w:szCs w:val="24"/>
                <w:color w:val="auto"/>
              </w:rPr>
            </w:pPr>
          </w:p>
        </w:tc>
        <w:tc>
          <w:tcPr>
            <w:tcW w:w="2100" w:type="dxa"/>
            <w:vAlign w:val="bottom"/>
            <w:gridSpan w:val="3"/>
          </w:tcPr>
          <w:p>
            <w:pPr>
              <w:jc w:val="right"/>
              <w:ind w:right="1720"/>
              <w:spacing w:after="0"/>
              <w:rPr>
                <w:sz w:val="20"/>
                <w:szCs w:val="20"/>
                <w:color w:val="auto"/>
              </w:rPr>
            </w:pPr>
            <w:r>
              <w:rPr>
                <w:rFonts w:ascii="Times New Roman" w:cs="Times New Roman" w:eastAsia="Times New Roman" w:hAnsi="Times New Roman"/>
                <w:sz w:val="15"/>
                <w:szCs w:val="15"/>
                <w:color w:val="auto"/>
              </w:rPr>
              <w:t>F-18</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300"/>
          </w:cols>
          <w:pgMar w:left="320" w:top="410" w:right="1279" w:bottom="1440" w:gutter="0" w:footer="0" w:header="0"/>
        </w:sectPr>
      </w:pPr>
    </w:p>
    <w:bookmarkStart w:id="233" w:name="page234"/>
    <w:bookmarkEnd w:id="23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Adoption of ASU 2017-11</w:t>
      </w:r>
    </w:p>
    <w:p>
      <w:pPr>
        <w:spacing w:after="0" w:line="196" w:lineRule="exact"/>
        <w:rPr>
          <w:sz w:val="20"/>
          <w:szCs w:val="20"/>
          <w:color w:val="auto"/>
        </w:rPr>
      </w:pPr>
    </w:p>
    <w:p>
      <w:pPr>
        <w:ind w:left="920" w:right="40" w:firstLine="753"/>
        <w:spacing w:after="0" w:line="261" w:lineRule="auto"/>
        <w:rPr>
          <w:sz w:val="20"/>
          <w:szCs w:val="20"/>
          <w:color w:val="auto"/>
        </w:rPr>
      </w:pPr>
      <w:r>
        <w:rPr>
          <w:rFonts w:ascii="Times New Roman" w:cs="Times New Roman" w:eastAsia="Times New Roman" w:hAnsi="Times New Roman"/>
          <w:sz w:val="15"/>
          <w:szCs w:val="15"/>
          <w:color w:val="auto"/>
        </w:rPr>
        <w:t xml:space="preserve">In July 2017, the FASB issued ASU No. 2017-11, </w:t>
      </w:r>
      <w:r>
        <w:rPr>
          <w:rFonts w:ascii="Times New Roman" w:cs="Times New Roman" w:eastAsia="Times New Roman" w:hAnsi="Times New Roman"/>
          <w:sz w:val="15"/>
          <w:szCs w:val="15"/>
          <w:i w:val="1"/>
          <w:iCs w:val="1"/>
          <w:color w:val="auto"/>
        </w:rPr>
        <w:t>Earnings Per Share (Topic 260); Distinguishing Liabilities from Equity (Topic 480);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5"/>
          <w:szCs w:val="15"/>
          <w:color w:val="auto"/>
        </w:rPr>
        <w:t>. This ASU simplifies the accounting for certain financial instruments with “down round” features,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provision in an equity-linked financial instrument (or embedded feature) that provides a downward adjustment of the current exercise price based on the price of future equity offerings. This update requires companies to disregard the down round feature when assessing whether the instrument is “indexed to its own stock” for purposes of determining liability or equity classification. For public business entities, this ASU became effective for fiscal years beginning after December 15, 2018. The Company adopted </w:t>
      </w:r>
      <w:r>
        <w:rPr>
          <w:rFonts w:ascii="Times New Roman" w:cs="Times New Roman" w:eastAsia="Times New Roman" w:hAnsi="Times New Roman"/>
          <w:sz w:val="15"/>
          <w:szCs w:val="15"/>
          <w:i w:val="1"/>
          <w:iCs w:val="1"/>
          <w:color w:val="auto"/>
        </w:rPr>
        <w:t>ASU 2017-11</w:t>
      </w:r>
      <w:r>
        <w:rPr>
          <w:rFonts w:ascii="Times New Roman" w:cs="Times New Roman" w:eastAsia="Times New Roman" w:hAnsi="Times New Roman"/>
          <w:sz w:val="15"/>
          <w:szCs w:val="15"/>
          <w:color w:val="auto"/>
        </w:rPr>
        <w:t xml:space="preserve"> effective January 1, 2019 and applied this guidance in presenting Series A and Series B Preferred Stock on the accompanying Balance Sheets.</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5. STOCK-BASED COMPENSATION</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2016 Stock Plan</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Company has one active stockholder-approved stock-based compensation plan (the “2016 Plan”), adopted in December 2016, which permits the grant of incentive stock options, nonqualified stock options, stock awards and certain other awards to its employees, members of its Board of Directors, and consultants.</w:t>
      </w:r>
    </w:p>
    <w:p>
      <w:pPr>
        <w:spacing w:after="0" w:line="145" w:lineRule="exact"/>
        <w:rPr>
          <w:sz w:val="20"/>
          <w:szCs w:val="20"/>
          <w:color w:val="auto"/>
        </w:rPr>
      </w:pPr>
    </w:p>
    <w:p>
      <w:pPr>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The stated maximum availability of common stock under the 2016 Plan is 2.7 million shares. As of December 31, 2019 and June 30, 2020, the Company had 2.2 million and 1.1 million shares of common stock available for issuance under the 2016 Plan, respectively.</w:t>
      </w:r>
    </w:p>
    <w:p>
      <w:pPr>
        <w:spacing w:after="0" w:line="132" w:lineRule="exact"/>
        <w:rPr>
          <w:sz w:val="20"/>
          <w:szCs w:val="20"/>
          <w:color w:val="auto"/>
        </w:rPr>
      </w:pPr>
    </w:p>
    <w:p>
      <w:pPr>
        <w:jc w:val="both"/>
        <w:ind w:left="920" w:right="80" w:firstLine="753"/>
        <w:spacing w:after="0" w:line="265" w:lineRule="auto"/>
        <w:rPr>
          <w:sz w:val="20"/>
          <w:szCs w:val="20"/>
          <w:color w:val="auto"/>
        </w:rPr>
      </w:pPr>
      <w:r>
        <w:rPr>
          <w:rFonts w:ascii="Times New Roman" w:cs="Times New Roman" w:eastAsia="Times New Roman" w:hAnsi="Times New Roman"/>
          <w:sz w:val="15"/>
          <w:szCs w:val="15"/>
          <w:color w:val="auto"/>
        </w:rPr>
        <w:t>Stock-based awards are governed by agreements between the Company and the recipients. Incentive stock options and nonqualified stock options may be granted under the 2016 Plan at an exercise price of not less than 100% of the fair market value of common stock on the respective date of grant. For ten-percent stockholders, the exercise price may not be less than 110% of its fair market value at grant. The grant date is the date the terms of the award are formally approved by the Company’s Board of Directors. It is the Company’s policy that before stock is issued through the exercise of stock options, it must first receive all required cash proceeds for such shares.</w:t>
      </w:r>
    </w:p>
    <w:p>
      <w:pPr>
        <w:spacing w:after="0" w:line="154" w:lineRule="exact"/>
        <w:rPr>
          <w:sz w:val="20"/>
          <w:szCs w:val="20"/>
          <w:color w:val="auto"/>
        </w:rPr>
      </w:pPr>
    </w:p>
    <w:p>
      <w:pPr>
        <w:ind w:left="920" w:right="20" w:firstLine="753"/>
        <w:spacing w:after="0" w:line="268" w:lineRule="auto"/>
        <w:rPr>
          <w:sz w:val="20"/>
          <w:szCs w:val="20"/>
          <w:color w:val="auto"/>
        </w:rPr>
      </w:pPr>
      <w:r>
        <w:rPr>
          <w:rFonts w:ascii="Times New Roman" w:cs="Times New Roman" w:eastAsia="Times New Roman" w:hAnsi="Times New Roman"/>
          <w:sz w:val="15"/>
          <w:szCs w:val="15"/>
          <w:color w:val="auto"/>
        </w:rPr>
        <w:t>Through December 31, 2019 and June 30, 2020,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52" w:lineRule="exact"/>
        <w:rPr>
          <w:sz w:val="20"/>
          <w:szCs w:val="20"/>
          <w:color w:val="auto"/>
        </w:rPr>
      </w:pPr>
    </w:p>
    <w:p>
      <w:pPr>
        <w:jc w:val="both"/>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F-19</w:t>
      </w:r>
    </w:p>
    <w:p>
      <w:pPr>
        <w:sectPr>
          <w:pgSz w:w="11900" w:h="16838" w:orient="portrait"/>
          <w:cols w:equalWidth="0" w:num="1">
            <w:col w:w="10320"/>
          </w:cols>
          <w:pgMar w:left="320" w:top="410" w:right="1259" w:bottom="1440" w:gutter="0" w:footer="0" w:header="0"/>
        </w:sectPr>
      </w:pPr>
    </w:p>
    <w:bookmarkStart w:id="234" w:name="page235"/>
    <w:bookmarkEnd w:id="23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Adoption of ASU 2018-07</w:t>
      </w:r>
    </w:p>
    <w:p>
      <w:pPr>
        <w:spacing w:after="0" w:line="196" w:lineRule="exact"/>
        <w:rPr>
          <w:sz w:val="20"/>
          <w:szCs w:val="20"/>
          <w:color w:val="auto"/>
        </w:rPr>
      </w:pPr>
    </w:p>
    <w:p>
      <w:pPr>
        <w:ind w:left="920" w:right="140" w:firstLine="753"/>
        <w:spacing w:after="0" w:line="263" w:lineRule="auto"/>
        <w:rPr>
          <w:sz w:val="20"/>
          <w:szCs w:val="20"/>
          <w:color w:val="auto"/>
        </w:rPr>
      </w:pPr>
      <w:r>
        <w:rPr>
          <w:rFonts w:ascii="Times New Roman" w:cs="Times New Roman" w:eastAsia="Times New Roman" w:hAnsi="Times New Roman"/>
          <w:sz w:val="15"/>
          <w:szCs w:val="15"/>
          <w:color w:val="auto"/>
        </w:rPr>
        <w:t>In June 2018, the FASB issued ASU No. 2018-07</w:t>
      </w:r>
      <w:r>
        <w:rPr>
          <w:rFonts w:ascii="Times New Roman" w:cs="Times New Roman" w:eastAsia="Times New Roman" w:hAnsi="Times New Roman"/>
          <w:sz w:val="15"/>
          <w:szCs w:val="15"/>
          <w:i w:val="1"/>
          <w:iCs w:val="1"/>
          <w:color w:val="auto"/>
        </w:rPr>
        <w:t>, Compensation-Stock Compensation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Topic 718): Improvements to Nonemployee Share-Based Payment Accounting</w:t>
      </w:r>
      <w:r>
        <w:rPr>
          <w:rFonts w:ascii="Times New Roman" w:cs="Times New Roman" w:eastAsia="Times New Roman" w:hAnsi="Times New Roman"/>
          <w:sz w:val="15"/>
          <w:szCs w:val="15"/>
          <w:color w:val="auto"/>
        </w:rPr>
        <w:t xml:space="preserve">. This standard is intended to reduce the cost and complexity and to improve financial reporting for nonemployee share-based payments. The ASU expands the scope of </w:t>
      </w:r>
      <w:r>
        <w:rPr>
          <w:rFonts w:ascii="Times New Roman" w:cs="Times New Roman" w:eastAsia="Times New Roman" w:hAnsi="Times New Roman"/>
          <w:sz w:val="15"/>
          <w:szCs w:val="15"/>
          <w:i w:val="1"/>
          <w:iCs w:val="1"/>
          <w:color w:val="auto"/>
        </w:rPr>
        <w:t>Topic 718</w:t>
      </w:r>
      <w:r>
        <w:rPr>
          <w:rFonts w:ascii="Times New Roman" w:cs="Times New Roman" w:eastAsia="Times New Roman" w:hAnsi="Times New Roman"/>
          <w:sz w:val="15"/>
          <w:szCs w:val="15"/>
          <w:color w:val="auto"/>
        </w:rPr>
        <w:t xml:space="preserve"> to include share-based payments issued to nonemployees for goods or services. Consequently, the accounting for share-based payments to nonemployees and employees is substantially aligned; the Company has issued and outstanding stock options to both employees and non-employee consultants. The standard is effective for fiscal years beginning after December 15, 2019. Early adoption is permitted, but no earlier than a company’s adoption date of </w:t>
      </w:r>
      <w:r>
        <w:rPr>
          <w:rFonts w:ascii="Times New Roman" w:cs="Times New Roman" w:eastAsia="Times New Roman" w:hAnsi="Times New Roman"/>
          <w:sz w:val="15"/>
          <w:szCs w:val="15"/>
          <w:i w:val="1"/>
          <w:iCs w:val="1"/>
          <w:color w:val="auto"/>
        </w:rPr>
        <w:t>Topic 606, Revenue Recognition</w:t>
      </w:r>
      <w:r>
        <w:rPr>
          <w:rFonts w:ascii="Times New Roman" w:cs="Times New Roman" w:eastAsia="Times New Roman" w:hAnsi="Times New Roman"/>
          <w:sz w:val="15"/>
          <w:szCs w:val="15"/>
          <w:color w:val="auto"/>
        </w:rPr>
        <w:t xml:space="preserve">. The Company early adopted </w:t>
      </w:r>
      <w:r>
        <w:rPr>
          <w:rFonts w:ascii="Times New Roman" w:cs="Times New Roman" w:eastAsia="Times New Roman" w:hAnsi="Times New Roman"/>
          <w:sz w:val="15"/>
          <w:szCs w:val="15"/>
          <w:i w:val="1"/>
          <w:iCs w:val="1"/>
          <w:color w:val="auto"/>
        </w:rPr>
        <w:t>ASU</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2018-17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Topic 606 </w:t>
      </w:r>
      <w:r>
        <w:rPr>
          <w:rFonts w:ascii="Times New Roman" w:cs="Times New Roman" w:eastAsia="Times New Roman" w:hAnsi="Times New Roman"/>
          <w:sz w:val="15"/>
          <w:szCs w:val="15"/>
          <w:color w:val="auto"/>
        </w:rPr>
        <w:t>on January 1, 2018 and there was no material impact on the accompanying financial statements from these adopted standards.</w:t>
      </w:r>
    </w:p>
    <w:p>
      <w:pPr>
        <w:spacing w:after="0" w:line="15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Summary</w:t>
      </w:r>
    </w:p>
    <w:p>
      <w:pPr>
        <w:spacing w:after="0" w:line="200" w:lineRule="exact"/>
        <w:rPr>
          <w:sz w:val="20"/>
          <w:szCs w:val="20"/>
          <w:color w:val="auto"/>
        </w:rPr>
      </w:pPr>
    </w:p>
    <w:p>
      <w:pPr>
        <w:ind w:left="920" w:right="40" w:firstLine="753"/>
        <w:spacing w:after="0" w:line="275" w:lineRule="auto"/>
        <w:rPr>
          <w:sz w:val="20"/>
          <w:szCs w:val="20"/>
          <w:color w:val="auto"/>
        </w:rPr>
      </w:pPr>
      <w:r>
        <w:rPr>
          <w:rFonts w:ascii="Times New Roman" w:cs="Times New Roman" w:eastAsia="Times New Roman" w:hAnsi="Times New Roman"/>
          <w:sz w:val="15"/>
          <w:szCs w:val="15"/>
          <w:color w:val="auto"/>
        </w:rPr>
        <w:t>Stock-based compensation expense is recorded in the accompanying statements of operations and comprehensive loss based on the assigned department of the award recipient. Stock-based compensation expense for the years ended December 31, 2018 and 2019 and for the six months ended June 30, 2019 and 2020 was as follows:</w:t>
      </w:r>
    </w:p>
    <w:p>
      <w:pPr>
        <w:spacing w:after="0" w:line="150"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6"/>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Six Months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Ended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w w:val="91"/>
              </w:rPr>
              <w:t>2019</w:t>
            </w: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3</w:t>
            </w: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20" w:type="dxa"/>
            <w:vAlign w:val="bottom"/>
          </w:tcPr>
          <w:p>
            <w:pPr>
              <w:spacing w:after="0"/>
              <w:rPr>
                <w:sz w:val="16"/>
                <w:szCs w:val="16"/>
                <w:color w:val="auto"/>
              </w:rPr>
            </w:pP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79"/>
              </w:rPr>
              <w:t>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7"/>
              </w:rPr>
              <w:t>162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18</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79"/>
              </w:rPr>
              <w:t>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Valuation Assumptions of Stock Options</w:t>
      </w:r>
    </w:p>
    <w:p>
      <w:pPr>
        <w:spacing w:after="0" w:line="200" w:lineRule="exact"/>
        <w:rPr>
          <w:sz w:val="20"/>
          <w:szCs w:val="20"/>
          <w:color w:val="auto"/>
        </w:rPr>
      </w:pPr>
    </w:p>
    <w:p>
      <w:pPr>
        <w:ind w:left="920" w:right="300" w:firstLine="753"/>
        <w:spacing w:after="0" w:line="293" w:lineRule="auto"/>
        <w:rPr>
          <w:sz w:val="20"/>
          <w:szCs w:val="20"/>
          <w:color w:val="auto"/>
        </w:rPr>
      </w:pPr>
      <w:r>
        <w:rPr>
          <w:rFonts w:ascii="Times New Roman" w:cs="Times New Roman" w:eastAsia="Times New Roman" w:hAnsi="Times New Roman"/>
          <w:sz w:val="15"/>
          <w:szCs w:val="15"/>
          <w:color w:val="auto"/>
        </w:rPr>
        <w:t>The fair value of granted stock options was estimated as of the date of grant using the Black-Scholes option-pricing model, based on the following inputs:</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6"/>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49"/>
        </w:trPr>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18"/>
        </w:trPr>
        <w:tc>
          <w:tcPr>
            <w:tcW w:w="28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85"/>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7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44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7"/>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85"/>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Borders>
              <w:bottom w:val="single" w:sz="8" w:color="CCEEFF"/>
            </w:tcBorders>
          </w:tcPr>
          <w:p>
            <w:pPr>
              <w:spacing w:after="0"/>
              <w:rPr>
                <w:sz w:val="10"/>
                <w:szCs w:val="10"/>
                <w:color w:val="auto"/>
              </w:rPr>
            </w:pPr>
          </w:p>
        </w:tc>
      </w:tr>
      <w:tr>
        <w:trPr>
          <w:trHeight w:val="150"/>
        </w:trPr>
        <w:tc>
          <w:tcPr>
            <w:tcW w:w="28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Exercise price (estimated fair value per</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99"/>
        </w:trPr>
        <w:tc>
          <w:tcPr>
            <w:tcW w:w="2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share on grant date)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74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4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5"/>
                <w:szCs w:val="15"/>
                <w:color w:val="auto"/>
              </w:rPr>
              <w:t>2.01</w:t>
            </w:r>
          </w:p>
        </w:tc>
        <w:tc>
          <w:tcPr>
            <w:tcW w:w="180" w:type="dxa"/>
            <w:vAlign w:val="bottom"/>
            <w:shd w:val="clear" w:color="auto" w:fill="CCEEFF"/>
          </w:tcPr>
          <w:p>
            <w:pPr>
              <w:spacing w:after="0"/>
              <w:rPr>
                <w:sz w:val="17"/>
                <w:szCs w:val="17"/>
                <w:color w:val="auto"/>
              </w:rPr>
            </w:pPr>
          </w:p>
        </w:tc>
      </w:tr>
      <w:tr>
        <w:trPr>
          <w:trHeight w:val="184"/>
        </w:trPr>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(in years) (a)</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right"/>
              <w:ind w:right="679"/>
              <w:spacing w:after="0"/>
              <w:rPr>
                <w:sz w:val="20"/>
                <w:szCs w:val="20"/>
                <w:color w:val="auto"/>
              </w:rPr>
            </w:pPr>
            <w:r>
              <w:rPr>
                <w:rFonts w:ascii="Times New Roman" w:cs="Times New Roman" w:eastAsia="Times New Roman" w:hAnsi="Times New Roman"/>
                <w:sz w:val="15"/>
                <w:szCs w:val="15"/>
                <w:color w:val="auto"/>
              </w:rPr>
              <w:t>5.68 to 6.25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5.94 to 6.25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5.94 to 6.25</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ind w:left="525"/>
              <w:spacing w:after="0"/>
              <w:rPr>
                <w:sz w:val="20"/>
                <w:szCs w:val="20"/>
                <w:color w:val="auto"/>
              </w:rPr>
            </w:pPr>
            <w:r>
              <w:rPr>
                <w:rFonts w:ascii="Times New Roman" w:cs="Times New Roman" w:eastAsia="Times New Roman" w:hAnsi="Times New Roman"/>
                <w:sz w:val="15"/>
                <w:szCs w:val="15"/>
                <w:color w:val="auto"/>
              </w:rPr>
              <w:t>6.25</w:t>
            </w:r>
          </w:p>
        </w:tc>
        <w:tc>
          <w:tcPr>
            <w:tcW w:w="180" w:type="dxa"/>
            <w:vAlign w:val="bottom"/>
          </w:tcPr>
          <w:p>
            <w:pPr>
              <w:spacing w:after="0"/>
              <w:rPr>
                <w:sz w:val="16"/>
                <w:szCs w:val="16"/>
                <w:color w:val="auto"/>
              </w:rPr>
            </w:pPr>
          </w:p>
        </w:tc>
      </w:tr>
      <w:tr>
        <w:trPr>
          <w:trHeight w:val="18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 (b)</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 to 2.5%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2.4% to 2.5%</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0.4% to 0.5%</w:t>
            </w:r>
          </w:p>
        </w:tc>
      </w:tr>
      <w:tr>
        <w:trPr>
          <w:trHeight w:val="184"/>
        </w:trPr>
        <w:tc>
          <w:tcPr>
            <w:tcW w:w="28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 (c)</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5"/>
                <w:szCs w:val="15"/>
                <w:color w:val="auto"/>
                <w:w w:val="99"/>
              </w:rPr>
              <w:t>77.8% to 83.2%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82.5% to 89.4%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82.5% to 89.4%</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70.9% to 71.2%</w:t>
            </w:r>
          </w:p>
        </w:tc>
      </w:tr>
      <w:tr>
        <w:trPr>
          <w:trHeight w:val="18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dividend yield (d)</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left="305"/>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28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Weighted-average grant-date fair value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9"/>
        </w:trPr>
        <w:tc>
          <w:tcPr>
            <w:tcW w:w="28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per stock option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7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4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ind w:left="525"/>
              <w:spacing w:after="0"/>
              <w:rPr>
                <w:sz w:val="20"/>
                <w:szCs w:val="20"/>
                <w:color w:val="auto"/>
              </w:rPr>
            </w:pPr>
            <w:r>
              <w:rPr>
                <w:rFonts w:ascii="Times New Roman" w:cs="Times New Roman" w:eastAsia="Times New Roman" w:hAnsi="Times New Roman"/>
                <w:sz w:val="15"/>
                <w:szCs w:val="15"/>
                <w:color w:val="auto"/>
              </w:rPr>
              <w:t>1.26</w:t>
            </w:r>
          </w:p>
        </w:tc>
        <w:tc>
          <w:tcPr>
            <w:tcW w:w="180" w:type="dxa"/>
            <w:vAlign w:val="bottom"/>
          </w:tcPr>
          <w:p>
            <w:pPr>
              <w:spacing w:after="0"/>
              <w:rPr>
                <w:sz w:val="17"/>
                <w:szCs w:val="17"/>
                <w:color w:val="auto"/>
              </w:rPr>
            </w:pPr>
          </w:p>
        </w:tc>
      </w:tr>
    </w:tbl>
    <w:p>
      <w:pPr>
        <w:spacing w:after="0" w:line="186" w:lineRule="exact"/>
        <w:rPr>
          <w:sz w:val="20"/>
          <w:szCs w:val="20"/>
          <w:color w:val="auto"/>
        </w:rPr>
      </w:pPr>
    </w:p>
    <w:p>
      <w:pPr>
        <w:ind w:left="1280" w:hanging="360"/>
        <w:spacing w:after="0"/>
        <w:tabs>
          <w:tab w:leader="none" w:pos="128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Determined using the “simplified method” under applicable GAAP (</w:t>
      </w:r>
      <w:r>
        <w:rPr>
          <w:rFonts w:ascii="Times New Roman" w:cs="Times New Roman" w:eastAsia="Times New Roman" w:hAnsi="Times New Roman"/>
          <w:sz w:val="12"/>
          <w:szCs w:val="12"/>
          <w:i w:val="1"/>
          <w:iCs w:val="1"/>
          <w:color w:val="auto"/>
        </w:rPr>
        <w:t>SAB 107);</w:t>
      </w:r>
      <w:r>
        <w:rPr>
          <w:rFonts w:ascii="Times New Roman" w:cs="Times New Roman" w:eastAsia="Times New Roman" w:hAnsi="Times New Roman"/>
          <w:sz w:val="12"/>
          <w:szCs w:val="12"/>
          <w:color w:val="auto"/>
        </w:rPr>
        <w:t xml:space="preserve"> the maximum contractual term of issued stock options is 10 years.</w:t>
      </w:r>
    </w:p>
    <w:p>
      <w:pPr>
        <w:spacing w:after="0" w:line="4" w:lineRule="exact"/>
        <w:rPr>
          <w:rFonts w:ascii="Times New Roman" w:cs="Times New Roman" w:eastAsia="Times New Roman" w:hAnsi="Times New Roman"/>
          <w:sz w:val="12"/>
          <w:szCs w:val="12"/>
          <w:color w:val="auto"/>
        </w:rPr>
      </w:pPr>
    </w:p>
    <w:p>
      <w:pPr>
        <w:ind w:left="1280" w:hanging="360"/>
        <w:spacing w:after="0" w:line="220" w:lineRule="auto"/>
        <w:tabs>
          <w:tab w:leader="none" w:pos="128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upon the U.S. Treasury yields in effect during the period which the options were granted (for a period equaling the stock options’ expected term).</w:t>
      </w:r>
    </w:p>
    <w:p>
      <w:pPr>
        <w:ind w:left="1280" w:hanging="360"/>
        <w:spacing w:after="0" w:line="220" w:lineRule="auto"/>
        <w:tabs>
          <w:tab w:leader="none" w:pos="128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Measured using the volatility of the stock price for the Company’s designated peer group of publicly-traded companies for a period equal to the expected option term.</w:t>
      </w:r>
    </w:p>
    <w:p>
      <w:pPr>
        <w:ind w:left="1280" w:hanging="360"/>
        <w:spacing w:after="0"/>
        <w:tabs>
          <w:tab w:leader="none" w:pos="128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Tarsus does not expect to declare any cash dividends in the foreseeable future.</w:t>
      </w:r>
    </w:p>
    <w:p>
      <w:pPr>
        <w:spacing w:after="0" w:line="1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F-20</w:t>
      </w:r>
    </w:p>
    <w:p>
      <w:pPr>
        <w:sectPr>
          <w:pgSz w:w="11900" w:h="16838" w:orient="portrait"/>
          <w:cols w:equalWidth="0" w:num="1">
            <w:col w:w="10340"/>
          </w:cols>
          <w:pgMar w:left="320" w:top="410" w:right="1239" w:bottom="1440" w:gutter="0" w:footer="0" w:header="0"/>
        </w:sectPr>
      </w:pPr>
    </w:p>
    <w:bookmarkStart w:id="235" w:name="page236"/>
    <w:bookmarkEnd w:id="23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Stock Option Activity</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Stock option activity during the years ended December 31, 2018 and 2019 and for the six months ended June 30, 2020 was as follows:</w:t>
      </w:r>
    </w:p>
    <w:p>
      <w:pPr>
        <w:spacing w:after="0" w:line="201"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6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620"/>
              <w:spacing w:after="0" w:line="127" w:lineRule="exact"/>
              <w:rPr>
                <w:sz w:val="20"/>
                <w:szCs w:val="20"/>
                <w:color w:val="auto"/>
              </w:rPr>
            </w:pPr>
            <w:r>
              <w:rPr>
                <w:rFonts w:ascii="Times New Roman" w:cs="Times New Roman" w:eastAsia="Times New Roman" w:hAnsi="Times New Roman"/>
                <w:sz w:val="12"/>
                <w:szCs w:val="12"/>
                <w:b w:val="1"/>
                <w:bCs w:val="1"/>
                <w:color w:val="auto"/>
              </w:rPr>
              <w:t>Average</w:t>
            </w:r>
          </w:p>
        </w:tc>
        <w:tc>
          <w:tcPr>
            <w:tcW w:w="9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2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620"/>
              <w:spacing w:after="0" w:line="127"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94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260" w:type="dxa"/>
            <w:vAlign w:val="bottom"/>
          </w:tcPr>
          <w:p>
            <w:pPr>
              <w:spacing w:after="0"/>
              <w:rPr>
                <w:sz w:val="11"/>
                <w:szCs w:val="11"/>
                <w:color w:val="auto"/>
              </w:rPr>
            </w:pPr>
          </w:p>
        </w:tc>
        <w:tc>
          <w:tcPr>
            <w:tcW w:w="760" w:type="dxa"/>
            <w:vAlign w:val="bottom"/>
            <w:gridSpan w:val="3"/>
          </w:tcPr>
          <w:p>
            <w:pPr>
              <w:jc w:val="right"/>
              <w:ind w:right="183"/>
              <w:spacing w:after="0" w:line="127"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Price/Share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4"/>
              </w:rPr>
              <w:t>Term (Years)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3"/>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83,809</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0.0007</w:t>
            </w: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Granted</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183,232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0.45</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Exercised</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Forfeited</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Expired</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 December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267,041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0.31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9.51</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Granted</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32,793</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0.45</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Exercised</w:t>
            </w: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Forfeited</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(1,907)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0.45</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Expired</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(785)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0.45</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 December 31,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297,142</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0.32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8.60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Granted</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1,003,867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2.01</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Exercised</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(68,393)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2.01</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Forfeited</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(1,915)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0.54</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Expired</w:t>
            </w:r>
          </w:p>
        </w:tc>
        <w:tc>
          <w:tcPr>
            <w:tcW w:w="9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Outstanding — June 30, 2020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1,230,701</w:t>
            </w:r>
          </w:p>
        </w:tc>
        <w:tc>
          <w:tcPr>
            <w:tcW w:w="300" w:type="dxa"/>
            <w:vAlign w:val="bottom"/>
          </w:tcPr>
          <w:p>
            <w:pPr>
              <w:spacing w:after="0"/>
              <w:rPr>
                <w:sz w:val="16"/>
                <w:szCs w:val="16"/>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1.60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9.38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Vested — December 31, 2019</w:t>
            </w:r>
          </w:p>
        </w:tc>
        <w:tc>
          <w:tcPr>
            <w:tcW w:w="6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125,902</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0.20</w:t>
            </w:r>
          </w:p>
        </w:tc>
        <w:tc>
          <w:tcPr>
            <w:tcW w:w="5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71" w:lineRule="exact"/>
              <w:rPr>
                <w:sz w:val="20"/>
                <w:szCs w:val="20"/>
                <w:color w:val="auto"/>
              </w:rPr>
            </w:pPr>
            <w:r>
              <w:rPr>
                <w:rFonts w:ascii="Times New Roman" w:cs="Times New Roman" w:eastAsia="Times New Roman" w:hAnsi="Times New Roman"/>
                <w:sz w:val="15"/>
                <w:szCs w:val="15"/>
                <w:color w:val="auto"/>
              </w:rPr>
              <w:t>8.38</w:t>
            </w:r>
          </w:p>
        </w:tc>
        <w:tc>
          <w:tcPr>
            <w:tcW w:w="360" w:type="dxa"/>
            <w:vAlign w:val="bottom"/>
            <w:gridSpan w:val="2"/>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Unvested — December 31, 2019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171,240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0.38</w:t>
            </w:r>
          </w:p>
        </w:tc>
        <w:tc>
          <w:tcPr>
            <w:tcW w:w="520" w:type="dxa"/>
            <w:vAlign w:val="bottom"/>
          </w:tcPr>
          <w:p>
            <w:pPr>
              <w:spacing w:after="0"/>
              <w:rPr>
                <w:sz w:val="14"/>
                <w:szCs w:val="14"/>
                <w:color w:val="auto"/>
              </w:rPr>
            </w:pPr>
          </w:p>
        </w:tc>
        <w:tc>
          <w:tcPr>
            <w:tcW w:w="6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8.76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Vested — June 30, 2020</w:t>
            </w:r>
          </w:p>
        </w:tc>
        <w:tc>
          <w:tcPr>
            <w:tcW w:w="6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246,408</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0.80</w:t>
            </w:r>
          </w:p>
        </w:tc>
        <w:tc>
          <w:tcPr>
            <w:tcW w:w="5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line="171" w:lineRule="exact"/>
              <w:rPr>
                <w:sz w:val="20"/>
                <w:szCs w:val="20"/>
                <w:color w:val="auto"/>
              </w:rPr>
            </w:pPr>
            <w:r>
              <w:rPr>
                <w:rFonts w:ascii="Times New Roman" w:cs="Times New Roman" w:eastAsia="Times New Roman" w:hAnsi="Times New Roman"/>
                <w:sz w:val="15"/>
                <w:szCs w:val="15"/>
                <w:color w:val="auto"/>
              </w:rPr>
              <w:t>8.47</w:t>
            </w:r>
          </w:p>
        </w:tc>
        <w:tc>
          <w:tcPr>
            <w:tcW w:w="360" w:type="dxa"/>
            <w:vAlign w:val="bottom"/>
            <w:gridSpan w:val="2"/>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298(1)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Unvested — June 30, 2020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984,293</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1.80</w:t>
            </w:r>
          </w:p>
        </w:tc>
        <w:tc>
          <w:tcPr>
            <w:tcW w:w="5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9.61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198</w:t>
            </w:r>
          </w:p>
        </w:tc>
        <w:tc>
          <w:tcPr>
            <w:tcW w:w="2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80645</wp:posOffset>
            </wp:positionV>
            <wp:extent cx="6515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31" w:lineRule="exact"/>
        <w:rPr>
          <w:sz w:val="20"/>
          <w:szCs w:val="20"/>
          <w:color w:val="auto"/>
        </w:rPr>
      </w:pPr>
    </w:p>
    <w:p>
      <w:pPr>
        <w:ind w:left="1280" w:hanging="360"/>
        <w:spacing w:after="0" w:line="241" w:lineRule="auto"/>
        <w:tabs>
          <w:tab w:leader="none" w:pos="128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Represents the total </w:t>
      </w:r>
      <w:r>
        <w:rPr>
          <w:rFonts w:ascii="Times New Roman" w:cs="Times New Roman" w:eastAsia="Times New Roman" w:hAnsi="Times New Roman"/>
          <w:sz w:val="12"/>
          <w:szCs w:val="12"/>
          <w:i w:val="1"/>
          <w:iCs w:val="1"/>
          <w:color w:val="auto"/>
        </w:rPr>
        <w:t>difference</w:t>
      </w:r>
      <w:r>
        <w:rPr>
          <w:rFonts w:ascii="Times New Roman" w:cs="Times New Roman" w:eastAsia="Times New Roman" w:hAnsi="Times New Roman"/>
          <w:sz w:val="12"/>
          <w:szCs w:val="12"/>
          <w:color w:val="auto"/>
        </w:rPr>
        <w:t xml:space="preserve"> between the estimated stock price fair value as of December 31, 2019 and June 30, 2020 and the stock option exercise price,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the number of in-the-money options as of December 31, 2019 and June 30, 2020. The amount of any intrinsic value will change in relation to any increases or decreases in the then-determined fair value of the Company’s common stock.</w:t>
      </w:r>
    </w:p>
    <w:p>
      <w:pPr>
        <w:spacing w:after="0" w:line="156" w:lineRule="exact"/>
        <w:rPr>
          <w:sz w:val="20"/>
          <w:szCs w:val="20"/>
          <w:color w:val="auto"/>
        </w:rPr>
      </w:pPr>
    </w:p>
    <w:p>
      <w:pPr>
        <w:ind w:left="920" w:right="200" w:firstLine="753"/>
        <w:spacing w:after="0" w:line="275" w:lineRule="auto"/>
        <w:rPr>
          <w:sz w:val="20"/>
          <w:szCs w:val="20"/>
          <w:color w:val="auto"/>
        </w:rPr>
      </w:pPr>
      <w:r>
        <w:rPr>
          <w:rFonts w:ascii="Times New Roman" w:cs="Times New Roman" w:eastAsia="Times New Roman" w:hAnsi="Times New Roman"/>
          <w:sz w:val="15"/>
          <w:szCs w:val="15"/>
          <w:color w:val="auto"/>
        </w:rPr>
        <w:t>The total grant-date fair value of options that vested during the years ended December 31, 2018 and 2019 was $33 thousand in each year. The total grant-date fair value of options that vested during the six months ended June 30, 2019 and 2020 was $17 thousand and $86 thousand, respectively.</w:t>
      </w:r>
    </w:p>
    <w:p>
      <w:pPr>
        <w:spacing w:after="0" w:line="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F-21</w:t>
      </w:r>
    </w:p>
    <w:p>
      <w:pPr>
        <w:sectPr>
          <w:pgSz w:w="11900" w:h="16838" w:orient="portrait"/>
          <w:cols w:equalWidth="0" w:num="1">
            <w:col w:w="10300"/>
          </w:cols>
          <w:pgMar w:left="320" w:top="410" w:right="1279" w:bottom="1440" w:gutter="0" w:footer="0" w:header="0"/>
        </w:sectPr>
      </w:pPr>
    </w:p>
    <w:bookmarkStart w:id="236" w:name="page237"/>
    <w:bookmarkEnd w:id="23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information with respect to stock option grants as of December 31, 2019:</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Exercisable</w:t>
            </w: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320" w:type="dxa"/>
            <w:vAlign w:val="bottom"/>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Aggregate</w:t>
            </w: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76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Stock</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320" w:type="dxa"/>
            <w:vAlign w:val="bottom"/>
          </w:tcPr>
          <w:p>
            <w:pPr>
              <w:spacing w:after="0"/>
              <w:rPr>
                <w:sz w:val="11"/>
                <w:szCs w:val="11"/>
                <w:color w:val="auto"/>
              </w:rPr>
            </w:pP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Stock</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76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0" w:type="dxa"/>
            <w:vAlign w:val="bottom"/>
          </w:tcPr>
          <w:p>
            <w:pPr>
              <w:spacing w:after="0"/>
              <w:rPr>
                <w:sz w:val="1"/>
                <w:szCs w:val="1"/>
                <w:color w:val="auto"/>
              </w:rPr>
            </w:pPr>
          </w:p>
        </w:tc>
      </w:tr>
      <w:tr>
        <w:trPr>
          <w:trHeight w:val="127"/>
        </w:trPr>
        <w:tc>
          <w:tcPr>
            <w:tcW w:w="3580" w:type="dxa"/>
            <w:vAlign w:val="bottom"/>
            <w:vMerge w:val="restart"/>
          </w:tcPr>
          <w:p>
            <w:pPr>
              <w:ind w:left="142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26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320" w:type="dxa"/>
            <w:vAlign w:val="bottom"/>
          </w:tcPr>
          <w:p>
            <w:pPr>
              <w:spacing w:after="0"/>
              <w:rPr>
                <w:sz w:val="11"/>
                <w:szCs w:val="11"/>
                <w:color w:val="auto"/>
              </w:rPr>
            </w:pPr>
          </w:p>
        </w:tc>
        <w:tc>
          <w:tcPr>
            <w:tcW w:w="6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76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0" w:type="dxa"/>
            <w:vAlign w:val="bottom"/>
          </w:tcPr>
          <w:p>
            <w:pPr>
              <w:spacing w:after="0"/>
              <w:rPr>
                <w:sz w:val="1"/>
                <w:szCs w:val="1"/>
                <w:color w:val="auto"/>
              </w:rPr>
            </w:pPr>
          </w:p>
        </w:tc>
      </w:tr>
      <w:tr>
        <w:trPr>
          <w:trHeight w:val="149"/>
        </w:trPr>
        <w:tc>
          <w:tcPr>
            <w:tcW w:w="3580" w:type="dxa"/>
            <w:vAlign w:val="bottom"/>
            <w:vMerge w:val="continue"/>
          </w:tcPr>
          <w:p>
            <w:pPr>
              <w:spacing w:after="0"/>
              <w:rPr>
                <w:sz w:val="12"/>
                <w:szCs w:val="12"/>
                <w:color w:val="auto"/>
              </w:rPr>
            </w:pPr>
          </w:p>
        </w:tc>
        <w:tc>
          <w:tcPr>
            <w:tcW w:w="920" w:type="dxa"/>
            <w:vAlign w:val="bottom"/>
            <w:gridSpan w:val="2"/>
          </w:tcPr>
          <w:p>
            <w:pPr>
              <w:jc w:val="center"/>
              <w:ind w:left="191"/>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Life (Years)</w:t>
            </w:r>
          </w:p>
        </w:tc>
        <w:tc>
          <w:tcPr>
            <w:tcW w:w="940" w:type="dxa"/>
            <w:vAlign w:val="bottom"/>
            <w:gridSpan w:val="2"/>
          </w:tcPr>
          <w:p>
            <w:pPr>
              <w:jc w:val="center"/>
              <w:ind w:left="231"/>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Life (Years)</w:t>
            </w:r>
          </w:p>
        </w:tc>
        <w:tc>
          <w:tcPr>
            <w:tcW w:w="0" w:type="dxa"/>
            <w:vAlign w:val="bottom"/>
          </w:tcPr>
          <w:p>
            <w:pPr>
              <w:spacing w:after="0"/>
              <w:rPr>
                <w:sz w:val="1"/>
                <w:szCs w:val="1"/>
                <w:color w:val="auto"/>
              </w:rPr>
            </w:pPr>
          </w:p>
        </w:tc>
      </w:tr>
      <w:tr>
        <w:trPr>
          <w:trHeight w:val="176"/>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$0.0007</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83,809</w:t>
            </w:r>
          </w:p>
        </w:tc>
        <w:tc>
          <w:tcPr>
            <w:tcW w:w="3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3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83,809</w:t>
            </w: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$0.45</w:t>
            </w:r>
          </w:p>
        </w:tc>
        <w:tc>
          <w:tcPr>
            <w:tcW w:w="2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213,333</w:t>
            </w:r>
          </w:p>
        </w:tc>
        <w:tc>
          <w:tcPr>
            <w:tcW w:w="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3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146,692</w:t>
            </w:r>
          </w:p>
        </w:tc>
        <w:tc>
          <w:tcPr>
            <w:tcW w:w="3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297,142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230,501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information with respect to stock option grants as of June 30, 2020: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As of June 30, 2020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7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Exercisable</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220" w:type="dxa"/>
            <w:vAlign w:val="bottom"/>
          </w:tcPr>
          <w:p>
            <w:pPr>
              <w:spacing w:after="0"/>
              <w:rPr>
                <w:sz w:val="11"/>
                <w:szCs w:val="11"/>
                <w:color w:val="auto"/>
              </w:rPr>
            </w:pPr>
          </w:p>
        </w:tc>
        <w:tc>
          <w:tcPr>
            <w:tcW w:w="84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27"/>
        </w:trPr>
        <w:tc>
          <w:tcPr>
            <w:tcW w:w="3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Stock</w:t>
            </w:r>
          </w:p>
        </w:tc>
        <w:tc>
          <w:tcPr>
            <w:tcW w:w="2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24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Stock</w:t>
            </w:r>
          </w:p>
        </w:tc>
        <w:tc>
          <w:tcPr>
            <w:tcW w:w="2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0" w:type="dxa"/>
            <w:vAlign w:val="bottom"/>
          </w:tcPr>
          <w:p>
            <w:pPr>
              <w:spacing w:after="0"/>
              <w:rPr>
                <w:sz w:val="1"/>
                <w:szCs w:val="1"/>
                <w:color w:val="auto"/>
              </w:rPr>
            </w:pPr>
          </w:p>
        </w:tc>
      </w:tr>
      <w:tr>
        <w:trPr>
          <w:trHeight w:val="127"/>
        </w:trPr>
        <w:tc>
          <w:tcPr>
            <w:tcW w:w="39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74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240" w:type="dxa"/>
            <w:vAlign w:val="bottom"/>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27" w:lineRule="exact"/>
              <w:rPr>
                <w:sz w:val="20"/>
                <w:szCs w:val="20"/>
                <w:color w:val="auto"/>
              </w:rPr>
            </w:pPr>
            <w:r>
              <w:rPr>
                <w:rFonts w:ascii="Times New Roman" w:cs="Times New Roman" w:eastAsia="Times New Roman" w:hAnsi="Times New Roman"/>
                <w:sz w:val="12"/>
                <w:szCs w:val="12"/>
                <w:b w:val="1"/>
                <w:bCs w:val="1"/>
                <w:color w:val="auto"/>
              </w:rPr>
              <w:t>Intrinsic</w:t>
            </w:r>
          </w:p>
        </w:tc>
        <w:tc>
          <w:tcPr>
            <w:tcW w:w="220" w:type="dxa"/>
            <w:vAlign w:val="bottom"/>
          </w:tcPr>
          <w:p>
            <w:pPr>
              <w:spacing w:after="0"/>
              <w:rPr>
                <w:sz w:val="11"/>
                <w:szCs w:val="11"/>
                <w:color w:val="auto"/>
              </w:rPr>
            </w:pPr>
          </w:p>
        </w:tc>
        <w:tc>
          <w:tcPr>
            <w:tcW w:w="8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0" w:type="dxa"/>
            <w:vAlign w:val="bottom"/>
          </w:tcPr>
          <w:p>
            <w:pPr>
              <w:spacing w:after="0"/>
              <w:rPr>
                <w:sz w:val="1"/>
                <w:szCs w:val="1"/>
                <w:color w:val="auto"/>
              </w:rPr>
            </w:pPr>
          </w:p>
        </w:tc>
      </w:tr>
      <w:tr>
        <w:trPr>
          <w:trHeight w:val="149"/>
        </w:trPr>
        <w:tc>
          <w:tcPr>
            <w:tcW w:w="3940" w:type="dxa"/>
            <w:vAlign w:val="bottom"/>
            <w:gridSpan w:val="2"/>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Life (Years)</w:t>
            </w:r>
          </w:p>
        </w:tc>
        <w:tc>
          <w:tcPr>
            <w:tcW w:w="2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220" w:type="dxa"/>
            <w:vAlign w:val="bottom"/>
          </w:tcPr>
          <w:p>
            <w:pPr>
              <w:spacing w:after="0"/>
              <w:rPr>
                <w:sz w:val="12"/>
                <w:szCs w:val="12"/>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Life (Years)</w:t>
            </w:r>
          </w:p>
        </w:tc>
        <w:tc>
          <w:tcPr>
            <w:tcW w:w="0" w:type="dxa"/>
            <w:vAlign w:val="bottom"/>
          </w:tcPr>
          <w:p>
            <w:pPr>
              <w:spacing w:after="0"/>
              <w:rPr>
                <w:sz w:val="1"/>
                <w:szCs w:val="1"/>
                <w:color w:val="auto"/>
              </w:rPr>
            </w:pPr>
          </w:p>
        </w:tc>
      </w:tr>
      <w:tr>
        <w:trPr>
          <w:trHeight w:val="176"/>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$0.0007</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83,809</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w w:val="97"/>
              </w:rPr>
              <w:t>168</w:t>
            </w: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83,809</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w w:val="97"/>
              </w:rPr>
              <w:t>168</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$0.45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210,461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5"/>
                <w:szCs w:val="15"/>
                <w:color w:val="auto"/>
                <w:w w:val="97"/>
              </w:rPr>
              <w:t>328</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162,894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5"/>
                <w:szCs w:val="15"/>
                <w:color w:val="auto"/>
                <w:w w:val="97"/>
              </w:rPr>
              <w:t>254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$2.01</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936,431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865,906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1,230,701</w:t>
            </w:r>
          </w:p>
        </w:tc>
        <w:tc>
          <w:tcPr>
            <w:tcW w:w="2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w w:val="97"/>
              </w:rPr>
              <w:t>496</w:t>
            </w:r>
          </w:p>
        </w:tc>
        <w:tc>
          <w:tcPr>
            <w:tcW w:w="24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9.38</w:t>
            </w:r>
          </w:p>
        </w:tc>
        <w:tc>
          <w:tcPr>
            <w:tcW w:w="24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1,112,609</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w w:val="97"/>
              </w:rPr>
              <w:t>422</w:t>
            </w:r>
          </w:p>
        </w:tc>
        <w:tc>
          <w:tcPr>
            <w:tcW w:w="2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920" w:right="380" w:firstLine="753"/>
        <w:spacing w:after="0" w:line="275" w:lineRule="auto"/>
        <w:rPr>
          <w:sz w:val="20"/>
          <w:szCs w:val="20"/>
          <w:color w:val="auto"/>
        </w:rPr>
      </w:pPr>
      <w:r>
        <w:rPr>
          <w:rFonts w:ascii="Times New Roman" w:cs="Times New Roman" w:eastAsia="Times New Roman" w:hAnsi="Times New Roman"/>
          <w:sz w:val="15"/>
          <w:szCs w:val="15"/>
          <w:color w:val="auto"/>
        </w:rPr>
        <w:t>As of December 31, 2019, there was unrecognized compensation expense of $46 thousand related to unvested stock options, which the Company expects to recognize over a weighted average period of 2.1 years. As of June 30, 2020, there was unrecognized compensation expense of $1.2 million related to unvested stock options, which the Company expects to recognize over a weighted average period of 3.1 years.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Early Exercise Feature of Certain Stock Options</w:t>
      </w:r>
    </w:p>
    <w:p>
      <w:pPr>
        <w:spacing w:after="0" w:line="200" w:lineRule="exact"/>
        <w:rPr>
          <w:sz w:val="20"/>
          <w:szCs w:val="20"/>
          <w:color w:val="auto"/>
        </w:rPr>
      </w:pPr>
    </w:p>
    <w:p>
      <w:pPr>
        <w:ind w:left="920" w:right="120" w:firstLine="753"/>
        <w:spacing w:after="0" w:line="265" w:lineRule="auto"/>
        <w:rPr>
          <w:sz w:val="20"/>
          <w:szCs w:val="20"/>
          <w:color w:val="auto"/>
        </w:rPr>
      </w:pPr>
      <w:r>
        <w:rPr>
          <w:rFonts w:ascii="Times New Roman" w:cs="Times New Roman" w:eastAsia="Times New Roman" w:hAnsi="Times New Roman"/>
          <w:sz w:val="15"/>
          <w:szCs w:val="15"/>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54"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The Company initially records a liability for these early exercises that is subsequently reclassified into stockholders’ equity on a pro rata basis as vesting occurs. During the year ended December 31, 2019, the Company repurchased 26,927 of unvested common stock options from a former consultant in connection with termination of his consulting agreement; there were no such repurchases in 2018 or for the six months ended</w:t>
      </w:r>
    </w:p>
    <w:p>
      <w:pPr>
        <w:spacing w:after="0" w:line="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F-22</w:t>
      </w:r>
    </w:p>
    <w:p>
      <w:pPr>
        <w:sectPr>
          <w:pgSz w:w="11900" w:h="16838" w:orient="portrait"/>
          <w:cols w:equalWidth="0" w:num="1">
            <w:col w:w="10340"/>
          </w:cols>
          <w:pgMar w:left="320" w:top="410" w:right="1239" w:bottom="1440" w:gutter="0" w:footer="0" w:header="0"/>
        </w:sectPr>
      </w:pPr>
    </w:p>
    <w:bookmarkStart w:id="237" w:name="page238"/>
    <w:bookmarkEnd w:id="23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40"/>
        <w:spacing w:after="0" w:line="275" w:lineRule="auto"/>
        <w:rPr>
          <w:sz w:val="20"/>
          <w:szCs w:val="20"/>
          <w:color w:val="auto"/>
        </w:rPr>
      </w:pPr>
      <w:r>
        <w:rPr>
          <w:rFonts w:ascii="Times New Roman" w:cs="Times New Roman" w:eastAsia="Times New Roman" w:hAnsi="Times New Roman"/>
          <w:sz w:val="15"/>
          <w:szCs w:val="15"/>
          <w:color w:val="auto"/>
        </w:rPr>
        <w:t>June 30, 2020. As of December 31, 2018 and 2019, all stock options with early exercise features were either vested or immaterial if early exercised and the Company reported no corresponding liability in the accompanying Balance Sheets. As of June 30, 2020, the Company has recorded the unvested portion of the exercise proceeds of $0.1 million as a liability from the early exercise in the accompanying Balance Sheets.</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Issued to Founders</w:t>
      </w:r>
    </w:p>
    <w:p>
      <w:pPr>
        <w:spacing w:after="0" w:line="200"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In January 2017, the Company issued 2.4 million shares of restricted common stock to founders, all which vest under service conditions. The shares were issued under the terms of the respective Stock Purchase Agreement. Unvested shares are subject to repurchase by the Company at the original purchase price per share upon the holder’s termination of the relationship with the Company. The restricted shares are not deemed to be outstanding for accounting purposes until vested and are therefore excluded from reported shares outstanding and from the basic and diluted net loss per share calculation until the repurchase right lapses and are no longer subject to the repurchase feature. One-third of the 2.4 million shares of restricted common stock were vested on the issuance date and the remaining 1.6 million shares vest monthly thereafter. During each of the years ended December 31, 2018 and 2019, 0.5 million shares of restricted common stock vested. As of December 31, 2019 and June 30, 2020, no shares of this restricted stock issuance remain unvested.</w:t>
      </w:r>
    </w:p>
    <w:p>
      <w:pPr>
        <w:spacing w:after="0" w:line="3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6. NET LOSS PER SHARE</w:t>
      </w:r>
    </w:p>
    <w:p>
      <w:pPr>
        <w:spacing w:after="0" w:line="200" w:lineRule="exact"/>
        <w:rPr>
          <w:sz w:val="20"/>
          <w:szCs w:val="20"/>
          <w:color w:val="auto"/>
        </w:rPr>
      </w:pPr>
    </w:p>
    <w:p>
      <w:pPr>
        <w:ind w:left="920" w:right="260" w:firstLine="753"/>
        <w:spacing w:after="0" w:line="293" w:lineRule="auto"/>
        <w:rPr>
          <w:sz w:val="20"/>
          <w:szCs w:val="20"/>
          <w:color w:val="auto"/>
        </w:rPr>
      </w:pPr>
      <w:r>
        <w:rPr>
          <w:rFonts w:ascii="Times New Roman" w:cs="Times New Roman" w:eastAsia="Times New Roman" w:hAnsi="Times New Roman"/>
          <w:sz w:val="15"/>
          <w:szCs w:val="15"/>
          <w:color w:val="auto"/>
        </w:rPr>
        <w:t>Net loss per share attributable to common stockholders was computed by dividing net loss by the weighted-average number of common shares outstanding for the years ended December 31, 2018 and 2019 and the six months ended June 30, 2019 and 2020:</w:t>
      </w:r>
    </w:p>
    <w:p>
      <w:pPr>
        <w:spacing w:after="0" w:line="148"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8"/>
        </w:trPr>
        <w:tc>
          <w:tcPr>
            <w:tcW w:w="34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8"/>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3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7"/>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3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9"/>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30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7"/>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0"/>
                <w:szCs w:val="10"/>
                <w:color w:val="auto"/>
              </w:rPr>
            </w:pPr>
          </w:p>
        </w:tc>
      </w:tr>
      <w:tr>
        <w:trPr>
          <w:trHeight w:val="17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(4,670)</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(2,576)</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(5,207)</w:t>
            </w:r>
          </w:p>
        </w:tc>
        <w:tc>
          <w:tcPr>
            <w:tcW w:w="100" w:type="dxa"/>
            <w:vAlign w:val="bottom"/>
            <w:shd w:val="clear" w:color="auto" w:fill="CCEEFF"/>
          </w:tcPr>
          <w:p>
            <w:pPr>
              <w:spacing w:after="0"/>
              <w:rPr>
                <w:sz w:val="15"/>
                <w:szCs w:val="15"/>
                <w:color w:val="auto"/>
              </w:rPr>
            </w:pPr>
          </w:p>
        </w:tc>
      </w:tr>
      <w:tr>
        <w:trPr>
          <w:trHeight w:val="184"/>
        </w:trPr>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shares—basic and diluted</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1,759,495</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2,362,768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w w:val="99"/>
              </w:rPr>
              <w:t>2,238,793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9"/>
              </w:rPr>
              <w:t>2,650,843</w:t>
            </w:r>
          </w:p>
        </w:tc>
      </w:tr>
      <w:tr>
        <w:trPr>
          <w:trHeight w:val="170"/>
        </w:trPr>
        <w:tc>
          <w:tcPr>
            <w:tcW w:w="34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loss per share attributable to common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9"/>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stockholders—basic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(1.96)</w:t>
            </w:r>
          </w:p>
        </w:tc>
      </w:tr>
      <w:tr>
        <w:trPr>
          <w:trHeight w:val="311"/>
        </w:trPr>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F-23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80"/>
          </w:cols>
          <w:pgMar w:left="320" w:top="410" w:right="1299" w:bottom="1440" w:gutter="0" w:footer="0" w:header="0"/>
        </w:sectPr>
      </w:pPr>
    </w:p>
    <w:bookmarkStart w:id="238" w:name="page239"/>
    <w:bookmarkEnd w:id="23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161" w:lineRule="exact"/>
        <w:rPr>
          <w:sz w:val="20"/>
          <w:szCs w:val="20"/>
          <w:color w:val="auto"/>
        </w:rPr>
      </w:pPr>
    </w:p>
    <w:tbl>
      <w:tblPr>
        <w:tblLayout w:type="fixed"/>
        <w:tblInd w:w="160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88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18"/>
        </w:trPr>
        <w:tc>
          <w:tcPr>
            <w:tcW w:w="40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7"/>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280" w:type="dxa"/>
            <w:vAlign w:val="bottom"/>
            <w:tcBorders>
              <w:top w:val="single" w:sz="8" w:color="auto"/>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185"/>
              <w:spacing w:after="0" w:line="118" w:lineRule="exact"/>
              <w:rPr>
                <w:sz w:val="20"/>
                <w:szCs w:val="20"/>
                <w:color w:val="auto"/>
              </w:rPr>
            </w:pPr>
            <w:r>
              <w:rPr>
                <w:rFonts w:ascii="Times New Roman" w:cs="Times New Roman" w:eastAsia="Times New Roman" w:hAnsi="Times New Roman"/>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7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unexercised—vested and unvested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267,041</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297,142</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297,927</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1,230,701</w:t>
            </w:r>
          </w:p>
        </w:tc>
        <w:tc>
          <w:tcPr>
            <w:tcW w:w="60" w:type="dxa"/>
            <w:vAlign w:val="bottom"/>
            <w:shd w:val="clear" w:color="auto" w:fill="CCEEFF"/>
          </w:tcPr>
          <w:p>
            <w:pPr>
              <w:spacing w:after="0"/>
              <w:rPr>
                <w:sz w:val="15"/>
                <w:szCs w:val="15"/>
                <w:color w:val="auto"/>
              </w:rPr>
            </w:pP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Series A and Series B Preferred Stock, outstanding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1,208,242</w:t>
            </w:r>
          </w:p>
        </w:tc>
        <w:tc>
          <w:tcPr>
            <w:tcW w:w="2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1,922,491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1,575,030</w:t>
            </w:r>
          </w:p>
        </w:tc>
        <w:tc>
          <w:tcPr>
            <w:tcW w:w="2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8,249,939</w:t>
            </w:r>
          </w:p>
        </w:tc>
      </w:tr>
      <w:tr>
        <w:trPr>
          <w:trHeight w:val="18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subject to repurchase from its founders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493,654</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224,388</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Stock options early-exercised and unvested</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105,273</w:t>
            </w:r>
          </w:p>
        </w:tc>
        <w:tc>
          <w:tcPr>
            <w:tcW w:w="2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4,300</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54,786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67,316</w:t>
            </w:r>
          </w:p>
        </w:tc>
      </w:tr>
      <w:tr>
        <w:trPr>
          <w:trHeight w:val="18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promissory notes</w:t>
            </w:r>
          </w:p>
        </w:tc>
        <w:tc>
          <w:tcPr>
            <w:tcW w:w="10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93,421</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20,937</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2,074,210</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2,317,354</w:t>
            </w:r>
          </w:p>
        </w:tc>
        <w:tc>
          <w:tcPr>
            <w:tcW w:w="2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2,173,068</w:t>
            </w:r>
          </w:p>
        </w:tc>
        <w:tc>
          <w:tcPr>
            <w:tcW w:w="2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9,547,956</w:t>
            </w:r>
          </w:p>
        </w:tc>
        <w:tc>
          <w:tcPr>
            <w:tcW w:w="60" w:type="dxa"/>
            <w:vAlign w:val="bottom"/>
          </w:tcPr>
          <w:p>
            <w:pPr>
              <w:spacing w:after="0"/>
              <w:rPr>
                <w:sz w:val="16"/>
                <w:szCs w:val="16"/>
                <w:color w:val="auto"/>
              </w:rPr>
            </w:pPr>
          </w:p>
        </w:tc>
      </w:tr>
      <w:tr>
        <w:trPr>
          <w:trHeight w:val="20"/>
        </w:trPr>
        <w:tc>
          <w:tcPr>
            <w:tcW w:w="4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7. UNAUDITED PRO FORMA NET LOSS PER SHARE</w:t>
      </w:r>
    </w:p>
    <w:p>
      <w:pPr>
        <w:spacing w:after="0" w:line="200" w:lineRule="exact"/>
        <w:rPr>
          <w:sz w:val="20"/>
          <w:szCs w:val="20"/>
          <w:color w:val="auto"/>
        </w:rPr>
      </w:pPr>
    </w:p>
    <w:p>
      <w:pPr>
        <w:jc w:val="both"/>
        <w:ind w:left="920" w:right="560" w:firstLine="753"/>
        <w:spacing w:after="0" w:line="293" w:lineRule="auto"/>
        <w:rPr>
          <w:sz w:val="20"/>
          <w:szCs w:val="20"/>
          <w:color w:val="auto"/>
        </w:rPr>
      </w:pPr>
      <w:r>
        <w:rPr>
          <w:rFonts w:ascii="Times New Roman" w:cs="Times New Roman" w:eastAsia="Times New Roman" w:hAnsi="Times New Roman"/>
          <w:sz w:val="15"/>
          <w:szCs w:val="15"/>
          <w:color w:val="auto"/>
        </w:rPr>
        <w:t>The following table sets forth the computation of unaudited pro forma basic and diluted net loss per share attributable to common stockholders for the year ended December 31, 2019 and the six months ended June 30, 2020:</w:t>
      </w:r>
    </w:p>
    <w:p>
      <w:pPr>
        <w:spacing w:after="0" w:line="137" w:lineRule="exact"/>
        <w:rPr>
          <w:sz w:val="20"/>
          <w:szCs w:val="20"/>
          <w:color w:val="auto"/>
        </w:rPr>
      </w:pPr>
    </w:p>
    <w:tbl>
      <w:tblPr>
        <w:tblLayout w:type="fixed"/>
        <w:tblInd w:w="160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Six Months</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2"/>
                <w:szCs w:val="12"/>
                <w:b w:val="1"/>
                <w:bCs w:val="1"/>
                <w:color w:val="auto"/>
              </w:rPr>
              <w:t>Ended</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080" w:type="dxa"/>
            <w:vAlign w:val="bottom"/>
            <w:gridSpan w:val="3"/>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49"/>
        </w:trPr>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2019</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7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Numerator</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(4,670)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(5,207)</w:t>
            </w:r>
          </w:p>
        </w:tc>
        <w:tc>
          <w:tcPr>
            <w:tcW w:w="0" w:type="dxa"/>
            <w:vAlign w:val="bottom"/>
          </w:tcPr>
          <w:p>
            <w:pPr>
              <w:spacing w:after="0"/>
              <w:rPr>
                <w:sz w:val="1"/>
                <w:szCs w:val="1"/>
                <w:color w:val="auto"/>
              </w:rPr>
            </w:pPr>
          </w:p>
        </w:tc>
      </w:tr>
      <w:tr>
        <w:trPr>
          <w:trHeight w:val="18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780" w:type="dxa"/>
            <w:vAlign w:val="bottom"/>
          </w:tcPr>
          <w:p>
            <w:pPr>
              <w:ind w:left="320"/>
              <w:spacing w:after="0" w:line="170" w:lineRule="exact"/>
              <w:rPr>
                <w:sz w:val="20"/>
                <w:szCs w:val="20"/>
                <w:color w:val="auto"/>
              </w:rPr>
            </w:pPr>
            <w:r>
              <w:rPr>
                <w:rFonts w:ascii="Times New Roman" w:cs="Times New Roman" w:eastAsia="Times New Roman" w:hAnsi="Times New Roman"/>
                <w:sz w:val="15"/>
                <w:szCs w:val="15"/>
                <w:color w:val="auto"/>
              </w:rPr>
              <w:t>Weighted-average shares of common stock used in computing net loss per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share attributable to common stockholders</w:t>
            </w: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w w:val="99"/>
              </w:rPr>
              <w:t>2,362,768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2,650,843</w:t>
            </w:r>
          </w:p>
        </w:tc>
        <w:tc>
          <w:tcPr>
            <w:tcW w:w="0" w:type="dxa"/>
            <w:vAlign w:val="bottom"/>
          </w:tcPr>
          <w:p>
            <w:pPr>
              <w:spacing w:after="0"/>
              <w:rPr>
                <w:sz w:val="1"/>
                <w:szCs w:val="1"/>
                <w:color w:val="auto"/>
              </w:rPr>
            </w:pPr>
          </w:p>
        </w:tc>
      </w:tr>
      <w:tr>
        <w:trPr>
          <w:trHeight w:val="170"/>
        </w:trPr>
        <w:tc>
          <w:tcPr>
            <w:tcW w:w="5780" w:type="dxa"/>
            <w:vAlign w:val="bottom"/>
            <w:shd w:val="clear" w:color="auto" w:fill="CCEEFF"/>
          </w:tcPr>
          <w:p>
            <w:pPr>
              <w:ind w:left="320"/>
              <w:spacing w:after="0" w:line="170" w:lineRule="exact"/>
              <w:rPr>
                <w:sz w:val="20"/>
                <w:szCs w:val="20"/>
                <w:color w:val="auto"/>
              </w:rPr>
            </w:pPr>
            <w:r>
              <w:rPr>
                <w:rFonts w:ascii="Times New Roman" w:cs="Times New Roman" w:eastAsia="Times New Roman" w:hAnsi="Times New Roman"/>
                <w:sz w:val="15"/>
                <w:szCs w:val="15"/>
                <w:color w:val="auto"/>
              </w:rPr>
              <w:t>Pro forma adjustment to reflect assumed conversion of convertible preferred</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stock (Note 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99"/>
              </w:rPr>
              <w:t>1,922,494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8,249,939</w:t>
            </w:r>
          </w:p>
        </w:tc>
        <w:tc>
          <w:tcPr>
            <w:tcW w:w="0" w:type="dxa"/>
            <w:vAlign w:val="bottom"/>
          </w:tcPr>
          <w:p>
            <w:pPr>
              <w:spacing w:after="0"/>
              <w:rPr>
                <w:sz w:val="1"/>
                <w:szCs w:val="1"/>
                <w:color w:val="auto"/>
              </w:rPr>
            </w:pPr>
          </w:p>
        </w:tc>
      </w:tr>
      <w:tr>
        <w:trPr>
          <w:trHeight w:val="173"/>
        </w:trPr>
        <w:tc>
          <w:tcPr>
            <w:tcW w:w="57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Weighted-average shares of common stock used in computing pro forma net</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7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loss per share attributable to common stockholders, basic and diluted</w:t>
            </w: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w w:val="99"/>
              </w:rPr>
              <w:t>4,285,262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7"/>
              </w:rPr>
              <w:t>10,900,782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Pro forma net loss per share attributable to common stockholders, basic and diluted</w:t>
            </w:r>
          </w:p>
        </w:tc>
        <w:tc>
          <w:tcPr>
            <w:tcW w:w="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320"/>
              <w:spacing w:after="0" w:line="171" w:lineRule="exact"/>
              <w:rPr>
                <w:sz w:val="20"/>
                <w:szCs w:val="20"/>
                <w:color w:val="auto"/>
              </w:rPr>
            </w:pPr>
            <w:r>
              <w:rPr>
                <w:rFonts w:ascii="Times New Roman" w:cs="Times New Roman" w:eastAsia="Times New Roman" w:hAnsi="Times New Roman"/>
                <w:sz w:val="15"/>
                <w:szCs w:val="15"/>
                <w:color w:val="auto"/>
              </w:rPr>
              <w:t>(1.09)</w:t>
            </w:r>
          </w:p>
        </w:tc>
        <w:tc>
          <w:tcPr>
            <w:tcW w:w="400" w:type="dxa"/>
            <w:vAlign w:val="bottom"/>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3880"/>
              <w:spacing w:after="0"/>
              <w:rPr>
                <w:sz w:val="20"/>
                <w:szCs w:val="20"/>
                <w:color w:val="auto"/>
              </w:rPr>
            </w:pPr>
            <w:r>
              <w:rPr>
                <w:rFonts w:ascii="Times New Roman" w:cs="Times New Roman" w:eastAsia="Times New Roman" w:hAnsi="Times New Roman"/>
                <w:sz w:val="15"/>
                <w:szCs w:val="15"/>
                <w:color w:val="auto"/>
              </w:rPr>
              <w:t>F-24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320" w:top="410" w:right="1379" w:bottom="1440" w:gutter="0" w:footer="0" w:header="0"/>
        </w:sectPr>
      </w:pPr>
    </w:p>
    <w:bookmarkStart w:id="239" w:name="page240"/>
    <w:bookmarkEnd w:id="23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8. FAIR VALUE MEASUREMENTS</w:t>
      </w:r>
    </w:p>
    <w:p>
      <w:pPr>
        <w:spacing w:after="0" w:line="200"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5"/>
          <w:szCs w:val="15"/>
          <w:i w:val="1"/>
          <w:iCs w:val="1"/>
          <w:color w:val="auto"/>
        </w:rPr>
        <w:t>Note 2(xi)</w:t>
      </w:r>
      <w:r>
        <w:rPr>
          <w:rFonts w:ascii="Times New Roman" w:cs="Times New Roman" w:eastAsia="Times New Roman" w:hAnsi="Times New Roman"/>
          <w:sz w:val="15"/>
          <w:szCs w:val="15"/>
          <w:color w:val="auto"/>
        </w:rPr>
        <w:t>):</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 Ended December 31, 2018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Fair Value Measurements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8"/>
        </w:trPr>
        <w:tc>
          <w:tcPr>
            <w:tcW w:w="4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20" w:type="dxa"/>
            <w:vAlign w:val="bottom"/>
            <w:gridSpan w:val="2"/>
          </w:tcPr>
          <w:p>
            <w:pPr>
              <w:jc w:val="right"/>
              <w:ind w:right="3"/>
              <w:spacing w:after="0" w:line="118" w:lineRule="exact"/>
              <w:rPr>
                <w:sz w:val="20"/>
                <w:szCs w:val="20"/>
                <w:color w:val="auto"/>
              </w:rPr>
            </w:pPr>
            <w:r>
              <w:rPr>
                <w:rFonts w:ascii="Times New Roman" w:cs="Times New Roman" w:eastAsia="Times New Roman" w:hAnsi="Times New Roman"/>
                <w:sz w:val="12"/>
                <w:szCs w:val="12"/>
                <w:b w:val="1"/>
                <w:bCs w:val="1"/>
                <w:color w:val="auto"/>
              </w:rPr>
              <w:t>Level 1</w:t>
            </w:r>
          </w:p>
        </w:tc>
        <w:tc>
          <w:tcPr>
            <w:tcW w:w="700" w:type="dxa"/>
            <w:vAlign w:val="bottom"/>
            <w:gridSpan w:val="2"/>
          </w:tcPr>
          <w:p>
            <w:pPr>
              <w:ind w:left="300"/>
              <w:spacing w:after="0" w:line="118"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02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2"/>
                <w:szCs w:val="12"/>
                <w:b w:val="1"/>
                <w:bCs w:val="1"/>
                <w:color w:val="auto"/>
              </w:rPr>
              <w:t>Level 3</w:t>
            </w:r>
          </w:p>
        </w:tc>
        <w:tc>
          <w:tcPr>
            <w:tcW w:w="80" w:type="dxa"/>
            <w:vAlign w:val="bottom"/>
          </w:tcPr>
          <w:p>
            <w:pPr>
              <w:spacing w:after="0"/>
              <w:rPr>
                <w:sz w:val="10"/>
                <w:szCs w:val="10"/>
                <w:color w:val="auto"/>
              </w:rPr>
            </w:pPr>
          </w:p>
        </w:tc>
        <w:tc>
          <w:tcPr>
            <w:tcW w:w="42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0"/>
                <w:szCs w:val="10"/>
                <w:color w:val="auto"/>
              </w:rPr>
            </w:pPr>
          </w:p>
        </w:tc>
      </w:tr>
      <w:tr>
        <w:trPr>
          <w:trHeight w:val="164"/>
        </w:trPr>
        <w:tc>
          <w:tcPr>
            <w:tcW w:w="468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Assets:</w:t>
            </w:r>
          </w:p>
        </w:tc>
        <w:tc>
          <w:tcPr>
            <w:tcW w:w="1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4"/>
        </w:trPr>
        <w:tc>
          <w:tcPr>
            <w:tcW w:w="4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Money market funds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60" w:type="dxa"/>
            <w:vAlign w:val="bottom"/>
          </w:tcPr>
          <w:p>
            <w:pPr>
              <w:spacing w:after="0"/>
              <w:rPr>
                <w:sz w:val="16"/>
                <w:szCs w:val="16"/>
                <w:color w:val="auto"/>
              </w:rPr>
            </w:pPr>
          </w:p>
        </w:tc>
      </w:tr>
      <w:tr>
        <w:trPr>
          <w:trHeight w:val="23"/>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4"/>
        </w:trPr>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w:t>
            </w:r>
          </w:p>
        </w:tc>
        <w:tc>
          <w:tcPr>
            <w:tcW w:w="60" w:type="dxa"/>
            <w:vAlign w:val="bottom"/>
            <w:shd w:val="clear" w:color="auto" w:fill="CCEEFF"/>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46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Year Ended December 31, 2019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Fair Value Measurements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8"/>
        </w:trPr>
        <w:tc>
          <w:tcPr>
            <w:tcW w:w="4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20" w:type="dxa"/>
            <w:vAlign w:val="bottom"/>
            <w:gridSpan w:val="2"/>
          </w:tcPr>
          <w:p>
            <w:pPr>
              <w:jc w:val="right"/>
              <w:ind w:right="3"/>
              <w:spacing w:after="0" w:line="118" w:lineRule="exact"/>
              <w:rPr>
                <w:sz w:val="20"/>
                <w:szCs w:val="20"/>
                <w:color w:val="auto"/>
              </w:rPr>
            </w:pPr>
            <w:r>
              <w:rPr>
                <w:rFonts w:ascii="Times New Roman" w:cs="Times New Roman" w:eastAsia="Times New Roman" w:hAnsi="Times New Roman"/>
                <w:sz w:val="12"/>
                <w:szCs w:val="12"/>
                <w:b w:val="1"/>
                <w:bCs w:val="1"/>
                <w:color w:val="auto"/>
              </w:rPr>
              <w:t>Level 1</w:t>
            </w:r>
          </w:p>
        </w:tc>
        <w:tc>
          <w:tcPr>
            <w:tcW w:w="700" w:type="dxa"/>
            <w:vAlign w:val="bottom"/>
            <w:gridSpan w:val="2"/>
          </w:tcPr>
          <w:p>
            <w:pPr>
              <w:ind w:left="300"/>
              <w:spacing w:after="0" w:line="118"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02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2"/>
                <w:szCs w:val="12"/>
                <w:b w:val="1"/>
                <w:bCs w:val="1"/>
                <w:color w:val="auto"/>
              </w:rPr>
              <w:t>Level 3</w:t>
            </w:r>
          </w:p>
        </w:tc>
        <w:tc>
          <w:tcPr>
            <w:tcW w:w="80" w:type="dxa"/>
            <w:vAlign w:val="bottom"/>
          </w:tcPr>
          <w:p>
            <w:pPr>
              <w:spacing w:after="0"/>
              <w:rPr>
                <w:sz w:val="10"/>
                <w:szCs w:val="10"/>
                <w:color w:val="auto"/>
              </w:rPr>
            </w:pPr>
          </w:p>
        </w:tc>
        <w:tc>
          <w:tcPr>
            <w:tcW w:w="42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0"/>
                <w:szCs w:val="10"/>
                <w:color w:val="auto"/>
              </w:rPr>
            </w:pPr>
          </w:p>
        </w:tc>
      </w:tr>
      <w:tr>
        <w:trPr>
          <w:trHeight w:val="164"/>
        </w:trPr>
        <w:tc>
          <w:tcPr>
            <w:tcW w:w="468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Assets:</w:t>
            </w:r>
          </w:p>
        </w:tc>
        <w:tc>
          <w:tcPr>
            <w:tcW w:w="1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4"/>
        </w:trPr>
        <w:tc>
          <w:tcPr>
            <w:tcW w:w="4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Money market funds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57,952</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57,952</w:t>
            </w:r>
          </w:p>
        </w:tc>
        <w:tc>
          <w:tcPr>
            <w:tcW w:w="60" w:type="dxa"/>
            <w:vAlign w:val="bottom"/>
          </w:tcPr>
          <w:p>
            <w:pPr>
              <w:spacing w:after="0"/>
              <w:rPr>
                <w:sz w:val="16"/>
                <w:szCs w:val="16"/>
                <w:color w:val="auto"/>
              </w:rPr>
            </w:pPr>
          </w:p>
        </w:tc>
      </w:tr>
      <w:tr>
        <w:trPr>
          <w:trHeight w:val="23"/>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4"/>
        </w:trPr>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57,952</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57,952</w:t>
            </w:r>
          </w:p>
        </w:tc>
        <w:tc>
          <w:tcPr>
            <w:tcW w:w="60" w:type="dxa"/>
            <w:vAlign w:val="bottom"/>
            <w:shd w:val="clear" w:color="auto" w:fill="CCEEFF"/>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46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Six Months Ended June 30, 2020</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49"/>
        </w:trPr>
        <w:tc>
          <w:tcPr>
            <w:tcW w:w="46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Fair Value Measurements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8"/>
        </w:trPr>
        <w:tc>
          <w:tcPr>
            <w:tcW w:w="46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20" w:type="dxa"/>
            <w:vAlign w:val="bottom"/>
            <w:gridSpan w:val="2"/>
          </w:tcPr>
          <w:p>
            <w:pPr>
              <w:jc w:val="right"/>
              <w:ind w:right="3"/>
              <w:spacing w:after="0" w:line="118" w:lineRule="exact"/>
              <w:rPr>
                <w:sz w:val="20"/>
                <w:szCs w:val="20"/>
                <w:color w:val="auto"/>
              </w:rPr>
            </w:pPr>
            <w:r>
              <w:rPr>
                <w:rFonts w:ascii="Times New Roman" w:cs="Times New Roman" w:eastAsia="Times New Roman" w:hAnsi="Times New Roman"/>
                <w:sz w:val="12"/>
                <w:szCs w:val="12"/>
                <w:b w:val="1"/>
                <w:bCs w:val="1"/>
                <w:color w:val="auto"/>
              </w:rPr>
              <w:t>Level 1</w:t>
            </w:r>
          </w:p>
        </w:tc>
        <w:tc>
          <w:tcPr>
            <w:tcW w:w="700" w:type="dxa"/>
            <w:vAlign w:val="bottom"/>
            <w:gridSpan w:val="2"/>
          </w:tcPr>
          <w:p>
            <w:pPr>
              <w:ind w:left="300"/>
              <w:spacing w:after="0" w:line="118" w:lineRule="exact"/>
              <w:rPr>
                <w:sz w:val="20"/>
                <w:szCs w:val="20"/>
                <w:color w:val="auto"/>
              </w:rPr>
            </w:pPr>
            <w:r>
              <w:rPr>
                <w:rFonts w:ascii="Times New Roman" w:cs="Times New Roman" w:eastAsia="Times New Roman" w:hAnsi="Times New Roman"/>
                <w:sz w:val="12"/>
                <w:szCs w:val="12"/>
                <w:b w:val="1"/>
                <w:bCs w:val="1"/>
                <w:color w:val="auto"/>
              </w:rPr>
              <w:t>Level 2</w:t>
            </w:r>
          </w:p>
        </w:tc>
        <w:tc>
          <w:tcPr>
            <w:tcW w:w="102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2"/>
                <w:szCs w:val="12"/>
                <w:b w:val="1"/>
                <w:bCs w:val="1"/>
                <w:color w:val="auto"/>
              </w:rPr>
              <w:t>Level 3</w:t>
            </w:r>
          </w:p>
        </w:tc>
        <w:tc>
          <w:tcPr>
            <w:tcW w:w="80" w:type="dxa"/>
            <w:vAlign w:val="bottom"/>
          </w:tcPr>
          <w:p>
            <w:pPr>
              <w:spacing w:after="0"/>
              <w:rPr>
                <w:sz w:val="10"/>
                <w:szCs w:val="10"/>
                <w:color w:val="auto"/>
              </w:rPr>
            </w:pPr>
          </w:p>
        </w:tc>
        <w:tc>
          <w:tcPr>
            <w:tcW w:w="42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0"/>
                <w:szCs w:val="10"/>
                <w:color w:val="auto"/>
              </w:rPr>
            </w:pPr>
          </w:p>
        </w:tc>
      </w:tr>
      <w:tr>
        <w:trPr>
          <w:trHeight w:val="164"/>
        </w:trPr>
        <w:tc>
          <w:tcPr>
            <w:tcW w:w="468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Assets:</w:t>
            </w:r>
          </w:p>
        </w:tc>
        <w:tc>
          <w:tcPr>
            <w:tcW w:w="1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4"/>
        </w:trPr>
        <w:tc>
          <w:tcPr>
            <w:tcW w:w="46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Money market funds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53,135</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53,135</w:t>
            </w:r>
          </w:p>
        </w:tc>
        <w:tc>
          <w:tcPr>
            <w:tcW w:w="60" w:type="dxa"/>
            <w:vAlign w:val="bottom"/>
          </w:tcPr>
          <w:p>
            <w:pPr>
              <w:spacing w:after="0"/>
              <w:rPr>
                <w:sz w:val="16"/>
                <w:szCs w:val="16"/>
                <w:color w:val="auto"/>
              </w:rPr>
            </w:pPr>
          </w:p>
        </w:tc>
      </w:tr>
      <w:tr>
        <w:trPr>
          <w:trHeight w:val="23"/>
        </w:trPr>
        <w:tc>
          <w:tcPr>
            <w:tcW w:w="4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4"/>
        </w:trPr>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Total assets measured at 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53,135</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53,135</w:t>
            </w:r>
          </w:p>
        </w:tc>
        <w:tc>
          <w:tcPr>
            <w:tcW w:w="60" w:type="dxa"/>
            <w:vAlign w:val="bottom"/>
            <w:shd w:val="clear" w:color="auto" w:fill="CCEEFF"/>
          </w:tcPr>
          <w:p>
            <w:pPr>
              <w:spacing w:after="0"/>
              <w:rPr>
                <w:sz w:val="16"/>
                <w:szCs w:val="16"/>
                <w:color w:val="auto"/>
              </w:rPr>
            </w:pPr>
          </w:p>
        </w:tc>
      </w:tr>
      <w:tr>
        <w:trPr>
          <w:trHeight w:val="20"/>
        </w:trPr>
        <w:tc>
          <w:tcPr>
            <w:tcW w:w="4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Money Market Funds</w:t>
      </w:r>
    </w:p>
    <w:p>
      <w:pPr>
        <w:spacing w:after="0" w:line="200" w:lineRule="exact"/>
        <w:rPr>
          <w:sz w:val="20"/>
          <w:szCs w:val="20"/>
          <w:color w:val="auto"/>
        </w:rPr>
      </w:pPr>
    </w:p>
    <w:p>
      <w:pPr>
        <w:ind w:left="920" w:right="120" w:firstLine="753"/>
        <w:spacing w:after="0" w:line="268" w:lineRule="auto"/>
        <w:rPr>
          <w:sz w:val="20"/>
          <w:szCs w:val="20"/>
          <w:color w:val="auto"/>
        </w:rPr>
      </w:pPr>
      <w:r>
        <w:rPr>
          <w:rFonts w:ascii="Times New Roman" w:cs="Times New Roman" w:eastAsia="Times New Roman" w:hAnsi="Times New Roman"/>
          <w:sz w:val="15"/>
          <w:szCs w:val="15"/>
          <w:color w:val="auto"/>
        </w:rPr>
        <w:t xml:space="preserve">Money market fund holdings are included in cash and cash equivalents on the accompanying balance sheets and are classified within </w:t>
      </w:r>
      <w:r>
        <w:rPr>
          <w:rFonts w:ascii="Times New Roman" w:cs="Times New Roman" w:eastAsia="Times New Roman" w:hAnsi="Times New Roman"/>
          <w:sz w:val="15"/>
          <w:szCs w:val="15"/>
          <w:i w:val="1"/>
          <w:iCs w:val="1"/>
          <w:color w:val="auto"/>
        </w:rPr>
        <w:t xml:space="preserve">Level 1 </w:t>
      </w:r>
      <w:r>
        <w:rPr>
          <w:rFonts w:ascii="Times New Roman" w:cs="Times New Roman" w:eastAsia="Times New Roman" w:hAnsi="Times New Roman"/>
          <w:sz w:val="15"/>
          <w:szCs w:val="15"/>
          <w:color w:val="auto"/>
        </w:rPr>
        <w:t>of the fair value hierarchy because of its readily-available market prices in active markets that are publicly accessible at the measurement date.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These money market funds are invested in U.S. Treasury, bills, notes, and other obligations issued or guaranteed as to principal and interest by the U.S. Government or its agencies.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F-25</w:t>
      </w:r>
    </w:p>
    <w:p>
      <w:pPr>
        <w:sectPr>
          <w:pgSz w:w="11900" w:h="16838" w:orient="portrait"/>
          <w:cols w:equalWidth="0" w:num="1">
            <w:col w:w="10340"/>
          </w:cols>
          <w:pgMar w:left="320" w:top="410" w:right="1239" w:bottom="1440" w:gutter="0" w:footer="0" w:header="0"/>
        </w:sectPr>
      </w:pPr>
    </w:p>
    <w:bookmarkStart w:id="240" w:name="page241"/>
    <w:bookmarkEnd w:id="24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Convertible Promissory Notes – Derivative Liabilities</w:t>
      </w:r>
    </w:p>
    <w:p>
      <w:pPr>
        <w:spacing w:after="0" w:line="200" w:lineRule="exact"/>
        <w:rPr>
          <w:sz w:val="20"/>
          <w:szCs w:val="20"/>
          <w:color w:val="auto"/>
        </w:rPr>
      </w:pPr>
    </w:p>
    <w:p>
      <w:pPr>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Times New Roman" w:cs="Times New Roman" w:eastAsia="Times New Roman" w:hAnsi="Times New Roman"/>
          <w:sz w:val="15"/>
          <w:szCs w:val="15"/>
          <w:i w:val="1"/>
          <w:iCs w:val="1"/>
          <w:color w:val="auto"/>
        </w:rPr>
        <w:t>Note 9</w:t>
      </w:r>
      <w:r>
        <w:rPr>
          <w:rFonts w:ascii="Times New Roman" w:cs="Times New Roman" w:eastAsia="Times New Roman" w:hAnsi="Times New Roman"/>
          <w:sz w:val="15"/>
          <w:szCs w:val="15"/>
          <w:color w:val="auto"/>
        </w:rPr>
        <w:t xml:space="preserve">). The measurement of the derivative liabilities represents a </w:t>
      </w:r>
      <w:r>
        <w:rPr>
          <w:rFonts w:ascii="Times New Roman" w:cs="Times New Roman" w:eastAsia="Times New Roman" w:hAnsi="Times New Roman"/>
          <w:sz w:val="15"/>
          <w:szCs w:val="15"/>
          <w:i w:val="1"/>
          <w:iCs w:val="1"/>
          <w:color w:val="auto"/>
        </w:rPr>
        <w:t>Level 3</w:t>
      </w:r>
      <w:r>
        <w:rPr>
          <w:rFonts w:ascii="Times New Roman" w:cs="Times New Roman" w:eastAsia="Times New Roman" w:hAnsi="Times New Roman"/>
          <w:sz w:val="15"/>
          <w:szCs w:val="15"/>
          <w:color w:val="auto"/>
        </w:rPr>
        <w:t xml:space="preserve"> financial instrument:</w:t>
      </w:r>
    </w:p>
    <w:p>
      <w:pPr>
        <w:spacing w:after="0" w:line="150" w:lineRule="exact"/>
        <w:rPr>
          <w:sz w:val="20"/>
          <w:szCs w:val="20"/>
          <w:color w:val="auto"/>
        </w:rPr>
      </w:pPr>
    </w:p>
    <w:tbl>
      <w:tblPr>
        <w:tblLayout w:type="fixed"/>
        <w:tblInd w:w="2240" w:type="dxa"/>
        <w:tblCellMar>
          <w:top w:w="0" w:type="dxa"/>
          <w:left w:w="0" w:type="dxa"/>
          <w:bottom w:w="0" w:type="dxa"/>
          <w:right w:w="0" w:type="dxa"/>
        </w:tblCellMar>
      </w:tblPr>
      <w:tr>
        <w:trPr>
          <w:trHeight w:val="138"/>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Derivative</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76"/>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as of December 31, 2018</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Initial fair value of derivative liability upon issuance of May 2019 Notes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Initial fair value of derivative liability upon issuance of August 2019 Notes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Initial fair value of derivative liability upon issuance of October 2019 Notes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Revaluation of derivative liabilities included in other income (expense), net within the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Statement of Operations for the year ended December 31, 2019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20" w:type="dxa"/>
            <w:vAlign w:val="bottom"/>
          </w:tcPr>
          <w:p>
            <w:pPr>
              <w:spacing w:after="0"/>
              <w:rPr>
                <w:sz w:val="20"/>
                <w:szCs w:val="20"/>
                <w:color w:val="auto"/>
              </w:rPr>
            </w:pPr>
            <w:r>
              <w:rPr>
                <w:rFonts w:ascii="Times New Roman" w:cs="Times New Roman" w:eastAsia="Times New Roman" w:hAnsi="Times New Roman"/>
                <w:sz w:val="15"/>
                <w:szCs w:val="15"/>
                <w:color w:val="auto"/>
              </w:rPr>
              <w:t>Settlement of derivative liabilities through conversion of all Notes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(363)</w:t>
            </w: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as of December 31, 2019</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Fair value as of June 30, 2020</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tcPr>
          <w:p>
            <w:pPr>
              <w:jc w:val="right"/>
              <w:ind w:right="3"/>
              <w:spacing w:after="0" w:line="171"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right="340" w:firstLine="753"/>
        <w:spacing w:after="0" w:line="266" w:lineRule="auto"/>
        <w:rPr>
          <w:sz w:val="20"/>
          <w:szCs w:val="20"/>
          <w:color w:val="auto"/>
        </w:rPr>
      </w:pPr>
      <w:r>
        <w:rPr>
          <w:rFonts w:ascii="Times New Roman" w:cs="Times New Roman" w:eastAsia="Times New Roman" w:hAnsi="Times New Roman"/>
          <w:sz w:val="15"/>
          <w:szCs w:val="15"/>
          <w:color w:val="auto"/>
        </w:rPr>
        <w:t>The fair values of the derivative liabilities presented above were estimated at the date of issuance and at subsequent balance sheet dates using a two-step approach to valuation. Management utilized a probability-weighted valuation method and then compared the instrument’s</w:t>
      </w:r>
    </w:p>
    <w:p>
      <w:pPr>
        <w:spacing w:after="0" w:line="1" w:lineRule="exact"/>
        <w:rPr>
          <w:sz w:val="20"/>
          <w:szCs w:val="20"/>
          <w:color w:val="auto"/>
        </w:rPr>
      </w:pPr>
    </w:p>
    <w:p>
      <w:pPr>
        <w:ind w:left="920"/>
        <w:spacing w:after="0" w:line="260" w:lineRule="auto"/>
        <w:rPr>
          <w:sz w:val="20"/>
          <w:szCs w:val="20"/>
          <w:color w:val="auto"/>
        </w:rPr>
      </w:pPr>
      <w:r>
        <w:rPr>
          <w:rFonts w:ascii="Times New Roman" w:cs="Times New Roman" w:eastAsia="Times New Roman" w:hAnsi="Times New Roman"/>
          <w:sz w:val="15"/>
          <w:szCs w:val="15"/>
          <w:color w:val="auto"/>
        </w:rPr>
        <w:t xml:space="preserve">value with-and-without the derivative features in order to estimate their combined fair value, using unobservable inputs, which are classified as </w:t>
      </w:r>
      <w:r>
        <w:rPr>
          <w:rFonts w:ascii="Times New Roman" w:cs="Times New Roman" w:eastAsia="Times New Roman" w:hAnsi="Times New Roman"/>
          <w:sz w:val="15"/>
          <w:szCs w:val="15"/>
          <w:i w:val="1"/>
          <w:iCs w:val="1"/>
          <w:color w:val="auto"/>
        </w:rPr>
        <w:t>Level 3</w:t>
      </w:r>
      <w:r>
        <w:rPr>
          <w:rFonts w:ascii="Times New Roman" w:cs="Times New Roman" w:eastAsia="Times New Roman" w:hAnsi="Times New Roman"/>
          <w:sz w:val="15"/>
          <w:szCs w:val="15"/>
          <w:color w:val="auto"/>
        </w:rPr>
        <w:t xml:space="preserve"> within the fair value hierarchy. The significant inputs not included in the market and thus represents a </w:t>
      </w:r>
      <w:r>
        <w:rPr>
          <w:rFonts w:ascii="Times New Roman" w:cs="Times New Roman" w:eastAsia="Times New Roman" w:hAnsi="Times New Roman"/>
          <w:sz w:val="15"/>
          <w:szCs w:val="15"/>
          <w:i w:val="1"/>
          <w:iCs w:val="1"/>
          <w:color w:val="auto"/>
        </w:rPr>
        <w:t>Level 3</w:t>
      </w:r>
      <w:r>
        <w:rPr>
          <w:rFonts w:ascii="Times New Roman" w:cs="Times New Roman" w:eastAsia="Times New Roman" w:hAnsi="Times New Roman"/>
          <w:sz w:val="15"/>
          <w:szCs w:val="15"/>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Times New Roman" w:cs="Times New Roman" w:eastAsia="Times New Roman" w:hAnsi="Times New Roman"/>
          <w:sz w:val="15"/>
          <w:szCs w:val="15"/>
          <w:i w:val="1"/>
          <w:iCs w:val="1"/>
          <w:color w:val="auto"/>
        </w:rPr>
        <w:t>Note 9</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9. CONVERTIBLE PROMISSORY NOTES PAYABLE</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Overview of Notes and Conversion in December 2019</w:t>
      </w:r>
    </w:p>
    <w:p>
      <w:pPr>
        <w:spacing w:after="0" w:line="200"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w:t>
      </w:r>
    </w:p>
    <w:p>
      <w:pPr>
        <w:spacing w:after="0" w:line="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F-26</w:t>
      </w:r>
    </w:p>
    <w:p>
      <w:pPr>
        <w:sectPr>
          <w:pgSz w:w="11900" w:h="16838" w:orient="portrait"/>
          <w:cols w:equalWidth="0" w:num="1">
            <w:col w:w="10320"/>
          </w:cols>
          <w:pgMar w:left="320" w:top="410" w:right="1259" w:bottom="1440" w:gutter="0" w:footer="0" w:header="0"/>
        </w:sectPr>
      </w:pPr>
    </w:p>
    <w:bookmarkStart w:id="241" w:name="page242"/>
    <w:bookmarkEnd w:id="24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equity financing based on a conversion price equal to 90% of the issuance price paid by these new investors, or (ii) be repaid in full.</w:t>
      </w:r>
    </w:p>
    <w:p>
      <w:pPr>
        <w:spacing w:after="0" w:line="196" w:lineRule="exact"/>
        <w:rPr>
          <w:sz w:val="20"/>
          <w:szCs w:val="20"/>
          <w:color w:val="auto"/>
        </w:rPr>
      </w:pPr>
    </w:p>
    <w:p>
      <w:pPr>
        <w:jc w:val="both"/>
        <w:ind w:left="920" w:right="120" w:firstLine="753"/>
        <w:spacing w:after="0" w:line="293" w:lineRule="auto"/>
        <w:rPr>
          <w:sz w:val="20"/>
          <w:szCs w:val="20"/>
          <w:color w:val="auto"/>
        </w:rPr>
      </w:pPr>
      <w:r>
        <w:rPr>
          <w:rFonts w:ascii="Times New Roman" w:cs="Times New Roman" w:eastAsia="Times New Roman" w:hAnsi="Times New Roman"/>
          <w:sz w:val="15"/>
          <w:szCs w:val="15"/>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32" w:lineRule="exact"/>
        <w:rPr>
          <w:sz w:val="20"/>
          <w:szCs w:val="20"/>
          <w:color w:val="auto"/>
        </w:rPr>
      </w:pPr>
    </w:p>
    <w:p>
      <w:pPr>
        <w:ind w:left="920" w:right="360" w:firstLine="753"/>
        <w:spacing w:after="0" w:line="268" w:lineRule="auto"/>
        <w:rPr>
          <w:sz w:val="20"/>
          <w:szCs w:val="20"/>
          <w:color w:val="auto"/>
        </w:rPr>
      </w:pPr>
      <w:r>
        <w:rPr>
          <w:rFonts w:ascii="Times New Roman" w:cs="Times New Roman" w:eastAsia="Times New Roman" w:hAnsi="Times New Roman"/>
          <w:sz w:val="15"/>
          <w:szCs w:val="15"/>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48" w:lineRule="exact"/>
        <w:rPr>
          <w:sz w:val="20"/>
          <w:szCs w:val="20"/>
          <w:color w:val="auto"/>
        </w:rPr>
      </w:pPr>
    </w:p>
    <w:p>
      <w:pPr>
        <w:ind w:left="920" w:right="200" w:firstLine="753"/>
        <w:spacing w:after="0" w:line="270" w:lineRule="auto"/>
        <w:rPr>
          <w:sz w:val="20"/>
          <w:szCs w:val="20"/>
          <w:color w:val="auto"/>
        </w:rPr>
      </w:pPr>
      <w:r>
        <w:rPr>
          <w:rFonts w:ascii="Times New Roman" w:cs="Times New Roman" w:eastAsia="Times New Roman" w:hAnsi="Times New Roman"/>
          <w:sz w:val="15"/>
          <w:szCs w:val="15"/>
          <w:color w:val="auto"/>
        </w:rPr>
        <w:t xml:space="preserve">In December 2019, the Company completed an issuance of Series B Preferred Stock (see </w:t>
      </w:r>
      <w:r>
        <w:rPr>
          <w:rFonts w:ascii="Times New Roman" w:cs="Times New Roman" w:eastAsia="Times New Roman" w:hAnsi="Times New Roman"/>
          <w:sz w:val="15"/>
          <w:szCs w:val="15"/>
          <w:i w:val="1"/>
          <w:iCs w:val="1"/>
          <w:color w:val="auto"/>
        </w:rPr>
        <w:t>Note 5</w:t>
      </w:r>
      <w:r>
        <w:rPr>
          <w:rFonts w:ascii="Times New Roman" w:cs="Times New Roman" w:eastAsia="Times New Roman" w:hAnsi="Times New Roman"/>
          <w:sz w:val="15"/>
          <w:szCs w:val="15"/>
          <w:color w:val="auto"/>
        </w:rPr>
        <w:t>). Upon this issuance, the $2.0 million of Note principal value, along with accrued interest, were converted into 0.3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Embedded Derivative and its Accounting</w:t>
      </w:r>
    </w:p>
    <w:p>
      <w:pPr>
        <w:spacing w:after="0" w:line="200" w:lineRule="exact"/>
        <w:rPr>
          <w:sz w:val="20"/>
          <w:szCs w:val="20"/>
          <w:color w:val="auto"/>
        </w:rPr>
      </w:pPr>
    </w:p>
    <w:p>
      <w:pPr>
        <w:ind w:left="920" w:right="40" w:firstLine="753"/>
        <w:spacing w:after="0" w:line="264" w:lineRule="auto"/>
        <w:rPr>
          <w:sz w:val="20"/>
          <w:szCs w:val="20"/>
          <w:color w:val="auto"/>
        </w:rPr>
      </w:pPr>
      <w:r>
        <w:rPr>
          <w:rFonts w:ascii="Times New Roman" w:cs="Times New Roman" w:eastAsia="Times New Roman" w:hAnsi="Times New Roman"/>
          <w:sz w:val="15"/>
          <w:szCs w:val="15"/>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$6 thousand and $0.1 million for the six months ended June 30, 2019 and year ended December 31, 2019. As the Notes were converted in December 2019, no interest expense was recorded for the six months ended June 30, 2020.</w:t>
      </w:r>
    </w:p>
    <w:p>
      <w:pPr>
        <w:spacing w:after="0" w:line="153" w:lineRule="exact"/>
        <w:rPr>
          <w:sz w:val="20"/>
          <w:szCs w:val="20"/>
          <w:color w:val="auto"/>
        </w:rPr>
      </w:pPr>
    </w:p>
    <w:p>
      <w:pPr>
        <w:ind w:left="920" w:firstLine="753"/>
        <w:spacing w:after="0" w:line="266" w:lineRule="auto"/>
        <w:rPr>
          <w:sz w:val="20"/>
          <w:szCs w:val="20"/>
          <w:color w:val="auto"/>
        </w:rPr>
      </w:pPr>
      <w:r>
        <w:rPr>
          <w:rFonts w:ascii="Times New Roman" w:cs="Times New Roman" w:eastAsia="Times New Roman" w:hAnsi="Times New Roman"/>
          <w:sz w:val="15"/>
          <w:szCs w:val="15"/>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w:t>
      </w:r>
    </w:p>
    <w:p>
      <w:pPr>
        <w:spacing w:after="0" w:line="1" w:lineRule="exact"/>
        <w:rPr>
          <w:sz w:val="20"/>
          <w:szCs w:val="20"/>
          <w:color w:val="auto"/>
        </w:rPr>
      </w:pPr>
    </w:p>
    <w:p>
      <w:pPr>
        <w:ind w:left="920" w:right="60"/>
        <w:spacing w:after="0" w:line="264" w:lineRule="auto"/>
        <w:rPr>
          <w:sz w:val="20"/>
          <w:szCs w:val="20"/>
          <w:color w:val="auto"/>
        </w:rPr>
      </w:pPr>
      <w:r>
        <w:rPr>
          <w:rFonts w:ascii="Times New Roman" w:cs="Times New Roman" w:eastAsia="Times New Roman" w:hAnsi="Times New Roman"/>
          <w:sz w:val="15"/>
          <w:szCs w:val="15"/>
          <w:color w:val="auto"/>
        </w:rPr>
        <w:t>$0.1 million for the year ended December 31, 2019. We did not recognize any changes in fair value of derivative liabilities during the six months ended June 30, 2019. As the Notes were converted in December 2019, no other expense related to changes in fair value of derivative liabilities was recorded for the six months ended June 30, 2020.</w:t>
      </w:r>
    </w:p>
    <w:p>
      <w:pPr>
        <w:spacing w:after="0" w:line="150" w:lineRule="exact"/>
        <w:rPr>
          <w:sz w:val="20"/>
          <w:szCs w:val="20"/>
          <w:color w:val="auto"/>
        </w:rPr>
      </w:pPr>
    </w:p>
    <w:p>
      <w:pPr>
        <w:ind w:left="1160" w:hanging="240"/>
        <w:spacing w:after="0"/>
        <w:tabs>
          <w:tab w:leader="none" w:pos="1160" w:val="left"/>
        </w:tabs>
        <w:numPr>
          <w:ilvl w:val="0"/>
          <w:numId w:val="1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&amp; CONTINGENCIES</w:t>
      </w:r>
    </w:p>
    <w:p>
      <w:pPr>
        <w:spacing w:after="0" w:line="196" w:lineRule="exact"/>
        <w:rPr>
          <w:rFonts w:ascii="Times New Roman" w:cs="Times New Roman" w:eastAsia="Times New Roman" w:hAnsi="Times New Roman"/>
          <w:sz w:val="15"/>
          <w:szCs w:val="15"/>
          <w:b w:val="1"/>
          <w:bCs w:val="1"/>
          <w:color w:val="auto"/>
        </w:rPr>
      </w:pPr>
    </w:p>
    <w:p>
      <w:pPr>
        <w:ind w:left="9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 Facility Leases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200" w:lineRule="exact"/>
        <w:rPr>
          <w:sz w:val="20"/>
          <w:szCs w:val="20"/>
          <w:color w:val="auto"/>
        </w:rPr>
      </w:pPr>
    </w:p>
    <w:p>
      <w:pPr>
        <w:ind w:left="920" w:right="480" w:firstLine="753"/>
        <w:spacing w:after="0" w:line="293" w:lineRule="auto"/>
        <w:rPr>
          <w:sz w:val="20"/>
          <w:szCs w:val="20"/>
          <w:color w:val="auto"/>
        </w:rPr>
      </w:pPr>
      <w:r>
        <w:rPr>
          <w:rFonts w:ascii="Times New Roman" w:cs="Times New Roman" w:eastAsia="Times New Roman" w:hAnsi="Times New Roman"/>
          <w:sz w:val="15"/>
          <w:szCs w:val="15"/>
          <w:color w:val="auto"/>
        </w:rPr>
        <w:t>In the ordinary course of business, the Company enters lease agreements with unaffiliated parties for the use of office and laboratory facilities and office equipment. As of December 31, 2019, the Company had one</w:t>
      </w:r>
    </w:p>
    <w:p>
      <w:pPr>
        <w:spacing w:after="0" w:line="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F-27</w:t>
      </w:r>
    </w:p>
    <w:p>
      <w:pPr>
        <w:sectPr>
          <w:pgSz w:w="11900" w:h="16838" w:orient="portrait"/>
          <w:cols w:equalWidth="0" w:num="1">
            <w:col w:w="10300"/>
          </w:cols>
          <w:pgMar w:left="320" w:top="410" w:right="1279" w:bottom="1440" w:gutter="0" w:footer="0" w:header="0"/>
        </w:sectPr>
      </w:pPr>
    </w:p>
    <w:bookmarkStart w:id="242" w:name="page243"/>
    <w:bookmarkEnd w:id="24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line="270" w:lineRule="auto"/>
        <w:rPr>
          <w:sz w:val="20"/>
          <w:szCs w:val="20"/>
          <w:color w:val="auto"/>
        </w:rPr>
      </w:pPr>
      <w:r>
        <w:rPr>
          <w:rFonts w:ascii="Times New Roman" w:cs="Times New Roman" w:eastAsia="Times New Roman" w:hAnsi="Times New Roman"/>
          <w:sz w:val="15"/>
          <w:szCs w:val="15"/>
          <w:color w:val="auto"/>
        </w:rPr>
        <w:t xml:space="preserve">active facility lease in Irvine, California, that commenced on March 1, 2019 and expires April 30, 2022 (see </w:t>
      </w:r>
      <w:r>
        <w:rPr>
          <w:rFonts w:ascii="Times New Roman" w:cs="Times New Roman" w:eastAsia="Times New Roman" w:hAnsi="Times New Roman"/>
          <w:sz w:val="15"/>
          <w:szCs w:val="15"/>
          <w:i w:val="1"/>
          <w:iCs w:val="1"/>
          <w:color w:val="auto"/>
        </w:rPr>
        <w:t>Note 12</w:t>
      </w:r>
      <w:r>
        <w:rPr>
          <w:rFonts w:ascii="Times New Roman" w:cs="Times New Roman" w:eastAsia="Times New Roman" w:hAnsi="Times New Roman"/>
          <w:sz w:val="15"/>
          <w:szCs w:val="15"/>
          <w:color w:val="auto"/>
        </w:rPr>
        <w:t>).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50" w:lineRule="exact"/>
        <w:rPr>
          <w:sz w:val="20"/>
          <w:szCs w:val="20"/>
          <w:color w:val="auto"/>
        </w:rPr>
      </w:pPr>
    </w:p>
    <w:p>
      <w:pPr>
        <w:ind w:left="920" w:right="140" w:firstLine="753"/>
        <w:spacing w:after="0" w:line="265" w:lineRule="auto"/>
        <w:rPr>
          <w:sz w:val="20"/>
          <w:szCs w:val="20"/>
          <w:color w:val="auto"/>
        </w:rPr>
      </w:pPr>
      <w:r>
        <w:rPr>
          <w:rFonts w:ascii="Times New Roman" w:cs="Times New Roman" w:eastAsia="Times New Roman" w:hAnsi="Times New Roman"/>
          <w:sz w:val="15"/>
          <w:szCs w:val="15"/>
          <w:color w:val="auto"/>
        </w:rPr>
        <w:t>The Company entered into two additional facility leases that commenced on June 1, 2020 for adjacent administrative and laboratory suites in Irvine, California. These leases expire on January 31, 2024. One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54"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2018 and 2019 and during the six months ended June 30, 2020, the Company had no sublease arrangements with it as lessor.</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Adoption of New Lease Standard, Topic 842</w:t>
      </w:r>
    </w:p>
    <w:p>
      <w:pPr>
        <w:spacing w:after="0" w:line="196" w:lineRule="exact"/>
        <w:rPr>
          <w:sz w:val="20"/>
          <w:szCs w:val="20"/>
          <w:color w:val="auto"/>
        </w:rPr>
      </w:pPr>
    </w:p>
    <w:p>
      <w:pPr>
        <w:ind w:left="920" w:firstLine="753"/>
        <w:spacing w:after="0" w:line="263" w:lineRule="auto"/>
        <w:rPr>
          <w:sz w:val="20"/>
          <w:szCs w:val="20"/>
          <w:color w:val="auto"/>
        </w:rPr>
      </w:pPr>
      <w:r>
        <w:rPr>
          <w:rFonts w:ascii="Times New Roman" w:cs="Times New Roman" w:eastAsia="Times New Roman" w:hAnsi="Times New Roman"/>
          <w:sz w:val="15"/>
          <w:szCs w:val="15"/>
          <w:color w:val="auto"/>
        </w:rPr>
        <w:t>Beginning January 1, 2019, the Company adopted ASU 2016-02</w:t>
      </w:r>
      <w:r>
        <w:rPr>
          <w:rFonts w:ascii="Times New Roman" w:cs="Times New Roman" w:eastAsia="Times New Roman" w:hAnsi="Times New Roman"/>
          <w:sz w:val="15"/>
          <w:szCs w:val="15"/>
          <w:i w:val="1"/>
          <w:iCs w:val="1"/>
          <w:color w:val="auto"/>
        </w:rPr>
        <w:t>, Leases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Topic 842</w:t>
      </w:r>
      <w:r>
        <w:rPr>
          <w:rFonts w:ascii="Times New Roman" w:cs="Times New Roman" w:eastAsia="Times New Roman" w:hAnsi="Times New Roman"/>
          <w:sz w:val="15"/>
          <w:szCs w:val="15"/>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w:t>
      </w:r>
    </w:p>
    <w:p>
      <w:pPr>
        <w:ind w:left="920"/>
        <w:spacing w:after="0" w:line="273" w:lineRule="auto"/>
        <w:tabs>
          <w:tab w:leader="none" w:pos="1138"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142" w:lineRule="exact"/>
        <w:rPr>
          <w:sz w:val="20"/>
          <w:szCs w:val="20"/>
          <w:color w:val="auto"/>
        </w:rPr>
      </w:pPr>
    </w:p>
    <w:p>
      <w:pPr>
        <w:ind w:left="920" w:right="40" w:firstLine="753"/>
        <w:spacing w:after="0" w:line="262" w:lineRule="auto"/>
        <w:rPr>
          <w:sz w:val="20"/>
          <w:szCs w:val="20"/>
          <w:color w:val="auto"/>
        </w:rPr>
      </w:pPr>
      <w:r>
        <w:rPr>
          <w:rFonts w:ascii="Times New Roman" w:cs="Times New Roman" w:eastAsia="Times New Roman" w:hAnsi="Times New Roman"/>
          <w:sz w:val="15"/>
          <w:szCs w:val="15"/>
          <w:color w:val="auto"/>
        </w:rPr>
        <w:t xml:space="preserve">As part of applying </w:t>
      </w:r>
      <w:r>
        <w:rPr>
          <w:rFonts w:ascii="Times New Roman" w:cs="Times New Roman" w:eastAsia="Times New Roman" w:hAnsi="Times New Roman"/>
          <w:sz w:val="15"/>
          <w:szCs w:val="15"/>
          <w:i w:val="1"/>
          <w:iCs w:val="1"/>
          <w:color w:val="auto"/>
        </w:rPr>
        <w:t>Topic 842</w:t>
      </w:r>
      <w:r>
        <w:rPr>
          <w:rFonts w:ascii="Times New Roman" w:cs="Times New Roman" w:eastAsia="Times New Roman" w:hAnsi="Times New Roman"/>
          <w:sz w:val="15"/>
          <w:szCs w:val="15"/>
          <w:color w:val="auto"/>
        </w:rPr>
        <w:t>,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Components of Lease Expense</w:t>
      </w:r>
    </w:p>
    <w:p>
      <w:pPr>
        <w:spacing w:after="0" w:line="200" w:lineRule="exact"/>
        <w:rPr>
          <w:sz w:val="20"/>
          <w:szCs w:val="20"/>
          <w:color w:val="auto"/>
        </w:rPr>
      </w:pPr>
    </w:p>
    <w:p>
      <w:pPr>
        <w:ind w:left="920" w:right="100" w:firstLine="753"/>
        <w:spacing w:after="0" w:line="293" w:lineRule="auto"/>
        <w:rPr>
          <w:sz w:val="20"/>
          <w:szCs w:val="20"/>
          <w:color w:val="auto"/>
        </w:rPr>
      </w:pPr>
      <w:r>
        <w:rPr>
          <w:rFonts w:ascii="Times New Roman" w:cs="Times New Roman" w:eastAsia="Times New Roman" w:hAnsi="Times New Roman"/>
          <w:sz w:val="15"/>
          <w:szCs w:val="15"/>
          <w:color w:val="auto"/>
        </w:rPr>
        <w:t>The liability associated with each lease is amortized over the respective lease term using the effective interest rate method. The Company’s right-of-use asset is amortized over the lease term on a straight-line basis to</w:t>
      </w:r>
    </w:p>
    <w:p>
      <w:pPr>
        <w:spacing w:after="0" w:line="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F-28</w:t>
      </w:r>
    </w:p>
    <w:p>
      <w:pPr>
        <w:sectPr>
          <w:pgSz w:w="11900" w:h="16838" w:orient="portrait"/>
          <w:cols w:equalWidth="0" w:num="1">
            <w:col w:w="10320"/>
          </w:cols>
          <w:pgMar w:left="320" w:top="410" w:right="1259" w:bottom="1440" w:gutter="0" w:footer="0" w:header="0"/>
        </w:sectPr>
      </w:pPr>
    </w:p>
    <w:bookmarkStart w:id="243" w:name="page244"/>
    <w:bookmarkEnd w:id="24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920" w:right="80"/>
        <w:spacing w:after="0" w:line="265" w:lineRule="auto"/>
        <w:rPr>
          <w:sz w:val="20"/>
          <w:szCs w:val="20"/>
          <w:color w:val="auto"/>
        </w:rPr>
      </w:pPr>
      <w:r>
        <w:rPr>
          <w:rFonts w:ascii="Times New Roman" w:cs="Times New Roman" w:eastAsia="Times New Roman" w:hAnsi="Times New Roman"/>
          <w:sz w:val="15"/>
          <w:szCs w:val="15"/>
          <w:color w:val="auto"/>
        </w:rPr>
        <w:t>lease expense, as reported on an allocated basis within “research and development” and “general and administrative” expenses on the accompanying Statements of Operations and Comprehensive Loss. For the six months ended June 30, 2019, year ended December 31, 2019, and the six months ended June 30, 2020, the Company recognized $21 thousand, $0.1 million, and $0.1 million for lease expense, respectively. There were no variable lease payments, including non-lease components such as common area maintenance fees, recognized as lease expense for the year ended December 31, 2019 or for the six months ended June 30, 2020.</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Weighted-Average Remaining Lease Term and Applied Discount Rate</w:t>
      </w:r>
    </w:p>
    <w:p>
      <w:pPr>
        <w:spacing w:after="0" w:line="200" w:lineRule="exact"/>
        <w:rPr>
          <w:sz w:val="20"/>
          <w:szCs w:val="20"/>
          <w:color w:val="auto"/>
        </w:rPr>
      </w:pPr>
    </w:p>
    <w:p>
      <w:pPr>
        <w:ind w:left="920" w:right="100" w:firstLine="753"/>
        <w:spacing w:after="0" w:line="265" w:lineRule="auto"/>
        <w:rPr>
          <w:sz w:val="20"/>
          <w:szCs w:val="20"/>
          <w:color w:val="auto"/>
        </w:rPr>
      </w:pPr>
      <w:r>
        <w:rPr>
          <w:rFonts w:ascii="Times New Roman" w:cs="Times New Roman" w:eastAsia="Times New Roman" w:hAnsi="Times New Roman"/>
          <w:sz w:val="15"/>
          <w:szCs w:val="15"/>
          <w:color w:val="auto"/>
        </w:rPr>
        <w:t>The Company had one active lease for its Irvine office and laboratory facility, with a remaining lease term of two years and four months as of December 31, 2019 and a remaining lease term of one year and 10 months as of June 30, 2020. The Company had two additional facility leases commence on June 1, 2020, with remaining lease terms of 43 months as of June 30, 2020. The estimated incremental borrowing rate of 10% is utilized to present value future minimum lease payments since an implicit interest rate is not readily determinable each lease. The weighted average remaining lease term for the Company’s leases as of June 30, 2020 is 40 months.</w:t>
      </w:r>
    </w:p>
    <w:p>
      <w:pPr>
        <w:spacing w:after="0" w:line="1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Future Contractual Lease Payments as of December 31, 2019 and June 30, 2020</w:t>
      </w:r>
    </w:p>
    <w:p>
      <w:pPr>
        <w:spacing w:after="0" w:line="200" w:lineRule="exact"/>
        <w:rPr>
          <w:sz w:val="20"/>
          <w:szCs w:val="20"/>
          <w:color w:val="auto"/>
        </w:rPr>
      </w:pPr>
    </w:p>
    <w:p>
      <w:pPr>
        <w:ind w:left="920" w:firstLine="753"/>
        <w:spacing w:after="0" w:line="293" w:lineRule="auto"/>
        <w:rPr>
          <w:sz w:val="20"/>
          <w:szCs w:val="20"/>
          <w:color w:val="auto"/>
        </w:rPr>
      </w:pPr>
      <w:r>
        <w:rPr>
          <w:rFonts w:ascii="Times New Roman" w:cs="Times New Roman" w:eastAsia="Times New Roman" w:hAnsi="Times New Roman"/>
          <w:sz w:val="15"/>
          <w:szCs w:val="15"/>
          <w:color w:val="auto"/>
        </w:rPr>
        <w:t>The below table summarizes the (i) minimum lease payments over the next five years and thereafter, (ii) lease arrangement imputed interest, and (iii) present value of future lease payments:</w:t>
      </w:r>
    </w:p>
    <w:p>
      <w:pPr>
        <w:spacing w:after="0" w:line="137" w:lineRule="exact"/>
        <w:rPr>
          <w:sz w:val="20"/>
          <w:szCs w:val="20"/>
          <w:color w:val="auto"/>
        </w:rPr>
      </w:pPr>
    </w:p>
    <w:tbl>
      <w:tblPr>
        <w:tblLayout w:type="fixed"/>
        <w:tblInd w:w="2240" w:type="dxa"/>
        <w:tblCellMar>
          <w:top w:w="0" w:type="dxa"/>
          <w:left w:w="0" w:type="dxa"/>
          <w:bottom w:w="0" w:type="dxa"/>
          <w:right w:w="0" w:type="dxa"/>
        </w:tblCellMar>
      </w:tblPr>
      <w:tr>
        <w:trPr>
          <w:trHeight w:val="138"/>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Operating Leases - future payments</w:t>
            </w: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7"/>
        </w:trPr>
        <w:tc>
          <w:tcPr>
            <w:tcW w:w="2920" w:type="dxa"/>
            <w:vAlign w:val="bottom"/>
            <w:gridSpan w:val="2"/>
            <w:vMerge w:val="continue"/>
          </w:tcPr>
          <w:p>
            <w:pPr>
              <w:spacing w:after="0"/>
              <w:rPr>
                <w:sz w:val="13"/>
                <w:szCs w:val="13"/>
                <w:color w:val="auto"/>
              </w:rPr>
            </w:pPr>
          </w:p>
        </w:tc>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2020</w:t>
            </w:r>
          </w:p>
        </w:tc>
        <w:tc>
          <w:tcPr>
            <w:tcW w:w="1020" w:type="dxa"/>
            <w:vAlign w:val="bottom"/>
            <w:tcBorders>
              <w:top w:val="single" w:sz="8" w:color="CCEEFF"/>
            </w:tcBorders>
            <w:shd w:val="clear" w:color="auto" w:fill="CCEEFF"/>
          </w:tcPr>
          <w:p>
            <w:pPr>
              <w:spacing w:after="0"/>
              <w:rPr>
                <w:sz w:val="14"/>
                <w:szCs w:val="14"/>
                <w:color w:val="auto"/>
              </w:rPr>
            </w:pPr>
          </w:p>
        </w:tc>
        <w:tc>
          <w:tcPr>
            <w:tcW w:w="29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77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10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future lease payments, undiscounted</w:t>
            </w: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2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88"/>
        </w:trPr>
        <w:tc>
          <w:tcPr>
            <w:tcW w:w="2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Present value of operating lease payments</w:t>
            </w: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Operating Leases - future payments</w:t>
            </w:r>
          </w:p>
        </w:tc>
        <w:tc>
          <w:tcPr>
            <w:tcW w:w="1020" w:type="dxa"/>
            <w:vAlign w:val="bottom"/>
            <w:vMerge w:val="restart"/>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20" w:type="dxa"/>
            <w:vAlign w:val="bottom"/>
            <w:tcBorders>
              <w:top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2020 (remaining six months)</w:t>
            </w:r>
          </w:p>
        </w:tc>
        <w:tc>
          <w:tcPr>
            <w:tcW w:w="29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7"/>
              <w:spacing w:after="0" w:line="168"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24</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10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298</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281</w:t>
            </w: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0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future lease payments, undiscounted</w:t>
            </w:r>
          </w:p>
        </w:tc>
        <w:tc>
          <w:tcPr>
            <w:tcW w:w="2980" w:type="dxa"/>
            <w:vAlign w:val="bottom"/>
          </w:tcPr>
          <w:p>
            <w:pPr>
              <w:spacing w:after="0"/>
              <w:rPr>
                <w:sz w:val="16"/>
                <w:szCs w:val="16"/>
                <w:color w:val="auto"/>
              </w:rPr>
            </w:pPr>
          </w:p>
        </w:tc>
        <w:tc>
          <w:tcPr>
            <w:tcW w:w="16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2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(183)</w:t>
            </w:r>
          </w:p>
        </w:tc>
        <w:tc>
          <w:tcPr>
            <w:tcW w:w="0" w:type="dxa"/>
            <w:vAlign w:val="bottom"/>
          </w:tcPr>
          <w:p>
            <w:pPr>
              <w:spacing w:after="0"/>
              <w:rPr>
                <w:sz w:val="1"/>
                <w:szCs w:val="1"/>
                <w:color w:val="auto"/>
              </w:rPr>
            </w:pPr>
          </w:p>
        </w:tc>
      </w:tr>
      <w:tr>
        <w:trPr>
          <w:trHeight w:val="188"/>
        </w:trPr>
        <w:tc>
          <w:tcPr>
            <w:tcW w:w="2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Present value of operating lease payments</w:t>
            </w:r>
          </w:p>
        </w:tc>
        <w:tc>
          <w:tcPr>
            <w:tcW w:w="298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40" w:type="dxa"/>
            <w:vAlign w:val="bottom"/>
            <w:gridSpan w:val="3"/>
          </w:tcPr>
          <w:p>
            <w:pPr>
              <w:jc w:val="right"/>
              <w:ind w:right="2467"/>
              <w:spacing w:after="0"/>
              <w:rPr>
                <w:sz w:val="20"/>
                <w:szCs w:val="20"/>
                <w:color w:val="auto"/>
              </w:rPr>
            </w:pPr>
            <w:r>
              <w:rPr>
                <w:rFonts w:ascii="Times New Roman" w:cs="Times New Roman" w:eastAsia="Times New Roman" w:hAnsi="Times New Roman"/>
                <w:sz w:val="15"/>
                <w:szCs w:val="15"/>
                <w:color w:val="auto"/>
              </w:rPr>
              <w:t>F-29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10" w:right="1279" w:bottom="1440" w:gutter="0" w:footer="0" w:header="0"/>
        </w:sectPr>
      </w:pPr>
    </w:p>
    <w:bookmarkStart w:id="244" w:name="page245"/>
    <w:bookmarkEnd w:id="24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(b) In-License Agreement for Lotilaner</w:t>
      </w:r>
    </w:p>
    <w:p>
      <w:pPr>
        <w:spacing w:after="0" w:line="200" w:lineRule="exact"/>
        <w:rPr>
          <w:sz w:val="20"/>
          <w:szCs w:val="20"/>
          <w:color w:val="auto"/>
        </w:rPr>
      </w:pPr>
    </w:p>
    <w:p>
      <w:pPr>
        <w:ind w:left="920" w:right="280" w:firstLine="753"/>
        <w:spacing w:after="0" w:line="268" w:lineRule="auto"/>
        <w:rPr>
          <w:sz w:val="20"/>
          <w:szCs w:val="20"/>
          <w:color w:val="auto"/>
        </w:rPr>
      </w:pPr>
      <w:r>
        <w:rPr>
          <w:rFonts w:ascii="Times New Roman" w:cs="Times New Roman" w:eastAsia="Times New Roman" w:hAnsi="Times New Roman"/>
          <w:sz w:val="15"/>
          <w:szCs w:val="15"/>
          <w:color w:val="auto"/>
        </w:rPr>
        <w:t xml:space="preserve">In January 2019, the Company entered into a license agreement with Elanco Tiergesundheit AG (“Elanco”), granting the Company a worldwide, sublicensable license for the development and marketing of lotilaner for the treatment or cure of any eye or skin disease or condition in humans (see </w:t>
      </w:r>
      <w:r>
        <w:rPr>
          <w:rFonts w:ascii="Times New Roman" w:cs="Times New Roman" w:eastAsia="Times New Roman" w:hAnsi="Times New Roman"/>
          <w:sz w:val="15"/>
          <w:szCs w:val="15"/>
          <w:i w:val="1"/>
          <w:iCs w:val="1"/>
          <w:color w:val="auto"/>
        </w:rPr>
        <w:t>Note 12</w:t>
      </w:r>
      <w:r>
        <w:rPr>
          <w:rFonts w:ascii="Times New Roman" w:cs="Times New Roman" w:eastAsia="Times New Roman" w:hAnsi="Times New Roman"/>
          <w:sz w:val="15"/>
          <w:szCs w:val="15"/>
          <w:color w:val="auto"/>
        </w:rPr>
        <w:t>) (the “Field”). Under this agreement, the Company has sole responsibility for development, regulatory, and commercialization activities for lotilaner in the Field.</w:t>
      </w:r>
    </w:p>
    <w:p>
      <w:pPr>
        <w:spacing w:after="0" w:line="152" w:lineRule="exact"/>
        <w:rPr>
          <w:sz w:val="20"/>
          <w:szCs w:val="20"/>
          <w:color w:val="auto"/>
        </w:rPr>
      </w:pPr>
    </w:p>
    <w:p>
      <w:pPr>
        <w:jc w:val="both"/>
        <w:ind w:left="920" w:right="220" w:firstLine="753"/>
        <w:spacing w:after="0" w:line="263" w:lineRule="auto"/>
        <w:rPr>
          <w:sz w:val="20"/>
          <w:szCs w:val="20"/>
          <w:color w:val="auto"/>
        </w:rPr>
      </w:pPr>
      <w:r>
        <w:rPr>
          <w:rFonts w:ascii="Times New Roman" w:cs="Times New Roman" w:eastAsia="Times New Roman" w:hAnsi="Times New Roman"/>
          <w:sz w:val="15"/>
          <w:szCs w:val="15"/>
          <w:color w:val="auto"/>
        </w:rPr>
        <w:t>The Company made a $1.0 million upfront payment at contract execution which is reported within “research and development” expense within the accompanying statements of operations and comprehensive loss for the six months ended June 30, 2019 and the year ended December 31, 2019. The Company agreed to make further payments to Elanco upon achievement of various clinical milestones for an aggregate maximum of</w:t>
      </w:r>
    </w:p>
    <w:p>
      <w:pPr>
        <w:spacing w:after="0" w:line="1" w:lineRule="exact"/>
        <w:rPr>
          <w:sz w:val="20"/>
          <w:szCs w:val="20"/>
          <w:color w:val="auto"/>
        </w:rPr>
      </w:pPr>
    </w:p>
    <w:p>
      <w:pPr>
        <w:ind w:left="920" w:right="60"/>
        <w:spacing w:after="0" w:line="262" w:lineRule="auto"/>
        <w:rPr>
          <w:sz w:val="20"/>
          <w:szCs w:val="20"/>
          <w:color w:val="auto"/>
        </w:rPr>
      </w:pPr>
      <w:r>
        <w:rPr>
          <w:rFonts w:ascii="Times New Roman" w:cs="Times New Roman" w:eastAsia="Times New Roman" w:hAnsi="Times New Roman"/>
          <w:sz w:val="15"/>
          <w:szCs w:val="15"/>
          <w:color w:val="auto"/>
        </w:rPr>
        <w:t>$6.0 million and various commercial and sales threshold milestones for an aggregate maximum of $79.0 million. In addition, the Company is obligated to pay contractual royalties to Elanco in the single digits of its future net sales. If the Company receives payments from future sublicensees, it is obligated to pay Elanco a variable percentage in the low to mid double-digits of such proceeds, except for territories in which the Company achieved regulatory approval prior to sublicense execution.</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(c) Employment Agreements</w:t>
      </w:r>
    </w:p>
    <w:p>
      <w:pPr>
        <w:spacing w:after="0" w:line="200"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The Company has entered into employment agreements with four of its named executive officers. These agreements provide for the payment of certain benefits upon separation of employment under specified circumstances, such as in connection with a change in control event or other significant transaction.</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(d) Contingencies</w:t>
      </w:r>
    </w:p>
    <w:p>
      <w:pPr>
        <w:spacing w:after="0" w:line="200" w:lineRule="exact"/>
        <w:rPr>
          <w:sz w:val="20"/>
          <w:szCs w:val="20"/>
          <w:color w:val="auto"/>
        </w:rPr>
      </w:pPr>
    </w:p>
    <w:p>
      <w:pPr>
        <w:ind w:left="920" w:right="100" w:firstLine="753"/>
        <w:spacing w:after="0" w:line="275" w:lineRule="auto"/>
        <w:rPr>
          <w:sz w:val="20"/>
          <w:szCs w:val="20"/>
          <w:color w:val="auto"/>
        </w:rPr>
      </w:pPr>
      <w:r>
        <w:rPr>
          <w:rFonts w:ascii="Times New Roman" w:cs="Times New Roman" w:eastAsia="Times New Roman" w:hAnsi="Times New Roman"/>
          <w:sz w:val="15"/>
          <w:szCs w:val="15"/>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 for financial statement recognition.</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(e) Indemnities and Guarantees</w:t>
      </w:r>
    </w:p>
    <w:p>
      <w:pPr>
        <w:spacing w:after="0" w:line="200"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F-30</w:t>
      </w:r>
    </w:p>
    <w:p>
      <w:pPr>
        <w:sectPr>
          <w:pgSz w:w="11900" w:h="16838" w:orient="portrait"/>
          <w:cols w:equalWidth="0" w:num="1">
            <w:col w:w="10280"/>
          </w:cols>
          <w:pgMar w:left="320" w:top="410" w:right="1299" w:bottom="1440" w:gutter="0" w:footer="0" w:header="0"/>
        </w:sectPr>
      </w:pPr>
    </w:p>
    <w:bookmarkStart w:id="245" w:name="page246"/>
    <w:bookmarkEnd w:id="24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11. INCOME TAXES</w:t>
      </w:r>
    </w:p>
    <w:p>
      <w:pPr>
        <w:spacing w:after="0" w:line="200" w:lineRule="exact"/>
        <w:rPr>
          <w:sz w:val="20"/>
          <w:szCs w:val="20"/>
          <w:color w:val="auto"/>
        </w:rPr>
      </w:pPr>
    </w:p>
    <w:p>
      <w:pPr>
        <w:ind w:left="920" w:right="240" w:firstLine="753"/>
        <w:spacing w:after="0" w:line="293" w:lineRule="auto"/>
        <w:rPr>
          <w:sz w:val="20"/>
          <w:szCs w:val="20"/>
          <w:color w:val="auto"/>
        </w:rPr>
      </w:pPr>
      <w:r>
        <w:rPr>
          <w:rFonts w:ascii="Times New Roman" w:cs="Times New Roman" w:eastAsia="Times New Roman" w:hAnsi="Times New Roman"/>
          <w:sz w:val="15"/>
          <w:szCs w:val="15"/>
          <w:color w:val="auto"/>
        </w:rPr>
        <w:t>A reconciliation of income taxes was computed by applying the statutory federal income tax rate in each period to the pretax loss for the years ended December 31, 2018 and 2019, and as adjusted for certain classes of transactions, as summarized below:</w:t>
      </w:r>
    </w:p>
    <w:p>
      <w:pPr>
        <w:spacing w:after="0" w:line="148"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2"/>
          <w:szCs w:val="12"/>
          <w:b w:val="1"/>
          <w:bCs w:val="1"/>
          <w:color w:val="auto"/>
        </w:rPr>
        <w:t>Year Ended</w:t>
      </w:r>
    </w:p>
    <w:p>
      <w:pPr>
        <w:jc w:val="center"/>
        <w:ind w:left="5360"/>
        <w:spacing w:after="0"/>
        <w:rPr>
          <w:sz w:val="20"/>
          <w:szCs w:val="20"/>
          <w:color w:val="auto"/>
        </w:rPr>
      </w:pPr>
      <w:r>
        <w:rPr>
          <w:rFonts w:ascii="Times New Roman" w:cs="Times New Roman" w:eastAsia="Times New Roman" w:hAnsi="Times New Roman"/>
          <w:sz w:val="12"/>
          <w:szCs w:val="12"/>
          <w:b w:val="1"/>
          <w:bCs w:val="1"/>
          <w:color w:val="auto"/>
        </w:rPr>
        <w:t>December 31,</w:t>
      </w:r>
    </w:p>
    <w:tbl>
      <w:tblPr>
        <w:tblLayout w:type="fixed"/>
        <w:tblInd w:w="2240" w:type="dxa"/>
        <w:tblCellMar>
          <w:top w:w="0" w:type="dxa"/>
          <w:left w:w="0" w:type="dxa"/>
          <w:bottom w:w="0" w:type="dxa"/>
          <w:right w:w="0" w:type="dxa"/>
        </w:tblCellMar>
      </w:tblPr>
      <w:tr>
        <w:trPr>
          <w:trHeight w:val="118"/>
        </w:trPr>
        <w:tc>
          <w:tcPr>
            <w:tcW w:w="410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48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7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tax benefit at statutory rate</w:t>
            </w: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(277)</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(981)</w:t>
            </w:r>
          </w:p>
        </w:tc>
        <w:tc>
          <w:tcPr>
            <w:tcW w:w="80" w:type="dxa"/>
            <w:vAlign w:val="bottom"/>
            <w:shd w:val="clear" w:color="auto" w:fill="CCEEFF"/>
          </w:tcPr>
          <w:p>
            <w:pPr>
              <w:spacing w:after="0"/>
              <w:rPr>
                <w:sz w:val="15"/>
                <w:szCs w:val="15"/>
                <w:color w:val="auto"/>
              </w:rPr>
            </w:pP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 net of federal benefit</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Permanent items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w:t>
            </w:r>
          </w:p>
        </w:tc>
      </w:tr>
      <w:tr>
        <w:trPr>
          <w:trHeight w:val="18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extinguishment of convertible notes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6"/>
                <w:szCs w:val="16"/>
                <w:color w:val="auto"/>
              </w:rPr>
            </w:pP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Non-deductible interest</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6"/>
                <w:szCs w:val="16"/>
                <w:color w:val="auto"/>
              </w:rPr>
            </w:pPr>
          </w:p>
        </w:tc>
      </w:tr>
      <w:tr>
        <w:trPr>
          <w:trHeight w:val="18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915</w:t>
            </w:r>
          </w:p>
        </w:tc>
      </w:tr>
      <w:tr>
        <w:trPr>
          <w:trHeight w:val="23"/>
        </w:trPr>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provision</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r>
      <w:tr>
        <w:trPr>
          <w:trHeight w:val="20"/>
        </w:trPr>
        <w:tc>
          <w:tcPr>
            <w:tcW w:w="4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Significant components of the deferred tax assets and liabilities at December 31, 2018 and 2019, are presented below:</w:t>
      </w:r>
    </w:p>
    <w:p>
      <w:pPr>
        <w:spacing w:after="0" w:line="201" w:lineRule="exact"/>
        <w:rPr>
          <w:sz w:val="20"/>
          <w:szCs w:val="20"/>
          <w:color w:val="auto"/>
        </w:rPr>
      </w:pPr>
    </w:p>
    <w:tbl>
      <w:tblPr>
        <w:tblLayout w:type="fixed"/>
        <w:tblInd w:w="224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40" w:type="dxa"/>
            <w:vAlign w:val="bottom"/>
          </w:tcPr>
          <w:p>
            <w:pPr>
              <w:spacing w:after="0"/>
              <w:rPr>
                <w:sz w:val="12"/>
                <w:szCs w:val="12"/>
                <w:color w:val="auto"/>
              </w:rPr>
            </w:pPr>
          </w:p>
        </w:tc>
        <w:tc>
          <w:tcPr>
            <w:tcW w:w="1520" w:type="dxa"/>
            <w:vAlign w:val="bottom"/>
            <w:gridSpan w:val="6"/>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18"/>
        </w:trPr>
        <w:tc>
          <w:tcPr>
            <w:tcW w:w="524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2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5"/>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64"/>
        </w:trPr>
        <w:tc>
          <w:tcPr>
            <w:tcW w:w="52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Deferred tax assets: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Net operating loss carry forwards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$ 348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961</w:t>
            </w: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credit carryforwards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80" w:type="dxa"/>
            <w:vAlign w:val="bottom"/>
            <w:shd w:val="clear" w:color="auto" w:fill="CCEEFF"/>
          </w:tcPr>
          <w:p>
            <w:pPr>
              <w:spacing w:after="0"/>
              <w:rPr>
                <w:sz w:val="16"/>
                <w:szCs w:val="16"/>
                <w:color w:val="auto"/>
              </w:rPr>
            </w:pPr>
          </w:p>
        </w:tc>
      </w:tr>
      <w:tr>
        <w:trPr>
          <w:trHeight w:val="184"/>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211</w:t>
            </w: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104</w:t>
            </w: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Total deferred tax assets before valuation allowance</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1,364</w:t>
            </w:r>
          </w:p>
        </w:tc>
        <w:tc>
          <w:tcPr>
            <w:tcW w:w="80" w:type="dxa"/>
            <w:vAlign w:val="bottom"/>
          </w:tcPr>
          <w:p>
            <w:pPr>
              <w:spacing w:after="0"/>
              <w:rPr>
                <w:sz w:val="16"/>
                <w:szCs w:val="16"/>
                <w:color w:val="auto"/>
              </w:rPr>
            </w:pP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960" w:type="dxa"/>
            <w:vAlign w:val="bottom"/>
            <w:gridSpan w:val="3"/>
            <w:shd w:val="clear" w:color="auto" w:fill="CCEEFF"/>
          </w:tcPr>
          <w:p>
            <w:pPr>
              <w:jc w:val="right"/>
              <w:ind w:right="468"/>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(1,338)</w:t>
            </w:r>
          </w:p>
        </w:tc>
      </w:tr>
      <w:tr>
        <w:trPr>
          <w:trHeight w:val="188"/>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3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w w:val="98"/>
              </w:rPr>
              <w:t>$ —</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6"/>
                <w:szCs w:val="16"/>
                <w:color w:val="auto"/>
              </w:rPr>
            </w:pPr>
          </w:p>
        </w:tc>
      </w:tr>
      <w:tr>
        <w:trPr>
          <w:trHeight w:val="20"/>
        </w:trPr>
        <w:tc>
          <w:tcPr>
            <w:tcW w:w="5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5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Deferred tax liabilities, net:</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w:t>
            </w:r>
          </w:p>
        </w:tc>
      </w:tr>
      <w:tr>
        <w:trPr>
          <w:trHeight w:val="23"/>
        </w:trPr>
        <w:tc>
          <w:tcPr>
            <w:tcW w:w="5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 asset</w:t>
            </w:r>
          </w:p>
        </w:tc>
        <w:tc>
          <w:tcPr>
            <w:tcW w:w="3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98"/>
              </w:rPr>
              <w:t>$ —</w:t>
            </w: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firstLine="753"/>
        <w:spacing w:after="0" w:line="264"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carrying amount of assets and liabilities for financial reporting purposes and the amounts used for income tax purposes. The Company maintains a full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$0.4 million and $1.3 million at December 31, 2018 and 2019, respectively</w:t>
      </w:r>
    </w:p>
    <w:p>
      <w:pPr>
        <w:spacing w:after="0" w:line="9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F-31</w:t>
      </w:r>
    </w:p>
    <w:p>
      <w:pPr>
        <w:sectPr>
          <w:pgSz w:w="11900" w:h="16838" w:orient="portrait"/>
          <w:cols w:equalWidth="0" w:num="1">
            <w:col w:w="10300"/>
          </w:cols>
          <w:pgMar w:left="320" w:top="410" w:right="1279" w:bottom="1440" w:gutter="0" w:footer="0" w:header="0"/>
        </w:sectPr>
      </w:pPr>
    </w:p>
    <w:bookmarkStart w:id="246" w:name="page247"/>
    <w:bookmarkEnd w:id="246"/>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At December 31, 2019, the Company has federal and California net operating loss carryforwards of approximately $4.2 million and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$1.3 million, respectively. As a result of the Tax Cuts and Jobs Act of 2017 (the Tax Act), for U.S. income tax purposes, net operating losses generated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prior to December 31, 2017 can be carried forward for up to 20 years, while net operating losses generated after December 31, 2017 can be carried</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forward indefinitely, but are limited to 80% utilization against taxable income. The Company’s total federal net operating loss of $4.2 million includes</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$45 thousand that will begin to expire in 2037 and $4.1 million that will not expire but will only be able to be offset 80% of future taxable income</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within each year. The California net operating losses will begin to expire in 2037. At December 31, 2019, the Company had federal and California</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research and development tax credits of $0.1 million each. The federal research and development tax credits begin to expire in 2037 unless previously</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utilized, and the California credit carryforwards are available indefinitely.</w:t>
      </w:r>
    </w:p>
    <w:p>
      <w:pPr>
        <w:spacing w:after="0" w:line="182"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53"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following table summarizes the changes to the gross unrecognized tax benefits for the years ended December 31, 2018 and 2019:</w:t>
      </w:r>
    </w:p>
    <w:p>
      <w:pPr>
        <w:spacing w:after="0" w:line="212"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2"/>
          <w:szCs w:val="12"/>
          <w:b w:val="1"/>
          <w:bCs w:val="1"/>
          <w:color w:val="auto"/>
        </w:rPr>
        <w:t>Year Ended</w:t>
      </w:r>
    </w:p>
    <w:p>
      <w:pPr>
        <w:jc w:val="center"/>
        <w:ind w:left="5640"/>
        <w:spacing w:after="0"/>
        <w:rPr>
          <w:sz w:val="20"/>
          <w:szCs w:val="20"/>
          <w:color w:val="auto"/>
        </w:rPr>
      </w:pPr>
      <w:r>
        <w:rPr>
          <w:rFonts w:ascii="Times New Roman" w:cs="Times New Roman" w:eastAsia="Times New Roman" w:hAnsi="Times New Roman"/>
          <w:sz w:val="12"/>
          <w:szCs w:val="12"/>
          <w:b w:val="1"/>
          <w:bCs w:val="1"/>
          <w:color w:val="auto"/>
        </w:rPr>
        <w:t>December 31,</w:t>
      </w:r>
    </w:p>
    <w:tbl>
      <w:tblPr>
        <w:tblLayout w:type="fixed"/>
        <w:tblInd w:w="2240" w:type="dxa"/>
        <w:tblCellMar>
          <w:top w:w="0" w:type="dxa"/>
          <w:left w:w="0" w:type="dxa"/>
          <w:bottom w:w="0" w:type="dxa"/>
          <w:right w:w="0" w:type="dxa"/>
        </w:tblCellMar>
      </w:tblPr>
      <w:tr>
        <w:trPr>
          <w:trHeight w:val="118"/>
        </w:trPr>
        <w:tc>
          <w:tcPr>
            <w:tcW w:w="5700" w:type="dxa"/>
            <w:vAlign w:val="bottom"/>
          </w:tcPr>
          <w:p>
            <w:pPr>
              <w:spacing w:after="0"/>
              <w:rPr>
                <w:sz w:val="10"/>
                <w:szCs w:val="10"/>
                <w:color w:val="auto"/>
              </w:rPr>
            </w:pPr>
          </w:p>
        </w:tc>
        <w:tc>
          <w:tcPr>
            <w:tcW w:w="3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2019</w:t>
            </w:r>
          </w:p>
        </w:tc>
        <w:tc>
          <w:tcPr>
            <w:tcW w:w="40" w:type="dxa"/>
            <w:vAlign w:val="bottom"/>
          </w:tcPr>
          <w:p>
            <w:pPr>
              <w:spacing w:after="0"/>
              <w:rPr>
                <w:sz w:val="10"/>
                <w:szCs w:val="10"/>
                <w:color w:val="auto"/>
              </w:rPr>
            </w:pPr>
          </w:p>
        </w:tc>
      </w:tr>
      <w:tr>
        <w:trPr>
          <w:trHeight w:val="176"/>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$ 20</w:t>
            </w:r>
          </w:p>
        </w:tc>
        <w:tc>
          <w:tcPr>
            <w:tcW w:w="40" w:type="dxa"/>
            <w:vAlign w:val="bottom"/>
            <w:tcBorders>
              <w:top w:val="single" w:sz="8" w:color="CCEEFF"/>
            </w:tcBorders>
            <w:shd w:val="clear" w:color="auto" w:fill="CCEEFF"/>
          </w:tcPr>
          <w:p>
            <w:pPr>
              <w:spacing w:after="0"/>
              <w:rPr>
                <w:sz w:val="15"/>
                <w:szCs w:val="15"/>
                <w:color w:val="auto"/>
              </w:rPr>
            </w:pPr>
          </w:p>
        </w:tc>
      </w:tr>
      <w:tr>
        <w:trPr>
          <w:trHeight w:val="184"/>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Additions related to current year positions</w:t>
            </w:r>
          </w:p>
        </w:tc>
        <w:tc>
          <w:tcPr>
            <w:tcW w:w="80" w:type="dxa"/>
            <w:vAlign w:val="bottom"/>
          </w:tcPr>
          <w:p>
            <w:pPr>
              <w:spacing w:after="0"/>
              <w:rPr>
                <w:sz w:val="16"/>
                <w:szCs w:val="16"/>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13</w:t>
            </w:r>
          </w:p>
        </w:tc>
      </w:tr>
      <w:tr>
        <w:trPr>
          <w:trHeight w:val="23"/>
        </w:trPr>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$ 33</w:t>
            </w: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920" w:right="100" w:firstLine="753"/>
        <w:spacing w:after="0" w:line="268" w:lineRule="auto"/>
        <w:rPr>
          <w:sz w:val="20"/>
          <w:szCs w:val="20"/>
          <w:color w:val="auto"/>
        </w:rPr>
      </w:pPr>
      <w:r>
        <w:rPr>
          <w:rFonts w:ascii="Times New Roman" w:cs="Times New Roman" w:eastAsia="Times New Roman" w:hAnsi="Times New Roman"/>
          <w:sz w:val="15"/>
          <w:szCs w:val="15"/>
          <w:color w:val="auto"/>
        </w:rPr>
        <w:t>The Company is subject to taxation in the United States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2018 and 2019 and the years then ended. Further, the Company is not currently under examination by any federal, state, or local tax authority.</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F-32</w:t>
      </w:r>
    </w:p>
    <w:p>
      <w:pPr>
        <w:sectPr>
          <w:pgSz w:w="11900" w:h="16838" w:orient="portrait"/>
          <w:cols w:equalWidth="0" w:num="1">
            <w:col w:w="10300"/>
          </w:cols>
          <w:pgMar w:left="320" w:top="410" w:right="1279" w:bottom="1440" w:gutter="0" w:footer="0" w:header="0"/>
        </w:sectPr>
      </w:pPr>
    </w:p>
    <w:bookmarkStart w:id="247" w:name="page248"/>
    <w:bookmarkEnd w:id="247"/>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12. SUBSEQUENT EVENTS</w:t>
      </w:r>
    </w:p>
    <w:p>
      <w:pPr>
        <w:spacing w:after="0" w:line="200" w:lineRule="exact"/>
        <w:rPr>
          <w:sz w:val="20"/>
          <w:szCs w:val="20"/>
          <w:color w:val="auto"/>
        </w:rPr>
      </w:pPr>
    </w:p>
    <w:p>
      <w:pPr>
        <w:ind w:left="920" w:right="460" w:firstLine="753"/>
        <w:spacing w:after="0" w:line="293" w:lineRule="auto"/>
        <w:rPr>
          <w:sz w:val="20"/>
          <w:szCs w:val="20"/>
          <w:color w:val="auto"/>
        </w:rPr>
      </w:pPr>
      <w:r>
        <w:rPr>
          <w:rFonts w:ascii="Times New Roman" w:cs="Times New Roman" w:eastAsia="Times New Roman" w:hAnsi="Times New Roman"/>
          <w:sz w:val="15"/>
          <w:szCs w:val="15"/>
          <w:color w:val="auto"/>
        </w:rPr>
        <w:t>Subsequent events have been evaluated for recognition and measurement purposes through August 7, 2020, which is the date that the financial statements were available to be issued.</w:t>
      </w:r>
    </w:p>
    <w:p>
      <w:pPr>
        <w:spacing w:after="0" w:line="132"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In preparing the interim financial statements as of June 30, 2020 and for the six months ended June 30, 2019 and 2020, the Company has evaluated subsequent events through September 25, 2020, which is the date that the financial statements were available to be issued. Except as described below, the Company has concluded that no events or transactions have occurred that require disclosure.</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Expansion of the In-license for Lotilaner</w:t>
      </w:r>
    </w:p>
    <w:p>
      <w:pPr>
        <w:spacing w:after="0" w:line="200" w:lineRule="exact"/>
        <w:rPr>
          <w:sz w:val="20"/>
          <w:szCs w:val="20"/>
          <w:color w:val="auto"/>
        </w:rPr>
      </w:pPr>
    </w:p>
    <w:p>
      <w:pPr>
        <w:ind w:left="920" w:right="120" w:firstLine="753"/>
        <w:spacing w:after="0" w:line="275" w:lineRule="auto"/>
        <w:rPr>
          <w:sz w:val="20"/>
          <w:szCs w:val="20"/>
          <w:color w:val="auto"/>
        </w:rPr>
      </w:pPr>
      <w:r>
        <w:rPr>
          <w:rFonts w:ascii="Times New Roman" w:cs="Times New Roman" w:eastAsia="Times New Roman" w:hAnsi="Times New Roman"/>
          <w:sz w:val="15"/>
          <w:szCs w:val="15"/>
          <w:color w:val="auto"/>
        </w:rPr>
        <w:t xml:space="preserve">On September 3, 2020, the Company executed a new exclusive license agreement with Elanco, granting the Company an exclusive, worldwide, sublicensable license to certain intellectual property for the development, marketing, and commercialization of lotilaner for all applications in humans beyond the treatment, palliation, prevention or cure of any eye or skin disease or condition (see </w:t>
      </w:r>
      <w:r>
        <w:rPr>
          <w:rFonts w:ascii="Times New Roman" w:cs="Times New Roman" w:eastAsia="Times New Roman" w:hAnsi="Times New Roman"/>
          <w:sz w:val="15"/>
          <w:szCs w:val="15"/>
          <w:i w:val="1"/>
          <w:iCs w:val="1"/>
          <w:color w:val="auto"/>
        </w:rPr>
        <w:t>Note 10(b)</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left="920" w:right="60" w:firstLine="753"/>
        <w:spacing w:after="0" w:line="275" w:lineRule="auto"/>
        <w:rPr>
          <w:sz w:val="20"/>
          <w:szCs w:val="20"/>
          <w:color w:val="auto"/>
        </w:rPr>
      </w:pPr>
      <w:r>
        <w:rPr>
          <w:rFonts w:ascii="Times New Roman" w:cs="Times New Roman" w:eastAsia="Times New Roman" w:hAnsi="Times New Roman"/>
          <w:sz w:val="15"/>
          <w:szCs w:val="15"/>
          <w:color w:val="auto"/>
        </w:rPr>
        <w:t>The Company issued Elanco 0.2 million shares of its common stock pursuant to the terms of the agreement. In addition, upon the 18-month anniversary of contract execution, if not terminated by the Company, it is obligated to grant Elanco additional shares that aggregate $3.0 million, valued as of the Company’s initial public offering on a per share basis, in accordance with the terms of this agreement.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Clinical Milestone Achievement and Payment Due to Licensor</w:t>
      </w:r>
    </w:p>
    <w:p>
      <w:pPr>
        <w:spacing w:after="0" w:line="200" w:lineRule="exact"/>
        <w:rPr>
          <w:sz w:val="20"/>
          <w:szCs w:val="20"/>
          <w:color w:val="auto"/>
        </w:rPr>
      </w:pPr>
    </w:p>
    <w:p>
      <w:pPr>
        <w:ind w:left="920" w:right="140" w:firstLine="753"/>
        <w:spacing w:after="0" w:line="275" w:lineRule="auto"/>
        <w:rPr>
          <w:sz w:val="20"/>
          <w:szCs w:val="20"/>
          <w:color w:val="auto"/>
        </w:rPr>
      </w:pPr>
      <w:r>
        <w:rPr>
          <w:rFonts w:ascii="Times New Roman" w:cs="Times New Roman" w:eastAsia="Times New Roman" w:hAnsi="Times New Roman"/>
          <w:sz w:val="15"/>
          <w:szCs w:val="15"/>
          <w:color w:val="auto"/>
        </w:rPr>
        <w:t xml:space="preserve">On September 9, 2020, patient enrollment commenced in the Company’s Phase 2b/3 clinical trial for the treatment of Demodex blepharitis. The Company has made its required $1.0 million payment in the third quarter of 2020 relating to the achievement of this clinical milestone under the terms of its in-license agreement for lotilaner (see </w:t>
      </w:r>
      <w:r>
        <w:rPr>
          <w:rFonts w:ascii="Times New Roman" w:cs="Times New Roman" w:eastAsia="Times New Roman" w:hAnsi="Times New Roman"/>
          <w:sz w:val="15"/>
          <w:szCs w:val="15"/>
          <w:i w:val="1"/>
          <w:iCs w:val="1"/>
          <w:color w:val="auto"/>
        </w:rPr>
        <w:t>Note 10(b)</w:t>
      </w:r>
      <w:r>
        <w:rPr>
          <w:rFonts w:ascii="Times New Roman" w:cs="Times New Roman" w:eastAsia="Times New Roman" w:hAnsi="Times New Roman"/>
          <w:sz w:val="15"/>
          <w:szCs w:val="15"/>
          <w:color w:val="auto"/>
        </w:rPr>
        <w:t>).</w:t>
      </w:r>
    </w:p>
    <w:p>
      <w:pPr>
        <w:spacing w:after="0" w:line="1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Series C Preferred Stock Issuance</w:t>
      </w:r>
    </w:p>
    <w:p>
      <w:pPr>
        <w:spacing w:after="0" w:line="200" w:lineRule="exact"/>
        <w:rPr>
          <w:sz w:val="20"/>
          <w:szCs w:val="20"/>
          <w:color w:val="auto"/>
        </w:rPr>
      </w:pPr>
    </w:p>
    <w:p>
      <w:pPr>
        <w:ind w:left="920" w:firstLine="753"/>
        <w:spacing w:after="0" w:line="261" w:lineRule="auto"/>
        <w:rPr>
          <w:sz w:val="20"/>
          <w:szCs w:val="20"/>
          <w:color w:val="auto"/>
        </w:rPr>
      </w:pPr>
      <w:r>
        <w:rPr>
          <w:rFonts w:ascii="Times New Roman" w:cs="Times New Roman" w:eastAsia="Times New Roman" w:hAnsi="Times New Roman"/>
          <w:sz w:val="15"/>
          <w:szCs w:val="15"/>
          <w:color w:val="auto"/>
        </w:rPr>
        <w:t>In September 2020, as part of the Series C Preferred Stock Purchase Agreement, the Company issued an aggregate of 2,857,079 shares of its Series C Preferred Stock at a purchase price of $14.0003 per share for aggregate gross proceeds of approximately $40.0 million from certain new and existing investors. Each share of Series C Preferred Stock will automatically convert into one share of the Company’s common stock upon the completion of this offering. The rights and preferences of the Series C Preferred Stock are similar to those of the Series B Preferred Stock, except that</w:t>
      </w:r>
    </w:p>
    <w:p>
      <w:pPr>
        <w:spacing w:after="0" w:line="2" w:lineRule="exact"/>
        <w:rPr>
          <w:sz w:val="20"/>
          <w:szCs w:val="20"/>
          <w:color w:val="auto"/>
        </w:rPr>
      </w:pPr>
    </w:p>
    <w:p>
      <w:pPr>
        <w:ind w:left="920"/>
        <w:spacing w:after="0" w:line="260" w:lineRule="auto"/>
        <w:tabs>
          <w:tab w:leader="none" w:pos="1104"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Original Issue Price for Series C Preferred Stock is $14.0003 per share and (ii) the holders of a majority of the Series B Preferred Stock and the Series C Preferred Stock, voting together as a single class, are entitled to elect two members to the Company’s Board of Directors. Also, the defined “qualified public offering” within the Company’s Amended and Restated Certificate of Incorporation, requiring the conversion of all preferred stock into common stock, was increased to be net proceeds of not less than $75 million. The Company also entered into an Amended and Restated Investors’ Rights Agreement, Voting Agreement and Right of First Refusal and Co-Sale Agreement.</w:t>
      </w:r>
    </w:p>
    <w:p>
      <w:pPr>
        <w:spacing w:after="0" w:line="1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F-33</w:t>
      </w:r>
    </w:p>
    <w:p>
      <w:pPr>
        <w:sectPr>
          <w:pgSz w:w="11900" w:h="16838" w:orient="portrait"/>
          <w:cols w:equalWidth="0" w:num="1">
            <w:col w:w="10320"/>
          </w:cols>
          <w:pgMar w:left="320" w:top="410" w:right="1259" w:bottom="1440" w:gutter="0" w:footer="0" w:header="0"/>
        </w:sectPr>
      </w:pPr>
    </w:p>
    <w:bookmarkStart w:id="248" w:name="page249"/>
    <w:bookmarkEnd w:id="248"/>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NOTES TO THE FINANCIAL STATEMENTS</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(Information as of June 30, 2020 and thereafter and for the six months ended June 30, 2019 and 2020 is unaudited; all tabular amounts</w:t>
      </w:r>
    </w:p>
    <w:p>
      <w:pPr>
        <w:spacing w:after="0" w:line="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presented in thousands, except share, per share, per unit, and number of years)</w:t>
      </w:r>
    </w:p>
    <w:p>
      <w:pPr>
        <w:spacing w:after="0" w:line="20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i w:val="1"/>
          <w:iCs w:val="1"/>
          <w:color w:val="auto"/>
        </w:rPr>
        <w:t>Increase in Authorized Shares of Common Stock and Preferred Stock</w:t>
      </w:r>
    </w:p>
    <w:p>
      <w:pPr>
        <w:spacing w:after="0" w:line="20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In September 2020, the Company effected an increase in the number of authorized shares of its common stock from 13,867,198 shares to</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17,502,288 shares and an increase in the number of authorized shares of its preferred stock from 8,306,679 shares to 11,107,035 shares, of which</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2,857,084 shares were designated as Series C Preferred Stock.</w:t>
      </w:r>
    </w:p>
    <w:p>
      <w:pPr>
        <w:spacing w:after="0" w:line="1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F-34</w:t>
      </w:r>
    </w:p>
    <w:p>
      <w:pPr>
        <w:sectPr>
          <w:pgSz w:w="11900" w:h="16838" w:orient="portrait"/>
          <w:cols w:equalWidth="0" w:num="1">
            <w:col w:w="10139"/>
          </w:cols>
          <w:pgMar w:left="320" w:top="410" w:right="1440" w:bottom="1440" w:gutter="0" w:footer="0" w:header="0"/>
        </w:sectPr>
      </w:pPr>
    </w:p>
    <w:bookmarkStart w:id="249" w:name="page250"/>
    <w:bookmarkEnd w:id="249"/>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194945</wp:posOffset>
            </wp:positionV>
            <wp:extent cx="597344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973445" cy="762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231140</wp:posOffset>
            </wp:positionV>
            <wp:extent cx="597344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9734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firstLine="753"/>
        <w:spacing w:after="0" w:line="275" w:lineRule="auto"/>
        <w:rPr>
          <w:sz w:val="20"/>
          <w:szCs w:val="20"/>
          <w:color w:val="auto"/>
        </w:rPr>
      </w:pPr>
      <w:r>
        <w:rPr>
          <w:rFonts w:ascii="Times New Roman" w:cs="Times New Roman" w:eastAsia="Times New Roman" w:hAnsi="Times New Roman"/>
          <w:sz w:val="15"/>
          <w:szCs w:val="15"/>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3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2901315</wp:posOffset>
            </wp:positionH>
            <wp:positionV relativeFrom="paragraph">
              <wp:posOffset>306070</wp:posOffset>
            </wp:positionV>
            <wp:extent cx="1339850" cy="11125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339850"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Tarsus Pharmaceuticals, Inc.</w:t>
      </w:r>
    </w:p>
    <w:p>
      <w:pPr>
        <w:spacing w:after="0" w:line="18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527685</wp:posOffset>
            </wp:positionV>
            <wp:extent cx="119316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78105</wp:posOffset>
            </wp:positionV>
            <wp:extent cx="119316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1931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5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26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5"/>
          <w:szCs w:val="25"/>
          <w:b w:val="1"/>
          <w:bCs w:val="1"/>
          <w:color w:val="auto"/>
        </w:rPr>
        <w:t>Raymond James</w:t>
      </w:r>
    </w:p>
    <w:p>
      <w:pPr>
        <w:spacing w:after="0" w:line="271"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LifeSci Capital</w:t>
      </w:r>
    </w:p>
    <w:p>
      <w:pPr>
        <w:spacing w:after="0" w:line="2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Ladenburg Thalmann</w:t>
      </w:r>
    </w:p>
    <w:p>
      <w:pPr>
        <w:spacing w:after="0" w:line="200" w:lineRule="exact"/>
        <w:rPr>
          <w:sz w:val="20"/>
          <w:szCs w:val="20"/>
          <w:color w:val="auto"/>
        </w:rPr>
      </w:pPr>
    </w:p>
    <w:p>
      <w:pPr>
        <w:spacing w:after="0" w:line="35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158750</wp:posOffset>
            </wp:positionV>
            <wp:extent cx="597344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5973445" cy="762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194945</wp:posOffset>
            </wp:positionV>
            <wp:extent cx="597344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973445" cy="7620"/>
                    </a:xfrm>
                    <a:prstGeom prst="rect">
                      <a:avLst/>
                    </a:prstGeom>
                    <a:noFill/>
                  </pic:spPr>
                </pic:pic>
              </a:graphicData>
            </a:graphic>
          </wp:anchor>
        </w:drawing>
      </w:r>
    </w:p>
    <w:p>
      <w:pPr>
        <w:sectPr>
          <w:pgSz w:w="11900" w:h="16838" w:orient="portrait"/>
          <w:cols w:equalWidth="0" w:num="1">
            <w:col w:w="10220"/>
          </w:cols>
          <w:pgMar w:left="320" w:top="410" w:right="1359" w:bottom="1440" w:gutter="0" w:footer="0" w:header="0"/>
        </w:sectPr>
      </w:pPr>
    </w:p>
    <w:bookmarkStart w:id="250" w:name="page251"/>
    <w:bookmarkEnd w:id="250"/>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13. Other Expenses of Issuance and Distribution</w:t>
      </w:r>
    </w:p>
    <w:p>
      <w:pPr>
        <w:spacing w:after="0" w:line="200" w:lineRule="exact"/>
        <w:rPr>
          <w:sz w:val="20"/>
          <w:szCs w:val="20"/>
          <w:color w:val="auto"/>
        </w:rPr>
      </w:pPr>
    </w:p>
    <w:p>
      <w:pPr>
        <w:ind w:left="920" w:right="200" w:firstLine="753"/>
        <w:spacing w:after="0" w:line="275" w:lineRule="auto"/>
        <w:rPr>
          <w:sz w:val="20"/>
          <w:szCs w:val="20"/>
          <w:color w:val="auto"/>
        </w:rPr>
      </w:pPr>
      <w:r>
        <w:rPr>
          <w:rFonts w:ascii="Times New Roman" w:cs="Times New Roman" w:eastAsia="Times New Roman" w:hAnsi="Times New Roman"/>
          <w:sz w:val="15"/>
          <w:szCs w:val="15"/>
          <w:color w:val="auto"/>
        </w:rPr>
        <w:t>The following table presents the costs and expenses, other than underwriting discounts and commissions, payable in connection with this offering. All amounts are estimates except the SEC registration fee, the Financial Industry Regulatory Authority, Inc., or FINRA, filing fee and the Nasdaq Global Market listing fee. Except as otherwise noted, all the expenses below will be paid by us.</w:t>
      </w:r>
    </w:p>
    <w:p>
      <w:pPr>
        <w:spacing w:after="0" w:line="183" w:lineRule="exact"/>
        <w:rPr>
          <w:sz w:val="20"/>
          <w:szCs w:val="20"/>
          <w:color w:val="auto"/>
        </w:rPr>
      </w:pPr>
    </w:p>
    <w:tbl>
      <w:tblPr>
        <w:tblLayout w:type="fixed"/>
        <w:tblInd w:w="2240" w:type="dxa"/>
        <w:tblCellMar>
          <w:top w:w="0" w:type="dxa"/>
          <w:left w:w="0" w:type="dxa"/>
          <w:bottom w:w="0" w:type="dxa"/>
          <w:right w:w="0" w:type="dxa"/>
        </w:tblCellMar>
      </w:tblPr>
      <w:tr>
        <w:trPr>
          <w:trHeight w:val="1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11,925</w:t>
            </w:r>
          </w:p>
        </w:tc>
        <w:tc>
          <w:tcPr>
            <w:tcW w:w="40" w:type="dxa"/>
            <w:vAlign w:val="bottom"/>
            <w:shd w:val="clear" w:color="auto" w:fill="CCEEFF"/>
          </w:tcPr>
          <w:p>
            <w:pPr>
              <w:spacing w:after="0"/>
              <w:rPr>
                <w:sz w:val="16"/>
                <w:szCs w:val="16"/>
                <w:color w:val="auto"/>
              </w:rPr>
            </w:pP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14,513</w:t>
            </w:r>
          </w:p>
        </w:tc>
      </w:tr>
      <w:tr>
        <w:trPr>
          <w:trHeight w:val="1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Nasdaq Global Market listing fee</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25,000</w:t>
            </w: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Printing and engraving expenses</w:t>
            </w: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311,000</w:t>
            </w:r>
          </w:p>
        </w:tc>
      </w:tr>
      <w:tr>
        <w:trPr>
          <w:trHeight w:val="1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40" w:type="dxa"/>
            <w:vAlign w:val="bottom"/>
            <w:shd w:val="clear" w:color="auto" w:fill="CCEEFF"/>
          </w:tcPr>
          <w:p>
            <w:pPr>
              <w:spacing w:after="0"/>
              <w:rPr>
                <w:sz w:val="16"/>
                <w:szCs w:val="16"/>
                <w:color w:val="auto"/>
              </w:rPr>
            </w:pP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400,000</w:t>
            </w:r>
          </w:p>
        </w:tc>
        <w:tc>
          <w:tcPr>
            <w:tcW w:w="40" w:type="dxa"/>
            <w:vAlign w:val="bottom"/>
          </w:tcPr>
          <w:p>
            <w:pPr>
              <w:spacing w:after="0"/>
              <w:rPr>
                <w:sz w:val="16"/>
                <w:szCs w:val="16"/>
                <w:color w:val="auto"/>
              </w:rPr>
            </w:pPr>
          </w:p>
        </w:tc>
      </w:tr>
      <w:tr>
        <w:trPr>
          <w:trHeight w:val="1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agent and registrar fees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w:t>
            </w:r>
          </w:p>
        </w:tc>
        <w:tc>
          <w:tcPr>
            <w:tcW w:w="40" w:type="dxa"/>
            <w:vAlign w:val="bottom"/>
            <w:shd w:val="clear" w:color="auto" w:fill="CCEEFF"/>
          </w:tcPr>
          <w:p>
            <w:pPr>
              <w:spacing w:after="0"/>
              <w:rPr>
                <w:sz w:val="16"/>
                <w:szCs w:val="16"/>
                <w:color w:val="auto"/>
              </w:rPr>
            </w:pPr>
          </w:p>
        </w:tc>
      </w:tr>
      <w:tr>
        <w:trPr>
          <w:trHeight w:val="188"/>
        </w:trPr>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Miscellaneous fees and expenses</w:t>
            </w: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23,275</w:t>
            </w:r>
          </w:p>
        </w:tc>
      </w:tr>
      <w:tr>
        <w:trPr>
          <w:trHeight w:val="18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2,289,213</w:t>
            </w:r>
          </w:p>
        </w:tc>
        <w:tc>
          <w:tcPr>
            <w:tcW w:w="40" w:type="dxa"/>
            <w:vAlign w:val="bottom"/>
            <w:shd w:val="clear" w:color="auto" w:fill="CCEEFF"/>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14. Indemnification of Directors and Officers</w:t>
      </w:r>
    </w:p>
    <w:p>
      <w:pPr>
        <w:spacing w:after="0" w:line="200" w:lineRule="exact"/>
        <w:rPr>
          <w:sz w:val="20"/>
          <w:szCs w:val="20"/>
          <w:color w:val="auto"/>
        </w:rPr>
      </w:pPr>
    </w:p>
    <w:p>
      <w:pPr>
        <w:ind w:left="920" w:right="60" w:firstLine="753"/>
        <w:spacing w:after="0" w:line="268" w:lineRule="auto"/>
        <w:rPr>
          <w:sz w:val="20"/>
          <w:szCs w:val="20"/>
          <w:color w:val="auto"/>
        </w:rPr>
      </w:pPr>
      <w:r>
        <w:rPr>
          <w:rFonts w:ascii="Times New Roman" w:cs="Times New Roman" w:eastAsia="Times New Roman" w:hAnsi="Times New Roman"/>
          <w:sz w:val="15"/>
          <w:szCs w:val="15"/>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52" w:lineRule="exact"/>
        <w:rPr>
          <w:sz w:val="20"/>
          <w:szCs w:val="20"/>
          <w:color w:val="auto"/>
        </w:rPr>
      </w:pPr>
    </w:p>
    <w:p>
      <w:pPr>
        <w:ind w:left="920" w:firstLine="753"/>
        <w:spacing w:after="0" w:line="268" w:lineRule="auto"/>
        <w:rPr>
          <w:sz w:val="20"/>
          <w:szCs w:val="20"/>
          <w:color w:val="auto"/>
        </w:rPr>
      </w:pPr>
      <w:r>
        <w:rPr>
          <w:rFonts w:ascii="Times New Roman" w:cs="Times New Roman" w:eastAsia="Times New Roman" w:hAnsi="Times New Roman"/>
          <w:sz w:val="15"/>
          <w:szCs w:val="15"/>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175" w:lineRule="exact"/>
        <w:rPr>
          <w:sz w:val="20"/>
          <w:szCs w:val="20"/>
          <w:color w:val="auto"/>
        </w:rPr>
      </w:pPr>
    </w:p>
    <w:p>
      <w:pPr>
        <w:ind w:left="2040" w:hanging="278"/>
        <w:spacing w:after="0"/>
        <w:tabs>
          <w:tab w:leader="none" w:pos="20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breach of the director’s duty of loyalty to us or our stockholders;</w:t>
      </w:r>
    </w:p>
    <w:p>
      <w:pPr>
        <w:spacing w:after="0" w:line="219"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acts or omissions not in good faith or that involve intentional misconduct or a knowing violation of law;</w:t>
      </w:r>
    </w:p>
    <w:p>
      <w:pPr>
        <w:spacing w:after="0" w:line="219" w:lineRule="exact"/>
        <w:rPr>
          <w:rFonts w:ascii="Times New Roman" w:cs="Times New Roman" w:eastAsia="Times New Roman" w:hAnsi="Times New Roman"/>
          <w:sz w:val="15"/>
          <w:szCs w:val="15"/>
          <w:color w:val="auto"/>
        </w:rPr>
      </w:pPr>
    </w:p>
    <w:p>
      <w:pPr>
        <w:ind w:left="2040" w:right="580" w:hanging="278"/>
        <w:spacing w:after="0" w:line="293" w:lineRule="auto"/>
        <w:tabs>
          <w:tab w:leader="none" w:pos="20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unlawful payments of dividends or unlawful stock repurchases or redemptions as provided in Section 174 of the Delaware General Corporation Law; or</w:t>
      </w:r>
    </w:p>
    <w:p>
      <w:pPr>
        <w:spacing w:after="0" w:line="155" w:lineRule="exact"/>
        <w:rPr>
          <w:rFonts w:ascii="Times New Roman" w:cs="Times New Roman" w:eastAsia="Times New Roman" w:hAnsi="Times New Roman"/>
          <w:sz w:val="15"/>
          <w:szCs w:val="15"/>
          <w:color w:val="auto"/>
        </w:rPr>
      </w:pPr>
    </w:p>
    <w:p>
      <w:pPr>
        <w:ind w:left="2040" w:hanging="278"/>
        <w:spacing w:after="0"/>
        <w:tabs>
          <w:tab w:leader="none" w:pos="2040"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transaction from which the director derives any improper personal benefit.</w:t>
      </w:r>
    </w:p>
    <w:p>
      <w:pPr>
        <w:spacing w:after="0" w:line="196" w:lineRule="exact"/>
        <w:rPr>
          <w:sz w:val="20"/>
          <w:szCs w:val="20"/>
          <w:color w:val="auto"/>
        </w:rPr>
      </w:pPr>
    </w:p>
    <w:p>
      <w:pPr>
        <w:jc w:val="both"/>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II-1</w:t>
      </w:r>
    </w:p>
    <w:p>
      <w:pPr>
        <w:sectPr>
          <w:pgSz w:w="11900" w:h="16838" w:orient="portrait"/>
          <w:cols w:equalWidth="0" w:num="1">
            <w:col w:w="10300"/>
          </w:cols>
          <w:pgMar w:left="320" w:top="410" w:right="1279" w:bottom="1440" w:gutter="0" w:footer="0" w:header="0"/>
        </w:sectPr>
      </w:pPr>
    </w:p>
    <w:bookmarkStart w:id="251" w:name="page252"/>
    <w:bookmarkEnd w:id="251"/>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right="40" w:firstLine="753"/>
        <w:spacing w:after="0" w:line="265" w:lineRule="auto"/>
        <w:rPr>
          <w:sz w:val="20"/>
          <w:szCs w:val="20"/>
          <w:color w:val="auto"/>
        </w:rPr>
      </w:pPr>
      <w:r>
        <w:rPr>
          <w:rFonts w:ascii="Times New Roman" w:cs="Times New Roman" w:eastAsia="Times New Roman" w:hAnsi="Times New Roman"/>
          <w:sz w:val="15"/>
          <w:szCs w:val="15"/>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54" w:lineRule="exact"/>
        <w:rPr>
          <w:sz w:val="20"/>
          <w:szCs w:val="20"/>
          <w:color w:val="auto"/>
        </w:rPr>
      </w:pPr>
    </w:p>
    <w:p>
      <w:pPr>
        <w:ind w:left="920" w:right="20" w:firstLine="753"/>
        <w:spacing w:after="0" w:line="264" w:lineRule="auto"/>
        <w:rPr>
          <w:sz w:val="20"/>
          <w:szCs w:val="20"/>
          <w:color w:val="auto"/>
        </w:rPr>
      </w:pPr>
      <w:r>
        <w:rPr>
          <w:rFonts w:ascii="Times New Roman" w:cs="Times New Roman" w:eastAsia="Times New Roman" w:hAnsi="Times New Roman"/>
          <w:sz w:val="15"/>
          <w:szCs w:val="15"/>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53" w:lineRule="exact"/>
        <w:rPr>
          <w:sz w:val="20"/>
          <w:szCs w:val="20"/>
          <w:color w:val="auto"/>
        </w:rPr>
      </w:pPr>
    </w:p>
    <w:p>
      <w:pPr>
        <w:ind w:left="920" w:right="80" w:firstLine="753"/>
        <w:spacing w:after="0" w:line="275" w:lineRule="auto"/>
        <w:rPr>
          <w:sz w:val="20"/>
          <w:szCs w:val="20"/>
          <w:color w:val="auto"/>
        </w:rPr>
      </w:pPr>
      <w:r>
        <w:rPr>
          <w:rFonts w:ascii="Times New Roman" w:cs="Times New Roman" w:eastAsia="Times New Roman" w:hAnsi="Times New Roman"/>
          <w:sz w:val="15"/>
          <w:szCs w:val="15"/>
          <w:color w:val="auto"/>
        </w:rPr>
        <w:t>Reference is made to the underwriting agreement contained in Exhibit 1.1 to this registration statement, indemnifying our directors and officers against limited liabilities. In addition, Section 2.8 of our amended and restated investors’ rights agreement, or the IRA contained in Exhibit 4.2 to this registration statement provides for indemnification of certain of our stockholders against liabilities described in our IRA.</w:t>
      </w:r>
    </w:p>
    <w:p>
      <w:pPr>
        <w:spacing w:after="0" w:line="1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We currently carry and intend to continue to carry liability insurance for our directors and officers.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15. Recent Sales of Unregistered Securities</w:t>
      </w:r>
    </w:p>
    <w:p>
      <w:pPr>
        <w:spacing w:after="0" w:line="200" w:lineRule="exact"/>
        <w:rPr>
          <w:sz w:val="20"/>
          <w:szCs w:val="20"/>
          <w:color w:val="auto"/>
        </w:rPr>
      </w:pPr>
    </w:p>
    <w:p>
      <w:pPr>
        <w:ind w:left="920" w:right="460" w:firstLine="753"/>
        <w:spacing w:after="0" w:line="275" w:lineRule="auto"/>
        <w:rPr>
          <w:sz w:val="20"/>
          <w:szCs w:val="20"/>
          <w:color w:val="auto"/>
        </w:rPr>
      </w:pPr>
      <w:r>
        <w:rPr>
          <w:rFonts w:ascii="Times New Roman" w:cs="Times New Roman" w:eastAsia="Times New Roman" w:hAnsi="Times New Roman"/>
          <w:sz w:val="15"/>
          <w:szCs w:val="15"/>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45" w:lineRule="exact"/>
        <w:rPr>
          <w:sz w:val="20"/>
          <w:szCs w:val="20"/>
          <w:color w:val="auto"/>
        </w:rPr>
      </w:pPr>
    </w:p>
    <w:p>
      <w:pPr>
        <w:ind w:left="1680" w:right="220" w:firstLine="685"/>
        <w:spacing w:after="0" w:line="275" w:lineRule="auto"/>
        <w:tabs>
          <w:tab w:leader="none" w:pos="2696"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January 2017 through March 2018, we issued and sold to our directors, officers, employees, consultants and other service providers an aggregate of 2,677,846 shares of Common Stock at a price per share of $0.0007 for an aggregate purchase price of $1,989.</w:t>
      </w:r>
    </w:p>
    <w:p>
      <w:pPr>
        <w:spacing w:after="0" w:line="144" w:lineRule="exact"/>
        <w:rPr>
          <w:rFonts w:ascii="Times New Roman" w:cs="Times New Roman" w:eastAsia="Times New Roman" w:hAnsi="Times New Roman"/>
          <w:sz w:val="15"/>
          <w:szCs w:val="15"/>
          <w:color w:val="auto"/>
        </w:rPr>
      </w:pPr>
    </w:p>
    <w:p>
      <w:pPr>
        <w:ind w:left="1680" w:right="60" w:firstLine="685"/>
        <w:spacing w:after="0" w:line="275" w:lineRule="auto"/>
        <w:tabs>
          <w:tab w:leader="none" w:pos="2705"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January 2017 through April 2020, we granted to our directors, officers, employees, consultants and other service providers stock options to purchase an aggregate of 1,174,989 shares of common stock upon the exercise of options under our 2016 Plan at exercise prices per share ranging from $0.0007 to $2.0055, for an aggregate exercise price of approximately $1.4 million.</w:t>
      </w:r>
    </w:p>
    <w:p>
      <w:pPr>
        <w:spacing w:after="0" w:line="144" w:lineRule="exact"/>
        <w:rPr>
          <w:rFonts w:ascii="Times New Roman" w:cs="Times New Roman" w:eastAsia="Times New Roman" w:hAnsi="Times New Roman"/>
          <w:sz w:val="15"/>
          <w:szCs w:val="15"/>
          <w:color w:val="auto"/>
        </w:rPr>
      </w:pPr>
    </w:p>
    <w:p>
      <w:pPr>
        <w:ind w:left="1680" w:right="220" w:firstLine="685"/>
        <w:spacing w:after="0" w:line="293" w:lineRule="auto"/>
        <w:tabs>
          <w:tab w:leader="none" w:pos="2696"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2018 and May 2018, we issued and sold an aggregate of 1,575,030 shares of our Series A Preferred Stock at a purchase price of $2.3174 per share for aggregate proceeds of approximately $3.6 million.</w:t>
      </w:r>
    </w:p>
    <w:p>
      <w:pPr>
        <w:spacing w:after="0" w:line="132" w:lineRule="exact"/>
        <w:rPr>
          <w:rFonts w:ascii="Times New Roman" w:cs="Times New Roman" w:eastAsia="Times New Roman" w:hAnsi="Times New Roman"/>
          <w:sz w:val="15"/>
          <w:szCs w:val="15"/>
          <w:color w:val="auto"/>
        </w:rPr>
      </w:pPr>
    </w:p>
    <w:p>
      <w:pPr>
        <w:ind w:left="1680" w:right="20" w:firstLine="685"/>
        <w:spacing w:after="0" w:line="293" w:lineRule="auto"/>
        <w:tabs>
          <w:tab w:leader="none" w:pos="2705"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May 2019, August 2019 and November 2019, we issued and sold convertible promissory notes in an aggregate principal amount of approximately $2.0 million at face value (the “Notes”).</w:t>
      </w:r>
    </w:p>
    <w:p>
      <w:pPr>
        <w:spacing w:after="0" w:line="132" w:lineRule="exact"/>
        <w:rPr>
          <w:rFonts w:ascii="Times New Roman" w:cs="Times New Roman" w:eastAsia="Times New Roman" w:hAnsi="Times New Roman"/>
          <w:sz w:val="15"/>
          <w:szCs w:val="15"/>
          <w:color w:val="auto"/>
        </w:rPr>
      </w:pPr>
    </w:p>
    <w:p>
      <w:pPr>
        <w:ind w:left="1680" w:firstLine="685"/>
        <w:spacing w:after="0" w:line="275" w:lineRule="auto"/>
        <w:tabs>
          <w:tab w:leader="none" w:pos="2696"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2019, we issued and sold an aggregate of 6,674,909 shares of our Series B Preferred Stock at a purchase price of $8.9904 per share for aggregate proceeds of approximately $59.6 million (of which approximately $57.6 million was cash and approximately $2.0 million was cancellation of outstanding indebtedness in connection with the conversion of the Notes).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0280"/>
          </w:cols>
          <w:pgMar w:left="320" w:top="410" w:right="1299" w:bottom="1440" w:gutter="0" w:footer="0" w:header="0"/>
        </w:sectPr>
      </w:pPr>
    </w:p>
    <w:bookmarkStart w:id="252" w:name="page253"/>
    <w:bookmarkEnd w:id="252"/>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1680" w:right="120" w:firstLine="685"/>
        <w:spacing w:after="0" w:line="275" w:lineRule="auto"/>
        <w:tabs>
          <w:tab w:leader="none" w:pos="2833"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2020 we granted certain of our employees stock options to purchase an aggregate of 320,829 shares of common stock upon the exercise of options under our 2016 Plan at an exercise price per share of $2.0055, for an aggregate exercise price of approximately $0.6 million.</w:t>
      </w:r>
    </w:p>
    <w:p>
      <w:pPr>
        <w:spacing w:after="0" w:line="144" w:lineRule="exact"/>
        <w:rPr>
          <w:rFonts w:ascii="Times New Roman" w:cs="Times New Roman" w:eastAsia="Times New Roman" w:hAnsi="Times New Roman"/>
          <w:sz w:val="15"/>
          <w:szCs w:val="15"/>
          <w:color w:val="auto"/>
        </w:rPr>
      </w:pPr>
    </w:p>
    <w:p>
      <w:pPr>
        <w:jc w:val="both"/>
        <w:ind w:left="1680" w:right="60" w:firstLine="685"/>
        <w:spacing w:after="0" w:line="275" w:lineRule="auto"/>
        <w:tabs>
          <w:tab w:leader="none" w:pos="2705"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terms of that certain License Agreement between the Company and Elanco Tiergesundheit AG, or Elanco, dated September 3, 2020, or the All Human Uses Elanco Agreement, in September 2020 we issued 222,460 shares of our common stock to Elanco as consideration for licenses included in the All Human Uses Elanco Agreement.</w:t>
      </w:r>
    </w:p>
    <w:p>
      <w:pPr>
        <w:spacing w:after="0" w:line="144" w:lineRule="exact"/>
        <w:rPr>
          <w:rFonts w:ascii="Times New Roman" w:cs="Times New Roman" w:eastAsia="Times New Roman" w:hAnsi="Times New Roman"/>
          <w:sz w:val="15"/>
          <w:szCs w:val="15"/>
          <w:color w:val="auto"/>
        </w:rPr>
      </w:pPr>
    </w:p>
    <w:p>
      <w:pPr>
        <w:ind w:left="1680" w:right="540" w:firstLine="685"/>
        <w:spacing w:after="0" w:line="293" w:lineRule="auto"/>
        <w:tabs>
          <w:tab w:leader="none" w:pos="2705"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2020, we issued and sold to 11 accredited investors an aggregate of 2,857,079 shares of our Series C preferred stock at a purchase price of $14.0003 per share, for aggregate consideration of approximately $40.0 million.</w:t>
      </w:r>
    </w:p>
    <w:p>
      <w:pPr>
        <w:spacing w:after="0" w:line="132" w:lineRule="exact"/>
        <w:rPr>
          <w:rFonts w:ascii="Times New Roman" w:cs="Times New Roman" w:eastAsia="Times New Roman" w:hAnsi="Times New Roman"/>
          <w:sz w:val="15"/>
          <w:szCs w:val="15"/>
          <w:color w:val="auto"/>
        </w:rPr>
      </w:pPr>
    </w:p>
    <w:p>
      <w:pPr>
        <w:ind w:left="1680" w:firstLine="685"/>
        <w:spacing w:after="0" w:line="275" w:lineRule="auto"/>
        <w:tabs>
          <w:tab w:leader="none" w:pos="2556"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2020 we granted certain of our employees stock options to purchase an aggregate of 416,688 shares of common stock upon the exercise of options under our 2016 Plan at an exercise price per share of $10.99, for an aggregate exercise price of approximately $4.6 million.</w:t>
      </w:r>
    </w:p>
    <w:p>
      <w:pPr>
        <w:spacing w:after="0" w:line="145" w:lineRule="exact"/>
        <w:rPr>
          <w:sz w:val="20"/>
          <w:szCs w:val="20"/>
          <w:color w:val="auto"/>
        </w:rPr>
      </w:pPr>
    </w:p>
    <w:p>
      <w:pPr>
        <w:ind w:left="920" w:right="60" w:firstLine="753"/>
        <w:spacing w:after="0" w:line="262" w:lineRule="auto"/>
        <w:rPr>
          <w:sz w:val="20"/>
          <w:szCs w:val="20"/>
          <w:color w:val="auto"/>
        </w:rPr>
      </w:pPr>
      <w:r>
        <w:rPr>
          <w:rFonts w:ascii="Times New Roman" w:cs="Times New Roman" w:eastAsia="Times New Roman" w:hAnsi="Times New Roman"/>
          <w:sz w:val="15"/>
          <w:szCs w:val="15"/>
          <w:color w:val="auto"/>
        </w:rPr>
        <w:t>The offers, sales and issuances of the securities described in Items (a), (b), (f) and (i)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58" w:lineRule="exact"/>
        <w:rPr>
          <w:sz w:val="20"/>
          <w:szCs w:val="20"/>
          <w:color w:val="auto"/>
        </w:rPr>
      </w:pPr>
    </w:p>
    <w:p>
      <w:pPr>
        <w:ind w:left="920" w:right="120" w:firstLine="753"/>
        <w:spacing w:after="0" w:line="264" w:lineRule="auto"/>
        <w:rPr>
          <w:sz w:val="20"/>
          <w:szCs w:val="20"/>
          <w:color w:val="auto"/>
        </w:rPr>
      </w:pPr>
      <w:r>
        <w:rPr>
          <w:rFonts w:ascii="Times New Roman" w:cs="Times New Roman" w:eastAsia="Times New Roman" w:hAnsi="Times New Roman"/>
          <w:sz w:val="15"/>
          <w:szCs w:val="15"/>
          <w:color w:val="auto"/>
        </w:rPr>
        <w:t>The offers, sales and issuances of the securities described in Items (c), (d), (e), (g) and (h)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16. Exhibits and Financial Statement Schedules</w:t>
      </w:r>
    </w:p>
    <w:p>
      <w:pPr>
        <w:spacing w:after="0" w:line="196" w:lineRule="exact"/>
        <w:rPr>
          <w:sz w:val="20"/>
          <w:szCs w:val="20"/>
          <w:color w:val="auto"/>
        </w:rPr>
      </w:pPr>
    </w:p>
    <w:p>
      <w:pPr>
        <w:ind w:left="1900" w:hanging="227"/>
        <w:spacing w:after="0"/>
        <w:tabs>
          <w:tab w:leader="none" w:pos="1900" w:val="left"/>
        </w:tabs>
        <w:numPr>
          <w:ilvl w:val="0"/>
          <w:numId w:val="171"/>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Exhibits. </w:t>
      </w:r>
      <w:r>
        <w:rPr>
          <w:rFonts w:ascii="Times New Roman" w:cs="Times New Roman" w:eastAsia="Times New Roman" w:hAnsi="Times New Roman"/>
          <w:sz w:val="15"/>
          <w:szCs w:val="15"/>
          <w:color w:val="auto"/>
        </w:rPr>
        <w:t>The following exhibits are included herein or incorporated herein by reference:</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0" w:type="dxa"/>
            <w:vAlign w:val="bottom"/>
            <w:gridSpan w:val="3"/>
            <w:vMerge w:val="restart"/>
          </w:tcPr>
          <w:p>
            <w:pPr>
              <w:ind w:left="34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4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1.1</w:t>
            </w:r>
          </w:p>
        </w:tc>
        <w:tc>
          <w:tcPr>
            <w:tcW w:w="540" w:type="dxa"/>
            <w:vAlign w:val="bottom"/>
          </w:tcPr>
          <w:p>
            <w:pPr>
              <w:spacing w:after="0"/>
              <w:rPr>
                <w:sz w:val="23"/>
                <w:szCs w:val="23"/>
                <w:color w:val="auto"/>
              </w:rPr>
            </w:pPr>
          </w:p>
        </w:tc>
        <w:tc>
          <w:tcPr>
            <w:tcW w:w="3920" w:type="dxa"/>
            <w:vAlign w:val="bottom"/>
            <w:gridSpan w:val="2"/>
          </w:tcPr>
          <w:p>
            <w:pPr>
              <w:spacing w:after="0"/>
              <w:rPr>
                <w:rFonts w:ascii="Times New Roman" w:cs="Times New Roman" w:eastAsia="Times New Roman" w:hAnsi="Times New Roman"/>
                <w:sz w:val="15"/>
                <w:szCs w:val="15"/>
                <w:u w:val="single" w:color="auto"/>
                <w:color w:val="0000EE"/>
              </w:rPr>
            </w:pPr>
            <w:hyperlink w:anchor="page257">
              <w:r>
                <w:rPr>
                  <w:rFonts w:ascii="Times New Roman" w:cs="Times New Roman" w:eastAsia="Times New Roman" w:hAnsi="Times New Roman"/>
                  <w:sz w:val="15"/>
                  <w:szCs w:val="15"/>
                  <w:u w:val="single" w:color="auto"/>
                  <w:color w:val="0000EE"/>
                </w:rPr>
                <w:t>Form of Underwriting Agreement.</w:t>
              </w:r>
            </w:hyperlink>
          </w:p>
        </w:tc>
        <w:tc>
          <w:tcPr>
            <w:tcW w:w="600" w:type="dxa"/>
            <w:vAlign w:val="bottom"/>
            <w:tcBorders>
              <w:top w:val="single" w:sz="8" w:color="auto"/>
            </w:tcBorders>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3.1</w:t>
            </w:r>
          </w:p>
        </w:tc>
        <w:tc>
          <w:tcPr>
            <w:tcW w:w="540" w:type="dxa"/>
            <w:vAlign w:val="bottom"/>
          </w:tcPr>
          <w:p>
            <w:pPr>
              <w:spacing w:after="0"/>
              <w:rPr>
                <w:sz w:val="24"/>
                <w:szCs w:val="24"/>
                <w:color w:val="auto"/>
              </w:rPr>
            </w:pPr>
          </w:p>
        </w:tc>
        <w:tc>
          <w:tcPr>
            <w:tcW w:w="8060" w:type="dxa"/>
            <w:vAlign w:val="bottom"/>
            <w:gridSpan w:val="4"/>
          </w:tcPr>
          <w:p>
            <w:pPr>
              <w:spacing w:after="0"/>
              <w:rPr>
                <w:rFonts w:ascii="Times New Roman" w:cs="Times New Roman" w:eastAsia="Times New Roman" w:hAnsi="Times New Roman"/>
                <w:sz w:val="15"/>
                <w:szCs w:val="15"/>
                <w:color w:val="0000EE"/>
              </w:rPr>
            </w:pPr>
            <w:hyperlink w:anchor="page305">
              <w:r>
                <w:rPr>
                  <w:rFonts w:ascii="Times New Roman" w:cs="Times New Roman" w:eastAsia="Times New Roman" w:hAnsi="Times New Roman"/>
                  <w:sz w:val="15"/>
                  <w:szCs w:val="15"/>
                  <w:u w:val="single" w:color="auto"/>
                  <w:color w:val="0000EE"/>
                </w:rPr>
                <w:t>Amended and Restated Certificate of Incorporation of Registrant, as amended, as currently in effect</w:t>
              </w:r>
              <w:r>
                <w:rPr>
                  <w:rFonts w:ascii="Times New Roman" w:cs="Times New Roman" w:eastAsia="Times New Roman" w:hAnsi="Times New Roman"/>
                  <w:sz w:val="15"/>
                  <w:szCs w:val="15"/>
                  <w:color w:val="0000EE"/>
                </w:rPr>
                <w:t>.</w:t>
              </w:r>
            </w:hyperlink>
          </w:p>
        </w:tc>
        <w:tc>
          <w:tcPr>
            <w:tcW w:w="0" w:type="dxa"/>
            <w:vAlign w:val="bottom"/>
          </w:tcPr>
          <w:p>
            <w:pPr>
              <w:spacing w:after="0"/>
              <w:rPr>
                <w:sz w:val="1"/>
                <w:szCs w:val="1"/>
                <w:color w:val="auto"/>
              </w:rPr>
            </w:pPr>
          </w:p>
        </w:tc>
      </w:tr>
      <w:tr>
        <w:trPr>
          <w:trHeight w:val="277"/>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3.2</w:t>
            </w:r>
          </w:p>
        </w:tc>
        <w:tc>
          <w:tcPr>
            <w:tcW w:w="540" w:type="dxa"/>
            <w:vAlign w:val="bottom"/>
          </w:tcPr>
          <w:p>
            <w:pPr>
              <w:spacing w:after="0"/>
              <w:rPr>
                <w:sz w:val="24"/>
                <w:szCs w:val="24"/>
                <w:color w:val="auto"/>
              </w:rPr>
            </w:pPr>
          </w:p>
        </w:tc>
        <w:tc>
          <w:tcPr>
            <w:tcW w:w="8060" w:type="dxa"/>
            <w:vAlign w:val="bottom"/>
            <w:gridSpan w:val="4"/>
          </w:tcPr>
          <w:p>
            <w:pPr>
              <w:spacing w:after="0"/>
              <w:rPr>
                <w:rFonts w:ascii="Times New Roman" w:cs="Times New Roman" w:eastAsia="Times New Roman" w:hAnsi="Times New Roman"/>
                <w:sz w:val="15"/>
                <w:szCs w:val="15"/>
                <w:color w:val="0000EE"/>
              </w:rPr>
            </w:pPr>
            <w:hyperlink w:anchor="page325">
              <w:r>
                <w:rPr>
                  <w:rFonts w:ascii="Times New Roman" w:cs="Times New Roman" w:eastAsia="Times New Roman" w:hAnsi="Times New Roman"/>
                  <w:sz w:val="15"/>
                  <w:szCs w:val="15"/>
                  <w:u w:val="single" w:color="auto"/>
                  <w:color w:val="0000EE"/>
                </w:rPr>
                <w:t>Form of Amended and Restated Certificate of Incorporation of Registrant, to be effective upon completion of this offering</w:t>
              </w:r>
              <w:r>
                <w:rPr>
                  <w:rFonts w:ascii="Times New Roman" w:cs="Times New Roman" w:eastAsia="Times New Roman" w:hAnsi="Times New Roman"/>
                  <w:sz w:val="15"/>
                  <w:szCs w:val="15"/>
                  <w:color w:val="0000EE"/>
                </w:rPr>
                <w:t>.</w:t>
              </w:r>
            </w:hyperlink>
          </w:p>
        </w:tc>
        <w:tc>
          <w:tcPr>
            <w:tcW w:w="0" w:type="dxa"/>
            <w:vAlign w:val="bottom"/>
          </w:tcPr>
          <w:p>
            <w:pPr>
              <w:spacing w:after="0"/>
              <w:rPr>
                <w:sz w:val="1"/>
                <w:szCs w:val="1"/>
                <w:color w:val="auto"/>
              </w:rPr>
            </w:pPr>
          </w:p>
        </w:tc>
      </w:tr>
      <w:tr>
        <w:trPr>
          <w:trHeight w:val="277"/>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3.3</w:t>
            </w:r>
          </w:p>
        </w:tc>
        <w:tc>
          <w:tcPr>
            <w:tcW w:w="540" w:type="dxa"/>
            <w:vAlign w:val="bottom"/>
          </w:tcPr>
          <w:p>
            <w:pPr>
              <w:spacing w:after="0"/>
              <w:rPr>
                <w:sz w:val="24"/>
                <w:szCs w:val="24"/>
                <w:color w:val="auto"/>
              </w:rPr>
            </w:pPr>
          </w:p>
        </w:tc>
        <w:tc>
          <w:tcPr>
            <w:tcW w:w="8060" w:type="dxa"/>
            <w:vAlign w:val="bottom"/>
            <w:gridSpan w:val="4"/>
          </w:tcPr>
          <w:p>
            <w:pPr>
              <w:spacing w:after="0"/>
              <w:rPr>
                <w:rFonts w:ascii="Times New Roman" w:cs="Times New Roman" w:eastAsia="Times New Roman" w:hAnsi="Times New Roman"/>
                <w:sz w:val="15"/>
                <w:szCs w:val="15"/>
                <w:u w:val="single" w:color="auto"/>
                <w:color w:val="0000EE"/>
              </w:rPr>
            </w:pPr>
            <w:hyperlink w:anchor="page333">
              <w:r>
                <w:rPr>
                  <w:rFonts w:ascii="Times New Roman" w:cs="Times New Roman" w:eastAsia="Times New Roman" w:hAnsi="Times New Roman"/>
                  <w:sz w:val="15"/>
                  <w:szCs w:val="15"/>
                  <w:u w:val="single" w:color="auto"/>
                  <w:color w:val="0000EE"/>
                </w:rPr>
                <w:t>Bylaws of Registrant, as currently in effect.</w:t>
              </w:r>
            </w:hyperlink>
          </w:p>
        </w:tc>
        <w:tc>
          <w:tcPr>
            <w:tcW w:w="0" w:type="dxa"/>
            <w:vAlign w:val="bottom"/>
          </w:tcPr>
          <w:p>
            <w:pPr>
              <w:spacing w:after="0"/>
              <w:rPr>
                <w:sz w:val="1"/>
                <w:szCs w:val="1"/>
                <w:color w:val="auto"/>
              </w:rPr>
            </w:pPr>
          </w:p>
        </w:tc>
      </w:tr>
      <w:tr>
        <w:trPr>
          <w:trHeight w:val="277"/>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3.4</w:t>
            </w:r>
          </w:p>
        </w:tc>
        <w:tc>
          <w:tcPr>
            <w:tcW w:w="540" w:type="dxa"/>
            <w:vAlign w:val="bottom"/>
          </w:tcPr>
          <w:p>
            <w:pPr>
              <w:spacing w:after="0"/>
              <w:rPr>
                <w:sz w:val="24"/>
                <w:szCs w:val="24"/>
                <w:color w:val="auto"/>
              </w:rPr>
            </w:pPr>
          </w:p>
        </w:tc>
        <w:tc>
          <w:tcPr>
            <w:tcW w:w="8060" w:type="dxa"/>
            <w:vAlign w:val="bottom"/>
            <w:gridSpan w:val="4"/>
          </w:tcPr>
          <w:p>
            <w:pPr>
              <w:spacing w:after="0"/>
              <w:rPr>
                <w:rFonts w:ascii="Times New Roman" w:cs="Times New Roman" w:eastAsia="Times New Roman" w:hAnsi="Times New Roman"/>
                <w:sz w:val="15"/>
                <w:szCs w:val="15"/>
                <w:u w:val="single" w:color="auto"/>
                <w:color w:val="0000EE"/>
              </w:rPr>
            </w:pPr>
            <w:hyperlink w:anchor="page350">
              <w:r>
                <w:rPr>
                  <w:rFonts w:ascii="Times New Roman" w:cs="Times New Roman" w:eastAsia="Times New Roman" w:hAnsi="Times New Roman"/>
                  <w:sz w:val="15"/>
                  <w:szCs w:val="15"/>
                  <w:u w:val="single" w:color="auto"/>
                  <w:color w:val="0000EE"/>
                </w:rPr>
                <w:t>Form of Amended and Restated Bylaws of Registrant, to be effective upon completion of this offering.</w:t>
              </w:r>
            </w:hyperlink>
          </w:p>
        </w:tc>
        <w:tc>
          <w:tcPr>
            <w:tcW w:w="0" w:type="dxa"/>
            <w:vAlign w:val="bottom"/>
          </w:tcPr>
          <w:p>
            <w:pPr>
              <w:spacing w:after="0"/>
              <w:rPr>
                <w:sz w:val="1"/>
                <w:szCs w:val="1"/>
                <w:color w:val="auto"/>
              </w:rPr>
            </w:pPr>
          </w:p>
        </w:tc>
      </w:tr>
      <w:tr>
        <w:trPr>
          <w:trHeight w:val="277"/>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4.1</w:t>
            </w:r>
          </w:p>
        </w:tc>
        <w:tc>
          <w:tcPr>
            <w:tcW w:w="540" w:type="dxa"/>
            <w:vAlign w:val="bottom"/>
          </w:tcPr>
          <w:p>
            <w:pPr>
              <w:spacing w:after="0"/>
              <w:rPr>
                <w:sz w:val="24"/>
                <w:szCs w:val="24"/>
                <w:color w:val="auto"/>
              </w:rPr>
            </w:pPr>
          </w:p>
        </w:tc>
        <w:tc>
          <w:tcPr>
            <w:tcW w:w="8060" w:type="dxa"/>
            <w:vAlign w:val="bottom"/>
            <w:gridSpan w:val="4"/>
          </w:tcPr>
          <w:p>
            <w:pPr>
              <w:spacing w:after="0"/>
              <w:rPr>
                <w:rFonts w:ascii="Times New Roman" w:cs="Times New Roman" w:eastAsia="Times New Roman" w:hAnsi="Times New Roman"/>
                <w:sz w:val="15"/>
                <w:szCs w:val="15"/>
                <w:u w:val="single" w:color="auto"/>
                <w:color w:val="0000EE"/>
              </w:rPr>
            </w:pPr>
            <w:hyperlink w:anchor="page374">
              <w:r>
                <w:rPr>
                  <w:rFonts w:ascii="Times New Roman" w:cs="Times New Roman" w:eastAsia="Times New Roman" w:hAnsi="Times New Roman"/>
                  <w:sz w:val="15"/>
                  <w:szCs w:val="15"/>
                  <w:u w:val="single" w:color="auto"/>
                  <w:color w:val="0000EE"/>
                </w:rPr>
                <w:t>Form of Registrant’s common stock certificate.</w:t>
              </w:r>
            </w:hyperlink>
          </w:p>
        </w:tc>
        <w:tc>
          <w:tcPr>
            <w:tcW w:w="0" w:type="dxa"/>
            <w:vAlign w:val="bottom"/>
          </w:tcPr>
          <w:p>
            <w:pPr>
              <w:spacing w:after="0"/>
              <w:rPr>
                <w:sz w:val="1"/>
                <w:szCs w:val="1"/>
                <w:color w:val="auto"/>
              </w:rPr>
            </w:pPr>
          </w:p>
        </w:tc>
      </w:tr>
      <w:tr>
        <w:trPr>
          <w:trHeight w:val="242"/>
        </w:trPr>
        <w:tc>
          <w:tcPr>
            <w:tcW w:w="4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4.2</w:t>
            </w:r>
          </w:p>
        </w:tc>
        <w:tc>
          <w:tcPr>
            <w:tcW w:w="540" w:type="dxa"/>
            <w:vAlign w:val="bottom"/>
          </w:tcPr>
          <w:p>
            <w:pPr>
              <w:spacing w:after="0"/>
              <w:rPr>
                <w:sz w:val="21"/>
                <w:szCs w:val="21"/>
                <w:color w:val="auto"/>
              </w:rPr>
            </w:pPr>
          </w:p>
        </w:tc>
        <w:tc>
          <w:tcPr>
            <w:tcW w:w="8060" w:type="dxa"/>
            <w:vAlign w:val="bottom"/>
            <w:tcBorders>
              <w:bottom w:val="single" w:sz="8" w:color="0000EE"/>
            </w:tcBorders>
            <w:gridSpan w:val="4"/>
          </w:tcPr>
          <w:p>
            <w:pPr>
              <w:spacing w:after="0"/>
              <w:rPr>
                <w:rFonts w:ascii="Times New Roman" w:cs="Times New Roman" w:eastAsia="Times New Roman" w:hAnsi="Times New Roman"/>
                <w:sz w:val="15"/>
                <w:szCs w:val="15"/>
                <w:color w:val="0000EE"/>
              </w:rPr>
            </w:pPr>
            <w:hyperlink w:anchor="page377">
              <w:r>
                <w:rPr>
                  <w:rFonts w:ascii="Times New Roman" w:cs="Times New Roman" w:eastAsia="Times New Roman" w:hAnsi="Times New Roman"/>
                  <w:sz w:val="15"/>
                  <w:szCs w:val="15"/>
                  <w:color w:val="0000EE"/>
                </w:rPr>
                <w:t>Amended and Restated Investors’ Rights Agreement, dated September 24, 2020, by and among the Registrant and the other parties</w:t>
              </w:r>
            </w:hyperlink>
          </w:p>
        </w:tc>
        <w:tc>
          <w:tcPr>
            <w:tcW w:w="0" w:type="dxa"/>
            <w:vAlign w:val="bottom"/>
          </w:tcPr>
          <w:p>
            <w:pPr>
              <w:spacing w:after="0"/>
              <w:rPr>
                <w:sz w:val="1"/>
                <w:szCs w:val="1"/>
                <w:color w:val="auto"/>
              </w:rPr>
            </w:pPr>
          </w:p>
        </w:tc>
      </w:tr>
      <w:tr>
        <w:trPr>
          <w:trHeight w:val="164"/>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60" w:type="dxa"/>
            <w:vAlign w:val="bottom"/>
            <w:gridSpan w:val="4"/>
          </w:tcPr>
          <w:p>
            <w:pPr>
              <w:spacing w:after="0" w:line="164" w:lineRule="exact"/>
              <w:rPr>
                <w:rFonts w:ascii="Times New Roman" w:cs="Times New Roman" w:eastAsia="Times New Roman" w:hAnsi="Times New Roman"/>
                <w:sz w:val="15"/>
                <w:szCs w:val="15"/>
                <w:color w:val="0000EE"/>
              </w:rPr>
            </w:pPr>
            <w:hyperlink w:anchor="page377">
              <w:r>
                <w:rPr>
                  <w:rFonts w:ascii="Times New Roman" w:cs="Times New Roman" w:eastAsia="Times New Roman" w:hAnsi="Times New Roman"/>
                  <w:sz w:val="15"/>
                  <w:szCs w:val="15"/>
                  <w:color w:val="0000EE"/>
                </w:rPr>
                <w:t>thereto.</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0280"/>
          </w:cols>
          <w:pgMar w:left="320" w:top="410" w:right="1299" w:bottom="1440" w:gutter="0" w:footer="0" w:header="0"/>
        </w:sectPr>
      </w:pPr>
    </w:p>
    <w:bookmarkStart w:id="253" w:name="page254"/>
    <w:bookmarkEnd w:id="253"/>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920" w:type="dxa"/>
        <w:tblCellMar>
          <w:top w:w="0" w:type="dxa"/>
          <w:left w:w="0" w:type="dxa"/>
          <w:bottom w:w="0" w:type="dxa"/>
          <w:right w:w="0" w:type="dxa"/>
        </w:tblCellMar>
      </w:tblPr>
      <w:tr>
        <w:trPr>
          <w:trHeight w:val="138"/>
        </w:trPr>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940" w:type="dxa"/>
            <w:vAlign w:val="bottom"/>
          </w:tcPr>
          <w:p>
            <w:pPr>
              <w:spacing w:after="0"/>
              <w:rPr>
                <w:sz w:val="12"/>
                <w:szCs w:val="12"/>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5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5.1</w:t>
            </w:r>
          </w:p>
        </w:tc>
        <w:tc>
          <w:tcPr>
            <w:tcW w:w="500" w:type="dxa"/>
            <w:vAlign w:val="bottom"/>
          </w:tcPr>
          <w:p>
            <w:pPr>
              <w:spacing w:after="0"/>
              <w:rPr>
                <w:sz w:val="23"/>
                <w:szCs w:val="23"/>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18">
              <w:r>
                <w:rPr>
                  <w:rFonts w:ascii="Times New Roman" w:cs="Times New Roman" w:eastAsia="Times New Roman" w:hAnsi="Times New Roman"/>
                  <w:sz w:val="15"/>
                  <w:szCs w:val="15"/>
                  <w:u w:val="single" w:color="auto"/>
                  <w:color w:val="0000EE"/>
                </w:rPr>
                <w:t>Opinion of Gunderson Dettmer Stough Villeneuve Franklin &amp; Hachigian, LLP.</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10.1</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20">
              <w:r>
                <w:rPr>
                  <w:rFonts w:ascii="Times New Roman" w:cs="Times New Roman" w:eastAsia="Times New Roman" w:hAnsi="Times New Roman"/>
                  <w:sz w:val="15"/>
                  <w:szCs w:val="15"/>
                  <w:u w:val="single" w:color="auto"/>
                  <w:color w:val="0000EE"/>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10.2*</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color w:val="0000EE"/>
              </w:rPr>
            </w:pPr>
            <w:hyperlink r:id="rId338">
              <w:r>
                <w:rPr>
                  <w:rFonts w:ascii="Times New Roman" w:cs="Times New Roman" w:eastAsia="Times New Roman" w:hAnsi="Times New Roman"/>
                  <w:sz w:val="15"/>
                  <w:szCs w:val="15"/>
                  <w:u w:val="single" w:color="auto"/>
                  <w:color w:val="0000EE"/>
                </w:rPr>
                <w:t>Tarsus Pharmaceuticals, Inc. 2016 Stock Plan, as amended, and forms of agreements thereunder</w:t>
              </w:r>
              <w:r>
                <w:rPr>
                  <w:rFonts w:ascii="Times New Roman" w:cs="Times New Roman" w:eastAsia="Times New Roman" w:hAnsi="Times New Roman"/>
                  <w:sz w:val="15"/>
                  <w:szCs w:val="15"/>
                  <w:color w:val="0000EE"/>
                </w:rPr>
                <w:t>.</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10.3</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29">
              <w:r>
                <w:rPr>
                  <w:rFonts w:ascii="Times New Roman" w:cs="Times New Roman" w:eastAsia="Times New Roman" w:hAnsi="Times New Roman"/>
                  <w:sz w:val="15"/>
                  <w:szCs w:val="15"/>
                  <w:u w:val="single" w:color="auto"/>
                  <w:color w:val="0000EE"/>
                </w:rPr>
                <w:t>Tarsus Pharmaceuticals, Inc. 2020 Equity Incentive Plan and form of agreements thereunder.</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54">
              <w:r>
                <w:rPr>
                  <w:rFonts w:ascii="Times New Roman" w:cs="Times New Roman" w:eastAsia="Times New Roman" w:hAnsi="Times New Roman"/>
                  <w:sz w:val="15"/>
                  <w:szCs w:val="15"/>
                  <w:u w:val="single" w:color="auto"/>
                  <w:color w:val="0000EE"/>
                </w:rPr>
                <w:t>Tarsus Pharmaceuticals, Inc. 2020 Employee Stock Purchase Plan.</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66">
              <w:r>
                <w:rPr>
                  <w:rFonts w:ascii="Times New Roman" w:cs="Times New Roman" w:eastAsia="Times New Roman" w:hAnsi="Times New Roman"/>
                  <w:sz w:val="15"/>
                  <w:szCs w:val="15"/>
                  <w:u w:val="single" w:color="auto"/>
                  <w:color w:val="0000EE"/>
                </w:rPr>
                <w:t>Amended and Restated Offer Letter, dated October 8, 2020, between the Registrant and Bobak Azamian, M.D., Ph.D.</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10.6*</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r:id="rId339">
              <w:r>
                <w:rPr>
                  <w:rFonts w:ascii="Times New Roman" w:cs="Times New Roman" w:eastAsia="Times New Roman" w:hAnsi="Times New Roman"/>
                  <w:sz w:val="15"/>
                  <w:szCs w:val="15"/>
                  <w:u w:val="single" w:color="auto"/>
                  <w:color w:val="0000EE"/>
                </w:rPr>
                <w:t>Offer Letter, dated March 15, 2020, between the Registrant and Leo M. Greenstein.</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10.7*</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r:id="rId340">
              <w:r>
                <w:rPr>
                  <w:rFonts w:ascii="Times New Roman" w:cs="Times New Roman" w:eastAsia="Times New Roman" w:hAnsi="Times New Roman"/>
                  <w:sz w:val="15"/>
                  <w:szCs w:val="15"/>
                  <w:u w:val="single" w:color="auto"/>
                  <w:color w:val="0000EE"/>
                </w:rPr>
                <w:t>Offer Letter, dated June 4, 2020, between the Registrant and Seshadri Neervannan, Ph.D.</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10.8*</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color w:val="0000EE"/>
              </w:rPr>
            </w:pPr>
            <w:hyperlink r:id="rId341">
              <w:r>
                <w:rPr>
                  <w:rFonts w:ascii="Times New Roman" w:cs="Times New Roman" w:eastAsia="Times New Roman" w:hAnsi="Times New Roman"/>
                  <w:sz w:val="15"/>
                  <w:szCs w:val="15"/>
                  <w:u w:val="single" w:color="auto"/>
                  <w:color w:val="0000EE"/>
                </w:rPr>
                <w:t>Offer Letter, dated October 29, 2018, between the Registrant and Mark Holdbrook</w:t>
              </w:r>
              <w:r>
                <w:rPr>
                  <w:rFonts w:ascii="Times New Roman" w:cs="Times New Roman" w:eastAsia="Times New Roman" w:hAnsi="Times New Roman"/>
                  <w:sz w:val="15"/>
                  <w:szCs w:val="15"/>
                  <w:color w:val="0000EE"/>
                </w:rPr>
                <w:t>.</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r:id="rId342">
              <w:r>
                <w:rPr>
                  <w:rFonts w:ascii="Times New Roman" w:cs="Times New Roman" w:eastAsia="Times New Roman" w:hAnsi="Times New Roman"/>
                  <w:sz w:val="15"/>
                  <w:szCs w:val="15"/>
                  <w:u w:val="single" w:color="auto"/>
                  <w:color w:val="0000EE"/>
                </w:rPr>
                <w:t>Offer Letter, dated June 22, 2020, between the Registrant and Aziz Mottiwala.</w:t>
              </w:r>
            </w:hyperlink>
          </w:p>
        </w:tc>
        <w:tc>
          <w:tcPr>
            <w:tcW w:w="0" w:type="dxa"/>
            <w:vAlign w:val="bottom"/>
          </w:tcPr>
          <w:p>
            <w:pPr>
              <w:spacing w:after="0"/>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10.10†</w:t>
            </w: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71">
              <w:r>
                <w:rPr>
                  <w:rFonts w:ascii="Times New Roman" w:cs="Times New Roman" w:eastAsia="Times New Roman" w:hAnsi="Times New Roman"/>
                  <w:sz w:val="15"/>
                  <w:szCs w:val="15"/>
                  <w:u w:val="single" w:color="auto"/>
                  <w:color w:val="0000EE"/>
                </w:rPr>
                <w:t>License Agreement, dated January 31, 2019, between the Registrant and Elanco Tiergesundheit AG.</w:t>
              </w:r>
            </w:hyperlink>
          </w:p>
        </w:tc>
        <w:tc>
          <w:tcPr>
            <w:tcW w:w="0" w:type="dxa"/>
            <w:vAlign w:val="bottom"/>
          </w:tcPr>
          <w:p>
            <w:pPr>
              <w:spacing w:after="0"/>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10.11†</w:t>
            </w: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96">
              <w:r>
                <w:rPr>
                  <w:rFonts w:ascii="Times New Roman" w:cs="Times New Roman" w:eastAsia="Times New Roman" w:hAnsi="Times New Roman"/>
                  <w:sz w:val="15"/>
                  <w:szCs w:val="15"/>
                  <w:u w:val="single" w:color="auto"/>
                  <w:color w:val="0000EE"/>
                </w:rPr>
                <w:t>Amendment to License Agreement, dated September 3, 2020, between the Registrant and Elanco Tiergesundheit AG.</w:t>
              </w:r>
            </w:hyperlink>
          </w:p>
        </w:tc>
        <w:tc>
          <w:tcPr>
            <w:tcW w:w="0" w:type="dxa"/>
            <w:vAlign w:val="bottom"/>
          </w:tcPr>
          <w:p>
            <w:pPr>
              <w:spacing w:after="0"/>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10.12†^</w:t>
            </w: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500">
              <w:r>
                <w:rPr>
                  <w:rFonts w:ascii="Times New Roman" w:cs="Times New Roman" w:eastAsia="Times New Roman" w:hAnsi="Times New Roman"/>
                  <w:sz w:val="15"/>
                  <w:szCs w:val="15"/>
                  <w:u w:val="single" w:color="auto"/>
                  <w:color w:val="0000EE"/>
                </w:rPr>
                <w:t>License Agreement, dated September 3, 2020, between the Registrant and Elanco Tiergesundheit AG.</w:t>
              </w:r>
            </w:hyperlink>
          </w:p>
        </w:tc>
        <w:tc>
          <w:tcPr>
            <w:tcW w:w="0" w:type="dxa"/>
            <w:vAlign w:val="bottom"/>
          </w:tcPr>
          <w:p>
            <w:pPr>
              <w:spacing w:after="0"/>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10.13^*</w:t>
            </w: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r:id="rId343">
              <w:r>
                <w:rPr>
                  <w:rFonts w:ascii="Times New Roman" w:cs="Times New Roman" w:eastAsia="Times New Roman" w:hAnsi="Times New Roman"/>
                  <w:sz w:val="15"/>
                  <w:szCs w:val="15"/>
                  <w:u w:val="single" w:color="auto"/>
                  <w:color w:val="0000EE"/>
                </w:rPr>
                <w:t>Office Lease, dated May 28, 2020, between the Registrant and Discovery Business Center LLC.</w:t>
              </w:r>
            </w:hyperlink>
          </w:p>
        </w:tc>
        <w:tc>
          <w:tcPr>
            <w:tcW w:w="0" w:type="dxa"/>
            <w:vAlign w:val="bottom"/>
          </w:tcPr>
          <w:p>
            <w:pPr>
              <w:spacing w:after="0"/>
              <w:rPr>
                <w:sz w:val="1"/>
                <w:szCs w:val="1"/>
                <w:color w:val="auto"/>
              </w:rPr>
            </w:pPr>
          </w:p>
        </w:tc>
      </w:tr>
      <w:tr>
        <w:trPr>
          <w:trHeight w:val="242"/>
        </w:trPr>
        <w:tc>
          <w:tcPr>
            <w:tcW w:w="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10.14^*</w:t>
            </w:r>
          </w:p>
        </w:tc>
        <w:tc>
          <w:tcPr>
            <w:tcW w:w="7920" w:type="dxa"/>
            <w:vAlign w:val="bottom"/>
            <w:tcBorders>
              <w:bottom w:val="single" w:sz="8" w:color="0000EE"/>
            </w:tcBorders>
            <w:gridSpan w:val="4"/>
          </w:tcPr>
          <w:p>
            <w:pPr>
              <w:spacing w:after="0"/>
              <w:rPr>
                <w:rFonts w:ascii="Times New Roman" w:cs="Times New Roman" w:eastAsia="Times New Roman" w:hAnsi="Times New Roman"/>
                <w:sz w:val="15"/>
                <w:szCs w:val="15"/>
                <w:color w:val="0000EE"/>
              </w:rPr>
            </w:pPr>
            <w:hyperlink r:id="rId344">
              <w:r>
                <w:rPr>
                  <w:rFonts w:ascii="Times New Roman" w:cs="Times New Roman" w:eastAsia="Times New Roman" w:hAnsi="Times New Roman"/>
                  <w:sz w:val="15"/>
                  <w:szCs w:val="15"/>
                  <w:color w:val="0000EE"/>
                </w:rPr>
                <w:t>Sublease Agreement, dated May 29, 2020, between the Registrant and Avent, Inc., as amended by First Amendment to Sublease</w:t>
              </w:r>
            </w:hyperlink>
          </w:p>
        </w:tc>
        <w:tc>
          <w:tcPr>
            <w:tcW w:w="0" w:type="dxa"/>
            <w:vAlign w:val="bottom"/>
          </w:tcPr>
          <w:p>
            <w:pPr>
              <w:spacing w:after="0"/>
              <w:rPr>
                <w:sz w:val="1"/>
                <w:szCs w:val="1"/>
                <w:color w:val="auto"/>
              </w:rPr>
            </w:pPr>
          </w:p>
        </w:tc>
      </w:tr>
      <w:tr>
        <w:trPr>
          <w:trHeight w:val="164"/>
        </w:trPr>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20" w:type="dxa"/>
            <w:vAlign w:val="bottom"/>
            <w:gridSpan w:val="4"/>
          </w:tcPr>
          <w:p>
            <w:pPr>
              <w:spacing w:after="0" w:line="164" w:lineRule="exact"/>
              <w:rPr>
                <w:rFonts w:ascii="Times New Roman" w:cs="Times New Roman" w:eastAsia="Times New Roman" w:hAnsi="Times New Roman"/>
                <w:sz w:val="15"/>
                <w:szCs w:val="15"/>
                <w:color w:val="0000EE"/>
              </w:rPr>
            </w:pPr>
            <w:hyperlink r:id="rId344">
              <w:r>
                <w:rPr>
                  <w:rFonts w:ascii="Times New Roman" w:cs="Times New Roman" w:eastAsia="Times New Roman" w:hAnsi="Times New Roman"/>
                  <w:sz w:val="15"/>
                  <w:szCs w:val="15"/>
                  <w:color w:val="0000EE"/>
                </w:rPr>
                <w:t>Agreement, dated July 30, 2020, between the Registrant and Avent, Inc.</w:t>
              </w:r>
            </w:hyperlink>
          </w:p>
        </w:tc>
        <w:tc>
          <w:tcPr>
            <w:tcW w:w="0" w:type="dxa"/>
            <w:vAlign w:val="bottom"/>
          </w:tcPr>
          <w:p>
            <w:pPr>
              <w:spacing w:after="0"/>
              <w:rPr>
                <w:sz w:val="1"/>
                <w:szCs w:val="1"/>
                <w:color w:val="auto"/>
              </w:rPr>
            </w:pPr>
          </w:p>
        </w:tc>
      </w:tr>
      <w:tr>
        <w:trPr>
          <w:trHeight w:val="291"/>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10.15</w:t>
            </w:r>
          </w:p>
        </w:tc>
        <w:tc>
          <w:tcPr>
            <w:tcW w:w="500" w:type="dxa"/>
            <w:vAlign w:val="bottom"/>
          </w:tcPr>
          <w:p>
            <w:pPr>
              <w:spacing w:after="0"/>
              <w:rPr>
                <w:sz w:val="24"/>
                <w:szCs w:val="24"/>
                <w:color w:val="auto"/>
              </w:rPr>
            </w:pPr>
          </w:p>
        </w:tc>
        <w:tc>
          <w:tcPr>
            <w:tcW w:w="4420" w:type="dxa"/>
            <w:vAlign w:val="bottom"/>
            <w:tcBorders>
              <w:top w:val="single" w:sz="8" w:color="0000EE"/>
            </w:tcBorders>
            <w:gridSpan w:val="2"/>
          </w:tcPr>
          <w:p>
            <w:pPr>
              <w:spacing w:after="0"/>
              <w:rPr>
                <w:rFonts w:ascii="Times New Roman" w:cs="Times New Roman" w:eastAsia="Times New Roman" w:hAnsi="Times New Roman"/>
                <w:sz w:val="15"/>
                <w:szCs w:val="15"/>
                <w:u w:val="single" w:color="auto"/>
                <w:color w:val="0000EE"/>
              </w:rPr>
            </w:pPr>
            <w:hyperlink w:anchor="page526">
              <w:r>
                <w:rPr>
                  <w:rFonts w:ascii="Times New Roman" w:cs="Times New Roman" w:eastAsia="Times New Roman" w:hAnsi="Times New Roman"/>
                  <w:sz w:val="15"/>
                  <w:szCs w:val="15"/>
                  <w:u w:val="single" w:color="auto"/>
                  <w:color w:val="0000EE"/>
                </w:rPr>
                <w:t>Management Cash Incentive Plan</w:t>
              </w:r>
            </w:hyperlink>
          </w:p>
        </w:tc>
        <w:tc>
          <w:tcPr>
            <w:tcW w:w="3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23.1</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535">
              <w:r>
                <w:rPr>
                  <w:rFonts w:ascii="Times New Roman" w:cs="Times New Roman" w:eastAsia="Times New Roman" w:hAnsi="Times New Roman"/>
                  <w:sz w:val="15"/>
                  <w:szCs w:val="15"/>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23.2</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u w:val="single" w:color="auto"/>
                <w:color w:val="0000EE"/>
              </w:rPr>
            </w:pPr>
            <w:hyperlink w:anchor="page418">
              <w:r>
                <w:rPr>
                  <w:rFonts w:ascii="Times New Roman" w:cs="Times New Roman" w:eastAsia="Times New Roman" w:hAnsi="Times New Roman"/>
                  <w:sz w:val="15"/>
                  <w:szCs w:val="15"/>
                  <w:u w:val="single" w:color="auto"/>
                  <w:color w:val="0000EE"/>
                </w:rPr>
                <w:t>Consent of Gunderson Dettmer Stough Villeneuve Franklin &amp; Hachigian, LLP (contained in Exhibit 5.1).</w:t>
              </w:r>
            </w:hyperlink>
          </w:p>
        </w:tc>
        <w:tc>
          <w:tcPr>
            <w:tcW w:w="0" w:type="dxa"/>
            <w:vAlign w:val="bottom"/>
          </w:tcPr>
          <w:p>
            <w:pPr>
              <w:spacing w:after="0"/>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24.1*</w:t>
            </w:r>
          </w:p>
        </w:tc>
        <w:tc>
          <w:tcPr>
            <w:tcW w:w="500" w:type="dxa"/>
            <w:vAlign w:val="bottom"/>
          </w:tcPr>
          <w:p>
            <w:pPr>
              <w:spacing w:after="0"/>
              <w:rPr>
                <w:sz w:val="24"/>
                <w:szCs w:val="24"/>
                <w:color w:val="auto"/>
              </w:rPr>
            </w:pPr>
          </w:p>
        </w:tc>
        <w:tc>
          <w:tcPr>
            <w:tcW w:w="7920" w:type="dxa"/>
            <w:vAlign w:val="bottom"/>
            <w:gridSpan w:val="4"/>
          </w:tcPr>
          <w:p>
            <w:pPr>
              <w:spacing w:after="0"/>
              <w:rPr>
                <w:rFonts w:ascii="Times New Roman" w:cs="Times New Roman" w:eastAsia="Times New Roman" w:hAnsi="Times New Roman"/>
                <w:sz w:val="15"/>
                <w:szCs w:val="15"/>
                <w:color w:val="0000EE"/>
              </w:rPr>
            </w:pPr>
            <w:hyperlink r:id="rId345">
              <w:r>
                <w:rPr>
                  <w:rFonts w:ascii="Times New Roman" w:cs="Times New Roman" w:eastAsia="Times New Roman" w:hAnsi="Times New Roman"/>
                  <w:sz w:val="15"/>
                  <w:szCs w:val="15"/>
                  <w:u w:val="single" w:color="auto"/>
                  <w:color w:val="0000EE"/>
                </w:rPr>
                <w:t>Power of Attorney (included on signature page)</w:t>
              </w:r>
              <w:r>
                <w:rPr>
                  <w:rFonts w:ascii="Times New Roman" w:cs="Times New Roman" w:eastAsia="Times New Roman" w:hAnsi="Times New Roman"/>
                  <w:sz w:val="15"/>
                  <w:szCs w:val="15"/>
                  <w:color w:val="0000EE"/>
                </w:rPr>
                <w:t>.</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73025</wp:posOffset>
            </wp:positionV>
            <wp:extent cx="65151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27" w:lineRule="exact"/>
        <w:rPr>
          <w:sz w:val="20"/>
          <w:szCs w:val="20"/>
          <w:color w:val="auto"/>
        </w:rPr>
      </w:pPr>
    </w:p>
    <w:p>
      <w:pPr>
        <w:ind w:left="1280" w:hanging="360"/>
        <w:spacing w:after="0"/>
        <w:tabs>
          <w:tab w:leader="none" w:pos="128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w:t>
      </w:r>
    </w:p>
    <w:p>
      <w:pPr>
        <w:spacing w:after="0" w:line="26" w:lineRule="exact"/>
        <w:rPr>
          <w:sz w:val="20"/>
          <w:szCs w:val="20"/>
          <w:color w:val="auto"/>
        </w:rPr>
      </w:pPr>
    </w:p>
    <w:p>
      <w:pPr>
        <w:ind w:left="1280" w:right="320" w:hanging="360"/>
        <w:spacing w:after="0" w:line="256" w:lineRule="auto"/>
        <w:tabs>
          <w:tab w:leader="none" w:pos="128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601(a)(5) of Regulation S-K, certain exhibits and schedules have been omitted. The Company hereby undertakes to furnish supplementally a copy of any omitted exhibit or schedule upon request by the SEC.</w:t>
      </w:r>
    </w:p>
    <w:p>
      <w:pPr>
        <w:spacing w:after="0" w:line="1" w:lineRule="exact"/>
        <w:rPr>
          <w:sz w:val="20"/>
          <w:szCs w:val="20"/>
          <w:color w:val="auto"/>
        </w:rPr>
      </w:pPr>
    </w:p>
    <w:p>
      <w:pPr>
        <w:ind w:left="1280" w:hanging="360"/>
        <w:spacing w:after="0" w:line="264" w:lineRule="auto"/>
        <w:tabs>
          <w:tab w:leader="none" w:pos="128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50" w:lineRule="exact"/>
        <w:rPr>
          <w:rFonts w:ascii="Times New Roman" w:cs="Times New Roman" w:eastAsia="Times New Roman" w:hAnsi="Times New Roman"/>
          <w:sz w:val="15"/>
          <w:szCs w:val="15"/>
          <w:color w:val="auto"/>
        </w:rPr>
      </w:pPr>
    </w:p>
    <w:p>
      <w:pPr>
        <w:ind w:left="920" w:right="360" w:firstLine="753"/>
        <w:spacing w:after="0" w:line="298" w:lineRule="auto"/>
        <w:tabs>
          <w:tab w:leader="none" w:pos="2005" w:val="left"/>
        </w:tabs>
        <w:numPr>
          <w:ilvl w:val="1"/>
          <w:numId w:val="17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Financial Statement Schedules. </w:t>
      </w:r>
      <w:r>
        <w:rPr>
          <w:rFonts w:ascii="Times New Roman" w:cs="Times New Roman" w:eastAsia="Times New Roman" w:hAnsi="Times New Roman"/>
          <w:sz w:val="15"/>
          <w:szCs w:val="15"/>
          <w:color w:val="auto"/>
        </w:rPr>
        <w:t>All schedules have been omitted because the information required to be presented in them is not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or is shown in the financial statements or related notes.</w:t>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200" w:lineRule="exact"/>
        <w:rPr>
          <w:sz w:val="20"/>
          <w:szCs w:val="20"/>
          <w:color w:val="auto"/>
        </w:rPr>
      </w:pPr>
    </w:p>
    <w:p>
      <w:pPr>
        <w:ind w:left="920" w:right="540" w:firstLine="753"/>
        <w:spacing w:after="0" w:line="293" w:lineRule="auto"/>
        <w:rPr>
          <w:sz w:val="20"/>
          <w:szCs w:val="20"/>
          <w:color w:val="auto"/>
        </w:rPr>
      </w:pPr>
      <w:r>
        <w:rPr>
          <w:rFonts w:ascii="Times New Roman" w:cs="Times New Roman" w:eastAsia="Times New Roman" w:hAnsi="Times New Roman"/>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7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II-4</w:t>
      </w:r>
    </w:p>
    <w:p>
      <w:pPr>
        <w:sectPr>
          <w:pgSz w:w="11900" w:h="16838" w:orient="portrait"/>
          <w:cols w:equalWidth="0" w:num="1">
            <w:col w:w="10240"/>
          </w:cols>
          <w:pgMar w:left="320" w:top="410" w:right="1339" w:bottom="1440" w:gutter="0" w:footer="0" w:header="0"/>
        </w:sectPr>
      </w:pPr>
    </w:p>
    <w:bookmarkStart w:id="254" w:name="page255"/>
    <w:bookmarkEnd w:id="254"/>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9" w:lineRule="exact"/>
        <w:rPr>
          <w:sz w:val="20"/>
          <w:szCs w:val="20"/>
          <w:color w:val="auto"/>
        </w:rPr>
      </w:pPr>
    </w:p>
    <w:p>
      <w:pPr>
        <w:ind w:left="920" w:firstLine="753"/>
        <w:spacing w:after="0" w:line="262"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5"/>
          <w:szCs w:val="15"/>
          <w:color w:val="auto"/>
        </w:rPr>
        <w:t>The undersigned registrant hereby undertakes that:</w:t>
      </w:r>
    </w:p>
    <w:p>
      <w:pPr>
        <w:spacing w:after="0" w:line="219" w:lineRule="exact"/>
        <w:rPr>
          <w:sz w:val="20"/>
          <w:szCs w:val="20"/>
          <w:color w:val="auto"/>
        </w:rPr>
      </w:pPr>
    </w:p>
    <w:p>
      <w:pPr>
        <w:ind w:left="2040" w:right="60" w:hanging="370"/>
        <w:spacing w:after="0" w:line="268" w:lineRule="auto"/>
        <w:tabs>
          <w:tab w:leader="none" w:pos="204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174" w:lineRule="exact"/>
        <w:rPr>
          <w:rFonts w:ascii="Times New Roman" w:cs="Times New Roman" w:eastAsia="Times New Roman" w:hAnsi="Times New Roman"/>
          <w:sz w:val="15"/>
          <w:szCs w:val="15"/>
          <w:color w:val="auto"/>
        </w:rPr>
      </w:pPr>
    </w:p>
    <w:p>
      <w:pPr>
        <w:ind w:left="2040" w:right="320" w:hanging="370"/>
        <w:spacing w:after="0" w:line="275" w:lineRule="auto"/>
        <w:tabs>
          <w:tab w:leader="none" w:pos="2040"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0300"/>
          </w:cols>
          <w:pgMar w:left="320" w:top="410" w:right="1279" w:bottom="1440" w:gutter="0" w:footer="0" w:header="0"/>
        </w:sectPr>
      </w:pPr>
    </w:p>
    <w:bookmarkStart w:id="255" w:name="page256"/>
    <w:bookmarkEnd w:id="255"/>
    <w:p>
      <w:pPr>
        <w:spacing w:after="0"/>
        <w:rPr>
          <w:rFonts w:ascii="Times New Roman" w:cs="Times New Roman" w:eastAsia="Times New Roman" w:hAnsi="Times New Roman"/>
          <w:sz w:val="15"/>
          <w:szCs w:val="15"/>
          <w:b w:val="1"/>
          <w:bCs w:val="1"/>
          <w:u w:val="single" w:color="auto"/>
          <w:color w:val="0000EE"/>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hyperlink w:anchor="page3">
        <w:r>
          <w:rPr>
            <w:rFonts w:ascii="Times New Roman" w:cs="Times New Roman" w:eastAsia="Times New Roman" w:hAnsi="Times New Roman"/>
            <w:sz w:val="15"/>
            <w:szCs w:val="15"/>
            <w:b w:val="1"/>
            <w:bCs w:val="1"/>
            <w:u w:val="single" w:color="auto"/>
            <w:color w:val="0000EE"/>
          </w:rPr>
          <w:t>Table of Contents</w:t>
        </w:r>
      </w:hyperlink>
    </w:p>
    <w:p>
      <w:pPr>
        <w:spacing w:after="0" w:line="2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0" w:lineRule="exact"/>
        <w:rPr>
          <w:sz w:val="20"/>
          <w:szCs w:val="20"/>
          <w:color w:val="auto"/>
        </w:rPr>
      </w:pPr>
    </w:p>
    <w:p>
      <w:pPr>
        <w:ind w:left="920" w:right="159" w:firstLine="753"/>
        <w:spacing w:after="0" w:line="29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has duly caused this Registration Statement to be signed on its behalf by the undersigned, thereunto duly authorized, in the City of Irvine, State of California, on this 9</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day of October, 2020.</w:t>
      </w:r>
    </w:p>
    <w:p>
      <w:pPr>
        <w:spacing w:after="0" w:line="1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20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17145</wp:posOffset>
            </wp:positionV>
            <wp:extent cx="238633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2386330" cy="7620"/>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Bobak Azamian, M.D., Ph.D.</w:t>
      </w:r>
    </w:p>
    <w:p>
      <w:pPr>
        <w:spacing w:after="0" w:line="2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5"/>
          <w:szCs w:val="15"/>
          <w:color w:val="auto"/>
        </w:rPr>
        <w:t>President and Chief Executive Officer</w:t>
      </w:r>
    </w:p>
    <w:p>
      <w:pPr>
        <w:spacing w:after="0" w:line="182" w:lineRule="exact"/>
        <w:rPr>
          <w:sz w:val="20"/>
          <w:szCs w:val="20"/>
          <w:color w:val="auto"/>
        </w:rPr>
      </w:pPr>
    </w:p>
    <w:p>
      <w:pPr>
        <w:ind w:left="920" w:right="299" w:firstLine="753"/>
        <w:spacing w:after="0" w:line="293"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Title</w:t>
            </w:r>
          </w:p>
        </w:tc>
        <w:tc>
          <w:tcPr>
            <w:tcW w:w="740" w:type="dxa"/>
            <w:vAlign w:val="bottom"/>
          </w:tcPr>
          <w:p>
            <w:pPr>
              <w:spacing w:after="0"/>
              <w:rPr>
                <w:sz w:val="12"/>
                <w:szCs w:val="12"/>
                <w:color w:val="auto"/>
              </w:rPr>
            </w:pPr>
          </w:p>
        </w:tc>
        <w:tc>
          <w:tcPr>
            <w:tcW w:w="6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0"/>
        </w:trPr>
        <w:tc>
          <w:tcPr>
            <w:tcW w:w="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/s/ Bobak Azamian, M.D., Ph.D.</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Chief Executive Officer, President and Director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Bobak Azamian, M.D., Ph.D.</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5"/>
                <w:szCs w:val="15"/>
                <w:color w:val="auto"/>
              </w:rPr>
              <w:t>/s/ Leo M. Greenstein</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Chief Financial Officer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Leo M. Greenstein</w:t>
            </w: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i w:val="1"/>
                <w:iCs w:val="1"/>
                <w:color w:val="auto"/>
              </w:rPr>
              <w:t>(Principal Financial Officer and Principal Accounting Officer)</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1920" w:type="dxa"/>
            <w:vAlign w:val="bottom"/>
            <w:tcBorders>
              <w:bottom w:val="single" w:sz="8" w:color="auto"/>
            </w:tcBorders>
            <w:gridSpan w:val="3"/>
          </w:tcPr>
          <w:p>
            <w:pPr>
              <w:jc w:val="center"/>
              <w:ind w:left="13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spacing w:after="0"/>
              <w:rPr>
                <w:sz w:val="24"/>
                <w:szCs w:val="24"/>
                <w:color w:val="auto"/>
              </w:rPr>
            </w:pP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Chairman</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Michael Ackermann, Ph.D.</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1920" w:type="dxa"/>
            <w:vAlign w:val="bottom"/>
            <w:tcBorders>
              <w:bottom w:val="single" w:sz="8" w:color="auto"/>
            </w:tcBorders>
            <w:gridSpan w:val="3"/>
          </w:tcPr>
          <w:p>
            <w:pPr>
              <w:jc w:val="center"/>
              <w:ind w:left="13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spacing w:after="0"/>
              <w:rPr>
                <w:sz w:val="24"/>
                <w:szCs w:val="24"/>
                <w:color w:val="auto"/>
              </w:rPr>
            </w:pP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Bhaskar Chaudhuri, Ph.D.</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1920" w:type="dxa"/>
            <w:vAlign w:val="bottom"/>
            <w:tcBorders>
              <w:bottom w:val="single" w:sz="8" w:color="auto"/>
            </w:tcBorders>
            <w:gridSpan w:val="3"/>
          </w:tcPr>
          <w:p>
            <w:pPr>
              <w:jc w:val="center"/>
              <w:ind w:left="13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spacing w:after="0"/>
              <w:rPr>
                <w:sz w:val="24"/>
                <w:szCs w:val="24"/>
                <w:color w:val="auto"/>
              </w:rPr>
            </w:pP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Andrew Goldberg, M.D.</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1920" w:type="dxa"/>
            <w:vAlign w:val="bottom"/>
            <w:tcBorders>
              <w:bottom w:val="single" w:sz="8" w:color="auto"/>
            </w:tcBorders>
            <w:gridSpan w:val="3"/>
          </w:tcPr>
          <w:p>
            <w:pPr>
              <w:jc w:val="center"/>
              <w:ind w:left="13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spacing w:after="0"/>
              <w:rPr>
                <w:sz w:val="24"/>
                <w:szCs w:val="24"/>
                <w:color w:val="auto"/>
              </w:rPr>
            </w:pP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William J. Link, Ph.D.</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66"/>
        </w:trPr>
        <w:tc>
          <w:tcPr>
            <w:tcW w:w="1920" w:type="dxa"/>
            <w:vAlign w:val="bottom"/>
            <w:tcBorders>
              <w:bottom w:val="single" w:sz="8" w:color="auto"/>
            </w:tcBorders>
            <w:gridSpan w:val="3"/>
          </w:tcPr>
          <w:p>
            <w:pPr>
              <w:jc w:val="center"/>
              <w:ind w:left="1323"/>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tcPr>
          <w:p>
            <w:pPr>
              <w:spacing w:after="0"/>
              <w:rPr>
                <w:sz w:val="24"/>
                <w:szCs w:val="24"/>
                <w:color w:val="auto"/>
              </w:rPr>
            </w:pPr>
          </w:p>
        </w:tc>
        <w:tc>
          <w:tcPr>
            <w:tcW w:w="43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Director</w:t>
            </w:r>
          </w:p>
        </w:tc>
        <w:tc>
          <w:tcPr>
            <w:tcW w:w="1360" w:type="dxa"/>
            <w:vAlign w:val="bottom"/>
            <w:gridSpan w:val="3"/>
          </w:tcPr>
          <w:p>
            <w:pPr>
              <w:jc w:val="center"/>
              <w:ind w:left="303"/>
              <w:spacing w:after="0"/>
              <w:rPr>
                <w:sz w:val="20"/>
                <w:szCs w:val="20"/>
                <w:color w:val="auto"/>
              </w:rPr>
            </w:pPr>
            <w:r>
              <w:rPr>
                <w:rFonts w:ascii="Times New Roman" w:cs="Times New Roman" w:eastAsia="Times New Roman" w:hAnsi="Times New Roman"/>
                <w:sz w:val="15"/>
                <w:szCs w:val="15"/>
                <w:color w:val="auto"/>
              </w:rPr>
              <w:t>October 9, 2020</w:t>
            </w:r>
          </w:p>
        </w:tc>
      </w:tr>
      <w:tr>
        <w:trPr>
          <w:trHeight w:val="191"/>
        </w:trPr>
        <w:tc>
          <w:tcPr>
            <w:tcW w:w="460" w:type="dxa"/>
            <w:vAlign w:val="bottom"/>
          </w:tcPr>
          <w:p>
            <w:pPr>
              <w:spacing w:after="0"/>
              <w:rPr>
                <w:sz w:val="16"/>
                <w:szCs w:val="16"/>
                <w:color w:val="auto"/>
              </w:rPr>
            </w:pPr>
          </w:p>
        </w:tc>
        <w:tc>
          <w:tcPr>
            <w:tcW w:w="286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Jason Tester</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573"/>
        </w:trPr>
        <w:tc>
          <w:tcPr>
            <w:tcW w:w="33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By:  /s/ Bobak Azamian, M.D., Ph.D.</w:t>
            </w: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3"/>
        </w:trPr>
        <w:tc>
          <w:tcPr>
            <w:tcW w:w="460" w:type="dxa"/>
            <w:vAlign w:val="bottom"/>
          </w:tcPr>
          <w:p>
            <w:pPr>
              <w:spacing w:after="0"/>
              <w:rPr>
                <w:sz w:val="15"/>
                <w:szCs w:val="15"/>
                <w:color w:val="auto"/>
              </w:rPr>
            </w:pPr>
          </w:p>
        </w:tc>
        <w:tc>
          <w:tcPr>
            <w:tcW w:w="28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Bobak Azamian, M.D., Ph.D.</w:t>
            </w:r>
          </w:p>
        </w:tc>
        <w:tc>
          <w:tcPr>
            <w:tcW w:w="440" w:type="dxa"/>
            <w:vAlign w:val="bottom"/>
            <w:tcBorders>
              <w:top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9"/>
        </w:trPr>
        <w:tc>
          <w:tcPr>
            <w:tcW w:w="460" w:type="dxa"/>
            <w:vAlign w:val="bottom"/>
          </w:tcPr>
          <w:p>
            <w:pPr>
              <w:spacing w:after="0"/>
              <w:rPr>
                <w:sz w:val="17"/>
                <w:szCs w:val="17"/>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Attorney-in-fact</w:t>
            </w: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11"/>
        </w:trPr>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20" w:type="dxa"/>
            <w:vAlign w:val="bottom"/>
            <w:gridSpan w:val="3"/>
          </w:tcPr>
          <w:p>
            <w:pPr>
              <w:ind w:left="820"/>
              <w:spacing w:after="0"/>
              <w:rPr>
                <w:sz w:val="20"/>
                <w:szCs w:val="20"/>
                <w:color w:val="auto"/>
              </w:rPr>
            </w:pPr>
            <w:r>
              <w:rPr>
                <w:rFonts w:ascii="Times New Roman" w:cs="Times New Roman" w:eastAsia="Times New Roman" w:hAnsi="Times New Roman"/>
                <w:sz w:val="15"/>
                <w:szCs w:val="15"/>
                <w:color w:val="auto"/>
              </w:rPr>
              <w:t>II-6</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139"/>
          </w:cols>
          <w:pgMar w:left="320" w:top="410" w:right="1440"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5"/>
          <w:szCs w:val="15"/>
          <w:b w:val="1"/>
          <w:bCs w:val="1"/>
          <w:color w:val="auto"/>
        </w:rPr>
        <w:t>Exhibit 1.1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TARSUS PHARMACEUTICALS,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96" w:lineRule="exact"/>
        <w:rPr>
          <w:sz w:val="20"/>
          <w:szCs w:val="20"/>
          <w:color w:val="auto"/>
        </w:rPr>
      </w:pPr>
    </w:p>
    <w:p>
      <w:pPr>
        <w:ind w:left="4040" w:hanging="240"/>
        <w:spacing w:after="0"/>
        <w:tabs>
          <w:tab w:leader="none" w:pos="40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of Common Stock</w:t>
      </w:r>
    </w:p>
    <w:p>
      <w:pPr>
        <w:spacing w:after="0" w:line="196" w:lineRule="exact"/>
        <w:rPr>
          <w:rFonts w:ascii="Times New Roman" w:cs="Times New Roman" w:eastAsia="Times New Roman" w:hAnsi="Times New Roman"/>
          <w:sz w:val="15"/>
          <w:szCs w:val="15"/>
          <w:color w:val="auto"/>
        </w:rPr>
      </w:pPr>
    </w:p>
    <w:p>
      <w:pPr>
        <w:ind w:left="3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UNDERWRITING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597344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59734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192405</wp:posOffset>
            </wp:positionV>
            <wp:extent cx="597344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5973445" cy="7620"/>
                    </a:xfrm>
                    <a:prstGeom prst="rect">
                      <a:avLst/>
                    </a:prstGeom>
                    <a:noFill/>
                  </pic:spPr>
                </pic:pic>
              </a:graphicData>
            </a:graphic>
          </wp:anchor>
        </w:drawing>
      </w:r>
    </w:p>
    <w:p>
      <w:pPr>
        <w:sectPr>
          <w:pgSz w:w="11900" w:h="16838" w:orient="portrait"/>
          <w:cols w:equalWidth="0" w:num="1">
            <w:col w:w="9400"/>
          </w:cols>
          <w:pgMar w:left="1240" w:top="121" w:right="125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TARSUS PHARMACEUTICALS,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 Delaware corporation)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Shares of Common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 AGREEMENT</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Raymond James &amp; Associates,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Representatives of the several Underwriters</w:t>
      </w: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color w:val="auto"/>
        </w:rPr>
        <w:t>c/o</w:t>
        <w:tab/>
        <w:t>BofA Securities, Inc.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One Bryant Park</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New York, New York 10036</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Jefferies LLC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520 Madison Avenue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Raymond James &amp; Associates, Inc.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880 Carillon Parkway</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St. Petersburg, Florida 33716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2" w:lineRule="exact"/>
        <w:rPr>
          <w:sz w:val="20"/>
          <w:szCs w:val="20"/>
          <w:color w:val="auto"/>
        </w:rPr>
      </w:pPr>
    </w:p>
    <w:p>
      <w:pPr>
        <w:ind w:right="40" w:firstLine="376"/>
        <w:spacing w:after="0" w:line="261" w:lineRule="auto"/>
        <w:rPr>
          <w:sz w:val="20"/>
          <w:szCs w:val="20"/>
          <w:color w:val="auto"/>
        </w:rPr>
      </w:pPr>
      <w:r>
        <w:rPr>
          <w:rFonts w:ascii="Times New Roman" w:cs="Times New Roman" w:eastAsia="Times New Roman" w:hAnsi="Times New Roman"/>
          <w:sz w:val="15"/>
          <w:szCs w:val="15"/>
          <w:color w:val="auto"/>
        </w:rPr>
        <w:t>Tarsus Pharmaceuticals, Inc., a Delaware corporation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confirms its agreement with BofA Securities, Inc. (“</w:t>
      </w:r>
      <w:r>
        <w:rPr>
          <w:rFonts w:ascii="Times New Roman" w:cs="Times New Roman" w:eastAsia="Times New Roman" w:hAnsi="Times New Roman"/>
          <w:sz w:val="15"/>
          <w:szCs w:val="15"/>
          <w:b w:val="1"/>
          <w:bCs w:val="1"/>
          <w:color w:val="auto"/>
        </w:rPr>
        <w:t>BofA</w:t>
      </w:r>
      <w:r>
        <w:rPr>
          <w:rFonts w:ascii="Times New Roman" w:cs="Times New Roman" w:eastAsia="Times New Roman" w:hAnsi="Times New Roman"/>
          <w:sz w:val="15"/>
          <w:szCs w:val="15"/>
          <w:color w:val="auto"/>
        </w:rPr>
        <w:t>”), Jefferies LLC (“</w:t>
      </w:r>
      <w:r>
        <w:rPr>
          <w:rFonts w:ascii="Times New Roman" w:cs="Times New Roman" w:eastAsia="Times New Roman" w:hAnsi="Times New Roman"/>
          <w:sz w:val="15"/>
          <w:szCs w:val="15"/>
          <w:b w:val="1"/>
          <w:bCs w:val="1"/>
          <w:color w:val="auto"/>
        </w:rPr>
        <w:t>Jefferies</w:t>
      </w:r>
      <w:r>
        <w:rPr>
          <w:rFonts w:ascii="Times New Roman" w:cs="Times New Roman" w:eastAsia="Times New Roman" w:hAnsi="Times New Roman"/>
          <w:sz w:val="15"/>
          <w:szCs w:val="15"/>
          <w:color w:val="auto"/>
        </w:rPr>
        <w:t>”), Raymond James &amp; Associates, Inc. (“</w:t>
      </w:r>
      <w:r>
        <w:rPr>
          <w:rFonts w:ascii="Times New Roman" w:cs="Times New Roman" w:eastAsia="Times New Roman" w:hAnsi="Times New Roman"/>
          <w:sz w:val="15"/>
          <w:szCs w:val="15"/>
          <w:b w:val="1"/>
          <w:bCs w:val="1"/>
          <w:color w:val="auto"/>
        </w:rPr>
        <w:t>Raymond James</w:t>
      </w:r>
      <w:r>
        <w:rPr>
          <w:rFonts w:ascii="Times New Roman" w:cs="Times New Roman" w:eastAsia="Times New Roman" w:hAnsi="Times New Roman"/>
          <w:sz w:val="15"/>
          <w:szCs w:val="15"/>
          <w:color w:val="auto"/>
        </w:rPr>
        <w:t>”) and each of the other underwriters named in Schedule A hereto (collectively, the “</w:t>
      </w:r>
      <w:r>
        <w:rPr>
          <w:rFonts w:ascii="Times New Roman" w:cs="Times New Roman" w:eastAsia="Times New Roman" w:hAnsi="Times New Roman"/>
          <w:sz w:val="15"/>
          <w:szCs w:val="15"/>
          <w:b w:val="1"/>
          <w:bCs w:val="1"/>
          <w:color w:val="auto"/>
        </w:rPr>
        <w:t>Underwriters</w:t>
      </w:r>
      <w:r>
        <w:rPr>
          <w:rFonts w:ascii="Times New Roman" w:cs="Times New Roman" w:eastAsia="Times New Roman" w:hAnsi="Times New Roman"/>
          <w:sz w:val="15"/>
          <w:szCs w:val="15"/>
          <w:color w:val="auto"/>
        </w:rPr>
        <w:t>,” which term shall also include any underwriter substituted as hereinafter provided in Section 10 hereof), for whom BofA, Jefferies and Raymond James are acting as representatives (in such capacity, the “</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with respect to (i) the sale by the Company and the purchase by the Underwriters, acting severally and not jointly, of the respective numbers of shares of common stock, par value $0.0001 per share, of the Company (“</w:t>
      </w: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5"/>
          <w:szCs w:val="15"/>
          <w:color w:val="auto"/>
        </w:rPr>
        <w:t>”) set forth in Schedule A hereto and (ii) the grant by the Company to the Underwriters, acting severally and not jointly, of the option described in Section 2(b) hereof to purchase all or any part of [●] additional shares of Common Stock. The aforesaid [●] shares of Common Stock (the “</w:t>
      </w:r>
      <w:r>
        <w:rPr>
          <w:rFonts w:ascii="Times New Roman" w:cs="Times New Roman" w:eastAsia="Times New Roman" w:hAnsi="Times New Roman"/>
          <w:sz w:val="15"/>
          <w:szCs w:val="15"/>
          <w:b w:val="1"/>
          <w:bCs w:val="1"/>
          <w:color w:val="auto"/>
        </w:rPr>
        <w:t>Initial Securities</w:t>
      </w:r>
      <w:r>
        <w:rPr>
          <w:rFonts w:ascii="Times New Roman" w:cs="Times New Roman" w:eastAsia="Times New Roman" w:hAnsi="Times New Roman"/>
          <w:sz w:val="15"/>
          <w:szCs w:val="15"/>
          <w:color w:val="auto"/>
        </w:rPr>
        <w:t>”) to be purchased by the Underwriters and all or any part of the [●] shares of Common Stock subject to the option described in Section 2(b) hereof (the “</w:t>
      </w:r>
      <w:r>
        <w:rPr>
          <w:rFonts w:ascii="Times New Roman" w:cs="Times New Roman" w:eastAsia="Times New Roman" w:hAnsi="Times New Roman"/>
          <w:sz w:val="15"/>
          <w:szCs w:val="15"/>
          <w:b w:val="1"/>
          <w:bCs w:val="1"/>
          <w:color w:val="auto"/>
        </w:rPr>
        <w:t>Option Securities</w:t>
      </w:r>
      <w:r>
        <w:rPr>
          <w:rFonts w:ascii="Times New Roman" w:cs="Times New Roman" w:eastAsia="Times New Roman" w:hAnsi="Times New Roman"/>
          <w:sz w:val="15"/>
          <w:szCs w:val="15"/>
          <w:color w:val="auto"/>
        </w:rPr>
        <w:t>”) are herein called, collectively, the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ind w:firstLine="376"/>
        <w:spacing w:after="0" w:line="293" w:lineRule="auto"/>
        <w:rPr>
          <w:sz w:val="20"/>
          <w:szCs w:val="20"/>
          <w:color w:val="auto"/>
        </w:rPr>
      </w:pPr>
      <w:r>
        <w:rPr>
          <w:rFonts w:ascii="Times New Roman" w:cs="Times New Roman" w:eastAsia="Times New Roman" w:hAnsi="Times New Roman"/>
          <w:sz w:val="15"/>
          <w:szCs w:val="15"/>
          <w:color w:val="auto"/>
        </w:rPr>
        <w:t>The Company understands that the Underwriters propose to make a public offering of the Securities as soon as the Representatives deem advisable after this underwriting agreement (the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has been executed and delivered.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9400"/>
          </w:cols>
          <w:pgMar w:left="1240" w:top="252" w:right="1259" w:bottom="1440" w:gutter="0" w:footer="0" w:header="0"/>
        </w:sectPr>
      </w:pPr>
    </w:p>
    <w:bookmarkStart w:id="258" w:name="page259"/>
    <w:bookmarkEnd w:id="258"/>
    <w:p>
      <w:pPr>
        <w:ind w:right="40" w:firstLine="376"/>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Company and the Underwriters agree that up to [●] shares of the Initial Securities to be purchased by the Underwriters (the “</w:t>
      </w:r>
      <w:r>
        <w:rPr>
          <w:rFonts w:ascii="Times New Roman" w:cs="Times New Roman" w:eastAsia="Times New Roman" w:hAnsi="Times New Roman"/>
          <w:sz w:val="15"/>
          <w:szCs w:val="15"/>
          <w:b w:val="1"/>
          <w:bCs w:val="1"/>
          <w:color w:val="auto"/>
        </w:rPr>
        <w:t>Reserved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shall be reserved for sale by Merrill Lynch, Pierce, Fenner &amp; Smith Incorporated (an affiliate of BofA, hereinafter referred to as “</w:t>
      </w:r>
      <w:r>
        <w:rPr>
          <w:rFonts w:ascii="Times New Roman" w:cs="Times New Roman" w:eastAsia="Times New Roman" w:hAnsi="Times New Roman"/>
          <w:sz w:val="15"/>
          <w:szCs w:val="15"/>
          <w:b w:val="1"/>
          <w:bCs w:val="1"/>
          <w:color w:val="auto"/>
        </w:rPr>
        <w:t>Merrill Lynch</w:t>
      </w:r>
      <w:r>
        <w:rPr>
          <w:rFonts w:ascii="Times New Roman" w:cs="Times New Roman" w:eastAsia="Times New Roman" w:hAnsi="Times New Roman"/>
          <w:sz w:val="15"/>
          <w:szCs w:val="15"/>
          <w:color w:val="auto"/>
        </w:rPr>
        <w:t>”) to certain persons designated by the Company (the “</w:t>
      </w:r>
      <w:r>
        <w:rPr>
          <w:rFonts w:ascii="Times New Roman" w:cs="Times New Roman" w:eastAsia="Times New Roman" w:hAnsi="Times New Roman"/>
          <w:sz w:val="15"/>
          <w:szCs w:val="15"/>
          <w:b w:val="1"/>
          <w:bCs w:val="1"/>
          <w:color w:val="auto"/>
        </w:rPr>
        <w:t>Invitees</w:t>
      </w:r>
      <w:r>
        <w:rPr>
          <w:rFonts w:ascii="Times New Roman" w:cs="Times New Roman" w:eastAsia="Times New Roman" w:hAnsi="Times New Roman"/>
          <w:sz w:val="15"/>
          <w:szCs w:val="15"/>
          <w:color w:val="auto"/>
        </w:rPr>
        <w:t>”), as part of the distribution of the Securities by the Underwriters,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terms of this Agreement, the applicable rules, regulations and interpretations of the Financial Industry Regulatory Authority, Inc. (“</w:t>
      </w:r>
      <w:r>
        <w:rPr>
          <w:rFonts w:ascii="Times New Roman" w:cs="Times New Roman" w:eastAsia="Times New Roman" w:hAnsi="Times New Roman"/>
          <w:sz w:val="15"/>
          <w:szCs w:val="15"/>
          <w:b w:val="1"/>
          <w:bCs w:val="1"/>
          <w:color w:val="auto"/>
        </w:rPr>
        <w:t>FINRA</w:t>
      </w:r>
      <w:r>
        <w:rPr>
          <w:rFonts w:ascii="Times New Roman" w:cs="Times New Roman" w:eastAsia="Times New Roman" w:hAnsi="Times New Roman"/>
          <w:sz w:val="15"/>
          <w:szCs w:val="15"/>
          <w:color w:val="auto"/>
        </w:rPr>
        <w:t>”) and all other applicable laws, rules and regulations. The Company solely determined, without any direct or indirect participation by the Underwriters or Merrill Lynch, the Invitees who will purchase Reserved Securities (including the amount to be purchased by such persons) sold by Merrill Lynch. To the extent that such Reserved Securities are not orally confirmed for purchase by Invitees by 11:59 P.M. (New York City time) on the date of this Agreement, such Reserved Securities may be offered to the public as part of the public offering contemplated hereby.</w:t>
      </w:r>
    </w:p>
    <w:p>
      <w:pPr>
        <w:spacing w:after="0" w:line="154"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color w:val="auto"/>
        </w:rPr>
        <w:t>The Company has filed with the Securities and Exchange Commission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a registration statement on Form S-1 (No. 333-249076), including the related preliminary prospectus or prospectuses, covering the registration of the sale of the Securities under the Securities Act of 1933, as amended (the “</w:t>
      </w:r>
      <w:r>
        <w:rPr>
          <w:rFonts w:ascii="Times New Roman" w:cs="Times New Roman" w:eastAsia="Times New Roman" w:hAnsi="Times New Roman"/>
          <w:sz w:val="15"/>
          <w:szCs w:val="15"/>
          <w:b w:val="1"/>
          <w:bCs w:val="1"/>
          <w:color w:val="auto"/>
        </w:rPr>
        <w:t>1933 Act</w:t>
      </w:r>
      <w:r>
        <w:rPr>
          <w:rFonts w:ascii="Times New Roman" w:cs="Times New Roman" w:eastAsia="Times New Roman" w:hAnsi="Times New Roman"/>
          <w:sz w:val="15"/>
          <w:szCs w:val="15"/>
          <w:color w:val="auto"/>
        </w:rPr>
        <w:t>”). Promptly after execution and delivery of this Agreement, the Company will prepare and file a prospectus in accordance with the provisions of Rule 430A (“</w:t>
      </w:r>
      <w:r>
        <w:rPr>
          <w:rFonts w:ascii="Times New Roman" w:cs="Times New Roman" w:eastAsia="Times New Roman" w:hAnsi="Times New Roman"/>
          <w:sz w:val="15"/>
          <w:szCs w:val="15"/>
          <w:b w:val="1"/>
          <w:bCs w:val="1"/>
          <w:color w:val="auto"/>
        </w:rPr>
        <w:t>Rule 430A</w:t>
      </w:r>
      <w:r>
        <w:rPr>
          <w:rFonts w:ascii="Times New Roman" w:cs="Times New Roman" w:eastAsia="Times New Roman" w:hAnsi="Times New Roman"/>
          <w:sz w:val="15"/>
          <w:szCs w:val="15"/>
          <w:color w:val="auto"/>
        </w:rPr>
        <w:t>”) of the rules and regulations of the Commission under the 1933 Act (the “</w:t>
      </w:r>
      <w:r>
        <w:rPr>
          <w:rFonts w:ascii="Times New Roman" w:cs="Times New Roman" w:eastAsia="Times New Roman" w:hAnsi="Times New Roman"/>
          <w:sz w:val="15"/>
          <w:szCs w:val="15"/>
          <w:b w:val="1"/>
          <w:bCs w:val="1"/>
          <w:color w:val="auto"/>
        </w:rPr>
        <w:t>1933 Act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Regulations</w:t>
      </w:r>
      <w:r>
        <w:rPr>
          <w:rFonts w:ascii="Times New Roman" w:cs="Times New Roman" w:eastAsia="Times New Roman" w:hAnsi="Times New Roman"/>
          <w:sz w:val="15"/>
          <w:szCs w:val="15"/>
          <w:color w:val="auto"/>
        </w:rPr>
        <w:t>”) and Rule 424(b) (“</w:t>
      </w:r>
      <w:r>
        <w:rPr>
          <w:rFonts w:ascii="Times New Roman" w:cs="Times New Roman" w:eastAsia="Times New Roman" w:hAnsi="Times New Roman"/>
          <w:sz w:val="15"/>
          <w:szCs w:val="15"/>
          <w:b w:val="1"/>
          <w:bCs w:val="1"/>
          <w:color w:val="auto"/>
        </w:rPr>
        <w:t>Rule 424(b)</w:t>
      </w:r>
      <w:r>
        <w:rPr>
          <w:rFonts w:ascii="Times New Roman" w:cs="Times New Roman" w:eastAsia="Times New Roman" w:hAnsi="Times New Roman"/>
          <w:sz w:val="15"/>
          <w:szCs w:val="15"/>
          <w:color w:val="auto"/>
        </w:rPr>
        <w:t>”) of the 1933 Act Regulations. The information included in such prospectus that was omitted from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registration statement at the time it became effective but that is deemed to be part of such registration statement at the time it became effective pursuant to Rule 430A(b) is herein called the “</w:t>
      </w:r>
      <w:r>
        <w:rPr>
          <w:rFonts w:ascii="Times New Roman" w:cs="Times New Roman" w:eastAsia="Times New Roman" w:hAnsi="Times New Roman"/>
          <w:sz w:val="15"/>
          <w:szCs w:val="15"/>
          <w:b w:val="1"/>
          <w:bCs w:val="1"/>
          <w:color w:val="auto"/>
        </w:rPr>
        <w:t>Rule 430A Information</w:t>
      </w:r>
      <w:r>
        <w:rPr>
          <w:rFonts w:ascii="Times New Roman" w:cs="Times New Roman" w:eastAsia="Times New Roman" w:hAnsi="Times New Roman"/>
          <w:sz w:val="15"/>
          <w:szCs w:val="15"/>
          <w:color w:val="auto"/>
        </w:rPr>
        <w:t>.” Such registration statement, including the amendments thereto, the exhibits thereto and any schedules thereto, at the time it became effective, and including the Rule 430A Information, is herein called the “</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Any registration statement filed pursuant to Rule 462(b) of the 1933 Act Regulations is herein called the “</w:t>
      </w:r>
      <w:r>
        <w:rPr>
          <w:rFonts w:ascii="Times New Roman" w:cs="Times New Roman" w:eastAsia="Times New Roman" w:hAnsi="Times New Roman"/>
          <w:sz w:val="15"/>
          <w:szCs w:val="15"/>
          <w:b w:val="1"/>
          <w:bCs w:val="1"/>
          <w:color w:val="auto"/>
        </w:rPr>
        <w:t>Rule 462(b) Registration Statement</w:t>
      </w:r>
      <w:r>
        <w:rPr>
          <w:rFonts w:ascii="Times New Roman" w:cs="Times New Roman" w:eastAsia="Times New Roman" w:hAnsi="Times New Roman"/>
          <w:sz w:val="15"/>
          <w:szCs w:val="15"/>
          <w:color w:val="auto"/>
        </w:rPr>
        <w: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w:t>
      </w: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w:t>
      </w:r>
      <w:r>
        <w:rPr>
          <w:rFonts w:ascii="Times New Roman" w:cs="Times New Roman" w:eastAsia="Times New Roman" w:hAnsi="Times New Roman"/>
          <w:sz w:val="15"/>
          <w:szCs w:val="15"/>
          <w:b w:val="1"/>
          <w:bCs w:val="1"/>
          <w:color w:val="auto"/>
        </w:rPr>
        <w:t>EDGAR</w:t>
      </w:r>
      <w:r>
        <w:rPr>
          <w:rFonts w:ascii="Times New Roman" w:cs="Times New Roman" w:eastAsia="Times New Roman" w:hAnsi="Times New Roman"/>
          <w:sz w:val="15"/>
          <w:szCs w:val="15"/>
          <w:color w:val="auto"/>
        </w:rPr>
        <w: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As used in this Agreement:</w:t>
      </w:r>
    </w:p>
    <w:p>
      <w:pPr>
        <w:spacing w:after="0" w:line="100" w:lineRule="exact"/>
        <w:rPr>
          <w:sz w:val="20"/>
          <w:szCs w:val="20"/>
          <w:color w:val="auto"/>
        </w:rPr>
      </w:pPr>
    </w:p>
    <w:p>
      <w:pPr>
        <w:ind w:left="380" w:right="760" w:firstLine="361"/>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Applicable Time</w:t>
      </w:r>
      <w:r>
        <w:rPr>
          <w:rFonts w:ascii="Times New Roman" w:cs="Times New Roman" w:eastAsia="Times New Roman" w:hAnsi="Times New Roman"/>
          <w:sz w:val="15"/>
          <w:szCs w:val="15"/>
          <w:color w:val="auto"/>
        </w:rPr>
        <w:t>” means [●]:00 P.M., New York City time, on [●], 2020 or such other time as agreed by the Company and the Representatives.</w:t>
      </w:r>
    </w:p>
    <w:p>
      <w:pPr>
        <w:spacing w:after="0" w:line="33" w:lineRule="exact"/>
        <w:rPr>
          <w:sz w:val="20"/>
          <w:szCs w:val="20"/>
          <w:color w:val="auto"/>
        </w:rPr>
      </w:pPr>
    </w:p>
    <w:p>
      <w:pPr>
        <w:jc w:val="both"/>
        <w:ind w:left="380" w:firstLine="361"/>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General Disclosure Package</w:t>
      </w:r>
      <w:r>
        <w:rPr>
          <w:rFonts w:ascii="Times New Roman" w:cs="Times New Roman" w:eastAsia="Times New Roman" w:hAnsi="Times New Roman"/>
          <w:sz w:val="15"/>
          <w:szCs w:val="15"/>
          <w:color w:val="auto"/>
        </w:rPr>
        <w:t>”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48" w:lineRule="exact"/>
        <w:rPr>
          <w:sz w:val="20"/>
          <w:szCs w:val="20"/>
          <w:color w:val="auto"/>
        </w:rPr>
      </w:pPr>
    </w:p>
    <w:p>
      <w:pPr>
        <w:ind w:left="380" w:right="80" w:firstLine="361"/>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Issuer Free Writing Prospectus</w:t>
      </w:r>
      <w:r>
        <w:rPr>
          <w:rFonts w:ascii="Times New Roman" w:cs="Times New Roman" w:eastAsia="Times New Roman" w:hAnsi="Times New Roman"/>
          <w:sz w:val="15"/>
          <w:szCs w:val="15"/>
          <w:color w:val="auto"/>
        </w:rPr>
        <w:t>” means any “issuer free writing prospectus,” as defined in Rule 433 of the 1933 Act Regulations (“</w:t>
      </w:r>
      <w:r>
        <w:rPr>
          <w:rFonts w:ascii="Times New Roman" w:cs="Times New Roman" w:eastAsia="Times New Roman" w:hAnsi="Times New Roman"/>
          <w:sz w:val="15"/>
          <w:szCs w:val="15"/>
          <w:b w:val="1"/>
          <w:bCs w:val="1"/>
          <w:color w:val="auto"/>
        </w:rPr>
        <w:t>Rule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433</w:t>
      </w:r>
      <w:r>
        <w:rPr>
          <w:rFonts w:ascii="Times New Roman" w:cs="Times New Roman" w:eastAsia="Times New Roman" w:hAnsi="Times New Roman"/>
          <w:sz w:val="15"/>
          <w:szCs w:val="15"/>
          <w:color w:val="auto"/>
        </w:rPr>
        <w:t>”), including without limitation any “free writing prospectus” (as defined in Rule 405 of the 1933 Act Regulations (“</w:t>
      </w:r>
      <w:r>
        <w:rPr>
          <w:rFonts w:ascii="Times New Roman" w:cs="Times New Roman" w:eastAsia="Times New Roman" w:hAnsi="Times New Roman"/>
          <w:sz w:val="15"/>
          <w:szCs w:val="15"/>
          <w:b w:val="1"/>
          <w:bCs w:val="1"/>
          <w:color w:val="auto"/>
        </w:rPr>
        <w:t>Rule 405</w:t>
      </w:r>
      <w:r>
        <w:rPr>
          <w:rFonts w:ascii="Times New Roman" w:cs="Times New Roman" w:eastAsia="Times New Roman" w:hAnsi="Times New Roman"/>
          <w:sz w:val="15"/>
          <w:szCs w:val="15"/>
          <w:color w:val="auto"/>
        </w:rPr>
        <w:t>”)) relating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Securities that is (i) required to be filed with the Commission by the Company, (ii) a “road show that is a written communication” within the meaning of Rule 433(d)(8)(i), whether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9380"/>
          </w:cols>
          <w:pgMar w:left="1240" w:top="248" w:right="1279" w:bottom="1440" w:gutter="0" w:footer="0" w:header="0"/>
        </w:sectPr>
      </w:pPr>
    </w:p>
    <w:bookmarkStart w:id="259" w:name="page260"/>
    <w:bookmarkEnd w:id="259"/>
    <w:p>
      <w:pPr>
        <w:ind w:left="380" w:right="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49" w:lineRule="exact"/>
        <w:rPr>
          <w:sz w:val="20"/>
          <w:szCs w:val="20"/>
          <w:color w:val="auto"/>
        </w:rPr>
      </w:pPr>
    </w:p>
    <w:p>
      <w:pPr>
        <w:ind w:left="380" w:right="420" w:firstLine="361"/>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Issuer General Use Free Writing Prospectus</w:t>
      </w:r>
      <w:r>
        <w:rPr>
          <w:rFonts w:ascii="Times New Roman" w:cs="Times New Roman" w:eastAsia="Times New Roman" w:hAnsi="Times New Roman"/>
          <w:sz w:val="15"/>
          <w:szCs w:val="15"/>
          <w:color w:val="auto"/>
        </w:rPr>
        <w:t>” means any Issuer Free Writing Prospectus that is intended for general distribution to prospective investors (other than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electronic road show,” as defined in Rule 433 (the “</w:t>
      </w:r>
      <w:r>
        <w:rPr>
          <w:rFonts w:ascii="Times New Roman" w:cs="Times New Roman" w:eastAsia="Times New Roman" w:hAnsi="Times New Roman"/>
          <w:sz w:val="15"/>
          <w:szCs w:val="15"/>
          <w:b w:val="1"/>
          <w:bCs w:val="1"/>
          <w:color w:val="auto"/>
        </w:rPr>
        <w:t>Bona Fide Electronic Road Show</w:t>
      </w:r>
      <w:r>
        <w:rPr>
          <w:rFonts w:ascii="Times New Roman" w:cs="Times New Roman" w:eastAsia="Times New Roman" w:hAnsi="Times New Roman"/>
          <w:sz w:val="15"/>
          <w:szCs w:val="15"/>
          <w:color w:val="auto"/>
        </w:rPr>
        <w:t>”), as evidenced by its being specified in Schedule B-2 hereto.</w:t>
      </w:r>
    </w:p>
    <w:p>
      <w:pPr>
        <w:spacing w:after="0" w:line="48" w:lineRule="exact"/>
        <w:rPr>
          <w:sz w:val="20"/>
          <w:szCs w:val="20"/>
          <w:color w:val="auto"/>
        </w:rPr>
      </w:pPr>
    </w:p>
    <w:p>
      <w:pPr>
        <w:ind w:left="380" w:right="160" w:firstLine="361"/>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Issuer Limited Use Free Writing Prospectus</w:t>
      </w:r>
      <w:r>
        <w:rPr>
          <w:rFonts w:ascii="Times New Roman" w:cs="Times New Roman" w:eastAsia="Times New Roman" w:hAnsi="Times New Roman"/>
          <w:sz w:val="15"/>
          <w:szCs w:val="15"/>
          <w:color w:val="auto"/>
        </w:rPr>
        <w:t>” means any Issuer Free Writing Prospectus that is not an Issuer General Use Free Writing Prospectus.</w:t>
      </w:r>
    </w:p>
    <w:p>
      <w:pPr>
        <w:spacing w:after="0" w:line="33" w:lineRule="exact"/>
        <w:rPr>
          <w:sz w:val="20"/>
          <w:szCs w:val="20"/>
          <w:color w:val="auto"/>
        </w:rPr>
      </w:pPr>
    </w:p>
    <w:p>
      <w:pPr>
        <w:ind w:left="380" w:right="500" w:firstLine="361"/>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Testing-the-Waters Communication</w:t>
      </w:r>
      <w:r>
        <w:rPr>
          <w:rFonts w:ascii="Times New Roman" w:cs="Times New Roman" w:eastAsia="Times New Roman" w:hAnsi="Times New Roman"/>
          <w:sz w:val="15"/>
          <w:szCs w:val="15"/>
          <w:color w:val="auto"/>
        </w:rPr>
        <w:t>” means any oral or written communication with potential investors undertaken in reliance on Section 5(d) of, or Rule 163B under, the 1933 Act.</w:t>
      </w:r>
    </w:p>
    <w:p>
      <w:pPr>
        <w:spacing w:after="0" w:line="33" w:lineRule="exact"/>
        <w:rPr>
          <w:sz w:val="20"/>
          <w:szCs w:val="20"/>
          <w:color w:val="auto"/>
        </w:rPr>
      </w:pPr>
    </w:p>
    <w:p>
      <w:pPr>
        <w:ind w:left="380" w:right="60" w:firstLine="361"/>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Written Testing-the-Waters Communication</w:t>
      </w:r>
      <w:r>
        <w:rPr>
          <w:rFonts w:ascii="Times New Roman" w:cs="Times New Roman" w:eastAsia="Times New Roman" w:hAnsi="Times New Roman"/>
          <w:sz w:val="15"/>
          <w:szCs w:val="15"/>
          <w:color w:val="auto"/>
        </w:rPr>
        <w:t>” means any Testing-the-Waters Communication that is a written communication within the meaning of Rule 405 under the 1933 Act.</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 </w:t>
      </w: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380" w:firstLine="376"/>
        <w:spacing w:after="0" w:line="298" w:lineRule="auto"/>
        <w:tabs>
          <w:tab w:leader="none" w:pos="585"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Representations and Warranties by the Company</w:t>
      </w:r>
      <w:r>
        <w:rPr>
          <w:rFonts w:ascii="Times New Roman" w:cs="Times New Roman" w:eastAsia="Times New Roman" w:hAnsi="Times New Roman"/>
          <w:sz w:val="15"/>
          <w:szCs w:val="15"/>
          <w:color w:val="auto"/>
        </w:rPr>
        <w:t>. The Company represents and warrants to each Underwriter as of the date hereof,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Time, the Closing Time (as defined below) and any Date of Delivery (as defined below), and agrees with each Underwriter, as follows:</w:t>
      </w:r>
    </w:p>
    <w:p>
      <w:pPr>
        <w:spacing w:after="0" w:line="36" w:lineRule="exact"/>
        <w:rPr>
          <w:rFonts w:ascii="Times New Roman" w:cs="Times New Roman" w:eastAsia="Times New Roman" w:hAnsi="Times New Roman"/>
          <w:sz w:val="15"/>
          <w:szCs w:val="15"/>
          <w:color w:val="auto"/>
        </w:rPr>
      </w:pPr>
    </w:p>
    <w:p>
      <w:pPr>
        <w:ind w:left="380" w:firstLine="358"/>
        <w:spacing w:after="0" w:line="265" w:lineRule="auto"/>
        <w:tabs>
          <w:tab w:leader="none" w:pos="925"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 and Prospectuses</w:t>
      </w:r>
      <w:r>
        <w:rPr>
          <w:rFonts w:ascii="Times New Roman" w:cs="Times New Roman" w:eastAsia="Times New Roman" w:hAnsi="Times New Roman"/>
          <w:sz w:val="15"/>
          <w:szCs w:val="15"/>
          <w:color w:val="auto"/>
        </w:rPr>
        <w:t>. Each of the Registration Statement and any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62" w:lineRule="exact"/>
        <w:rPr>
          <w:sz w:val="20"/>
          <w:szCs w:val="20"/>
          <w:color w:val="auto"/>
        </w:rPr>
      </w:pPr>
    </w:p>
    <w:p>
      <w:pPr>
        <w:ind w:left="380" w:right="40" w:firstLine="361"/>
        <w:spacing w:after="0" w:line="262" w:lineRule="auto"/>
        <w:rPr>
          <w:sz w:val="20"/>
          <w:szCs w:val="20"/>
          <w:color w:val="auto"/>
        </w:rPr>
      </w:pPr>
      <w:r>
        <w:rPr>
          <w:rFonts w:ascii="Times New Roman" w:cs="Times New Roman" w:eastAsia="Times New Roman" w:hAnsi="Times New Roman"/>
          <w:sz w:val="15"/>
          <w:szCs w:val="15"/>
          <w:color w:val="auto"/>
        </w:rPr>
        <w:t>Each of the Registration Statement and any post-effective amendment thereto, at the time it became effective,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65" w:lineRule="exact"/>
        <w:rPr>
          <w:sz w:val="20"/>
          <w:szCs w:val="20"/>
          <w:color w:val="auto"/>
        </w:rPr>
      </w:pPr>
    </w:p>
    <w:p>
      <w:pPr>
        <w:ind w:left="380" w:right="20" w:firstLine="358"/>
        <w:spacing w:after="0" w:line="275" w:lineRule="auto"/>
        <w:tabs>
          <w:tab w:leader="none" w:pos="967"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Accurate Disclosure</w:t>
      </w:r>
      <w:r>
        <w:rPr>
          <w:rFonts w:ascii="Times New Roman" w:cs="Times New Roman" w:eastAsia="Times New Roman" w:hAnsi="Times New Roman"/>
          <w:sz w:val="15"/>
          <w:szCs w:val="15"/>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9400"/>
          </w:cols>
          <w:pgMar w:left="1240" w:top="252" w:right="1259" w:bottom="1440" w:gutter="0" w:footer="0" w:header="0"/>
        </w:sectPr>
      </w:pPr>
    </w:p>
    <w:bookmarkStart w:id="260" w:name="page261"/>
    <w:bookmarkEnd w:id="260"/>
    <w:p>
      <w:pPr>
        <w:ind w:left="180" w:right="10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therein not misleading. At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7" w:lineRule="exact"/>
        <w:rPr>
          <w:sz w:val="20"/>
          <w:szCs w:val="20"/>
          <w:color w:val="auto"/>
        </w:rPr>
      </w:pPr>
    </w:p>
    <w:p>
      <w:pPr>
        <w:ind w:left="180" w:right="160" w:firstLine="361"/>
        <w:spacing w:after="0" w:line="262" w:lineRule="auto"/>
        <w:rPr>
          <w:sz w:val="20"/>
          <w:szCs w:val="20"/>
          <w:color w:val="auto"/>
        </w:rPr>
      </w:pPr>
      <w:r>
        <w:rPr>
          <w:rFonts w:ascii="Times New Roman" w:cs="Times New Roman" w:eastAsia="Times New Roman" w:hAnsi="Times New Roman"/>
          <w:sz w:val="15"/>
          <w:szCs w:val="15"/>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w:t>
      </w:r>
      <w:r>
        <w:rPr>
          <w:rFonts w:ascii="Times New Roman" w:cs="Times New Roman" w:eastAsia="Times New Roman" w:hAnsi="Times New Roman"/>
          <w:sz w:val="15"/>
          <w:szCs w:val="15"/>
          <w:b w:val="1"/>
          <w:bCs w:val="1"/>
          <w:color w:val="auto"/>
        </w:rPr>
        <w:t>Underwriter Information</w:t>
      </w:r>
      <w:r>
        <w:rPr>
          <w:rFonts w:ascii="Times New Roman" w:cs="Times New Roman" w:eastAsia="Times New Roman" w:hAnsi="Times New Roman"/>
          <w:sz w:val="15"/>
          <w:szCs w:val="15"/>
          <w:color w:val="auto"/>
        </w:rPr>
        <w:t>”).</w:t>
      </w:r>
    </w:p>
    <w:p>
      <w:pPr>
        <w:spacing w:after="0" w:line="65" w:lineRule="exact"/>
        <w:rPr>
          <w:sz w:val="20"/>
          <w:szCs w:val="20"/>
          <w:color w:val="auto"/>
        </w:rPr>
      </w:pPr>
    </w:p>
    <w:p>
      <w:pPr>
        <w:ind w:left="180" w:right="100" w:firstLine="358"/>
        <w:spacing w:after="0" w:line="264" w:lineRule="auto"/>
        <w:tabs>
          <w:tab w:leader="none" w:pos="81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Issuer Free Writing Prospectuses</w:t>
      </w:r>
      <w:r>
        <w:rPr>
          <w:rFonts w:ascii="Times New Roman" w:cs="Times New Roman" w:eastAsia="Times New Roman" w:hAnsi="Times New Roman"/>
          <w:sz w:val="15"/>
          <w:szCs w:val="15"/>
          <w:color w:val="auto"/>
        </w:rPr>
        <w:t>. No Issuer Free Writing Prospectus conflicts or will conflict with the information contained in the Registration Statement or the Prospectus, and any preliminary or other prospectus deemed to be a part thereof that has not been superseded or modified. The representations and warranties in this subsection shall not apply to statements in or omissions from any Issuer Free Writing Prospectus made in reliance upon and in conformity with the Underwriter Information. The Company has made available a Bona Fide Electronic Road Show in compliance with Rule 433(d)(8)(ii) such that no filing of any “road show” (as defined in Rule 433(h)) is required in connection with the offering of the Securities.</w:t>
      </w:r>
    </w:p>
    <w:p>
      <w:pPr>
        <w:spacing w:after="0" w:line="60" w:lineRule="exact"/>
        <w:rPr>
          <w:rFonts w:ascii="Times New Roman" w:cs="Times New Roman" w:eastAsia="Times New Roman" w:hAnsi="Times New Roman"/>
          <w:sz w:val="15"/>
          <w:szCs w:val="15"/>
          <w:color w:val="auto"/>
        </w:rPr>
      </w:pPr>
    </w:p>
    <w:p>
      <w:pPr>
        <w:ind w:left="800" w:hanging="262"/>
        <w:spacing w:after="0"/>
        <w:tabs>
          <w:tab w:leader="none" w:pos="800" w:val="left"/>
        </w:tabs>
        <w:numPr>
          <w:ilvl w:val="0"/>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Testing-the-Waters Materials</w:t>
      </w:r>
      <w:r>
        <w:rPr>
          <w:rFonts w:ascii="Times New Roman" w:cs="Times New Roman" w:eastAsia="Times New Roman" w:hAnsi="Times New Roman"/>
          <w:sz w:val="15"/>
          <w:szCs w:val="15"/>
          <w:color w:val="auto"/>
        </w:rPr>
        <w:t>. The Company (A) has not engaged in any Testing-the-Waters Communication other than</w:t>
      </w:r>
    </w:p>
    <w:p>
      <w:pPr>
        <w:spacing w:after="0" w:line="26" w:lineRule="exact"/>
        <w:rPr>
          <w:sz w:val="20"/>
          <w:szCs w:val="20"/>
          <w:color w:val="auto"/>
        </w:rPr>
      </w:pPr>
    </w:p>
    <w:p>
      <w:pPr>
        <w:ind w:left="180"/>
        <w:spacing w:after="0" w:line="259" w:lineRule="auto"/>
        <w:rPr>
          <w:sz w:val="20"/>
          <w:szCs w:val="20"/>
          <w:color w:val="auto"/>
        </w:rPr>
      </w:pPr>
      <w:r>
        <w:rPr>
          <w:rFonts w:ascii="Times New Roman" w:cs="Times New Roman" w:eastAsia="Times New Roman" w:hAnsi="Times New Roman"/>
          <w:sz w:val="15"/>
          <w:szCs w:val="15"/>
          <w:color w:val="auto"/>
        </w:rPr>
        <w:t>Testing-the-Waters Communications with the consent of the Representatives with entities that are qualified institutional buyers within the meaning of Rule 144A under the 1933 Act or institutions that are accredited investors within the meaning of Rule 501 under the 1933 Act or, in the case of Testing-the-Waters Communications made in reliance on Rule 163B, with entities that the Company reasonably believes are qualified institutional buyers or institutions that are accredited investors within the meaning of Rule 163B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66" w:lineRule="exact"/>
        <w:rPr>
          <w:sz w:val="20"/>
          <w:szCs w:val="20"/>
          <w:color w:val="auto"/>
        </w:rPr>
      </w:pPr>
    </w:p>
    <w:p>
      <w:pPr>
        <w:ind w:left="180" w:right="20" w:firstLine="358"/>
        <w:spacing w:after="0" w:line="268" w:lineRule="auto"/>
        <w:tabs>
          <w:tab w:leader="none" w:pos="759"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Not Ineligible Issuer</w:t>
      </w:r>
      <w:r>
        <w:rPr>
          <w:rFonts w:ascii="Times New Roman" w:cs="Times New Roman" w:eastAsia="Times New Roman" w:hAnsi="Times New Roman"/>
          <w:sz w:val="15"/>
          <w:szCs w:val="15"/>
          <w:color w:val="auto"/>
        </w:rPr>
        <w:t xml:space="preserve">. At the time of filing the Registration Statement and any post-effective amendment thereto, at the earliest time thereafter that the Company or another offering participant made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9200"/>
          </w:cols>
          <w:pgMar w:left="1440" w:top="252" w:right="1259" w:bottom="1440" w:gutter="0" w:footer="0" w:header="0"/>
        </w:sectPr>
      </w:pPr>
    </w:p>
    <w:bookmarkStart w:id="261" w:name="page262"/>
    <w:bookmarkEnd w:id="261"/>
    <w:p>
      <w:pPr>
        <w:ind w:left="180" w:right="20" w:firstLine="358"/>
        <w:spacing w:after="0" w:line="268" w:lineRule="auto"/>
        <w:tabs>
          <w:tab w:leader="none" w:pos="801"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Emerging Growth Company Status.</w:t>
      </w:r>
      <w:r>
        <w:rPr>
          <w:rFonts w:ascii="Times New Roman" w:cs="Times New Roman" w:eastAsia="Times New Roman" w:hAnsi="Times New Roman"/>
          <w:sz w:val="15"/>
          <w:szCs w:val="15"/>
          <w:color w:val="auto"/>
        </w:rPr>
        <w:t xml:space="preserve"> From the time of the initial confidential submission of the Registration Statement to the Commission (or, if earlier, the first date on which the Company engaged directly or through any individual or entity (“</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authorized to act on its behalf in any Testing-the-Waters Communication) through the date hereof, the Company has been and is an “emerging growth company,” as defined in Section 2(a) of the 1933 Act (an “</w:t>
      </w:r>
      <w:r>
        <w:rPr>
          <w:rFonts w:ascii="Times New Roman" w:cs="Times New Roman" w:eastAsia="Times New Roman" w:hAnsi="Times New Roman"/>
          <w:sz w:val="15"/>
          <w:szCs w:val="15"/>
          <w:b w:val="1"/>
          <w:bCs w:val="1"/>
          <w:color w:val="auto"/>
        </w:rPr>
        <w:t>Emerging Growth Company</w:t>
      </w:r>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80" w:right="20" w:firstLine="358"/>
        <w:spacing w:after="0" w:line="275" w:lineRule="auto"/>
        <w:tabs>
          <w:tab w:leader="none" w:pos="844"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Accountants</w:t>
      </w:r>
      <w:r>
        <w:rPr>
          <w:rFonts w:ascii="Times New Roman" w:cs="Times New Roman" w:eastAsia="Times New Roman" w:hAnsi="Times New Roman"/>
          <w:sz w:val="15"/>
          <w:szCs w:val="15"/>
          <w:color w:val="auto"/>
        </w:rPr>
        <w:t>. The accountants who certified the financial statements and supporting schedules, if any, included in the Registration Statement, the General Disclosure Package and the Prospectus are an independent registered public accountanting firm as required by the 1933 Act, the 1933 Act Regulations and the Public Company Accounting Oversight Board.</w:t>
      </w:r>
    </w:p>
    <w:p>
      <w:pPr>
        <w:spacing w:after="0" w:line="52" w:lineRule="exact"/>
        <w:rPr>
          <w:rFonts w:ascii="Times New Roman" w:cs="Times New Roman" w:eastAsia="Times New Roman" w:hAnsi="Times New Roman"/>
          <w:sz w:val="15"/>
          <w:szCs w:val="15"/>
          <w:color w:val="auto"/>
        </w:rPr>
      </w:pPr>
    </w:p>
    <w:p>
      <w:pPr>
        <w:ind w:left="180" w:right="60" w:firstLine="358"/>
        <w:spacing w:after="0" w:line="260" w:lineRule="auto"/>
        <w:tabs>
          <w:tab w:leader="none" w:pos="887"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financial statements included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spacing w:after="0" w:line="252" w:lineRule="exact"/>
        <w:rPr>
          <w:rFonts w:ascii="Times New Roman" w:cs="Times New Roman" w:eastAsia="Times New Roman" w:hAnsi="Times New Roman"/>
          <w:sz w:val="15"/>
          <w:szCs w:val="15"/>
          <w:color w:val="auto"/>
        </w:rPr>
      </w:pPr>
    </w:p>
    <w:p>
      <w:pPr>
        <w:ind w:left="180" w:right="20" w:firstLine="358"/>
        <w:spacing w:after="0" w:line="262" w:lineRule="auto"/>
        <w:tabs>
          <w:tab w:leader="none" w:pos="801"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Adverse Change in Business</w:t>
      </w:r>
      <w:r>
        <w:rPr>
          <w:rFonts w:ascii="Times New Roman" w:cs="Times New Roman" w:eastAsia="Times New Roman" w:hAnsi="Times New Roman"/>
          <w:sz w:val="15"/>
          <w:szCs w:val="15"/>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65" w:lineRule="exact"/>
        <w:rPr>
          <w:rFonts w:ascii="Times New Roman" w:cs="Times New Roman" w:eastAsia="Times New Roman" w:hAnsi="Times New Roman"/>
          <w:sz w:val="15"/>
          <w:szCs w:val="15"/>
          <w:color w:val="auto"/>
        </w:rPr>
      </w:pPr>
    </w:p>
    <w:p>
      <w:pPr>
        <w:ind w:left="180" w:firstLine="358"/>
        <w:spacing w:after="0" w:line="264" w:lineRule="auto"/>
        <w:tabs>
          <w:tab w:leader="none" w:pos="759"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Good Standing of the Company</w:t>
      </w:r>
      <w:r>
        <w:rPr>
          <w:rFonts w:ascii="Times New Roman" w:cs="Times New Roman" w:eastAsia="Times New Roman" w:hAnsi="Times New Roman"/>
          <w:sz w:val="15"/>
          <w:szCs w:val="15"/>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singly or in the aggregate, reasonably be expected to result in a Material Adverse Effect.</w:t>
      </w:r>
    </w:p>
    <w:p>
      <w:pPr>
        <w:spacing w:after="0" w:line="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9200"/>
          </w:cols>
          <w:pgMar w:left="1440" w:top="252" w:right="1259" w:bottom="1440" w:gutter="0" w:footer="0" w:header="0"/>
        </w:sectPr>
      </w:pPr>
    </w:p>
    <w:bookmarkStart w:id="262" w:name="page263"/>
    <w:bookmarkEnd w:id="262"/>
    <w:p>
      <w:pPr>
        <w:ind w:left="800" w:hanging="262"/>
        <w:spacing w:after="0"/>
        <w:tabs>
          <w:tab w:leader="none" w:pos="80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Good Standing of Subsidiaries</w:t>
      </w:r>
      <w:r>
        <w:rPr>
          <w:rFonts w:ascii="Times New Roman" w:cs="Times New Roman" w:eastAsia="Times New Roman" w:hAnsi="Times New Roman"/>
          <w:sz w:val="15"/>
          <w:szCs w:val="15"/>
          <w:color w:val="auto"/>
        </w:rPr>
        <w:t>. The Company has no subsidiaries.</w:t>
      </w:r>
    </w:p>
    <w:p>
      <w:pPr>
        <w:spacing w:after="0" w:line="104" w:lineRule="exact"/>
        <w:rPr>
          <w:rFonts w:ascii="Times New Roman" w:cs="Times New Roman" w:eastAsia="Times New Roman" w:hAnsi="Times New Roman"/>
          <w:sz w:val="15"/>
          <w:szCs w:val="15"/>
          <w:color w:val="auto"/>
        </w:rPr>
      </w:pPr>
    </w:p>
    <w:p>
      <w:pPr>
        <w:ind w:left="180" w:firstLine="358"/>
        <w:spacing w:after="0" w:line="261" w:lineRule="auto"/>
        <w:tabs>
          <w:tab w:leader="none" w:pos="844"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that have not been complied with or validly waived.</w:t>
      </w:r>
    </w:p>
    <w:p>
      <w:pPr>
        <w:spacing w:after="0" w:line="67" w:lineRule="exact"/>
        <w:rPr>
          <w:rFonts w:ascii="Times New Roman" w:cs="Times New Roman" w:eastAsia="Times New Roman" w:hAnsi="Times New Roman"/>
          <w:sz w:val="15"/>
          <w:szCs w:val="15"/>
          <w:color w:val="auto"/>
        </w:rPr>
      </w:pPr>
    </w:p>
    <w:p>
      <w:pPr>
        <w:ind w:left="880" w:hanging="342"/>
        <w:spacing w:after="0"/>
        <w:tabs>
          <w:tab w:leader="none" w:pos="88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of Agreement</w:t>
      </w:r>
      <w:r>
        <w:rPr>
          <w:rFonts w:ascii="Times New Roman" w:cs="Times New Roman" w:eastAsia="Times New Roman" w:hAnsi="Times New Roman"/>
          <w:sz w:val="15"/>
          <w:szCs w:val="15"/>
          <w:color w:val="auto"/>
        </w:rPr>
        <w:t>. This Agreement has been duly authorized, executed and delivered by the Company.</w:t>
      </w:r>
    </w:p>
    <w:p>
      <w:pPr>
        <w:spacing w:after="0" w:line="104" w:lineRule="exact"/>
        <w:rPr>
          <w:rFonts w:ascii="Times New Roman" w:cs="Times New Roman" w:eastAsia="Times New Roman" w:hAnsi="Times New Roman"/>
          <w:sz w:val="15"/>
          <w:szCs w:val="15"/>
          <w:color w:val="auto"/>
        </w:rPr>
      </w:pPr>
    </w:p>
    <w:p>
      <w:pPr>
        <w:ind w:left="180" w:right="40" w:firstLine="358"/>
        <w:spacing w:after="0" w:line="262" w:lineRule="auto"/>
        <w:tabs>
          <w:tab w:leader="none" w:pos="878"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Authorization and Description of Securities</w:t>
      </w:r>
      <w:r>
        <w:rPr>
          <w:rFonts w:ascii="Times New Roman" w:cs="Times New Roman" w:eastAsia="Times New Roman" w:hAnsi="Times New Roman"/>
          <w:sz w:val="15"/>
          <w:szCs w:val="15"/>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65" w:lineRule="exact"/>
        <w:rPr>
          <w:rFonts w:ascii="Times New Roman" w:cs="Times New Roman" w:eastAsia="Times New Roman" w:hAnsi="Times New Roman"/>
          <w:sz w:val="15"/>
          <w:szCs w:val="15"/>
          <w:color w:val="auto"/>
        </w:rPr>
      </w:pPr>
    </w:p>
    <w:p>
      <w:pPr>
        <w:ind w:left="180" w:right="240" w:firstLine="358"/>
        <w:spacing w:after="0" w:line="275" w:lineRule="auto"/>
        <w:tabs>
          <w:tab w:leader="none" w:pos="836"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Rights</w:t>
      </w:r>
      <w:r>
        <w:rPr>
          <w:rFonts w:ascii="Times New Roman" w:cs="Times New Roman" w:eastAsia="Times New Roman" w:hAnsi="Times New Roman"/>
          <w:sz w:val="15"/>
          <w:szCs w:val="15"/>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waived.</w:t>
      </w:r>
    </w:p>
    <w:p>
      <w:pPr>
        <w:spacing w:after="0" w:line="52" w:lineRule="exact"/>
        <w:rPr>
          <w:rFonts w:ascii="Times New Roman" w:cs="Times New Roman" w:eastAsia="Times New Roman" w:hAnsi="Times New Roman"/>
          <w:sz w:val="15"/>
          <w:szCs w:val="15"/>
          <w:color w:val="auto"/>
        </w:rPr>
      </w:pPr>
    </w:p>
    <w:p>
      <w:pPr>
        <w:ind w:left="880" w:hanging="342"/>
        <w:spacing w:after="0"/>
        <w:tabs>
          <w:tab w:leader="none" w:pos="88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Violations, Defaults and Conflicts</w:t>
      </w:r>
      <w:r>
        <w:rPr>
          <w:rFonts w:ascii="Times New Roman" w:cs="Times New Roman" w:eastAsia="Times New Roman" w:hAnsi="Times New Roman"/>
          <w:sz w:val="15"/>
          <w:szCs w:val="15"/>
          <w:color w:val="auto"/>
        </w:rPr>
        <w:t>. Neither the Company nor any of its subsidiaries is (A) in violation of its charter,</w:t>
      </w:r>
    </w:p>
    <w:p>
      <w:pPr>
        <w:spacing w:after="0" w:line="26" w:lineRule="exact"/>
        <w:rPr>
          <w:sz w:val="20"/>
          <w:szCs w:val="20"/>
          <w:color w:val="auto"/>
        </w:rPr>
      </w:pPr>
    </w:p>
    <w:p>
      <w:pPr>
        <w:ind w:left="180" w:right="80"/>
        <w:spacing w:after="0" w:line="258" w:lineRule="auto"/>
        <w:rPr>
          <w:sz w:val="20"/>
          <w:szCs w:val="20"/>
          <w:color w:val="auto"/>
        </w:rPr>
      </w:pPr>
      <w:r>
        <w:rPr>
          <w:rFonts w:ascii="Times New Roman" w:cs="Times New Roman" w:eastAsia="Times New Roman" w:hAnsi="Times New Roman"/>
          <w:sz w:val="15"/>
          <w:szCs w:val="15"/>
          <w:color w:val="auto"/>
        </w:rPr>
        <w:t>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5"/>
          <w:szCs w:val="15"/>
          <w:b w:val="1"/>
          <w:bCs w:val="1"/>
          <w:color w:val="auto"/>
        </w:rPr>
        <w:t>Agreements and Instruments</w:t>
      </w:r>
      <w:r>
        <w:rPr>
          <w:rFonts w:ascii="Times New Roman" w:cs="Times New Roman" w:eastAsia="Times New Roman" w:hAnsi="Times New Roman"/>
          <w:sz w:val="15"/>
          <w:szCs w:val="15"/>
          <w:color w:val="auto"/>
        </w:rPr>
        <w:t>”),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5"/>
          <w:szCs w:val="15"/>
          <w:b w:val="1"/>
          <w:bCs w:val="1"/>
          <w:color w:val="auto"/>
        </w:rPr>
        <w:t>Governmental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Entity</w:t>
      </w:r>
      <w:r>
        <w:rPr>
          <w:rFonts w:ascii="Times New Roman" w:cs="Times New Roman" w:eastAsia="Times New Roman" w:hAnsi="Times New Roman"/>
          <w:sz w:val="15"/>
          <w:szCs w:val="15"/>
          <w:color w:val="auto"/>
        </w:rPr>
        <w:t>”), except for such violations that would not, singly or in the aggregate, reasonably be expected to result in a Material Adverse Effect.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execution, delivery and performance of this Agreement and the consummation of the transactions contemplated herein and in the Registration Statement, the</w:t>
      </w:r>
    </w:p>
    <w:p>
      <w:pPr>
        <w:spacing w:after="0" w:line="28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9160"/>
          </w:cols>
          <w:pgMar w:left="1440" w:top="252" w:right="1299" w:bottom="1440" w:gutter="0" w:footer="0" w:header="0"/>
        </w:sectPr>
      </w:pPr>
    </w:p>
    <w:bookmarkStart w:id="263" w:name="page264"/>
    <w:bookmarkEnd w:id="263"/>
    <w:p>
      <w:pPr>
        <w:ind w:left="180" w:right="20"/>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(x) the provisions of the charter, by-laws or similar organizational document of the Company or any of its subsidiaries or (y) any law, statute, rule, regulation, judgment, order, writ or decree of any Governmental Entity, except, in the case of clause (y), for such violations as would not, singly or in the aggregate, reasonably be expected to have a Material Adverse Effect. As used herein, a “</w:t>
      </w:r>
      <w:r>
        <w:rPr>
          <w:rFonts w:ascii="Times New Roman" w:cs="Times New Roman" w:eastAsia="Times New Roman" w:hAnsi="Times New Roman"/>
          <w:sz w:val="15"/>
          <w:szCs w:val="15"/>
          <w:b w:val="1"/>
          <w:bCs w:val="1"/>
          <w:color w:val="auto"/>
        </w:rPr>
        <w:t>Repayment Event</w:t>
      </w:r>
      <w:r>
        <w:rPr>
          <w:rFonts w:ascii="Times New Roman" w:cs="Times New Roman" w:eastAsia="Times New Roman" w:hAnsi="Times New Roman"/>
          <w:sz w:val="15"/>
          <w:szCs w:val="15"/>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72" w:lineRule="exact"/>
        <w:rPr>
          <w:sz w:val="20"/>
          <w:szCs w:val="20"/>
          <w:color w:val="auto"/>
        </w:rPr>
      </w:pPr>
    </w:p>
    <w:p>
      <w:pPr>
        <w:ind w:left="180" w:right="80" w:firstLine="358"/>
        <w:spacing w:after="0" w:line="268" w:lineRule="auto"/>
        <w:tabs>
          <w:tab w:leader="none" w:pos="921"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Labor Dispute</w:t>
      </w:r>
      <w:r>
        <w:rPr>
          <w:rFonts w:ascii="Times New Roman" w:cs="Times New Roman" w:eastAsia="Times New Roman" w:hAnsi="Times New Roman"/>
          <w:sz w:val="15"/>
          <w:szCs w:val="15"/>
          <w:color w:val="auto"/>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customers or contractors, which, in either case, singly or in the aggregate, would reasonably be expected to result in a Material Adverse Effect.</w:t>
      </w:r>
    </w:p>
    <w:p>
      <w:pPr>
        <w:spacing w:after="0" w:line="59" w:lineRule="exact"/>
        <w:rPr>
          <w:rFonts w:ascii="Times New Roman" w:cs="Times New Roman" w:eastAsia="Times New Roman" w:hAnsi="Times New Roman"/>
          <w:sz w:val="15"/>
          <w:szCs w:val="15"/>
          <w:color w:val="auto"/>
        </w:rPr>
      </w:pPr>
    </w:p>
    <w:p>
      <w:pPr>
        <w:ind w:left="180" w:firstLine="358"/>
        <w:spacing w:after="0" w:line="260" w:lineRule="auto"/>
        <w:tabs>
          <w:tab w:leader="none" w:pos="964"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Proceedings</w:t>
      </w:r>
      <w:r>
        <w:rPr>
          <w:rFonts w:ascii="Times New Roman" w:cs="Times New Roman" w:eastAsia="Times New Roman" w:hAnsi="Times New Roman"/>
          <w:sz w:val="15"/>
          <w:szCs w:val="15"/>
          <w:color w:val="auto"/>
        </w:rPr>
        <w:t>. Except as disclosed in the Registration Statement, the General Disclosure Package and the Prospectus, there is no action, suit, proceeding, inquiry or investigation before or brought by any Governmental Entity (including, without limitation, the U.S. Food and Drug Administration (the “</w:t>
      </w:r>
      <w:r>
        <w:rPr>
          <w:rFonts w:ascii="Times New Roman" w:cs="Times New Roman" w:eastAsia="Times New Roman" w:hAnsi="Times New Roman"/>
          <w:sz w:val="15"/>
          <w:szCs w:val="15"/>
          <w:b w:val="1"/>
          <w:bCs w:val="1"/>
          <w:color w:val="auto"/>
        </w:rPr>
        <w:t>FDA</w:t>
      </w:r>
      <w:r>
        <w:rPr>
          <w:rFonts w:ascii="Times New Roman" w:cs="Times New Roman" w:eastAsia="Times New Roman" w:hAnsi="Times New Roman"/>
          <w:sz w:val="15"/>
          <w:szCs w:val="15"/>
          <w:color w:val="auto"/>
        </w:rPr>
        <w:t>”) and the European Medicines Agency (the “</w:t>
      </w:r>
      <w:r>
        <w:rPr>
          <w:rFonts w:ascii="Times New Roman" w:cs="Times New Roman" w:eastAsia="Times New Roman" w:hAnsi="Times New Roman"/>
          <w:sz w:val="15"/>
          <w:szCs w:val="15"/>
          <w:b w:val="1"/>
          <w:bCs w:val="1"/>
          <w:color w:val="auto"/>
        </w:rPr>
        <w:t>EMA</w:t>
      </w:r>
      <w:r>
        <w:rPr>
          <w:rFonts w:ascii="Times New Roman" w:cs="Times New Roman" w:eastAsia="Times New Roman" w:hAnsi="Times New Roman"/>
          <w:sz w:val="15"/>
          <w:szCs w:val="15"/>
          <w:color w:val="auto"/>
        </w:rPr>
        <w:t>”)) now pending or, to the knowledge of the Company, threatened, against or affecting the Company or any of its subsidiaries, which, singly or in the aggregate,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actions, suits, inquiries, investigations or proceedings to which the Company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singly or in the aggregate, reasonably be expected to result in a Material Adverse Effect.</w:t>
      </w:r>
    </w:p>
    <w:p>
      <w:pPr>
        <w:spacing w:after="0" w:line="68" w:lineRule="exact"/>
        <w:rPr>
          <w:rFonts w:ascii="Times New Roman" w:cs="Times New Roman" w:eastAsia="Times New Roman" w:hAnsi="Times New Roman"/>
          <w:sz w:val="15"/>
          <w:szCs w:val="15"/>
          <w:color w:val="auto"/>
        </w:rPr>
      </w:pPr>
    </w:p>
    <w:p>
      <w:pPr>
        <w:ind w:left="180" w:firstLine="358"/>
        <w:spacing w:after="0" w:line="286" w:lineRule="auto"/>
        <w:tabs>
          <w:tab w:leader="none" w:pos="878"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Accuracy of Exhibits</w:t>
      </w:r>
      <w:r>
        <w:rPr>
          <w:rFonts w:ascii="Times New Roman" w:cs="Times New Roman" w:eastAsia="Times New Roman" w:hAnsi="Times New Roman"/>
          <w:sz w:val="15"/>
          <w:szCs w:val="15"/>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234" w:lineRule="exact"/>
        <w:rPr>
          <w:rFonts w:ascii="Times New Roman" w:cs="Times New Roman" w:eastAsia="Times New Roman" w:hAnsi="Times New Roman"/>
          <w:sz w:val="15"/>
          <w:szCs w:val="15"/>
          <w:color w:val="auto"/>
        </w:rPr>
      </w:pPr>
    </w:p>
    <w:p>
      <w:pPr>
        <w:ind w:left="180" w:firstLine="358"/>
        <w:spacing w:after="0" w:line="275" w:lineRule="auto"/>
        <w:tabs>
          <w:tab w:leader="none" w:pos="83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Further Requirements</w:t>
      </w:r>
      <w:r>
        <w:rPr>
          <w:rFonts w:ascii="Times New Roman" w:cs="Times New Roman" w:eastAsia="Times New Roman" w:hAnsi="Times New Roman"/>
          <w:sz w:val="15"/>
          <w:szCs w:val="15"/>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w:t>
      </w:r>
    </w:p>
    <w:p>
      <w:pPr>
        <w:spacing w:after="0" w:line="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9200"/>
          </w:cols>
          <w:pgMar w:left="1440" w:top="252" w:right="1259" w:bottom="1440" w:gutter="0" w:footer="0" w:header="0"/>
        </w:sectPr>
      </w:pPr>
    </w:p>
    <w:bookmarkStart w:id="264" w:name="page265"/>
    <w:bookmarkEnd w:id="264"/>
    <w:p>
      <w:pPr>
        <w:ind w:left="180" w:right="2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transactions contemplated by this Agreement, except (A) such as have been already obtained or as may be required under the 1933 Act, the 1933 Act Regulations, the rules of the Nasdaq Global Market, state securities laws or the rules of FINRA and (B) such as have been obtained under the laws and regulations of jurisdictions outside the United States in which the Reserved Securities were offered.</w:t>
      </w:r>
    </w:p>
    <w:p>
      <w:pPr>
        <w:spacing w:after="0" w:line="53" w:lineRule="exact"/>
        <w:rPr>
          <w:sz w:val="20"/>
          <w:szCs w:val="20"/>
          <w:color w:val="auto"/>
        </w:rPr>
      </w:pPr>
    </w:p>
    <w:p>
      <w:pPr>
        <w:ind w:left="180" w:firstLine="358"/>
        <w:spacing w:after="0" w:line="258" w:lineRule="auto"/>
        <w:tabs>
          <w:tab w:leader="none" w:pos="878"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Possession of Licenses and Permits</w:t>
      </w:r>
      <w:r>
        <w:rPr>
          <w:rFonts w:ascii="Times New Roman" w:cs="Times New Roman" w:eastAsia="Times New Roman" w:hAnsi="Times New Roman"/>
          <w:sz w:val="15"/>
          <w:szCs w:val="15"/>
          <w:color w:val="auto"/>
        </w:rPr>
        <w:t>. The Company and its subsidiaries possess such permits, licenses, approvals, clearances, certificates, consents and other authorizations issued by the appropriate Governmental Entities necessary to conduct the business as described in the Registration Statement, the General Disclosure Package and the Prospectus (collectively, “</w:t>
      </w:r>
      <w:r>
        <w:rPr>
          <w:rFonts w:ascii="Times New Roman" w:cs="Times New Roman" w:eastAsia="Times New Roman" w:hAnsi="Times New Roman"/>
          <w:sz w:val="15"/>
          <w:szCs w:val="15"/>
          <w:b w:val="1"/>
          <w:bCs w:val="1"/>
          <w:color w:val="auto"/>
        </w:rPr>
        <w:t>Governmental Licenses</w:t>
      </w:r>
      <w:r>
        <w:rPr>
          <w:rFonts w:ascii="Times New Roman" w:cs="Times New Roman" w:eastAsia="Times New Roman" w:hAnsi="Times New Roman"/>
          <w:sz w:val="15"/>
          <w:szCs w:val="15"/>
          <w:color w:val="auto"/>
        </w:rPr>
        <w:t>”), except where the failure so to possess would not, singly or in the aggregate, reasonably be expected to result in a Material Adverse Effect. The Company and its subsidiaries are in compliance with the terms and conditions of all such Governmental Licenses, except where the failure so to comply would not, singly or in the aggregate, reasonably be expected to result in a Material Adverse Effect. All such Governmental Licenses are valid and in full force and effect, except where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such Governmental Licenses which, singly or in the aggregate, if the subject of an unfavorable decision, ruling or finding, would reasonably be expected to result in a Material Adverse Effect.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them (“</w:t>
      </w:r>
      <w:r>
        <w:rPr>
          <w:rFonts w:ascii="Times New Roman" w:cs="Times New Roman" w:eastAsia="Times New Roman" w:hAnsi="Times New Roman"/>
          <w:sz w:val="15"/>
          <w:szCs w:val="15"/>
          <w:b w:val="1"/>
          <w:bCs w:val="1"/>
          <w:color w:val="auto"/>
        </w:rPr>
        <w:t>Applicable Laws</w:t>
      </w:r>
      <w:r>
        <w:rPr>
          <w:rFonts w:ascii="Times New Roman" w:cs="Times New Roman" w:eastAsia="Times New Roman" w:hAnsi="Times New Roman"/>
          <w:sz w:val="15"/>
          <w:szCs w:val="15"/>
          <w:color w:val="auto"/>
        </w:rPr>
        <w:t>”), except where such noncompliance would not, singly or in the aggregate, reasonably be expected to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 (x) any Applicable Laws or (y) any Governmental Licenses required by any such Applicable Laws, except where being in contravention of any of the foregoing representations or warranties, singly or in the aggregate, would not reasonably be expected to result in a Material Adverse Effect.</w:t>
      </w:r>
    </w:p>
    <w:p>
      <w:pPr>
        <w:spacing w:after="0" w:line="260" w:lineRule="exact"/>
        <w:rPr>
          <w:rFonts w:ascii="Times New Roman" w:cs="Times New Roman" w:eastAsia="Times New Roman" w:hAnsi="Times New Roman"/>
          <w:sz w:val="15"/>
          <w:szCs w:val="15"/>
          <w:color w:val="auto"/>
        </w:rPr>
      </w:pPr>
    </w:p>
    <w:p>
      <w:pPr>
        <w:ind w:left="180" w:right="140" w:firstLine="358"/>
        <w:spacing w:after="0" w:line="263" w:lineRule="auto"/>
        <w:tabs>
          <w:tab w:leader="none" w:pos="921" w:val="left"/>
        </w:tabs>
        <w:numPr>
          <w:ilvl w:val="1"/>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Title to Property</w:t>
      </w:r>
      <w:r>
        <w:rPr>
          <w:rFonts w:ascii="Times New Roman" w:cs="Times New Roman" w:eastAsia="Times New Roman" w:hAnsi="Times New Roman"/>
          <w:sz w:val="15"/>
          <w:szCs w:val="15"/>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ind w:left="180" w:right="20" w:hanging="4"/>
        <w:spacing w:after="0" w:line="259" w:lineRule="auto"/>
        <w:tabs>
          <w:tab w:leader="none" w:pos="423"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 not, singly or in the aggregate, materially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the General Disclosure Package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65" w:lineRule="exact"/>
        <w:rPr>
          <w:rFonts w:ascii="Times New Roman" w:cs="Times New Roman" w:eastAsia="Times New Roman" w:hAnsi="Times New Roman"/>
          <w:sz w:val="15"/>
          <w:szCs w:val="15"/>
          <w:color w:val="auto"/>
        </w:rPr>
      </w:pPr>
    </w:p>
    <w:p>
      <w:pPr>
        <w:ind w:left="180" w:right="40" w:firstLine="358"/>
        <w:spacing w:after="0" w:line="293" w:lineRule="auto"/>
        <w:tabs>
          <w:tab w:leader="none" w:pos="964" w:val="left"/>
        </w:tabs>
        <w:numPr>
          <w:ilvl w:val="1"/>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Possession of Intellectual Property</w:t>
      </w:r>
      <w:r>
        <w:rPr>
          <w:rFonts w:ascii="Times New Roman" w:cs="Times New Roman" w:eastAsia="Times New Roman" w:hAnsi="Times New Roman"/>
          <w:sz w:val="15"/>
          <w:szCs w:val="15"/>
          <w:color w:val="auto"/>
        </w:rPr>
        <w:t>. Except as would not reasonably be expected to have a Material Adverse Effect, the Company and its subsidiaries own or possess, have a valid</w:t>
      </w:r>
    </w:p>
    <w:p>
      <w:pPr>
        <w:spacing w:after="0" w:line="7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9200"/>
          </w:cols>
          <w:pgMar w:left="1440" w:top="252" w:right="1259" w:bottom="1440" w:gutter="0" w:footer="0" w:header="0"/>
        </w:sectPr>
      </w:pPr>
    </w:p>
    <w:bookmarkStart w:id="265" w:name="page266"/>
    <w:bookmarkEnd w:id="265"/>
    <w:p>
      <w:pPr>
        <w:ind w:left="180" w:right="20"/>
        <w:spacing w:after="0" w:line="25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license to, or can acquire on reasonable terms, all patents, patent applications, statutory invention rights, community designs, invention disclosures, rights in utility models and industrial designs, inventions, registered and unregistered copyrights (including copyrights in software), trademarks, service marks, business names, trade names, logos, slogans, trade dress, design rights, Internet domain names, social media accounts, any other designations of source or origin, intellectual property rights in technology, software, data and know how (including trade secrets and other unpatented and/or unpatentable proprietary or confidential information, systems or procedures), and any applications (including provisional applications), registrations, or renewals for any of the foregoing, together with the goodwill associated with any of the foregoing, rights to publicity and privacy and/or other intellectual property (collectively, “</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necessary to carry on the business now operated by them and as proposed to be operated as described in the Registration Statement, the General Disclosure Package and the Prospectus. Except as would not reasonably be expected to have a Material Adverse Effect, (i) neither the Company nor any of its subsidiaries has received any notice of nor has engaged in any infringement, misappropriation or other violation of or conflict regarding any Intellectual Property of any third party,</w:t>
      </w:r>
    </w:p>
    <w:p>
      <w:pPr>
        <w:spacing w:after="0" w:line="5" w:lineRule="exact"/>
        <w:rPr>
          <w:sz w:val="20"/>
          <w:szCs w:val="20"/>
          <w:color w:val="auto"/>
        </w:rPr>
      </w:pPr>
    </w:p>
    <w:p>
      <w:pPr>
        <w:ind w:left="180" w:hanging="4"/>
        <w:spacing w:after="0" w:line="257" w:lineRule="auto"/>
        <w:tabs>
          <w:tab w:leader="none" w:pos="406"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pending or threatened action, suit, proceeding or claim regarding the subject matter of the foregoing clause (i), and (iii) the Company and its subsidiaries are unaware of any facts or circumstances which would form a reasonable basis for any such claim. (a) Except as would not reasonably be expected to have a Material Adverse Effect, all Intellectual Property owned by or exclusively licensed to the Company or any of its subsidiaries (such Intellectual Property, the “</w:t>
      </w:r>
      <w:r>
        <w:rPr>
          <w:rFonts w:ascii="Times New Roman" w:cs="Times New Roman" w:eastAsia="Times New Roman" w:hAnsi="Times New Roman"/>
          <w:sz w:val="15"/>
          <w:szCs w:val="15"/>
          <w:b w:val="1"/>
          <w:bCs w:val="1"/>
          <w:color w:val="auto"/>
        </w:rPr>
        <w:t>Company Intellectual Property</w:t>
      </w:r>
      <w:r>
        <w:rPr>
          <w:rFonts w:ascii="Times New Roman" w:cs="Times New Roman" w:eastAsia="Times New Roman" w:hAnsi="Times New Roman"/>
          <w:sz w:val="15"/>
          <w:szCs w:val="15"/>
          <w:color w:val="auto"/>
        </w:rPr>
        <w:t>”) is subsisting, and to the Company’s knowledge, valid and enforceable, (b) there is no pending or threatened action, suit, proceeding or claim by any third party challenging the Company’s or any of its subsidiaries’ rights in, or the validity, ownership, registrability, enforceability or scope of, any such Company Intellectual Property (with the exception of ordinary course office actions in connection with applications for the registration or issuance of such Intellectual Property) and (c) the Company and its subsidiaries are unaware of any facts or circumstances which would form a reasonable basis for any such claim. No third party is infringing, misappropriating or otherwise violating any of the Company Intellectual Property and there is no pending or threatened action, suit, proceeding or claim by the Company or any of its subsidiaries against a third party regarding the foregoing. (1) The Company and its subsidiaries have complied in all material respects with the terms of each agreement pursuant to which Intellectual Property has been licensed to the Company or its subsidiaries, (2) neither the Company nor any of its subsidiaries has received any written notice alleging any such noncompliance and are unaware of any facts or circumstances which would form a reasonable basis for any such claim, and (3) all such agreements are in full force and effect. Except as would not reasonably be expected to have a Material Adverse Effect, no Intellectual Property has been obtained or is being used by the Company or its subsidiaries in violation of any material contractual obligations binding on the Company or such subsidiaries or in violation of any contractual rights of any person. All filing actions and registration, maintenance, annuity and renewal fees needed to be taken, met or paid in order to prosecute or maintain the Company Intellectual Property have been timely taken, met or paid, and there are no material defects with respect to any such filings, payments or actions. Each person who is or was an employee or contractor of the Company or any of its subsidiaries and who is, was or is expected to be involved in the creation or development of any Intellectual Property for or on behalf of the Company or such subsidiaries has executed a valid written agreement effectively assigning to the Company or any of its subsidiaries all of such person’s rights in and to such Intellectual Property and no employee of the Company or any of its subsidiaries is in or has ever been in violation of any term of any agreement with or covenant to a former employer where the basis of such violation relates to such employee’s employment with the Company or any of its subsidiaries or actions undertaken by the employee while employed with the Company or any of its subsidiaries. The Company and its subsidiaries have taken all reasonable steps necessary to maintain and protect</w:t>
      </w:r>
    </w:p>
    <w:p>
      <w:pPr>
        <w:spacing w:after="0" w:line="1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9200"/>
          </w:cols>
          <w:pgMar w:left="1440" w:top="252" w:right="1259" w:bottom="1440" w:gutter="0" w:footer="0" w:header="0"/>
        </w:sectPr>
      </w:pPr>
    </w:p>
    <w:bookmarkStart w:id="266" w:name="page267"/>
    <w:bookmarkEnd w:id="266"/>
    <w:p>
      <w:pPr>
        <w:ind w:left="180" w:right="4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confidentiality of the material trade secrets and other material confidential Company Intellectual Property and non-exclusively-licensed Intellectual Property used in connection with the business of the Company and its subsidiaries and, to the Company’s knowledge, the confidentiality of such material trade secrets and material confidential Intellectual Property has not been compromised or disclosed to or accessed by any third party except pursuant to appropriate nondisclosure and confidentiality agreements. No university, military, educational institution, research center, Governmental Authority or other organization has funded, contributed to or sponsored research and development conducted in connection with the business of the Company or any of its subsidiaries that (i) has any claim of right to, ownership of or other lien on any Company Intellectual Property or (ii) would affect the proprietary nature of any Company Intellectual Property or restrict the ability of the Company or any of its subsidiaries to enforce, license or exclude others from using any Company Intellectual Property.</w:t>
      </w:r>
    </w:p>
    <w:p>
      <w:pPr>
        <w:spacing w:after="0" w:line="67" w:lineRule="exact"/>
        <w:rPr>
          <w:sz w:val="20"/>
          <w:szCs w:val="20"/>
          <w:color w:val="auto"/>
        </w:rPr>
      </w:pPr>
    </w:p>
    <w:p>
      <w:pPr>
        <w:ind w:left="960" w:hanging="422"/>
        <w:spacing w:after="0"/>
        <w:tabs>
          <w:tab w:leader="none" w:pos="960"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Environmental Laws</w:t>
      </w:r>
      <w:r>
        <w:rPr>
          <w:rFonts w:ascii="Times New Roman" w:cs="Times New Roman" w:eastAsia="Times New Roman" w:hAnsi="Times New Roman"/>
          <w:sz w:val="15"/>
          <w:szCs w:val="15"/>
          <w:color w:val="auto"/>
        </w:rPr>
        <w:t>. Except as would not, singly or in the aggregate, reasonably be expected to result in a Material Adverse Effect,</w:t>
      </w:r>
    </w:p>
    <w:p>
      <w:pPr>
        <w:spacing w:after="0" w:line="26" w:lineRule="exact"/>
        <w:rPr>
          <w:rFonts w:ascii="Times New Roman" w:cs="Times New Roman" w:eastAsia="Times New Roman" w:hAnsi="Times New Roman"/>
          <w:sz w:val="15"/>
          <w:szCs w:val="15"/>
          <w:color w:val="auto"/>
        </w:rPr>
      </w:pPr>
    </w:p>
    <w:p>
      <w:pPr>
        <w:ind w:left="180" w:hanging="4"/>
        <w:spacing w:after="0" w:line="257" w:lineRule="auto"/>
        <w:tabs>
          <w:tab w:leader="none" w:pos="432"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is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and safety (including occupational health and safety), sustainability, the environment (including, without limitation, ambient air, surface water, groundwater, land surface or subsurface strata), natural resources or wildlife, including, without limitation, laws and regulations relating to the release or threatened release of, or exposure to, chemicals, pollutants, contaminants, wastes, toxic substances, hazardous substances, radioactive substances, petroleum, petroleum products, asbestos-containing materials, polychlorinated biphenyls, per- and polyfluoroalkyl substances, greenhouse gases or mold (collectively, “</w:t>
      </w:r>
      <w:r>
        <w:rPr>
          <w:rFonts w:ascii="Times New Roman" w:cs="Times New Roman" w:eastAsia="Times New Roman" w:hAnsi="Times New Roman"/>
          <w:sz w:val="15"/>
          <w:szCs w:val="15"/>
          <w:b w:val="1"/>
          <w:bCs w:val="1"/>
          <w:color w:val="auto"/>
        </w:rPr>
        <w:t>Hazardous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Materials</w:t>
      </w:r>
      <w:r>
        <w:rPr>
          <w:rFonts w:ascii="Times New Roman" w:cs="Times New Roman" w:eastAsia="Times New Roman" w:hAnsi="Times New Roman"/>
          <w:sz w:val="15"/>
          <w:szCs w:val="15"/>
          <w:color w:val="auto"/>
        </w:rPr>
        <w:t>”) or to the manufacture, processing, distribution, use, treatment, storage, disposal, transport, discharge, emission or handling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Hazardous Materials (collectively, “</w:t>
      </w:r>
      <w:r>
        <w:rPr>
          <w:rFonts w:ascii="Times New Roman" w:cs="Times New Roman" w:eastAsia="Times New Roman" w:hAnsi="Times New Roman"/>
          <w:sz w:val="15"/>
          <w:szCs w:val="15"/>
          <w:b w:val="1"/>
          <w:bCs w:val="1"/>
          <w:color w:val="auto"/>
        </w:rPr>
        <w:t>Environmental Laws</w:t>
      </w:r>
      <w:r>
        <w:rPr>
          <w:rFonts w:ascii="Times New Roman" w:cs="Times New Roman" w:eastAsia="Times New Roman" w:hAnsi="Times New Roman"/>
          <w:sz w:val="15"/>
          <w:szCs w:val="15"/>
          <w:color w:val="auto"/>
        </w:rPr>
        <w:t>”), (B) the Company and its subsidiaries have all permits, authorizations, registrations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or Hazardous Materials against the Company or any of its subsidiaries and (D) to the knowledge of the Company,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74" w:lineRule="exact"/>
        <w:rPr>
          <w:rFonts w:ascii="Times New Roman" w:cs="Times New Roman" w:eastAsia="Times New Roman" w:hAnsi="Times New Roman"/>
          <w:sz w:val="15"/>
          <w:szCs w:val="15"/>
          <w:color w:val="auto"/>
        </w:rPr>
      </w:pPr>
    </w:p>
    <w:p>
      <w:pPr>
        <w:ind w:left="180" w:firstLine="358"/>
        <w:spacing w:after="0" w:line="260" w:lineRule="auto"/>
        <w:tabs>
          <w:tab w:leader="none" w:pos="912" w:val="left"/>
        </w:tabs>
        <w:numPr>
          <w:ilvl w:val="1"/>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Accounting Controls</w:t>
      </w:r>
      <w:r>
        <w:rPr>
          <w:rFonts w:ascii="Times New Roman" w:cs="Times New Roman" w:eastAsia="Times New Roman" w:hAnsi="Times New Roman"/>
          <w:sz w:val="15"/>
          <w:szCs w:val="15"/>
          <w:color w:val="auto"/>
        </w:rPr>
        <w:t>. The Company and each of its subsidiaries maintain effective internal control over financial reporting (as defined under Rules 13-a15 and 15d-15 under the Securities Exchange Act of 1934, as amended (the “</w:t>
      </w:r>
      <w:r>
        <w:rPr>
          <w:rFonts w:ascii="Times New Roman" w:cs="Times New Roman" w:eastAsia="Times New Roman" w:hAnsi="Times New Roman"/>
          <w:sz w:val="15"/>
          <w:szCs w:val="15"/>
          <w:b w:val="1"/>
          <w:bCs w:val="1"/>
          <w:color w:val="auto"/>
        </w:rPr>
        <w:t>1934 Act</w:t>
      </w:r>
      <w:r>
        <w:rPr>
          <w:rFonts w:ascii="Times New Roman" w:cs="Times New Roman" w:eastAsia="Times New Roman" w:hAnsi="Times New Roman"/>
          <w:sz w:val="15"/>
          <w:szCs w:val="15"/>
          <w:color w:val="auto"/>
        </w:rPr>
        <w: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spacing w:after="0" w:line="1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9180"/>
          </w:cols>
          <w:pgMar w:left="1440" w:top="252" w:right="1279" w:bottom="1440" w:gutter="0" w:footer="0" w:header="0"/>
        </w:sectPr>
      </w:pPr>
    </w:p>
    <w:bookmarkStart w:id="267" w:name="page268"/>
    <w:bookmarkEnd w:id="267"/>
    <w:p>
      <w:pPr>
        <w:ind w:left="180" w:firstLine="358"/>
        <w:spacing w:after="0" w:line="264" w:lineRule="auto"/>
        <w:tabs>
          <w:tab w:leader="none" w:pos="955"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Compliance with the Sarbanes-Oxley Act.</w:t>
      </w:r>
      <w:r>
        <w:rPr>
          <w:rFonts w:ascii="Times New Roman" w:cs="Times New Roman" w:eastAsia="Times New Roman" w:hAnsi="Times New Roman"/>
          <w:sz w:val="15"/>
          <w:szCs w:val="15"/>
          <w:color w:val="auto"/>
        </w:rPr>
        <w:t xml:space="preserve"> The Company has taken all necessary actions to ensure that, upon the effectiveness of the Registration Statement, it will be in compliance in all material respects with all provisions of the Sarbanes-Oxley Act of 2002 and all rules and regulations promulgated thereunder or implementing the provisions thereof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 that are then in effect and with which the Company is required to comply as of the effectiveness of the Registration Statement, and is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60" w:lineRule="exact"/>
        <w:rPr>
          <w:rFonts w:ascii="Times New Roman" w:cs="Times New Roman" w:eastAsia="Times New Roman" w:hAnsi="Times New Roman"/>
          <w:sz w:val="15"/>
          <w:szCs w:val="15"/>
          <w:color w:val="auto"/>
        </w:rPr>
      </w:pPr>
    </w:p>
    <w:p>
      <w:pPr>
        <w:ind w:left="180" w:right="80" w:firstLine="358"/>
        <w:spacing w:after="0" w:line="259" w:lineRule="auto"/>
        <w:tabs>
          <w:tab w:leader="none" w:pos="998"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Taxes</w:t>
      </w:r>
      <w:r>
        <w:rPr>
          <w:rFonts w:ascii="Times New Roman" w:cs="Times New Roman" w:eastAsia="Times New Roman" w:hAnsi="Times New Roman"/>
          <w:sz w:val="15"/>
          <w:szCs w:val="15"/>
          <w:color w:val="auto"/>
        </w:rPr>
        <w:t>. All United States federal, state, local and non-U.S. income tax returns of the Company and its subsidiaries required by law to be filed have been filed as of the date hereof (after giving effect to any extensions provided by law that have been requested) and all taxes shown by such returns or otherwise assessed, which are due and payable, have been paid, except assessments against which appeals have been or will be promptly taken in good faith by the Company and as to which adequate reserves have been provided in accordance with GAAP by the Company except insofar as the failure to pay such taxes would not reasonably be expected, singly or in the aggregate, to result in a Material Adverse Effect. The United States federal, state, local and non-U.S. income tax returns of the Company and its subsidiaries through the fiscal year ended December 31, 2019 have been settled and no assessment in connection therewith has been made against the Company or its subsidiaries, as applicable. The Company and its subsidiaries have filed all other tax returns that are required to have been filed by them pursuant to applicable foreign, federal, state, local or other law except insofar as the failure to file such returns would not, singly or in the aggregate, result in a Material Adverse Effect, and has paid all taxes due pursuant to such returns or pursuant to any assessment received by the Company and its subsidiaries, except for such taxes, if any, as are being contested in good faith and as to which adequate reserves have been established by the Company and except insofar as the failure to pay such taxes would not, singly or in the aggregate,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singly or in the aggregate, reasonably be expected to result in a Material Adverse Effect.</w:t>
      </w:r>
    </w:p>
    <w:p>
      <w:pPr>
        <w:spacing w:after="0" w:line="251" w:lineRule="exact"/>
        <w:rPr>
          <w:rFonts w:ascii="Times New Roman" w:cs="Times New Roman" w:eastAsia="Times New Roman" w:hAnsi="Times New Roman"/>
          <w:sz w:val="15"/>
          <w:szCs w:val="15"/>
          <w:color w:val="auto"/>
        </w:rPr>
      </w:pPr>
    </w:p>
    <w:p>
      <w:pPr>
        <w:ind w:left="180" w:right="60" w:firstLine="358"/>
        <w:spacing w:after="0" w:line="262" w:lineRule="auto"/>
        <w:tabs>
          <w:tab w:leader="none" w:pos="104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at the same or similar stage of development,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singly or in the aggregate, result in a Material Adverse Effect. Neither the Company nor any of its subsidiaries has been denied any insurance coverage which it has sought or for which it has applied.</w:t>
      </w:r>
    </w:p>
    <w:p>
      <w:pPr>
        <w:spacing w:after="0" w:line="65" w:lineRule="exact"/>
        <w:rPr>
          <w:rFonts w:ascii="Times New Roman" w:cs="Times New Roman" w:eastAsia="Times New Roman" w:hAnsi="Times New Roman"/>
          <w:sz w:val="15"/>
          <w:szCs w:val="15"/>
          <w:color w:val="auto"/>
        </w:rPr>
      </w:pPr>
    </w:p>
    <w:p>
      <w:pPr>
        <w:ind w:left="180" w:right="60" w:firstLine="358"/>
        <w:spacing w:after="0" w:line="275" w:lineRule="auto"/>
        <w:tabs>
          <w:tab w:leader="none" w:pos="955"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w:t>
      </w:r>
      <w:r>
        <w:rPr>
          <w:rFonts w:ascii="Times New Roman" w:cs="Times New Roman" w:eastAsia="Times New Roman" w:hAnsi="Times New Roman"/>
          <w:sz w:val="15"/>
          <w:szCs w:val="15"/>
          <w:b w:val="1"/>
          <w:bCs w:val="1"/>
          <w:color w:val="auto"/>
        </w:rPr>
        <w:t>1940 Act</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9180"/>
          </w:cols>
          <w:pgMar w:left="1440" w:top="252" w:right="1279" w:bottom="1440" w:gutter="0" w:footer="0" w:header="0"/>
        </w:sectPr>
      </w:pPr>
    </w:p>
    <w:bookmarkStart w:id="268" w:name="page269"/>
    <w:bookmarkEnd w:id="268"/>
    <w:p>
      <w:pPr>
        <w:ind w:left="180" w:firstLine="358"/>
        <w:spacing w:after="0" w:line="268" w:lineRule="auto"/>
        <w:tabs>
          <w:tab w:leader="none" w:pos="912"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Absence of Manipulation</w:t>
      </w:r>
      <w:r>
        <w:rPr>
          <w:rFonts w:ascii="Times New Roman" w:cs="Times New Roman" w:eastAsia="Times New Roman" w:hAnsi="Times New Roman"/>
          <w:sz w:val="15"/>
          <w:szCs w:val="15"/>
          <w:color w:val="auto"/>
        </w:rPr>
        <w:t>. Neither the Company nor, to the knowledge of the Company,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59" w:lineRule="exact"/>
        <w:rPr>
          <w:rFonts w:ascii="Times New Roman" w:cs="Times New Roman" w:eastAsia="Times New Roman" w:hAnsi="Times New Roman"/>
          <w:sz w:val="15"/>
          <w:szCs w:val="15"/>
          <w:color w:val="auto"/>
        </w:rPr>
      </w:pPr>
    </w:p>
    <w:p>
      <w:pPr>
        <w:ind w:left="180" w:right="80" w:firstLine="358"/>
        <w:spacing w:after="0" w:line="260" w:lineRule="auto"/>
        <w:tabs>
          <w:tab w:leader="none" w:pos="955"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Foreign Corrupt Practices Act</w:t>
      </w:r>
      <w:r>
        <w:rPr>
          <w:rFonts w:ascii="Times New Roman" w:cs="Times New Roman" w:eastAsia="Times New Roman" w:hAnsi="Times New Roman"/>
          <w:sz w:val="15"/>
          <w:szCs w:val="15"/>
          <w:color w:val="auto"/>
        </w:rPr>
        <w:t>. None of the Company, any of its subsidiaries or, to the knowledge of the Company, any director or officer of the Company or its subsidiaries, as applicable,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5"/>
          <w:szCs w:val="15"/>
          <w:b w:val="1"/>
          <w:bCs w:val="1"/>
          <w:color w:val="auto"/>
        </w:rPr>
        <w:t>FCPA</w:t>
      </w:r>
      <w:r>
        <w:rPr>
          <w:rFonts w:ascii="Times New Roman" w:cs="Times New Roman" w:eastAsia="Times New Roman" w:hAnsi="Times New Roman"/>
          <w:sz w:val="15"/>
          <w:szCs w:val="15"/>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255" w:lineRule="exact"/>
        <w:rPr>
          <w:rFonts w:ascii="Times New Roman" w:cs="Times New Roman" w:eastAsia="Times New Roman" w:hAnsi="Times New Roman"/>
          <w:sz w:val="15"/>
          <w:szCs w:val="15"/>
          <w:color w:val="auto"/>
        </w:rPr>
      </w:pPr>
    </w:p>
    <w:p>
      <w:pPr>
        <w:ind w:left="180" w:right="80" w:firstLine="358"/>
        <w:spacing w:after="0" w:line="264" w:lineRule="auto"/>
        <w:tabs>
          <w:tab w:leader="none" w:pos="998"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Money Laundering Laws</w:t>
      </w:r>
      <w:r>
        <w:rPr>
          <w:rFonts w:ascii="Times New Roman" w:cs="Times New Roman" w:eastAsia="Times New Roman" w:hAnsi="Times New Roman"/>
          <w:sz w:val="15"/>
          <w:szCs w:val="15"/>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5"/>
          <w:szCs w:val="15"/>
          <w:b w:val="1"/>
          <w:bCs w:val="1"/>
          <w:color w:val="auto"/>
        </w:rPr>
        <w:t>Money Laundering Laws</w:t>
      </w:r>
      <w:r>
        <w:rPr>
          <w:rFonts w:ascii="Times New Roman" w:cs="Times New Roman" w:eastAsia="Times New Roman" w:hAnsi="Times New Roman"/>
          <w:sz w:val="15"/>
          <w:szCs w:val="15"/>
          <w:color w:val="auto"/>
        </w:rPr>
        <w:t>”); and no action, suit or proceeding by or before any Governmental Entity involving the Company or any of its subsidiaries with respect to the Money Laundering Laws is pending or, to the best knowledge of the Company, threatened.</w:t>
      </w:r>
    </w:p>
    <w:p>
      <w:pPr>
        <w:spacing w:after="0" w:line="60" w:lineRule="exact"/>
        <w:rPr>
          <w:rFonts w:ascii="Times New Roman" w:cs="Times New Roman" w:eastAsia="Times New Roman" w:hAnsi="Times New Roman"/>
          <w:sz w:val="15"/>
          <w:szCs w:val="15"/>
          <w:color w:val="auto"/>
        </w:rPr>
      </w:pPr>
    </w:p>
    <w:p>
      <w:pPr>
        <w:jc w:val="both"/>
        <w:ind w:left="180" w:right="20" w:firstLine="358"/>
        <w:spacing w:after="0" w:line="263" w:lineRule="auto"/>
        <w:tabs>
          <w:tab w:leader="none" w:pos="1040" w:val="left"/>
        </w:tabs>
        <w:numPr>
          <w:ilvl w:val="0"/>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OFAC</w:t>
      </w:r>
      <w:r>
        <w:rPr>
          <w:rFonts w:ascii="Times New Roman" w:cs="Times New Roman" w:eastAsia="Times New Roman" w:hAnsi="Times New Roman"/>
          <w:sz w:val="15"/>
          <w:szCs w:val="15"/>
          <w:color w:val="auto"/>
        </w:rPr>
        <w:t>. None of the Company, any of its subsidiaries, director or officer or, to the knowledge of the Company, any director or officer of the Company or its subsidiaries, as applicable, agent, employee, affiliate or representative of the Company or any of its subsidiaries is a Person currently the subject or target of any sanctions administered or enforced by the United States Government, including, without limitation, the U.S.</w:t>
      </w:r>
    </w:p>
    <w:p>
      <w:pPr>
        <w:ind w:left="180" w:right="6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Department of the Treasury’s Office of Foreign Assets Control (“</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the United Nations Security Council, the European Union, Her Majesty’s Treasury, or other relevant sanctions authority (collectively, “</w:t>
      </w:r>
      <w:r>
        <w:rPr>
          <w:rFonts w:ascii="Times New Roman" w:cs="Times New Roman" w:eastAsia="Times New Roman" w:hAnsi="Times New Roman"/>
          <w:sz w:val="15"/>
          <w:szCs w:val="15"/>
          <w:b w:val="1"/>
          <w:bCs w:val="1"/>
          <w:color w:val="auto"/>
        </w:rPr>
        <w:t>Sanctions</w:t>
      </w:r>
      <w:r>
        <w:rPr>
          <w:rFonts w:ascii="Times New Roman" w:cs="Times New Roman" w:eastAsia="Times New Roman" w:hAnsi="Times New Roman"/>
          <w:sz w:val="15"/>
          <w:szCs w:val="15"/>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2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9200"/>
          </w:cols>
          <w:pgMar w:left="1440" w:top="252" w:right="1259" w:bottom="1440" w:gutter="0" w:footer="0" w:header="0"/>
        </w:sectPr>
      </w:pPr>
    </w:p>
    <w:bookmarkStart w:id="269" w:name="page270"/>
    <w:bookmarkEnd w:id="269"/>
    <w:p>
      <w:pPr>
        <w:ind w:left="180" w:right="160" w:firstLine="358"/>
        <w:spacing w:after="0" w:line="260" w:lineRule="auto"/>
        <w:tabs>
          <w:tab w:leader="none" w:pos="1032" w:val="left"/>
        </w:tabs>
        <w:numPr>
          <w:ilvl w:val="1"/>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Sales of Reserved Securities</w:t>
      </w:r>
      <w:r>
        <w:rPr>
          <w:rFonts w:ascii="Times New Roman" w:cs="Times New Roman" w:eastAsia="Times New Roman" w:hAnsi="Times New Roman"/>
          <w:sz w:val="15"/>
          <w:szCs w:val="15"/>
          <w:color w:val="auto"/>
        </w:rPr>
        <w:t>. In connection with any offer and sale of Reserved Securities outside the United States, each preliminary prospectus, the Prospectus and any amendment or supplement thereto, at the time it was filed, complied and will comply in all material respects with any applicable laws or regulations of foreign jurisdictions in which the same is distributed. The Company has not offered, or caused the Representatives or Merrill Lynch to offer, Reserved Securities to any person with the specific intent to unlawfully influence (i) a customer or supplier of the Company or any of its affiliates to alter the customer’s or supplier’s level or type of business with any such entity or</w:t>
      </w:r>
    </w:p>
    <w:p>
      <w:pPr>
        <w:spacing w:after="0" w:line="2" w:lineRule="exact"/>
        <w:rPr>
          <w:rFonts w:ascii="Times New Roman" w:cs="Times New Roman" w:eastAsia="Times New Roman" w:hAnsi="Times New Roman"/>
          <w:sz w:val="15"/>
          <w:szCs w:val="15"/>
          <w:color w:val="auto"/>
        </w:rPr>
      </w:pPr>
    </w:p>
    <w:p>
      <w:pPr>
        <w:ind w:left="180" w:right="540" w:hanging="4"/>
        <w:spacing w:after="0" w:line="273" w:lineRule="auto"/>
        <w:tabs>
          <w:tab w:leader="none" w:pos="406"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trade journalist or publication to write or publish favorable information about the Company or any of its affiliates, or their respective businesses or products.</w:t>
      </w:r>
    </w:p>
    <w:p>
      <w:pPr>
        <w:spacing w:after="0" w:line="50" w:lineRule="exact"/>
        <w:rPr>
          <w:rFonts w:ascii="Times New Roman" w:cs="Times New Roman" w:eastAsia="Times New Roman" w:hAnsi="Times New Roman"/>
          <w:sz w:val="15"/>
          <w:szCs w:val="15"/>
          <w:color w:val="auto"/>
        </w:rPr>
      </w:pPr>
    </w:p>
    <w:p>
      <w:pPr>
        <w:ind w:left="180" w:firstLine="358"/>
        <w:spacing w:after="0" w:line="277" w:lineRule="auto"/>
        <w:tabs>
          <w:tab w:leader="none" w:pos="989" w:val="left"/>
        </w:tabs>
        <w:numPr>
          <w:ilvl w:val="1"/>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Lending Relationship</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52" w:lineRule="exact"/>
        <w:rPr>
          <w:rFonts w:ascii="Times New Roman" w:cs="Times New Roman" w:eastAsia="Times New Roman" w:hAnsi="Times New Roman"/>
          <w:sz w:val="15"/>
          <w:szCs w:val="15"/>
          <w:color w:val="auto"/>
        </w:rPr>
      </w:pPr>
    </w:p>
    <w:p>
      <w:pPr>
        <w:ind w:left="180" w:right="80" w:firstLine="358"/>
        <w:spacing w:after="0" w:line="272" w:lineRule="auto"/>
        <w:tabs>
          <w:tab w:leader="none" w:pos="1032" w:val="left"/>
        </w:tabs>
        <w:numPr>
          <w:ilvl w:val="1"/>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Statistical and Market-Related Data</w:t>
      </w:r>
      <w:r>
        <w:rPr>
          <w:rFonts w:ascii="Times New Roman" w:cs="Times New Roman" w:eastAsia="Times New Roman" w:hAnsi="Times New Roman"/>
          <w:sz w:val="15"/>
          <w:szCs w:val="15"/>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243" w:lineRule="exact"/>
        <w:rPr>
          <w:rFonts w:ascii="Times New Roman" w:cs="Times New Roman" w:eastAsia="Times New Roman" w:hAnsi="Times New Roman"/>
          <w:sz w:val="15"/>
          <w:szCs w:val="15"/>
          <w:color w:val="auto"/>
        </w:rPr>
      </w:pPr>
    </w:p>
    <w:p>
      <w:pPr>
        <w:ind w:left="180" w:firstLine="358"/>
        <w:spacing w:after="0" w:line="258" w:lineRule="auto"/>
        <w:tabs>
          <w:tab w:leader="none" w:pos="1075" w:val="left"/>
        </w:tabs>
        <w:numPr>
          <w:ilvl w:val="1"/>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Information Technology, Cybersecurity and Data Protection</w:t>
      </w:r>
      <w:r>
        <w:rPr>
          <w:rFonts w:ascii="Times New Roman" w:cs="Times New Roman" w:eastAsia="Times New Roman" w:hAnsi="Times New Roman"/>
          <w:sz w:val="15"/>
          <w:szCs w:val="15"/>
          <w:color w:val="auto"/>
        </w:rPr>
        <w:t>. (A) There has been no security breach or incident, unauthorized access or disclosure, or other compromise of or relating to the Company’s or its subsidiaries’ information technology and computer systems, networks, hardware, software, data and databases (including personally identifiable information or protected health information as required by any Healthcare Laws and the data and information of their respective patients, customers, employees, suppliers, vendors and any third party data maintained, processed or stored by the Company or its subsidiaries, and any such data processed or stored by third parties on behalf of the Company or its subsidiaries), equipment or technology (collectively, “</w:t>
      </w:r>
      <w:r>
        <w:rPr>
          <w:rFonts w:ascii="Times New Roman" w:cs="Times New Roman" w:eastAsia="Times New Roman" w:hAnsi="Times New Roman"/>
          <w:sz w:val="15"/>
          <w:szCs w:val="15"/>
          <w:b w:val="1"/>
          <w:bCs w:val="1"/>
          <w:color w:val="auto"/>
        </w:rPr>
        <w:t>IT Systems and Data</w:t>
      </w:r>
      <w:r>
        <w:rPr>
          <w:rFonts w:ascii="Times New Roman" w:cs="Times New Roman" w:eastAsia="Times New Roman" w:hAnsi="Times New Roman"/>
          <w:sz w:val="15"/>
          <w:szCs w:val="15"/>
          <w:color w:val="auto"/>
        </w:rPr>
        <w:t>”); (B) neither the Company nor its subsidiaries have been notified of, nor have any knowledge of any event or condition that would reasonably be expected to result in, any security breach or incident, unauthorized access or disclosure of or other compromise to their IT Systems and Data and, to the Company’s knowledge, no Person has claimed or threatened to claim compensation from the Company or any of its subsidiaries for breaches of IT Systems and Data; and (C) the Company and its subsidiaries have implemented appropriate controls, policies, procedures, and technological safeguards designed to maintain and protect the integrity, continuous operation, redundancy, disaster recovery and security of their IT Systems and Data reasonably consistent with industry standards and practices, or as required by applicable Data Protection Laws, Healthcare Laws and regulatory standards, except with respect to clauses (A) and (B), for any such security breach or incident, unauthorized access or disclosure or other compromise, as would not, singly or in the aggregate, reasonably be expected to have a Material Adverse Effect. The IT Systems and Data are adequate and operational for, in accordance with their documentation and functional specifications, the business of the Company and its subsidiaries as now operated and as currently proposed to be operated as described in the Registration Statement, the General Disclosure Package and the Prospectus. The Company and its subsidiaries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including the collection, use, transfer, processing, disposal,</w:t>
      </w:r>
    </w:p>
    <w:p>
      <w:pPr>
        <w:spacing w:after="0" w:line="1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9200"/>
          </w:cols>
          <w:pgMar w:left="1440" w:top="252" w:right="1259" w:bottom="1440" w:gutter="0" w:footer="0" w:header="0"/>
        </w:sectPr>
      </w:pPr>
    </w:p>
    <w:bookmarkStart w:id="270" w:name="page271"/>
    <w:bookmarkEnd w:id="270"/>
    <w:p>
      <w:pPr>
        <w:ind w:left="180"/>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disclosure, handling, storage and analysis of personally identifiable information, protected health information, consumer information and other confidential information of the Company, its subsidiaries and any third parties in their possession (“</w:t>
      </w:r>
      <w:r>
        <w:rPr>
          <w:rFonts w:ascii="Times New Roman" w:cs="Times New Roman" w:eastAsia="Times New Roman" w:hAnsi="Times New Roman"/>
          <w:sz w:val="15"/>
          <w:szCs w:val="15"/>
          <w:b w:val="1"/>
          <w:bCs w:val="1"/>
          <w:color w:val="auto"/>
        </w:rPr>
        <w:t>Sensitive Company Data</w:t>
      </w:r>
      <w:r>
        <w:rPr>
          <w:rFonts w:ascii="Times New Roman" w:cs="Times New Roman" w:eastAsia="Times New Roman" w:hAnsi="Times New Roman"/>
          <w:sz w:val="15"/>
          <w:szCs w:val="15"/>
          <w:color w:val="auto"/>
        </w:rPr>
        <w:t>”), and to the protection of such IT Systems and Data and Sensitive Company Data from unauthorized use, access, misappropriation or modification. The Company and its subsidiaries have not received any written notice, claim, complaint, demand or letter from any Person or Governmental Authority in respect of their businesses under applicable Data Protection Laws (as defined below) and regulations and industry standards regarding misuse, loss, unauthorized destruction or unauthorized disclosure of any Sensitive Company Data. To the Company’s knowledge, there has been no unauthorized or illegal use of or access to any Sensitive Company Data by any third party. The Company and its subsidiaries have not been required to notify any individual or data protection authority of any information security breach, compromise or incident involving Sensitive Company Data and, to the Company’s knowledge, are not the subject of any inquiry or investigation by any Governmental Authority or data protection authority regarding any of the foregoing.</w:t>
      </w:r>
    </w:p>
    <w:p>
      <w:pPr>
        <w:spacing w:after="0" w:line="64" w:lineRule="exact"/>
        <w:rPr>
          <w:sz w:val="20"/>
          <w:szCs w:val="20"/>
          <w:color w:val="auto"/>
        </w:rPr>
      </w:pPr>
    </w:p>
    <w:p>
      <w:pPr>
        <w:ind w:left="180" w:right="120" w:firstLine="361"/>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Data Protection Laws</w:t>
      </w:r>
      <w:r>
        <w:rPr>
          <w:rFonts w:ascii="Times New Roman" w:cs="Times New Roman" w:eastAsia="Times New Roman" w:hAnsi="Times New Roman"/>
          <w:sz w:val="15"/>
          <w:szCs w:val="15"/>
          <w:color w:val="auto"/>
        </w:rPr>
        <w:t>” means (a) all applicable laws related to data privacy, data protection or data security (including the Health Insurance Portability and Accountability Act of 1996, Regulation (EU) 2016/79 of the European Parliament and of the Council (General Data Protection Regulation) and any implementation acts related thereto and the California Consumer Privacy Act of 2018), and the requirements and guidance set forth in regulations, guidelines and agreements containing consent orders published by regulatory authorities such as the Federal Trade Commission, Federal Communications Commission, the FDA, the U.S. Department of Health and Human Services and applicable European Union data protection authorities, in each case of the foregoing, as amended, replaced or updated from time to time; (b) all privacy policies of the Company and its subsidiaries; and (c) all third party privacy policies that the Company or any of its subsidiaries has been or is contractually obligated to comply with.</w:t>
      </w:r>
    </w:p>
    <w:p>
      <w:pPr>
        <w:spacing w:after="0" w:line="65" w:lineRule="exact"/>
        <w:rPr>
          <w:sz w:val="20"/>
          <w:szCs w:val="20"/>
          <w:color w:val="auto"/>
        </w:rPr>
      </w:pPr>
    </w:p>
    <w:p>
      <w:pPr>
        <w:ind w:left="180" w:right="320" w:firstLine="358"/>
        <w:spacing w:after="0" w:line="293" w:lineRule="auto"/>
        <w:tabs>
          <w:tab w:leader="none" w:pos="1117"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Rated Securities.</w:t>
      </w:r>
      <w:r>
        <w:rPr>
          <w:rFonts w:ascii="Times New Roman" w:cs="Times New Roman" w:eastAsia="Times New Roman" w:hAnsi="Times New Roman"/>
          <w:sz w:val="15"/>
          <w:szCs w:val="15"/>
          <w:color w:val="auto"/>
        </w:rPr>
        <w:t xml:space="preserve"> Neither the Company nor its subsidiaries have any debt securities or preferred stock that are rated by any “nationally recognized statistical rating organization” (as defined in Section 3(a)(62) of the 1934 Act).</w:t>
      </w:r>
    </w:p>
    <w:p>
      <w:pPr>
        <w:spacing w:after="0" w:line="39" w:lineRule="exact"/>
        <w:rPr>
          <w:rFonts w:ascii="Times New Roman" w:cs="Times New Roman" w:eastAsia="Times New Roman" w:hAnsi="Times New Roman"/>
          <w:sz w:val="15"/>
          <w:szCs w:val="15"/>
          <w:color w:val="auto"/>
        </w:rPr>
      </w:pPr>
    </w:p>
    <w:p>
      <w:pPr>
        <w:ind w:left="1020" w:hanging="482"/>
        <w:spacing w:after="0"/>
        <w:tabs>
          <w:tab w:leader="none" w:pos="1020" w:val="left"/>
        </w:tabs>
        <w:numPr>
          <w:ilvl w:val="1"/>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ERISA Compliance</w:t>
      </w:r>
      <w:r>
        <w:rPr>
          <w:rFonts w:ascii="Times New Roman" w:cs="Times New Roman" w:eastAsia="Times New Roman" w:hAnsi="Times New Roman"/>
          <w:sz w:val="15"/>
          <w:szCs w:val="15"/>
          <w:color w:val="auto"/>
        </w:rPr>
        <w:t>. Except as would not, singly or in the aggregate, reasonably be expected to result in a Material Adverse Effect,</w:t>
      </w:r>
    </w:p>
    <w:p>
      <w:pPr>
        <w:spacing w:after="0" w:line="26" w:lineRule="exact"/>
        <w:rPr>
          <w:rFonts w:ascii="Times New Roman" w:cs="Times New Roman" w:eastAsia="Times New Roman" w:hAnsi="Times New Roman"/>
          <w:sz w:val="15"/>
          <w:szCs w:val="15"/>
          <w:color w:val="auto"/>
        </w:rPr>
      </w:pPr>
    </w:p>
    <w:p>
      <w:pPr>
        <w:ind w:left="180" w:hanging="4"/>
        <w:spacing w:after="0" w:line="258" w:lineRule="auto"/>
        <w:tabs>
          <w:tab w:leader="none" w:pos="432"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and any “Employee Benefit Plan” (as defined under the Employee Retirement Income Security Act of 1974, as amended, and the regulations and published interpretations promulgated thereunder (collectively,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for which the Company, its subsidiaries or its or their “ERISA Affiliates” (as defined below) would have any liability (each, a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are in compliance in all respects with ERISA and each Plan has been established and maintained in compliance with its terms and the requirements of any applicable statutes, orders, rules and regulations, including but not limited to, ERISA and the Internal Revenue Code of 1986, as amended, and the regulations and published interpretations thereunder (the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(B) no “reportable event” (as defined under ERISA) has occurred or is reasonably expected to occur with respect to any Plan, (C) no Plan, if such Plan were terminated, would have any “amount of unfunded benefit liabilities” (as defined under ERISA), as the fair market value of the assets under each Plan (excluding for these purposes accrued but unpaid contributions) exceeds the present value of all benefits accrued under such Plan (determined based on those assumptions used to fund such Plan), (D) neither the Company, its subsidiaries nor any of its or their ERISA Affiliates has incurred or reasonably expects to incur any obligation or liability under (i) Title IV of ERISA with respect to termination of, or withdrawal from, any Plan, (ii) Sections 412 and 430, 4971, 4975 or 4980B of the Code or (iii) Sections 302 and 303, 406, 4063 and 4064 of ERISA, (E) each Plan that is intended to be</w:t>
      </w:r>
    </w:p>
    <w:p>
      <w:pPr>
        <w:spacing w:after="0" w:line="1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180"/>
          </w:cols>
          <w:pgMar w:left="1440" w:top="252" w:right="1279" w:bottom="1440" w:gutter="0" w:footer="0" w:header="0"/>
        </w:sectPr>
      </w:pPr>
    </w:p>
    <w:bookmarkStart w:id="271" w:name="page272"/>
    <w:bookmarkEnd w:id="271"/>
    <w:p>
      <w:pPr>
        <w:ind w:left="180"/>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qualified under Section 401(a) of the Code is so qualified and nothing has occurred, whether by action or failure to act, which would cause the loss of such qualification, (F) there is no pending audit or investigation by the Internal Revenue Service, the U.S. Department of Labor, the Pension Benefit Guaranty Corporation or any other governmental or foreign regulatory entity or agency with respect to any Plan that would reasonably be expected to result in liability to the Company or any of its subsidiaries, and (G) neither the Company nor any of its subsidiaries have any “accumulated post-retirement benefit obligations” (within the meaning of Statement of Financial Accounting Standards 106).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the Company, any member of any group of organizations described in Sections 414(b), (c), (m) or (o)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Code of which the Company or such subsidiary is a member.</w:t>
      </w:r>
    </w:p>
    <w:p>
      <w:pPr>
        <w:spacing w:after="0" w:line="65" w:lineRule="exact"/>
        <w:rPr>
          <w:sz w:val="20"/>
          <w:szCs w:val="20"/>
          <w:color w:val="auto"/>
        </w:rPr>
      </w:pPr>
    </w:p>
    <w:p>
      <w:pPr>
        <w:ind w:left="180" w:right="180" w:firstLine="361"/>
        <w:spacing w:after="0" w:line="260" w:lineRule="auto"/>
        <w:rPr>
          <w:sz w:val="20"/>
          <w:szCs w:val="20"/>
          <w:color w:val="auto"/>
        </w:rPr>
      </w:pPr>
      <w:r>
        <w:rPr>
          <w:rFonts w:ascii="Times New Roman" w:cs="Times New Roman" w:eastAsia="Times New Roman" w:hAnsi="Times New Roman"/>
          <w:sz w:val="15"/>
          <w:szCs w:val="15"/>
          <w:color w:val="auto"/>
        </w:rPr>
        <w:t xml:space="preserve">(xl) </w:t>
      </w:r>
      <w:r>
        <w:rPr>
          <w:rFonts w:ascii="Times New Roman" w:cs="Times New Roman" w:eastAsia="Times New Roman" w:hAnsi="Times New Roman"/>
          <w:sz w:val="15"/>
          <w:szCs w:val="15"/>
          <w:u w:val="single" w:color="auto"/>
          <w:color w:val="auto"/>
        </w:rPr>
        <w:t>Regulatory Matters</w:t>
      </w:r>
      <w:r>
        <w:rPr>
          <w:rFonts w:ascii="Times New Roman" w:cs="Times New Roman" w:eastAsia="Times New Roman" w:hAnsi="Times New Roman"/>
          <w:sz w:val="15"/>
          <w:szCs w:val="15"/>
          <w:color w:val="auto"/>
        </w:rPr>
        <w:t>. Except as described in the Registration Statement, the General Disclosure Package and the Prospectus: (i) neither the Company nor its subsidiaries has received any written notice of adverse finding, warning letter, untitled letter or other correspondence or notice from the FDA, the EMA or other relevant regulatory authorities, or any other court or arbitrator or federal, state, local or foreign governmental or regulatory authority, alleging or asserting material noncompliance with the Federal Food, Drug and Cosmetic Act (21 U.S.C. § 301 et seq.), as amended, and the regulations promulgated thereunder (the “</w:t>
      </w:r>
      <w:r>
        <w:rPr>
          <w:rFonts w:ascii="Times New Roman" w:cs="Times New Roman" w:eastAsia="Times New Roman" w:hAnsi="Times New Roman"/>
          <w:sz w:val="15"/>
          <w:szCs w:val="15"/>
          <w:b w:val="1"/>
          <w:bCs w:val="1"/>
          <w:color w:val="auto"/>
        </w:rPr>
        <w:t>FFDCA</w:t>
      </w:r>
      <w:r>
        <w:rPr>
          <w:rFonts w:ascii="Times New Roman" w:cs="Times New Roman" w:eastAsia="Times New Roman" w:hAnsi="Times New Roman"/>
          <w:sz w:val="15"/>
          <w:szCs w:val="15"/>
          <w:color w:val="auto"/>
        </w:rPr>
        <w:t>”), the Anti-Kickback Statute (42 U.S.C.</w:t>
      </w:r>
    </w:p>
    <w:p>
      <w:pPr>
        <w:spacing w:after="0" w:line="2"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5"/>
          <w:szCs w:val="15"/>
          <w:color w:val="auto"/>
        </w:rPr>
        <w:t>Section 1320a-7b(b)), the Civil Monetary Penalties Law (42 U.S.C. § 1320a-7a), the Physician Payment Sunshine Act (42 U.S.C. § 1320a-7h), the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 w:cs="Times New Roman" w:eastAsia="Times New Roman" w:hAnsi="Times New Roman"/>
          <w:sz w:val="15"/>
          <w:szCs w:val="15"/>
          <w:b w:val="1"/>
          <w:bCs w:val="1"/>
          <w:color w:val="auto"/>
        </w:rPr>
        <w:t>HIPAA</w:t>
      </w:r>
      <w:r>
        <w:rPr>
          <w:rFonts w:ascii="Times New Roman" w:cs="Times New Roman" w:eastAsia="Times New Roman" w:hAnsi="Times New Roman"/>
          <w:sz w:val="15"/>
          <w:szCs w:val="15"/>
          <w:color w:val="auto"/>
        </w:rPr>
        <w:t>”) (42 U.S.C. Section 1320d et seq.), the exclusion laws (42 U.S.C. § 1320a-7), HIPAA, as amended by the Health Information Technology for Economic and Clinical Health Act (42 U.S.C. Section 17921 et seq.), Medicare (Title XVIII of the Social Security Act), Medicaid (Title XIX of the Social Security Act), and any and all other similar state, federal or foreign law or regulations promulgated pursuant to such laws, including all laws and regulations applicable to ownership, testing, development, manufacture, packaging, processing, use, distribution, storage, import, export or disposal of the Company’s product candidates, each as amended from time to time (collectively, “</w:t>
      </w:r>
      <w:r>
        <w:rPr>
          <w:rFonts w:ascii="Times New Roman" w:cs="Times New Roman" w:eastAsia="Times New Roman" w:hAnsi="Times New Roman"/>
          <w:sz w:val="15"/>
          <w:szCs w:val="15"/>
          <w:b w:val="1"/>
          <w:bCs w:val="1"/>
          <w:color w:val="auto"/>
        </w:rPr>
        <w:t>Health Care Laws</w:t>
      </w:r>
      <w:r>
        <w:rPr>
          <w:rFonts w:ascii="Times New Roman" w:cs="Times New Roman" w:eastAsia="Times New Roman" w:hAnsi="Times New Roman"/>
          <w:sz w:val="15"/>
          <w:szCs w:val="15"/>
          <w:color w:val="auto"/>
        </w:rPr>
        <w:t>”); (ii) the Company and its subsidiaries are and have been in compliance with applicable Health Care Laws, except where instances of non-compliance would not, singly or in the aggregate, reasonably be expected to result in a Material Adverse Effect; (iii) neither the Company nor its subsidiaries received written notice of any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or third party alleging that any product operation or activity is in violation of any Health Care Laws and, to the Company’s knowledge, no such claim, action, suit, proceeding, hearing, enforcement, investigation, arbitration or other action is threatened; (iv) the Company and its subsidiaries have filed, obtained, maintained or submitted all reports, documents, forms, notices, applications, records, claims, submissions and supplements or amendments as required by applicable Health Care Laws, and all such reports, documents, forms, notices, applications, records, claims, submissions and supplements or amendments were complete, correct and not misleading on the date filed (or were corrected or supplemented by a subsequent submission); (v) neither the Company nor its subsidiaries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 or, to the knowledge of the Company, is subject to a governmental inquiry, investigation, proceeding, or other similar action that would</w:t>
      </w:r>
    </w:p>
    <w:p>
      <w:pPr>
        <w:spacing w:after="0" w:line="2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9200"/>
          </w:cols>
          <w:pgMar w:left="1440" w:top="252" w:right="1259" w:bottom="1440" w:gutter="0" w:footer="0" w:header="0"/>
        </w:sectPr>
      </w:pPr>
    </w:p>
    <w:bookmarkStart w:id="272" w:name="page273"/>
    <w:bookmarkEnd w:id="272"/>
    <w:p>
      <w:pPr>
        <w:ind w:left="180" w:right="20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reasonably be expected to result in debarment, suspension, or exclusion; and (vi) the Company is not a party to and the Company does not have any ongoing reporting obligations pursuant to, any corporate integrity agreements, deferred prosecution agreements, monitoring agreements, consent decrees, settlement orders, plans of correction or similar agreements with or imposed by an Governmental Authority.</w:t>
      </w:r>
    </w:p>
    <w:p>
      <w:pPr>
        <w:spacing w:after="0" w:line="53" w:lineRule="exact"/>
        <w:rPr>
          <w:sz w:val="20"/>
          <w:szCs w:val="20"/>
          <w:color w:val="auto"/>
        </w:rPr>
      </w:pPr>
    </w:p>
    <w:p>
      <w:pPr>
        <w:ind w:left="180" w:firstLine="361"/>
        <w:spacing w:after="0" w:line="258" w:lineRule="auto"/>
        <w:rPr>
          <w:sz w:val="20"/>
          <w:szCs w:val="20"/>
          <w:color w:val="auto"/>
        </w:rPr>
      </w:pPr>
      <w:r>
        <w:rPr>
          <w:rFonts w:ascii="Times New Roman" w:cs="Times New Roman" w:eastAsia="Times New Roman" w:hAnsi="Times New Roman"/>
          <w:sz w:val="15"/>
          <w:szCs w:val="15"/>
          <w:color w:val="auto"/>
        </w:rPr>
        <w:t xml:space="preserve">(xli) </w:t>
      </w:r>
      <w:r>
        <w:rPr>
          <w:rFonts w:ascii="Times New Roman" w:cs="Times New Roman" w:eastAsia="Times New Roman" w:hAnsi="Times New Roman"/>
          <w:sz w:val="15"/>
          <w:szCs w:val="15"/>
          <w:u w:val="single" w:color="auto"/>
          <w:color w:val="auto"/>
        </w:rPr>
        <w:t>Preclinical Studies and Clinical Trials</w:t>
      </w:r>
      <w:r>
        <w:rPr>
          <w:rFonts w:ascii="Times New Roman" w:cs="Times New Roman" w:eastAsia="Times New Roman" w:hAnsi="Times New Roman"/>
          <w:sz w:val="15"/>
          <w:szCs w:val="15"/>
          <w:color w:val="auto"/>
        </w:rPr>
        <w:t>. The preclinical studies and clinical trials conducted by, on behalf of or sponsored by the Company or its subsidiaries, or in which the Company or its subsidiaries has participated, that are described in, or the results of which are referred to in, the Registration Statement, the General Disclosure Package and the Prospectus, as applicable, were, and if still pending are, being conducted in accordance with the experimental protocols established for each study or trial, as well as any conditions of approval and policies imposed by any institutional review board, ethics review board or committee responsible for the oversight of such preclinical studies and clinical trials, and all applicable local, state and federal laws, rules and regulations of the FDA, the EMA and comparable drug regulatory agencies outside of the United States to which they are subject (such institutional review boards, ethics review boards, committees, the FDA, the EMA or any comparable regulatory agencies, collectively, the “</w:t>
      </w:r>
      <w:r>
        <w:rPr>
          <w:rFonts w:ascii="Times New Roman" w:cs="Times New Roman" w:eastAsia="Times New Roman" w:hAnsi="Times New Roman"/>
          <w:sz w:val="15"/>
          <w:szCs w:val="15"/>
          <w:b w:val="1"/>
          <w:bCs w:val="1"/>
          <w:color w:val="auto"/>
        </w:rPr>
        <w:t>Regulatory Authorities</w:t>
      </w:r>
      <w:r>
        <w:rPr>
          <w:rFonts w:ascii="Times New Roman" w:cs="Times New Roman" w:eastAsia="Times New Roman" w:hAnsi="Times New Roman"/>
          <w:sz w:val="15"/>
          <w:szCs w:val="15"/>
          <w:color w:val="auto"/>
        </w:rPr>
        <w:t>”) and all other applicable Health Care Laws, except as would not, singly or in the aggregate, reasonably be expected to have a Material Adverse Effect; the descriptions in the Registration Statement, the General Disclosure Package or the Prospectus of the results of such studies and trials are accurate and not misleading in all material respects with respect to the portions of such studies and trials being described and fairly present the data derived from such studies or trials in all material respects; the Company has no knowledge of any other preclinical studies or clinical trials not described in the Registration Statement, the General Disclosure Package and the Prospectus, the results of which would reasonably call into question in any material respect the results of the preclinical studies and clinical trials described in the Registration Statement, the General Disclosure Package and the Prospectus when viewed in the context in which such results are described and the current state of development; neither the Company nor its subsidiaries have received any written notice, correspondence or other communications from the Regulatory Authorities requiring or threatening (i) the termination or suspension or clinical hold of any preclinical studies or clinical trials that are described in, or the results of which are referred to in, the Registration Statement, the General Disclosure Package and the Prospectus, or (ii) the material modification of any preclinical studies or clinical trials that would cause them to materially differ from their descriptions in the Registration Statement, the General Disclosure Package and the Prospectus, other than ordinary course communications with respect to modifications in connection with the design and implementation of such preclinical studies or clinical trials, and, to the Company’s knowledge, there are no reasonable grounds for the same.</w:t>
      </w:r>
    </w:p>
    <w:p>
      <w:pPr>
        <w:spacing w:after="0" w:line="72" w:lineRule="exact"/>
        <w:rPr>
          <w:sz w:val="20"/>
          <w:szCs w:val="20"/>
          <w:color w:val="auto"/>
        </w:rPr>
      </w:pPr>
    </w:p>
    <w:p>
      <w:pPr>
        <w:ind w:left="180" w:firstLine="361"/>
        <w:spacing w:after="0" w:line="261" w:lineRule="auto"/>
        <w:rPr>
          <w:sz w:val="20"/>
          <w:szCs w:val="20"/>
          <w:color w:val="auto"/>
        </w:rPr>
      </w:pPr>
      <w:r>
        <w:rPr>
          <w:rFonts w:ascii="Times New Roman" w:cs="Times New Roman" w:eastAsia="Times New Roman" w:hAnsi="Times New Roman"/>
          <w:sz w:val="15"/>
          <w:szCs w:val="15"/>
          <w:color w:val="auto"/>
        </w:rPr>
        <w:t xml:space="preserve">(xlii) </w:t>
      </w:r>
      <w:r>
        <w:rPr>
          <w:rFonts w:ascii="Times New Roman" w:cs="Times New Roman" w:eastAsia="Times New Roman" w:hAnsi="Times New Roman"/>
          <w:sz w:val="15"/>
          <w:szCs w:val="15"/>
          <w:u w:val="single" w:color="auto"/>
          <w:color w:val="auto"/>
        </w:rPr>
        <w:t>Health Care Products Manufacturing</w:t>
      </w:r>
      <w:r>
        <w:rPr>
          <w:rFonts w:ascii="Times New Roman" w:cs="Times New Roman" w:eastAsia="Times New Roman" w:hAnsi="Times New Roman"/>
          <w:sz w:val="15"/>
          <w:szCs w:val="15"/>
          <w:color w:val="auto"/>
        </w:rPr>
        <w:t>. The manufacture of the Company’s and its subsidiaries’ product candidates by or on behalf of the Company and its subsidiaries is being conducted in compliance in all material respects with all applicable Health Care Laws, including, without limitation, the FDA’s current good manufacturing practice regulations at 21 CFR Part 820, and, to the extent applicable, the respective counterparts thereof promulgated by governmental authorities in countries outside the United States. Neither the Company nor any of its subsidiaries has had any manufacturing site (whether Company-owned, subsidiary-owned or that of a third party manufacturer for the Company’s or its subsidiaries’ product candidates) subject to a Governmental Authority (including FDA or EMA) shutdown or import or export prohibition, nor received any FDA, EMA or other Governmental Authority “warning letters,” or “untitled letters” alleging or asserting material noncompliance with any applicable Health Care Laws, requests to make material changes to the Company’s or its subsidiaries’ product</w:t>
      </w:r>
    </w:p>
    <w:p>
      <w:pPr>
        <w:spacing w:after="0" w:line="1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9200"/>
          </w:cols>
          <w:pgMar w:left="1440" w:top="252" w:right="1259" w:bottom="1440" w:gutter="0" w:footer="0" w:header="0"/>
        </w:sectPr>
      </w:pPr>
    </w:p>
    <w:bookmarkStart w:id="273" w:name="page274"/>
    <w:bookmarkEnd w:id="273"/>
    <w:p>
      <w:pPr>
        <w:ind w:left="360" w:right="2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candidates, processes or operations, or similar correspondence or notice from the FDA, EMA or other Governmental Authority alleging or asserting material noncompliance with any applicable Health Care Laws, other than those that have been satisfactorily addressed and/or closed with the FDA, EMA or other Governmental Authority. To the knowledge of the Company, neither the FDA, EMA or any other Governmental Authority is considering such action.</w:t>
      </w:r>
    </w:p>
    <w:p>
      <w:pPr>
        <w:spacing w:after="0" w:line="60" w:lineRule="exact"/>
        <w:rPr>
          <w:sz w:val="20"/>
          <w:szCs w:val="20"/>
          <w:color w:val="auto"/>
        </w:rPr>
      </w:pPr>
    </w:p>
    <w:p>
      <w:pPr>
        <w:ind w:left="360" w:firstLine="361"/>
        <w:spacing w:after="0" w:line="264" w:lineRule="auto"/>
        <w:rPr>
          <w:sz w:val="20"/>
          <w:szCs w:val="20"/>
          <w:color w:val="auto"/>
        </w:rPr>
      </w:pPr>
      <w:r>
        <w:rPr>
          <w:rFonts w:ascii="Times New Roman" w:cs="Times New Roman" w:eastAsia="Times New Roman" w:hAnsi="Times New Roman"/>
          <w:sz w:val="15"/>
          <w:szCs w:val="15"/>
          <w:color w:val="auto"/>
        </w:rPr>
        <w:t xml:space="preserve">(xliii) </w:t>
      </w:r>
      <w:r>
        <w:rPr>
          <w:rFonts w:ascii="Times New Roman" w:cs="Times New Roman" w:eastAsia="Times New Roman" w:hAnsi="Times New Roman"/>
          <w:sz w:val="15"/>
          <w:szCs w:val="15"/>
          <w:u w:val="single" w:color="auto"/>
          <w:color w:val="auto"/>
        </w:rPr>
        <w:t>No Safety Notices</w:t>
      </w:r>
      <w:r>
        <w:rPr>
          <w:rFonts w:ascii="Times New Roman" w:cs="Times New Roman" w:eastAsia="Times New Roman" w:hAnsi="Times New Roman"/>
          <w:sz w:val="15"/>
          <w:szCs w:val="15"/>
          <w:color w:val="auto"/>
        </w:rPr>
        <w:t>. (i) There have been no recalls, field notifications, field corrections, market withdrawals or replacements, warnings, “dear doctor” letters, investigator notices, safety alerts or other notice of action relating to an alleged lack of safety, efficacy, or regulatory compliance of the Company’s or its subsidiaries’ product candidates (“</w:t>
      </w:r>
      <w:r>
        <w:rPr>
          <w:rFonts w:ascii="Times New Roman" w:cs="Times New Roman" w:eastAsia="Times New Roman" w:hAnsi="Times New Roman"/>
          <w:sz w:val="15"/>
          <w:szCs w:val="15"/>
          <w:b w:val="1"/>
          <w:bCs w:val="1"/>
          <w:color w:val="auto"/>
        </w:rPr>
        <w:t>Safety Notices</w:t>
      </w:r>
      <w:r>
        <w:rPr>
          <w:rFonts w:ascii="Times New Roman" w:cs="Times New Roman" w:eastAsia="Times New Roman" w:hAnsi="Times New Roman"/>
          <w:sz w:val="15"/>
          <w:szCs w:val="15"/>
          <w:color w:val="auto"/>
        </w:rPr>
        <w:t>”) and (ii) there are no facts that would be reasonably likely to result in (x) a Safety Notice with respect to the Company’s or its subsidiaries’ product candidates, or (y) a material change in labeling of any of the Company’s or its subsidiaries’ product candidates or (z) a termination or suspension of marketing or testing of any of the Company’s or its subsidiaries’ product candidates.</w:t>
      </w:r>
    </w:p>
    <w:p>
      <w:pPr>
        <w:spacing w:after="0" w:line="149" w:lineRule="exact"/>
        <w:rPr>
          <w:sz w:val="20"/>
          <w:szCs w:val="20"/>
          <w:color w:val="auto"/>
        </w:rPr>
      </w:pPr>
    </w:p>
    <w:p>
      <w:pPr>
        <w:jc w:val="both"/>
        <w:ind w:left="-20" w:right="260" w:firstLine="376"/>
        <w:spacing w:after="0" w:line="298" w:lineRule="auto"/>
        <w:tabs>
          <w:tab w:leader="none" w:pos="574"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Certificates</w:t>
      </w:r>
      <w:r>
        <w:rPr>
          <w:rFonts w:ascii="Times New Roman" w:cs="Times New Roman" w:eastAsia="Times New Roman" w:hAnsi="Times New Roman"/>
          <w:sz w:val="15"/>
          <w:szCs w:val="15"/>
          <w:color w:val="auto"/>
        </w:rPr>
        <w:t>. Any certificate signed by any officer of the Company or any of its subsidiaries delivered to the Representatives or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counsel for the Underwriters shall be deemed a representation and warranty by the Company to each Underwriter as to the matters covered thereby.</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 xml:space="preserve">SECTION 2. </w:t>
      </w:r>
      <w:r>
        <w:rPr>
          <w:rFonts w:ascii="Times New Roman" w:cs="Times New Roman" w:eastAsia="Times New Roman" w:hAnsi="Times New Roman"/>
          <w:sz w:val="15"/>
          <w:szCs w:val="15"/>
          <w:u w:val="single" w:color="auto"/>
          <w:color w:val="auto"/>
        </w:rPr>
        <w:t>Sale and Delivery to Underwriters; Closing</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20" w:right="20" w:firstLine="376"/>
        <w:spacing w:after="0" w:line="265" w:lineRule="auto"/>
        <w:tabs>
          <w:tab w:leader="none" w:pos="56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Initial Securities</w:t>
      </w:r>
      <w:r>
        <w:rPr>
          <w:rFonts w:ascii="Times New Roman" w:cs="Times New Roman" w:eastAsia="Times New Roman" w:hAnsi="Times New Roman"/>
          <w:sz w:val="15"/>
          <w:szCs w:val="15"/>
          <w:color w:val="auto"/>
        </w:rPr>
        <w:t>. On the basis of the representations and warranties herein contained and subject to the terms and conditions herein set forth,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48" w:lineRule="exact"/>
        <w:rPr>
          <w:rFonts w:ascii="Times New Roman" w:cs="Times New Roman" w:eastAsia="Times New Roman" w:hAnsi="Times New Roman"/>
          <w:sz w:val="15"/>
          <w:szCs w:val="15"/>
          <w:color w:val="auto"/>
        </w:rPr>
      </w:pPr>
    </w:p>
    <w:p>
      <w:pPr>
        <w:ind w:left="-20" w:firstLine="376"/>
        <w:spacing w:after="0" w:line="260" w:lineRule="auto"/>
        <w:tabs>
          <w:tab w:leader="none" w:pos="574"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Option Securities</w:t>
      </w:r>
      <w:r>
        <w:rPr>
          <w:rFonts w:ascii="Times New Roman" w:cs="Times New Roman" w:eastAsia="Times New Roman" w:hAnsi="Times New Roman"/>
          <w:sz w:val="15"/>
          <w:szCs w:val="15"/>
          <w:color w:val="auto"/>
        </w:rPr>
        <w:t>. In addition, on the basis of the representations and warranties herein contained and subject to the terms and conditions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herein set forth, the Company hereby grants an option to the Underwriters, severally and not jointly, to purchase up to an additional [●] shares of Common Stock, at the price per share set forth in Schedule A, less an amount per share equal to any dividends or distributions declared by the Company and payable on the Initial Securities but not payable on the Option Securities to cover over-allotments. The option hereby granted may be exercised for 30 days after the date hereof and may be exercised in whole or in part at any time and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w:t>
      </w:r>
      <w:r>
        <w:rPr>
          <w:rFonts w:ascii="Times New Roman" w:cs="Times New Roman" w:eastAsia="Times New Roman" w:hAnsi="Times New Roman"/>
          <w:sz w:val="15"/>
          <w:szCs w:val="15"/>
          <w:b w:val="1"/>
          <w:bCs w:val="1"/>
          <w:color w:val="auto"/>
        </w:rPr>
        <w:t>Date of Delivery</w:t>
      </w:r>
      <w:r>
        <w:rPr>
          <w:rFonts w:ascii="Times New Roman" w:cs="Times New Roman" w:eastAsia="Times New Roman" w:hAnsi="Times New Roman"/>
          <w:sz w:val="15"/>
          <w:szCs w:val="15"/>
          <w:color w:val="auto"/>
        </w:rPr>
        <w:t>”)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55" w:lineRule="exact"/>
        <w:rPr>
          <w:rFonts w:ascii="Times New Roman" w:cs="Times New Roman" w:eastAsia="Times New Roman" w:hAnsi="Times New Roman"/>
          <w:sz w:val="15"/>
          <w:szCs w:val="15"/>
          <w:color w:val="auto"/>
        </w:rPr>
      </w:pPr>
    </w:p>
    <w:p>
      <w:pPr>
        <w:ind w:left="-20" w:right="120" w:firstLine="376"/>
        <w:spacing w:after="0" w:line="298" w:lineRule="auto"/>
        <w:tabs>
          <w:tab w:leader="none" w:pos="565"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w:t>
      </w:r>
      <w:r>
        <w:rPr>
          <w:rFonts w:ascii="Times New Roman" w:cs="Times New Roman" w:eastAsia="Times New Roman" w:hAnsi="Times New Roman"/>
          <w:sz w:val="15"/>
          <w:szCs w:val="15"/>
          <w:color w:val="auto"/>
        </w:rPr>
        <w:t>. Payment of the purchase price for, and delivery of certificates or security entitlements for, the Initial Securities shall be made 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offices of Shearman &amp; Sterling LLP, 599</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9360"/>
          </w:cols>
          <w:pgMar w:left="1260" w:top="252" w:right="1279" w:bottom="1440" w:gutter="0" w:footer="0" w:header="0"/>
        </w:sectPr>
      </w:pPr>
    </w:p>
    <w:bookmarkStart w:id="274" w:name="page275"/>
    <w:bookmarkEnd w:id="274"/>
    <w:p>
      <w:pPr>
        <w:ind w:right="10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Lexington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w:t>
      </w:r>
      <w:r>
        <w:rPr>
          <w:rFonts w:ascii="Times New Roman" w:cs="Times New Roman" w:eastAsia="Times New Roman" w:hAnsi="Times New Roman"/>
          <w:sz w:val="15"/>
          <w:szCs w:val="15"/>
          <w:b w:val="1"/>
          <w:bCs w:val="1"/>
          <w:color w:val="auto"/>
        </w:rPr>
        <w:t>Closing Time</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right="40" w:firstLine="376"/>
        <w:spacing w:after="0" w:line="275" w:lineRule="auto"/>
        <w:rPr>
          <w:sz w:val="20"/>
          <w:szCs w:val="20"/>
          <w:color w:val="auto"/>
        </w:rPr>
      </w:pPr>
      <w:r>
        <w:rPr>
          <w:rFonts w:ascii="Times New Roman" w:cs="Times New Roman" w:eastAsia="Times New Roman" w:hAnsi="Times New Roman"/>
          <w:sz w:val="15"/>
          <w:szCs w:val="15"/>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5" w:lineRule="exact"/>
        <w:rPr>
          <w:sz w:val="20"/>
          <w:szCs w:val="20"/>
          <w:color w:val="auto"/>
        </w:rPr>
      </w:pPr>
    </w:p>
    <w:p>
      <w:pPr>
        <w:ind w:right="80" w:firstLine="376"/>
        <w:spacing w:after="0" w:line="262" w:lineRule="auto"/>
        <w:rPr>
          <w:sz w:val="20"/>
          <w:szCs w:val="20"/>
          <w:color w:val="auto"/>
        </w:rPr>
      </w:pPr>
      <w:r>
        <w:rPr>
          <w:rFonts w:ascii="Times New Roman" w:cs="Times New Roman" w:eastAsia="Times New Roman" w:hAnsi="Times New Roman"/>
          <w:sz w:val="15"/>
          <w:szCs w:val="15"/>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a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Covenants of the Company</w:t>
      </w:r>
      <w:r>
        <w:rPr>
          <w:rFonts w:ascii="Times New Roman" w:cs="Times New Roman" w:eastAsia="Times New Roman" w:hAnsi="Times New Roman"/>
          <w:sz w:val="15"/>
          <w:szCs w:val="15"/>
          <w:color w:val="auto"/>
        </w:rPr>
        <w:t>. The Company covenants with each Underwriter as follows:</w:t>
      </w:r>
    </w:p>
    <w:p>
      <w:pPr>
        <w:spacing w:after="0" w:line="192" w:lineRule="exact"/>
        <w:rPr>
          <w:sz w:val="20"/>
          <w:szCs w:val="20"/>
          <w:color w:val="auto"/>
        </w:rPr>
      </w:pPr>
    </w:p>
    <w:p>
      <w:pPr>
        <w:ind w:firstLine="376"/>
        <w:spacing w:after="0" w:line="260" w:lineRule="auto"/>
        <w:tabs>
          <w:tab w:leader="none" w:pos="585"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Compliance with Securities Regulations and Commission Requests</w:t>
      </w:r>
      <w:r>
        <w:rPr>
          <w:rFonts w:ascii="Times New Roman" w:cs="Times New Roman" w:eastAsia="Times New Roman" w:hAnsi="Times New Roman"/>
          <w:sz w:val="15"/>
          <w:szCs w:val="15"/>
          <w:color w:val="auto"/>
        </w:rPr>
        <w:t>. The Company, subject to Section 3(b), will comply with the requirements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Rule 430A, and will promptly notify the Representatives, and confirm the notice in writing (which may be by email),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practicable.</w:t>
      </w:r>
    </w:p>
    <w:p>
      <w:pPr>
        <w:spacing w:after="0" w:line="337" w:lineRule="exact"/>
        <w:rPr>
          <w:rFonts w:ascii="Times New Roman" w:cs="Times New Roman" w:eastAsia="Times New Roman" w:hAnsi="Times New Roman"/>
          <w:sz w:val="15"/>
          <w:szCs w:val="15"/>
          <w:color w:val="auto"/>
        </w:rPr>
      </w:pPr>
    </w:p>
    <w:p>
      <w:pPr>
        <w:ind w:right="180" w:firstLine="376"/>
        <w:spacing w:after="0" w:line="290" w:lineRule="auto"/>
        <w:tabs>
          <w:tab w:leader="none" w:pos="594"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Continued Compliance with Securities Laws</w:t>
      </w:r>
      <w:r>
        <w:rPr>
          <w:rFonts w:ascii="Times New Roman" w:cs="Times New Roman" w:eastAsia="Times New Roman" w:hAnsi="Times New Roman"/>
          <w:sz w:val="15"/>
          <w:szCs w:val="15"/>
          <w:color w:val="auto"/>
        </w:rPr>
        <w:t>. The Company will comply with the 1933 Act and the 1933 Act Regulations so as to permit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completion of the distribution of the Securities as contemplated in this Agreement and in the Registration Statement, the General Disclosure Package and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9400"/>
          </w:cols>
          <w:pgMar w:left="1240" w:top="252" w:right="1259" w:bottom="1440" w:gutter="0" w:footer="0" w:header="0"/>
        </w:sectPr>
      </w:pPr>
    </w:p>
    <w:bookmarkStart w:id="275" w:name="page276"/>
    <w:bookmarkEnd w:id="275"/>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Prospectus. If at any time when a prospectus relating to the Securities is (or, but for the exception afforded by Rule 172 of the 1933 Act Regulations (“</w:t>
      </w:r>
      <w:r>
        <w:rPr>
          <w:rFonts w:ascii="Times New Roman" w:cs="Times New Roman" w:eastAsia="Times New Roman" w:hAnsi="Times New Roman"/>
          <w:sz w:val="15"/>
          <w:szCs w:val="15"/>
          <w:b w:val="1"/>
          <w:bCs w:val="1"/>
          <w:color w:val="auto"/>
        </w:rPr>
        <w:t>Rule 172</w:t>
      </w:r>
      <w:r>
        <w:rPr>
          <w:rFonts w:ascii="Times New Roman" w:cs="Times New Roman" w:eastAsia="Times New Roman" w:hAnsi="Times New Roman"/>
          <w:sz w:val="15"/>
          <w:szCs w:val="15"/>
          <w:color w:val="auto"/>
        </w:rPr>
        <w:t>”),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w:t>
      </w:r>
    </w:p>
    <w:p>
      <w:pPr>
        <w:spacing w:after="0" w:line="3" w:lineRule="exact"/>
        <w:rPr>
          <w:sz w:val="20"/>
          <w:szCs w:val="20"/>
          <w:color w:val="auto"/>
        </w:rPr>
      </w:pPr>
    </w:p>
    <w:p>
      <w:pPr>
        <w:spacing w:after="0" w:line="256" w:lineRule="auto"/>
        <w:tabs>
          <w:tab w:leader="none" w:pos="269"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w:t>
      </w:r>
    </w:p>
    <w:p>
      <w:pPr>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object. The Company will furnish to the Underwriters such number of copies of such amendment or supplement as the Underwriters may reasonably request. The Company has given the Representatives notice of any filings made pursuant to the 1934 Act or 1934 Act Regulations within 24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57" w:lineRule="exact"/>
        <w:rPr>
          <w:rFonts w:ascii="Times New Roman" w:cs="Times New Roman" w:eastAsia="Times New Roman" w:hAnsi="Times New Roman"/>
          <w:sz w:val="15"/>
          <w:szCs w:val="15"/>
          <w:color w:val="auto"/>
        </w:rPr>
      </w:pPr>
    </w:p>
    <w:p>
      <w:pPr>
        <w:ind w:right="80" w:firstLine="376"/>
        <w:spacing w:after="0" w:line="265" w:lineRule="auto"/>
        <w:tabs>
          <w:tab w:leader="none" w:pos="585"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Delivery of Registration Statements</w:t>
      </w:r>
      <w:r>
        <w:rPr>
          <w:rFonts w:ascii="Times New Roman" w:cs="Times New Roman" w:eastAsia="Times New Roman" w:hAnsi="Times New Roman"/>
          <w:sz w:val="15"/>
          <w:szCs w:val="15"/>
          <w:color w:val="auto"/>
        </w:rPr>
        <w:t>. The Company has furnished or will deliver to the Representatives and counsel for the Underwriters, 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requested, without charge, signed copies of the Registration Statement as originally filed and each amendment thereto (including exhibits filed therewith) and signed copies of all consents and certificates of experts, and will also deliver to the Representatives, if requested,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48" w:lineRule="exact"/>
        <w:rPr>
          <w:rFonts w:ascii="Times New Roman" w:cs="Times New Roman" w:eastAsia="Times New Roman" w:hAnsi="Times New Roman"/>
          <w:sz w:val="15"/>
          <w:szCs w:val="15"/>
          <w:color w:val="auto"/>
        </w:rPr>
      </w:pPr>
    </w:p>
    <w:p>
      <w:pPr>
        <w:ind w:firstLine="376"/>
        <w:spacing w:after="0" w:line="265" w:lineRule="auto"/>
        <w:tabs>
          <w:tab w:leader="none" w:pos="594"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Delivery of Prospectuses</w:t>
      </w:r>
      <w:r>
        <w:rPr>
          <w:rFonts w:ascii="Times New Roman" w:cs="Times New Roman" w:eastAsia="Times New Roman" w:hAnsi="Times New Roman"/>
          <w:sz w:val="15"/>
          <w:szCs w:val="15"/>
          <w:color w:val="auto"/>
        </w:rPr>
        <w:t>. The Company has delivered to each Underwriter, without charge, as many copies of each preliminary prospectus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48" w:lineRule="exact"/>
        <w:rPr>
          <w:rFonts w:ascii="Times New Roman" w:cs="Times New Roman" w:eastAsia="Times New Roman" w:hAnsi="Times New Roman"/>
          <w:sz w:val="15"/>
          <w:szCs w:val="15"/>
          <w:color w:val="auto"/>
        </w:rPr>
      </w:pPr>
    </w:p>
    <w:p>
      <w:pPr>
        <w:jc w:val="both"/>
        <w:ind w:right="180" w:firstLine="376"/>
        <w:spacing w:after="0" w:line="277" w:lineRule="auto"/>
        <w:tabs>
          <w:tab w:leader="none" w:pos="585" w:val="left"/>
        </w:tabs>
        <w:numPr>
          <w:ilvl w:val="1"/>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Blue Sky Qualifications</w:t>
      </w:r>
      <w:r>
        <w:rPr>
          <w:rFonts w:ascii="Times New Roman" w:cs="Times New Roman" w:eastAsia="Times New Roman" w:hAnsi="Times New Roman"/>
          <w:sz w:val="15"/>
          <w:szCs w:val="15"/>
          <w:color w:val="auto"/>
        </w:rPr>
        <w:t>. The Company will use its reasonable best efforts, in cooperation with the Underwriters, to qualify the Securities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offering and sale under the applicable securities laws of such states and other jurisdictions (domestic or foreign) as the Representatives may designate and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9400"/>
          </w:cols>
          <w:pgMar w:left="1240" w:top="252" w:right="1259" w:bottom="1440" w:gutter="0" w:footer="0" w:header="0"/>
        </w:sectPr>
      </w:pPr>
    </w:p>
    <w:bookmarkStart w:id="276" w:name="page277"/>
    <w:bookmarkEnd w:id="276"/>
    <w:p>
      <w:pPr>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41" w:lineRule="exact"/>
        <w:rPr>
          <w:sz w:val="20"/>
          <w:szCs w:val="20"/>
          <w:color w:val="auto"/>
        </w:rPr>
      </w:pPr>
    </w:p>
    <w:p>
      <w:pPr>
        <w:ind w:firstLine="376"/>
        <w:spacing w:after="0" w:line="277" w:lineRule="auto"/>
        <w:tabs>
          <w:tab w:leader="none" w:pos="568"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Rule 158</w:t>
      </w:r>
      <w:r>
        <w:rPr>
          <w:rFonts w:ascii="Times New Roman" w:cs="Times New Roman" w:eastAsia="Times New Roman" w:hAnsi="Times New Roman"/>
          <w:sz w:val="15"/>
          <w:szCs w:val="15"/>
          <w:color w:val="auto"/>
        </w:rPr>
        <w:t>. The Company will timely file such reports pursuant to the 1934 Act as are necessary in order to make generally available to 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securityholders as soon as practicable an earnings statement for the purposes of, and to provide to the Underwriters the benefits contemplated by, the last paragraph of Section 11(a) of the 1933 Act.</w:t>
      </w:r>
    </w:p>
    <w:p>
      <w:pPr>
        <w:spacing w:after="0" w:line="140" w:lineRule="exact"/>
        <w:rPr>
          <w:rFonts w:ascii="Times New Roman" w:cs="Times New Roman" w:eastAsia="Times New Roman" w:hAnsi="Times New Roman"/>
          <w:sz w:val="15"/>
          <w:szCs w:val="15"/>
          <w:color w:val="auto"/>
        </w:rPr>
      </w:pPr>
    </w:p>
    <w:p>
      <w:pPr>
        <w:ind w:right="680" w:firstLine="376"/>
        <w:spacing w:after="0" w:line="298" w:lineRule="auto"/>
        <w:tabs>
          <w:tab w:leader="none" w:pos="594"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 The Company will use the net proceeds received by it from the sale of the Securities in the manner specified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Registration Statement, the General Disclosure Package and the Prospectus under “Use of Proceeds.”</w:t>
      </w:r>
    </w:p>
    <w:p>
      <w:pPr>
        <w:spacing w:after="0" w:line="125" w:lineRule="exact"/>
        <w:rPr>
          <w:rFonts w:ascii="Times New Roman" w:cs="Times New Roman" w:eastAsia="Times New Roman" w:hAnsi="Times New Roman"/>
          <w:sz w:val="15"/>
          <w:szCs w:val="15"/>
          <w:color w:val="auto"/>
        </w:rPr>
      </w:pPr>
    </w:p>
    <w:p>
      <w:pPr>
        <w:ind w:right="100" w:firstLine="376"/>
        <w:spacing w:after="0" w:line="298" w:lineRule="auto"/>
        <w:tabs>
          <w:tab w:leader="none" w:pos="594"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Listing</w:t>
      </w:r>
      <w:r>
        <w:rPr>
          <w:rFonts w:ascii="Times New Roman" w:cs="Times New Roman" w:eastAsia="Times New Roman" w:hAnsi="Times New Roman"/>
          <w:sz w:val="15"/>
          <w:szCs w:val="15"/>
          <w:color w:val="auto"/>
        </w:rPr>
        <w:t>. The Company will use its reasonable best efforts to effect and maintain the listing of the Common Stock (including the Securities)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Nasdaq Global Market.</w:t>
      </w:r>
    </w:p>
    <w:p>
      <w:pPr>
        <w:spacing w:after="0" w:line="125" w:lineRule="exact"/>
        <w:rPr>
          <w:rFonts w:ascii="Times New Roman" w:cs="Times New Roman" w:eastAsia="Times New Roman" w:hAnsi="Times New Roman"/>
          <w:sz w:val="15"/>
          <w:szCs w:val="15"/>
          <w:color w:val="auto"/>
        </w:rPr>
      </w:pPr>
    </w:p>
    <w:p>
      <w:pPr>
        <w:ind w:right="20" w:firstLine="376"/>
        <w:spacing w:after="0" w:line="258" w:lineRule="auto"/>
        <w:tabs>
          <w:tab w:leader="none" w:pos="56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Restriction on Sale of Securities</w:t>
      </w:r>
      <w:r>
        <w:rPr>
          <w:rFonts w:ascii="Times New Roman" w:cs="Times New Roman" w:eastAsia="Times New Roman" w:hAnsi="Times New Roman"/>
          <w:sz w:val="15"/>
          <w:szCs w:val="15"/>
          <w:color w:val="auto"/>
        </w:rPr>
        <w:t>. During a period of 180 days from the date of the Prospectus, the Company will not, without the prior written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consent of BofA and Jefferies,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or (iii) publicly disclose the intention to do any of the foregoing described in clauses (i) and (ii). The foregoing sentence shall not apply to (A) the Securities to be sold hereunder, (B) any shares of Common Stock issued by the Company upon the exercise of an option or warrant or the conversion of a security, in each case, outstanding on the date hereof and referred to in the Registration Statement, the General Disclosure Package and the Prospectus, (C) the reacquisition or withholding of all or a portion of shares of Common Stock subject to a stock award to satisfy a tax withholding obligation of the Company in connection with the vesting or exercise of such stock award or to satisfy the purchase price or exercise price of such stock award, (D) the grant of compensatory equity-based awards, and/or the issuance of shares of Common Stock with respect thereto, made pursuant to compensatory equity-based plans referred to in the Registration Statement, the General Disclosure Package and the Prospectus, (E) any shares of Common Stock issued pursuant to any non-employee director compensation plan or program or dividend reinvestment plan referred to in the Registration Statement, the General Disclosure Package and the Prospectus, (F) the filing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(G)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aggregate number of shares of Common Stock, restricted stock awards and shares of Common Stock issuable upon the conversion, exercise or exchange of securities (on an as converted or as exercised basis, as the case may be) issued pursuant to this clause (G) shall not exceed 5% of the total number of shares of Common Stock issued and outstanding immediately following the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9400"/>
          </w:cols>
          <w:pgMar w:left="1240" w:top="252" w:right="1259" w:bottom="1440" w:gutter="0" w:footer="0" w:header="0"/>
        </w:sectPr>
      </w:pPr>
    </w:p>
    <w:bookmarkStart w:id="277" w:name="page278"/>
    <w:bookmarkEnd w:id="277"/>
    <w:p>
      <w:pPr>
        <w:ind w:right="2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issuance and sale of the Securities at the Closing Time pursuant hereto; and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each recipient of shares of Common Stock, restricted stock awards or securities convertible into or exercisable or exchangeable for shares of Common Stock pursuant to this clause agrees to be bound by the terms of the lock-up or shall execute a lock-up agreement substantially in the form of Exhibit A hereto. Notwithstanding anything to the contrary herein, the Company shall cause an option holder who is not a holder of any shares of Common Stock to execute a lock-up agreement in the form of Exhibit A hereto at the time such holder exercises his or her option during a period of 180 days from the date of the Prospectus.</w:t>
      </w:r>
    </w:p>
    <w:p>
      <w:pPr>
        <w:spacing w:after="0" w:line="151" w:lineRule="exact"/>
        <w:rPr>
          <w:sz w:val="20"/>
          <w:szCs w:val="20"/>
          <w:color w:val="auto"/>
        </w:rPr>
      </w:pPr>
    </w:p>
    <w:p>
      <w:pPr>
        <w:ind w:firstLine="376"/>
        <w:spacing w:after="0" w:line="268" w:lineRule="auto"/>
        <w:tabs>
          <w:tab w:leader="none" w:pos="56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BofA and Jefferies, in their sole discretion, agree to release or waive the restrictions set forth in a lock-up agreement described in Section 5(i)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47" w:lineRule="exact"/>
        <w:rPr>
          <w:rFonts w:ascii="Times New Roman" w:cs="Times New Roman" w:eastAsia="Times New Roman" w:hAnsi="Times New Roman"/>
          <w:sz w:val="15"/>
          <w:szCs w:val="15"/>
          <w:color w:val="auto"/>
        </w:rPr>
      </w:pPr>
    </w:p>
    <w:p>
      <w:pPr>
        <w:jc w:val="both"/>
        <w:ind w:right="60" w:firstLine="376"/>
        <w:spacing w:after="0" w:line="270" w:lineRule="auto"/>
        <w:tabs>
          <w:tab w:leader="none" w:pos="594"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Reporting Requirements</w:t>
      </w:r>
      <w:r>
        <w:rPr>
          <w:rFonts w:ascii="Times New Roman" w:cs="Times New Roman" w:eastAsia="Times New Roman" w:hAnsi="Times New Roman"/>
          <w:sz w:val="15"/>
          <w:szCs w:val="15"/>
          <w:color w:val="auto"/>
        </w:rPr>
        <w:t>. The Company, during the period when a Prospectus relating to the Securities is (or, but for the exception afforded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46" w:lineRule="exact"/>
        <w:rPr>
          <w:rFonts w:ascii="Times New Roman" w:cs="Times New Roman" w:eastAsia="Times New Roman" w:hAnsi="Times New Roman"/>
          <w:sz w:val="15"/>
          <w:szCs w:val="15"/>
          <w:color w:val="auto"/>
        </w:rPr>
      </w:pPr>
    </w:p>
    <w:p>
      <w:pPr>
        <w:ind w:firstLine="376"/>
        <w:spacing w:after="0" w:line="259" w:lineRule="auto"/>
        <w:tabs>
          <w:tab w:leader="none" w:pos="560"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Issuer Free Writing Prospectuses</w:t>
      </w:r>
      <w:r>
        <w:rPr>
          <w:rFonts w:ascii="Times New Roman" w:cs="Times New Roman" w:eastAsia="Times New Roman" w:hAnsi="Times New Roman"/>
          <w:sz w:val="15"/>
          <w:szCs w:val="15"/>
          <w:color w:val="auto"/>
        </w:rPr>
        <w:t>. The Company agrees that, unless it obtains the prior written consent of the Representatives, it will not make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which has not been superseded or modified,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provided, however, that the Company shall not be required to notify the Representatives of any statements or omissions in the Issuer Free Writing Prospectus prepared or authorized by the Company made in reliance upon and in conformity with the Underwriter Information .</w:t>
      </w:r>
    </w:p>
    <w:p>
      <w:pPr>
        <w:spacing w:after="0" w:line="159" w:lineRule="exact"/>
        <w:rPr>
          <w:rFonts w:ascii="Times New Roman" w:cs="Times New Roman" w:eastAsia="Times New Roman" w:hAnsi="Times New Roman"/>
          <w:sz w:val="15"/>
          <w:szCs w:val="15"/>
          <w:color w:val="auto"/>
        </w:rPr>
      </w:pPr>
    </w:p>
    <w:p>
      <w:pPr>
        <w:ind w:right="200" w:firstLine="376"/>
        <w:spacing w:after="0" w:line="270" w:lineRule="auto"/>
        <w:tabs>
          <w:tab w:leader="none" w:pos="636"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Certification Regarding Beneficial Owners</w:t>
      </w:r>
      <w:r>
        <w:rPr>
          <w:rFonts w:ascii="Times New Roman" w:cs="Times New Roman" w:eastAsia="Times New Roman" w:hAnsi="Times New Roman"/>
          <w:sz w:val="15"/>
          <w:szCs w:val="15"/>
          <w:color w:val="auto"/>
        </w:rPr>
        <w:t>. The Company will deliver to the Representatives, on the date of execution of this Agreement,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9400"/>
          </w:cols>
          <w:pgMar w:left="1240" w:top="248" w:right="1259" w:bottom="1440" w:gutter="0" w:footer="0" w:header="0"/>
        </w:sectPr>
      </w:pPr>
    </w:p>
    <w:bookmarkStart w:id="278" w:name="page279"/>
    <w:bookmarkEnd w:id="278"/>
    <w:p>
      <w:pPr>
        <w:ind w:right="120" w:firstLine="376"/>
        <w:spacing w:after="0" w:line="265" w:lineRule="auto"/>
        <w:tabs>
          <w:tab w:leader="none" w:pos="594"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Compliance with FINRA Rules</w:t>
      </w:r>
      <w:r>
        <w:rPr>
          <w:rFonts w:ascii="Times New Roman" w:cs="Times New Roman" w:eastAsia="Times New Roman" w:hAnsi="Times New Roman"/>
          <w:sz w:val="15"/>
          <w:szCs w:val="15"/>
          <w:color w:val="auto"/>
        </w:rPr>
        <w:t>. The Company hereby agrees that it will ensure that the Reserved Securities will be restricted as required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FINRA or the FINRA rules from sale, transfer, assignment, pledge or hypothecation for a period of three months following the date of this Agreement. Merrill Lynch will notify the Company as to which persons will need to be so restricted. At the request of the Underwriters or Merrill Lynch, the Company will direct the transfer agent to place a stop transfer restriction upon such securities for such period of time. Should the Company release, or seek to release, from such restrictions any of the Reserved Securities, the Company agrees to reimburse the Underwriters and Merrill Lynch for any reasonable expenses (including, without limitation, legal expenses) they incur in connection with such release.</w:t>
      </w:r>
    </w:p>
    <w:p>
      <w:pPr>
        <w:spacing w:after="0" w:line="148" w:lineRule="exact"/>
        <w:rPr>
          <w:rFonts w:ascii="Times New Roman" w:cs="Times New Roman" w:eastAsia="Times New Roman" w:hAnsi="Times New Roman"/>
          <w:sz w:val="15"/>
          <w:szCs w:val="15"/>
          <w:color w:val="auto"/>
        </w:rPr>
      </w:pPr>
    </w:p>
    <w:p>
      <w:pPr>
        <w:ind w:firstLine="376"/>
        <w:spacing w:after="0" w:line="263" w:lineRule="auto"/>
        <w:tabs>
          <w:tab w:leader="none" w:pos="594"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Testing-the-Waters Materials</w:t>
      </w:r>
      <w:r>
        <w:rPr>
          <w:rFonts w:ascii="Times New Roman" w:cs="Times New Roman" w:eastAsia="Times New Roman" w:hAnsi="Times New Roman"/>
          <w:sz w:val="15"/>
          <w:szCs w:val="15"/>
          <w:color w:val="auto"/>
        </w:rPr>
        <w:t>. If at any time following the distribution of any Written Testing-the-Waters Communication there occurred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so determined by the Company and the Representatives in their reasonable judgment, will promptly amend or supplement, at its own expense, such Written Testing-the-Waters Communication to eliminate or correct such untrue statement or omission; provided, however, that this covenant shall not apply to any statements or omissions in a Written Testing-the-Waters Communication prepared or authorized by the Company made in reliance upon and in conformity with the Underwriter Information.</w:t>
      </w:r>
    </w:p>
    <w:p>
      <w:pPr>
        <w:spacing w:after="0" w:line="336" w:lineRule="exact"/>
        <w:rPr>
          <w:rFonts w:ascii="Times New Roman" w:cs="Times New Roman" w:eastAsia="Times New Roman" w:hAnsi="Times New Roman"/>
          <w:sz w:val="15"/>
          <w:szCs w:val="15"/>
          <w:color w:val="auto"/>
        </w:rPr>
      </w:pPr>
    </w:p>
    <w:p>
      <w:pPr>
        <w:ind w:right="80" w:firstLine="376"/>
        <w:spacing w:after="0" w:line="277" w:lineRule="auto"/>
        <w:tabs>
          <w:tab w:leader="none" w:pos="594"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Emerging Growth Company Status</w:t>
      </w:r>
      <w:r>
        <w:rPr>
          <w:rFonts w:ascii="Times New Roman" w:cs="Times New Roman" w:eastAsia="Times New Roman" w:hAnsi="Times New Roman"/>
          <w:sz w:val="15"/>
          <w:szCs w:val="15"/>
          <w:color w:val="auto"/>
        </w:rPr>
        <w:t>. The Company will promptly notify the Representatives if the Company ceases to be an Emerging Growth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at any time prior to the later of (i) completion of the distribution of the Securities within the meaning of the 1933 Act and (ii) completion of the 180-day restricted period referred to in Section 3(i).</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4. </w:t>
      </w:r>
      <w:r>
        <w:rPr>
          <w:rFonts w:ascii="Times New Roman" w:cs="Times New Roman" w:eastAsia="Times New Roman" w:hAnsi="Times New Roman"/>
          <w:sz w:val="15"/>
          <w:szCs w:val="15"/>
          <w:u w:val="single" w:color="auto"/>
          <w:color w:val="auto"/>
        </w:rPr>
        <w:t>Payment of Expenses</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firstLine="376"/>
        <w:spacing w:after="0" w:line="259" w:lineRule="auto"/>
        <w:tabs>
          <w:tab w:leader="none" w:pos="585"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The Company will pay or cause to be paid all expenses incident to the performance of its obligations under this Agreement,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reasonable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subject to the limitation set forth in clause (viii) below,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(x)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9400"/>
          </w:cols>
          <w:pgMar w:left="1240" w:top="248" w:right="12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road show, if any (it being understood that the Underwriters will pay or cause to be paid the travel and lodging expenses of their representatives) and</w:t>
      </w:r>
    </w:p>
    <w:p>
      <w:pPr>
        <w:spacing w:after="0" w:line="26" w:lineRule="exact"/>
        <w:rPr>
          <w:sz w:val="20"/>
          <w:szCs w:val="20"/>
          <w:color w:val="auto"/>
        </w:rPr>
      </w:pPr>
    </w:p>
    <w:p>
      <w:pPr>
        <w:ind w:right="40"/>
        <w:spacing w:after="0" w:line="258" w:lineRule="auto"/>
        <w:tabs>
          <w:tab w:leader="none" w:pos="218"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Netroadshow expenses in connection with the NDR, (viii) the filing fees incident to, and the reasonable fees and disbursements of counsel to the Underwriters in connection with, the review by FINRA of the terms of the sale of the Securities; provided that the amount payable by the Company pursuant to this clause (viii) and clause (v) above shall not exceed $40,000 in the aggregate,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(xi) all reasonable costs and expenses of the Underwriters and Merrill Lynch, including the reasonable fees and disbursements of counsel for the Underwriters and counsel for Merrill Lynch, in connection with matters related to the Reserved Securities which are designated by the Company for sale to Invitees; provided that the amount payable by the Company pursuant to this clause (xi) shall not exceed $[●] in the aggregate.</w:t>
      </w:r>
    </w:p>
    <w:p>
      <w:pPr>
        <w:spacing w:after="0" w:line="157" w:lineRule="exact"/>
        <w:rPr>
          <w:rFonts w:ascii="Times New Roman" w:cs="Times New Roman" w:eastAsia="Times New Roman" w:hAnsi="Times New Roman"/>
          <w:sz w:val="15"/>
          <w:szCs w:val="15"/>
          <w:color w:val="auto"/>
        </w:rPr>
      </w:pPr>
    </w:p>
    <w:p>
      <w:pPr>
        <w:ind w:left="600" w:hanging="224"/>
        <w:spacing w:after="0"/>
        <w:tabs>
          <w:tab w:leader="none" w:pos="60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Agreement</w:t>
      </w:r>
      <w:r>
        <w:rPr>
          <w:rFonts w:ascii="Times New Roman" w:cs="Times New Roman" w:eastAsia="Times New Roman" w:hAnsi="Times New Roman"/>
          <w:sz w:val="15"/>
          <w:szCs w:val="15"/>
          <w:color w:val="auto"/>
        </w:rPr>
        <w:t>. If this Agreement is terminated by the Representatives in accordance with the provisions of Section 5, Section 9(a)</w:t>
      </w:r>
    </w:p>
    <w:p>
      <w:pPr>
        <w:spacing w:after="0" w:line="30" w:lineRule="exact"/>
        <w:rPr>
          <w:rFonts w:ascii="Times New Roman" w:cs="Times New Roman" w:eastAsia="Times New Roman" w:hAnsi="Times New Roman"/>
          <w:sz w:val="15"/>
          <w:szCs w:val="15"/>
          <w:color w:val="auto"/>
        </w:rPr>
      </w:pPr>
    </w:p>
    <w:p>
      <w:pPr>
        <w:ind w:right="160"/>
        <w:spacing w:after="0" w:line="264" w:lineRule="auto"/>
        <w:tabs>
          <w:tab w:leader="none" w:pos="184"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(iii) or Section 10 hereof, the Company shall reimburse the Underwriters for their reasonable and documented out-of-pocket expenses, including the reasonable and documented fees and disbursements of counsel for the Underwriters; provided that, if this Agreement is terminated by the Representatives pursuant to Section 10 hereof, the Company will have no obligation to reimburse any defaulting Underwriter.</w:t>
      </w:r>
    </w:p>
    <w:p>
      <w:pPr>
        <w:spacing w:after="0" w:line="154" w:lineRule="exact"/>
        <w:rPr>
          <w:sz w:val="20"/>
          <w:szCs w:val="20"/>
          <w:color w:val="auto"/>
        </w:rPr>
      </w:pPr>
    </w:p>
    <w:p>
      <w:pPr>
        <w:ind w:right="220" w:firstLine="376"/>
        <w:spacing w:after="0" w:line="268" w:lineRule="auto"/>
        <w:rPr>
          <w:sz w:val="20"/>
          <w:szCs w:val="20"/>
          <w:color w:val="auto"/>
        </w:rPr>
      </w:pPr>
      <w:r>
        <w:rPr>
          <w:rFonts w:ascii="Times New Roman" w:cs="Times New Roman" w:eastAsia="Times New Roman" w:hAnsi="Times New Roman"/>
          <w:sz w:val="15"/>
          <w:szCs w:val="15"/>
          <w:color w:val="auto"/>
        </w:rPr>
        <w:t xml:space="preserve">SECTION 5. </w:t>
      </w:r>
      <w:r>
        <w:rPr>
          <w:rFonts w:ascii="Times New Roman" w:cs="Times New Roman" w:eastAsia="Times New Roman" w:hAnsi="Times New Roman"/>
          <w:sz w:val="15"/>
          <w:szCs w:val="15"/>
          <w:u w:val="single" w:color="auto"/>
          <w:color w:val="auto"/>
        </w:rPr>
        <w:t>Conditions of Underwriters’ Obligations</w:t>
      </w:r>
      <w:r>
        <w:rPr>
          <w:rFonts w:ascii="Times New Roman" w:cs="Times New Roman" w:eastAsia="Times New Roman" w:hAnsi="Times New Roman"/>
          <w:sz w:val="15"/>
          <w:szCs w:val="15"/>
          <w:color w:val="auto"/>
        </w:rPr>
        <w:t>. The obligations of the several Underwriters hereunder are subject to the accuracy of the representations and warranties of the Company contained herein or in certificates of any officer of the Company or any of its subsidiaries delivered pursuant to the provisions hereof, to the performance by the Company of its covenants and other obligations hereunder, and to the following further conditions:</w:t>
      </w:r>
    </w:p>
    <w:p>
      <w:pPr>
        <w:spacing w:after="0" w:line="148" w:lineRule="exact"/>
        <w:rPr>
          <w:sz w:val="20"/>
          <w:szCs w:val="20"/>
          <w:color w:val="auto"/>
        </w:rPr>
      </w:pPr>
    </w:p>
    <w:p>
      <w:pPr>
        <w:ind w:right="40" w:firstLine="376"/>
        <w:spacing w:after="0" w:line="262" w:lineRule="auto"/>
        <w:tabs>
          <w:tab w:leader="none" w:pos="585"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Effectiveness of Registration Statement; Rule 430A Information</w:t>
      </w:r>
      <w:r>
        <w:rPr>
          <w:rFonts w:ascii="Times New Roman" w:cs="Times New Roman" w:eastAsia="Times New Roman" w:hAnsi="Times New Roman"/>
          <w:sz w:val="15"/>
          <w:szCs w:val="15"/>
          <w:color w:val="auto"/>
        </w:rPr>
        <w:t>. The Registration Statement, including any Rule 462(b) Registration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53" w:lineRule="exact"/>
        <w:rPr>
          <w:rFonts w:ascii="Times New Roman" w:cs="Times New Roman" w:eastAsia="Times New Roman" w:hAnsi="Times New Roman"/>
          <w:sz w:val="15"/>
          <w:szCs w:val="15"/>
          <w:color w:val="auto"/>
        </w:rPr>
      </w:pPr>
    </w:p>
    <w:p>
      <w:pPr>
        <w:ind w:left="600" w:hanging="224"/>
        <w:spacing w:after="0"/>
        <w:tabs>
          <w:tab w:leader="none" w:pos="60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Opinions of Counsel for Company</w:t>
      </w:r>
      <w:r>
        <w:rPr>
          <w:rFonts w:ascii="Times New Roman" w:cs="Times New Roman" w:eastAsia="Times New Roman" w:hAnsi="Times New Roman"/>
          <w:sz w:val="15"/>
          <w:szCs w:val="15"/>
          <w:color w:val="auto"/>
        </w:rPr>
        <w:t>. At the Closing Time, the Representatives shall have received:</w:t>
      </w:r>
    </w:p>
    <w:p>
      <w:pPr>
        <w:spacing w:after="0" w:line="108" w:lineRule="exact"/>
        <w:rPr>
          <w:rFonts w:ascii="Times New Roman" w:cs="Times New Roman" w:eastAsia="Times New Roman" w:hAnsi="Times New Roman"/>
          <w:sz w:val="15"/>
          <w:szCs w:val="15"/>
          <w:color w:val="auto"/>
        </w:rPr>
      </w:pPr>
    </w:p>
    <w:p>
      <w:pPr>
        <w:jc w:val="both"/>
        <w:ind w:left="380" w:right="80" w:firstLine="358"/>
        <w:spacing w:after="0" w:line="275" w:lineRule="auto"/>
        <w:tabs>
          <w:tab w:leader="none" w:pos="925"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opinion and negative assurance letter, each dated the Closing Time, of Gunderson Dettmer Stough Villeneuve Franklin &amp; Hachigian, LLP, counsel for the Company, in form and substance reasonably satisfactory to counsel for the Underwriters, together with signed or reproduced copies of such letter for each of the other Underwriters;</w:t>
      </w:r>
    </w:p>
    <w:p>
      <w:pPr>
        <w:spacing w:after="0" w:line="52" w:lineRule="exact"/>
        <w:rPr>
          <w:rFonts w:ascii="Times New Roman" w:cs="Times New Roman" w:eastAsia="Times New Roman" w:hAnsi="Times New Roman"/>
          <w:sz w:val="15"/>
          <w:szCs w:val="15"/>
          <w:color w:val="auto"/>
        </w:rPr>
      </w:pPr>
    </w:p>
    <w:p>
      <w:pPr>
        <w:ind w:left="380" w:firstLine="358"/>
        <w:spacing w:after="0" w:line="275" w:lineRule="auto"/>
        <w:tabs>
          <w:tab w:leader="none" w:pos="967" w:val="left"/>
        </w:tabs>
        <w:numPr>
          <w:ilvl w:val="1"/>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opinions, dated the Closing Time, of (i) Hogan Lovells US LLP and (ii) Hogan Lovells International LLP, each, regulatory counsel for the Company, in form and substance reasonably satisfactory to counsel for the Underwriters, together with signed or reproduced copies of such letters for each of the other Underwriters; and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9400"/>
          </w:cols>
          <w:pgMar w:left="1240" w:top="252" w:right="1259" w:bottom="1440" w:gutter="0" w:footer="0" w:header="0"/>
        </w:sectPr>
      </w:pPr>
    </w:p>
    <w:bookmarkStart w:id="280" w:name="page281"/>
    <w:bookmarkEnd w:id="280"/>
    <w:p>
      <w:pPr>
        <w:ind w:left="360" w:right="40" w:firstLine="358"/>
        <w:spacing w:after="0" w:line="275" w:lineRule="auto"/>
        <w:tabs>
          <w:tab w:leader="none" w:pos="99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opinion, dated the Closing Time, of Knobbe Martens Olson &amp; Bear LLP, intellectual property counsel for the Company, in form and substance reasonably satisfactory to counsel for the Underwriters, together with signed or reproduced copies of such letter for each of the other Underwriters.</w:t>
      </w:r>
    </w:p>
    <w:p>
      <w:pPr>
        <w:spacing w:after="0" w:line="140" w:lineRule="exact"/>
        <w:rPr>
          <w:rFonts w:ascii="Times New Roman" w:cs="Times New Roman" w:eastAsia="Times New Roman" w:hAnsi="Times New Roman"/>
          <w:sz w:val="15"/>
          <w:szCs w:val="15"/>
          <w:color w:val="auto"/>
        </w:rPr>
      </w:pPr>
    </w:p>
    <w:p>
      <w:pPr>
        <w:jc w:val="both"/>
        <w:ind w:left="-20" w:right="100" w:firstLine="376"/>
        <w:spacing w:after="0" w:line="277" w:lineRule="auto"/>
        <w:tabs>
          <w:tab w:leader="none" w:pos="565"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Opinion of Counsel for Underwriters</w:t>
      </w:r>
      <w:r>
        <w:rPr>
          <w:rFonts w:ascii="Times New Roman" w:cs="Times New Roman" w:eastAsia="Times New Roman" w:hAnsi="Times New Roman"/>
          <w:sz w:val="15"/>
          <w:szCs w:val="15"/>
          <w:color w:val="auto"/>
        </w:rPr>
        <w:t>. At the Closing Time, the Representatives shall have received the opinion and negative assurance letter,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dated the Closing Time, of Shearman &amp; Sterling LLP, counsel for the Underwriters, together with signed or reproduced copies of such letter for each of the other Underwriters, in form and substance reasonably satisfactory to the Underwriters.</w:t>
      </w:r>
    </w:p>
    <w:p>
      <w:pPr>
        <w:spacing w:after="0" w:line="140" w:lineRule="exact"/>
        <w:rPr>
          <w:rFonts w:ascii="Times New Roman" w:cs="Times New Roman" w:eastAsia="Times New Roman" w:hAnsi="Times New Roman"/>
          <w:sz w:val="15"/>
          <w:szCs w:val="15"/>
          <w:color w:val="auto"/>
        </w:rPr>
      </w:pPr>
    </w:p>
    <w:p>
      <w:pPr>
        <w:ind w:left="-20" w:firstLine="376"/>
        <w:spacing w:after="0" w:line="261" w:lineRule="auto"/>
        <w:tabs>
          <w:tab w:leader="none" w:pos="574"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At the Closing Time, there shall not have been, since the date hereof or since the respective dates as of which information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and the Representatives shall have received a certificate of the Chief Executive Officer of the Company and of the chief financial or chief accounting officer of the Company,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 by the Commission.</w:t>
      </w:r>
    </w:p>
    <w:p>
      <w:pPr>
        <w:spacing w:after="0" w:line="153" w:lineRule="exact"/>
        <w:rPr>
          <w:rFonts w:ascii="Times New Roman" w:cs="Times New Roman" w:eastAsia="Times New Roman" w:hAnsi="Times New Roman"/>
          <w:sz w:val="15"/>
          <w:szCs w:val="15"/>
          <w:color w:val="auto"/>
        </w:rPr>
      </w:pPr>
    </w:p>
    <w:p>
      <w:pPr>
        <w:ind w:left="-20" w:right="40" w:firstLine="376"/>
        <w:spacing w:after="0" w:line="269" w:lineRule="auto"/>
        <w:tabs>
          <w:tab w:leader="none" w:pos="565"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Accountant’s Comfort Letter</w:t>
      </w:r>
      <w:r>
        <w:rPr>
          <w:rFonts w:ascii="Times New Roman" w:cs="Times New Roman" w:eastAsia="Times New Roman" w:hAnsi="Times New Roman"/>
          <w:sz w:val="15"/>
          <w:szCs w:val="15"/>
          <w:color w:val="auto"/>
        </w:rPr>
        <w:t>. At the time of the execution of this Agreement, the Representatives shall have received from Ernst &amp; Young,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LLP 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333" w:lineRule="exact"/>
        <w:rPr>
          <w:rFonts w:ascii="Times New Roman" w:cs="Times New Roman" w:eastAsia="Times New Roman" w:hAnsi="Times New Roman"/>
          <w:sz w:val="15"/>
          <w:szCs w:val="15"/>
          <w:color w:val="auto"/>
        </w:rPr>
      </w:pPr>
    </w:p>
    <w:p>
      <w:pPr>
        <w:ind w:left="-20" w:right="260" w:firstLine="376"/>
        <w:spacing w:after="0" w:line="277" w:lineRule="auto"/>
        <w:tabs>
          <w:tab w:leader="none" w:pos="548"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Bring-down Comfort Letter</w:t>
      </w:r>
      <w:r>
        <w:rPr>
          <w:rFonts w:ascii="Times New Roman" w:cs="Times New Roman" w:eastAsia="Times New Roman" w:hAnsi="Times New Roman"/>
          <w:sz w:val="15"/>
          <w:szCs w:val="15"/>
          <w:color w:val="auto"/>
        </w:rPr>
        <w:t>. At the Closing Time, the Representatives shall have received from Ernst &amp; Young, LLP a letter, dated as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Time, to the effect that they reaffirm the statements made in the letter furnished pursuant to subsection (e) of this Section, except that the specified date referred to shall be a date not more than three business days prior to the Closing Time.</w:t>
      </w:r>
    </w:p>
    <w:p>
      <w:pPr>
        <w:spacing w:after="0" w:line="140" w:lineRule="exact"/>
        <w:rPr>
          <w:rFonts w:ascii="Times New Roman" w:cs="Times New Roman" w:eastAsia="Times New Roman" w:hAnsi="Times New Roman"/>
          <w:sz w:val="15"/>
          <w:szCs w:val="15"/>
          <w:color w:val="auto"/>
        </w:rPr>
      </w:pPr>
    </w:p>
    <w:p>
      <w:pPr>
        <w:ind w:left="-20" w:right="300" w:firstLine="376"/>
        <w:spacing w:after="0" w:line="298" w:lineRule="auto"/>
        <w:tabs>
          <w:tab w:leader="none" w:pos="574"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Approval of Listing</w:t>
      </w:r>
      <w:r>
        <w:rPr>
          <w:rFonts w:ascii="Times New Roman" w:cs="Times New Roman" w:eastAsia="Times New Roman" w:hAnsi="Times New Roman"/>
          <w:sz w:val="15"/>
          <w:szCs w:val="15"/>
          <w:color w:val="auto"/>
        </w:rPr>
        <w:t>. At the Closing Time, the Securities shall have been approved for listing on the Nasdaq Global Market, subject only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official notice of issuance.</w:t>
      </w:r>
    </w:p>
    <w:p>
      <w:pPr>
        <w:spacing w:after="0" w:line="125" w:lineRule="exact"/>
        <w:rPr>
          <w:rFonts w:ascii="Times New Roman" w:cs="Times New Roman" w:eastAsia="Times New Roman" w:hAnsi="Times New Roman"/>
          <w:sz w:val="15"/>
          <w:szCs w:val="15"/>
          <w:color w:val="auto"/>
        </w:rPr>
      </w:pPr>
    </w:p>
    <w:p>
      <w:pPr>
        <w:ind w:left="-20" w:right="680" w:firstLine="376"/>
        <w:spacing w:after="0" w:line="298" w:lineRule="auto"/>
        <w:tabs>
          <w:tab w:leader="none" w:pos="574"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Objection</w:t>
      </w:r>
      <w:r>
        <w:rPr>
          <w:rFonts w:ascii="Times New Roman" w:cs="Times New Roman" w:eastAsia="Times New Roman" w:hAnsi="Times New Roman"/>
          <w:sz w:val="15"/>
          <w:szCs w:val="15"/>
          <w:color w:val="auto"/>
        </w:rPr>
        <w:t>. FINRA shall have confirmed that it has not raised any objection with respect to the fairness and reasonableness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underwriting terms and arrangements relating to the offering of the Securities.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9380"/>
          </w:cols>
          <w:pgMar w:left="1260" w:top="252" w:right="1259" w:bottom="1440" w:gutter="0" w:footer="0" w:header="0"/>
        </w:sectPr>
      </w:pPr>
    </w:p>
    <w:bookmarkStart w:id="281" w:name="page282"/>
    <w:bookmarkEnd w:id="281"/>
    <w:p>
      <w:pPr>
        <w:ind w:firstLine="376"/>
        <w:spacing w:after="0" w:line="298" w:lineRule="auto"/>
        <w:tabs>
          <w:tab w:leader="none" w:pos="56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Lock-up Agreements</w:t>
      </w:r>
      <w:r>
        <w:rPr>
          <w:rFonts w:ascii="Times New Roman" w:cs="Times New Roman" w:eastAsia="Times New Roman" w:hAnsi="Times New Roman"/>
          <w:sz w:val="15"/>
          <w:szCs w:val="15"/>
          <w:color w:val="auto"/>
        </w:rPr>
        <w:t>. At the date of this Agreement, the Representatives shall have received an agreement substantially in the form of Exhibit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hereto signed by the persons listed on Schedule C hereto.</w:t>
      </w:r>
    </w:p>
    <w:p>
      <w:pPr>
        <w:spacing w:after="0" w:line="125" w:lineRule="exact"/>
        <w:rPr>
          <w:rFonts w:ascii="Times New Roman" w:cs="Times New Roman" w:eastAsia="Times New Roman" w:hAnsi="Times New Roman"/>
          <w:sz w:val="15"/>
          <w:szCs w:val="15"/>
          <w:color w:val="auto"/>
        </w:rPr>
      </w:pPr>
    </w:p>
    <w:p>
      <w:pPr>
        <w:ind w:right="40" w:firstLine="376"/>
        <w:spacing w:after="0" w:line="277" w:lineRule="auto"/>
        <w:tabs>
          <w:tab w:leader="none" w:pos="56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Chief Financial Officer’s Certificate</w:t>
      </w:r>
      <w:r>
        <w:rPr>
          <w:rFonts w:ascii="Times New Roman" w:cs="Times New Roman" w:eastAsia="Times New Roman" w:hAnsi="Times New Roman"/>
          <w:sz w:val="15"/>
          <w:szCs w:val="15"/>
          <w:color w:val="auto"/>
        </w:rPr>
        <w:t>. On the date of this Agreement and at Closing Time, the Representatives shall have received from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a certificate of its chief financial officer with respect to certain financial data contained in the General Disclosure Package and the Prospectus, which certificate shall be substantially in the form attached hereto as Exhibit C.</w:t>
      </w:r>
    </w:p>
    <w:p>
      <w:pPr>
        <w:spacing w:after="0" w:line="140" w:lineRule="exact"/>
        <w:rPr>
          <w:rFonts w:ascii="Times New Roman" w:cs="Times New Roman" w:eastAsia="Times New Roman" w:hAnsi="Times New Roman"/>
          <w:sz w:val="15"/>
          <w:szCs w:val="15"/>
          <w:color w:val="auto"/>
        </w:rPr>
      </w:pPr>
    </w:p>
    <w:p>
      <w:pPr>
        <w:ind w:right="160" w:firstLine="376"/>
        <w:spacing w:after="0" w:line="298" w:lineRule="auto"/>
        <w:tabs>
          <w:tab w:leader="none" w:pos="594"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Maintenance of Rating</w:t>
      </w:r>
      <w:r>
        <w:rPr>
          <w:rFonts w:ascii="Times New Roman" w:cs="Times New Roman" w:eastAsia="Times New Roman" w:hAnsi="Times New Roman"/>
          <w:sz w:val="15"/>
          <w:szCs w:val="15"/>
          <w:color w:val="auto"/>
        </w:rPr>
        <w:t>. Neither the Company nor its subsidiaries have any debt securities or preferred stock that are rated by any “nationally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recognized statistical rating agency” (as defined in Section 3(a)(62) of the 1934 Act).</w:t>
      </w:r>
    </w:p>
    <w:p>
      <w:pPr>
        <w:spacing w:after="0" w:line="125" w:lineRule="exact"/>
        <w:rPr>
          <w:rFonts w:ascii="Times New Roman" w:cs="Times New Roman" w:eastAsia="Times New Roman" w:hAnsi="Times New Roman"/>
          <w:sz w:val="15"/>
          <w:szCs w:val="15"/>
          <w:color w:val="auto"/>
        </w:rPr>
      </w:pPr>
    </w:p>
    <w:p>
      <w:pPr>
        <w:ind w:firstLine="376"/>
        <w:spacing w:after="0" w:line="270" w:lineRule="auto"/>
        <w:tabs>
          <w:tab w:leader="none" w:pos="560"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Conditions to Purchase of Option Securities</w:t>
      </w:r>
      <w:r>
        <w:rPr>
          <w:rFonts w:ascii="Times New Roman" w:cs="Times New Roman" w:eastAsia="Times New Roman" w:hAnsi="Times New Roman"/>
          <w:sz w:val="15"/>
          <w:szCs w:val="15"/>
          <w:color w:val="auto"/>
        </w:rPr>
        <w:t>. In the event that the Underwriters exercise their option provided in Section 2(b) hereof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purchase all or any portion of the Option Securities, the representations and warranties of the Company contained herein and the statements in any certificates furnished by the Company and any of its subsidiaries hereunder shall be true and correct as of each Date of Delivery and, at the relevant Date of Delivery, the Representatives shall have received:</w:t>
      </w:r>
    </w:p>
    <w:p>
      <w:pPr>
        <w:spacing w:after="0" w:line="57" w:lineRule="exact"/>
        <w:rPr>
          <w:rFonts w:ascii="Times New Roman" w:cs="Times New Roman" w:eastAsia="Times New Roman" w:hAnsi="Times New Roman"/>
          <w:sz w:val="15"/>
          <w:szCs w:val="15"/>
          <w:color w:val="auto"/>
        </w:rPr>
      </w:pPr>
    </w:p>
    <w:p>
      <w:pPr>
        <w:ind w:left="380" w:firstLine="358"/>
        <w:spacing w:after="0" w:line="266" w:lineRule="auto"/>
        <w:tabs>
          <w:tab w:leader="none" w:pos="925"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A certificate, dated such Date of Delivery, of the Chief Executive Officer or a Vice President of the Company and of the chief financial or chief accounting officer of the Company confirming that the certificate delivered at the Closing Time pursuant to</w:t>
      </w:r>
    </w:p>
    <w:p>
      <w:pPr>
        <w:spacing w:after="0" w:line="1" w:lineRule="exact"/>
        <w:rPr>
          <w:rFonts w:ascii="Times New Roman" w:cs="Times New Roman" w:eastAsia="Times New Roman" w:hAnsi="Times New Roman"/>
          <w:sz w:val="15"/>
          <w:szCs w:val="15"/>
          <w:color w:val="auto"/>
        </w:rPr>
      </w:pPr>
    </w:p>
    <w:p>
      <w:pPr>
        <w:ind w:left="3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5(d) hereof remains true and correct as of such Date of Delivery.</w:t>
      </w:r>
    </w:p>
    <w:p>
      <w:pPr>
        <w:spacing w:after="0" w:line="89" w:lineRule="exact"/>
        <w:rPr>
          <w:rFonts w:ascii="Times New Roman" w:cs="Times New Roman" w:eastAsia="Times New Roman" w:hAnsi="Times New Roman"/>
          <w:sz w:val="15"/>
          <w:szCs w:val="15"/>
          <w:color w:val="auto"/>
        </w:rPr>
      </w:pPr>
    </w:p>
    <w:p>
      <w:pPr>
        <w:ind w:left="380" w:firstLine="358"/>
        <w:spacing w:after="0" w:line="265" w:lineRule="auto"/>
        <w:tabs>
          <w:tab w:leader="none" w:pos="967"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Opinions of Counsel for Company</w:t>
      </w:r>
      <w:r>
        <w:rPr>
          <w:rFonts w:ascii="Times New Roman" w:cs="Times New Roman" w:eastAsia="Times New Roman" w:hAnsi="Times New Roman"/>
          <w:sz w:val="15"/>
          <w:szCs w:val="15"/>
          <w:color w:val="auto"/>
        </w:rPr>
        <w:t>. If requested by the Representatives, (A) the opinion and negative assurance letter of Gunderson Dettmer Stough Villeneuve Franklin &amp; Hachigian, LLP, counsel for the Company, (B) the opinion of Hogan Lovells US LLP, regulatory counsel for the Company and (C) the opinion of Knobbe Martens Olson &amp; Bear LLP, intellectual property counsel for the Company, each in form and substance reasonably satisfactory to counsel for the Underwriters, dated such Date of Delivery, relating to the Option Securities to be purchased on such Date of Delivery and otherwise to the same effect as the opinion of such firm required by Section 5(b) hereof.</w:t>
      </w:r>
    </w:p>
    <w:p>
      <w:pPr>
        <w:spacing w:after="0" w:line="62" w:lineRule="exact"/>
        <w:rPr>
          <w:rFonts w:ascii="Times New Roman" w:cs="Times New Roman" w:eastAsia="Times New Roman" w:hAnsi="Times New Roman"/>
          <w:sz w:val="15"/>
          <w:szCs w:val="15"/>
          <w:color w:val="auto"/>
        </w:rPr>
      </w:pPr>
    </w:p>
    <w:p>
      <w:pPr>
        <w:ind w:left="380" w:right="160" w:firstLine="358"/>
        <w:spacing w:after="0" w:line="275" w:lineRule="auto"/>
        <w:tabs>
          <w:tab w:leader="none" w:pos="1010" w:val="left"/>
        </w:tabs>
        <w:numPr>
          <w:ilvl w:val="1"/>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Opinion of Counsel for Underwriters</w:t>
      </w:r>
      <w:r>
        <w:rPr>
          <w:rFonts w:ascii="Times New Roman" w:cs="Times New Roman" w:eastAsia="Times New Roman" w:hAnsi="Times New Roman"/>
          <w:sz w:val="15"/>
          <w:szCs w:val="15"/>
          <w:color w:val="auto"/>
        </w:rPr>
        <w:t>. If requested by the Representatives, the opinion of Shearman &amp; Sterling LLP, counsel for the Underwriters, dated such Date of Delivery, relating to the Option Securities to be purchased on such Date of Delivery and otherwise to the same effect as the opinion required by Section 5(c) hereof.</w:t>
      </w:r>
    </w:p>
    <w:p>
      <w:pPr>
        <w:spacing w:after="0" w:line="53" w:lineRule="exact"/>
        <w:rPr>
          <w:sz w:val="20"/>
          <w:szCs w:val="20"/>
          <w:color w:val="auto"/>
        </w:rPr>
      </w:pPr>
    </w:p>
    <w:p>
      <w:pPr>
        <w:ind w:left="380" w:right="40" w:firstLine="358"/>
        <w:spacing w:after="0" w:line="268" w:lineRule="auto"/>
        <w:tabs>
          <w:tab w:leader="none" w:pos="959"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Bring-down Comfort Letter</w:t>
      </w:r>
      <w:r>
        <w:rPr>
          <w:rFonts w:ascii="Times New Roman" w:cs="Times New Roman" w:eastAsia="Times New Roman" w:hAnsi="Times New Roman"/>
          <w:sz w:val="15"/>
          <w:szCs w:val="15"/>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5(e) hereof, except that the “specified date” in the letter furnished pursuant to this paragraph shall be a date not more than three business days prior to such Date of Delivery.</w:t>
      </w:r>
    </w:p>
    <w:p>
      <w:pPr>
        <w:spacing w:after="0" w:line="59" w:lineRule="exact"/>
        <w:rPr>
          <w:rFonts w:ascii="Times New Roman" w:cs="Times New Roman" w:eastAsia="Times New Roman" w:hAnsi="Times New Roman"/>
          <w:sz w:val="15"/>
          <w:szCs w:val="15"/>
          <w:color w:val="auto"/>
        </w:rPr>
      </w:pPr>
    </w:p>
    <w:p>
      <w:pPr>
        <w:ind w:left="380" w:firstLine="358"/>
        <w:spacing w:after="0" w:line="275" w:lineRule="auto"/>
        <w:tabs>
          <w:tab w:leader="none" w:pos="1001"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Chief Financial Officer’s Certificate</w:t>
      </w:r>
      <w:r>
        <w:rPr>
          <w:rFonts w:ascii="Times New Roman" w:cs="Times New Roman" w:eastAsia="Times New Roman" w:hAnsi="Times New Roman"/>
          <w:sz w:val="15"/>
          <w:szCs w:val="15"/>
          <w:color w:val="auto"/>
        </w:rPr>
        <w:t>. If requested by the Representatives, a certificate, dated such Date of Delivery, of the chief financial or chief accounting officer of the Company confirming that the certificate delivered at the Closing Time pursuant to Section 5(j) hereof remains true and correct as of such Date of Delivery.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9400"/>
          </w:cols>
          <w:pgMar w:left="1240" w:top="248" w:right="1259" w:bottom="1440" w:gutter="0" w:footer="0" w:header="0"/>
        </w:sectPr>
      </w:pPr>
    </w:p>
    <w:bookmarkStart w:id="282" w:name="page283"/>
    <w:bookmarkEnd w:id="282"/>
    <w:p>
      <w:pPr>
        <w:ind w:right="40" w:firstLine="376"/>
        <w:spacing w:after="0" w:line="267" w:lineRule="auto"/>
        <w:tabs>
          <w:tab w:leader="none" w:pos="636"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Additional Documents</w:t>
      </w:r>
      <w:r>
        <w:rPr>
          <w:rFonts w:ascii="Times New Roman" w:cs="Times New Roman" w:eastAsia="Times New Roman" w:hAnsi="Times New Roman"/>
          <w:sz w:val="15"/>
          <w:szCs w:val="15"/>
          <w:color w:val="auto"/>
        </w:rPr>
        <w:t>. At the Closing Time and at each Date of Delivery (if any) counsel for the Underwriters shall have been furnished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documents and certificates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47" w:lineRule="exact"/>
        <w:rPr>
          <w:rFonts w:ascii="Times New Roman" w:cs="Times New Roman" w:eastAsia="Times New Roman" w:hAnsi="Times New Roman"/>
          <w:sz w:val="15"/>
          <w:szCs w:val="15"/>
          <w:color w:val="auto"/>
        </w:rPr>
      </w:pPr>
    </w:p>
    <w:p>
      <w:pPr>
        <w:ind w:firstLine="376"/>
        <w:spacing w:after="0" w:line="266" w:lineRule="auto"/>
        <w:tabs>
          <w:tab w:leader="none" w:pos="594"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Agreement</w:t>
      </w:r>
      <w:r>
        <w:rPr>
          <w:rFonts w:ascii="Times New Roman" w:cs="Times New Roman" w:eastAsia="Times New Roman" w:hAnsi="Times New Roman"/>
          <w:sz w:val="15"/>
          <w:szCs w:val="15"/>
          <w:color w:val="auto"/>
        </w:rPr>
        <w:t>. If any condition specified in this Section shall not have been fulfilled when and as required to be fulfilled,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6. </w:t>
      </w: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jc w:val="both"/>
        <w:ind w:firstLine="376"/>
        <w:spacing w:after="0" w:line="277" w:lineRule="auto"/>
        <w:tabs>
          <w:tab w:leader="none" w:pos="585"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 of Underwriters</w:t>
      </w:r>
      <w:r>
        <w:rPr>
          <w:rFonts w:ascii="Times New Roman" w:cs="Times New Roman" w:eastAsia="Times New Roman" w:hAnsi="Times New Roman"/>
          <w:sz w:val="15"/>
          <w:szCs w:val="15"/>
          <w:color w:val="auto"/>
        </w:rPr>
        <w:t>. The Company agrees to indemnify and hold harmless each Underwriter, its affiliates (as such term is defined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Rule 501(b) under the 1933 Act (each, an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its selling agents and each person, if any, who controls any Underwriter within the meaning of Section 15 of the 1933 Act or Section 20 of the 1934 Act as follows:</w:t>
      </w:r>
    </w:p>
    <w:p>
      <w:pPr>
        <w:spacing w:after="0" w:line="52" w:lineRule="exact"/>
        <w:rPr>
          <w:rFonts w:ascii="Times New Roman" w:cs="Times New Roman" w:eastAsia="Times New Roman" w:hAnsi="Times New Roman"/>
          <w:sz w:val="15"/>
          <w:szCs w:val="15"/>
          <w:color w:val="auto"/>
        </w:rPr>
      </w:pPr>
    </w:p>
    <w:p>
      <w:pPr>
        <w:ind w:left="380" w:firstLine="358"/>
        <w:spacing w:after="0" w:line="260" w:lineRule="auto"/>
        <w:tabs>
          <w:tab w:leader="none" w:pos="925" w:val="left"/>
        </w:tabs>
        <w:numPr>
          <w:ilvl w:val="1"/>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w:t>
      </w:r>
      <w:r>
        <w:rPr>
          <w:rFonts w:ascii="Times New Roman" w:cs="Times New Roman" w:eastAsia="Times New Roman" w:hAnsi="Times New Roman"/>
          <w:sz w:val="15"/>
          <w:szCs w:val="15"/>
          <w:b w:val="1"/>
          <w:bCs w:val="1"/>
          <w:color w:val="auto"/>
        </w:rPr>
        <w:t>Marketing Materials</w:t>
      </w:r>
      <w:r>
        <w:rPr>
          <w:rFonts w:ascii="Times New Roman" w:cs="Times New Roman" w:eastAsia="Times New Roman" w:hAnsi="Times New Roman"/>
          <w:sz w:val="15"/>
          <w:szCs w:val="15"/>
          <w:color w:val="auto"/>
        </w:rPr>
        <w:t>”), including any roadshow or investor presentations made to investors by the Company (whether in person or electronically) or (C) in the NDR, or the omission or alleged omission in any preliminary prospectus, Issuer Free Writing Prospectus, any Written Testing-the-Waters Communication, Prospectus, any Marketing Materials or the NDR of a material fact necessary in order to make the statements therein, in the light of the circumstances under which they were made, not misleading;</w:t>
      </w:r>
    </w:p>
    <w:p>
      <w:pPr>
        <w:spacing w:after="0" w:line="68" w:lineRule="exact"/>
        <w:rPr>
          <w:rFonts w:ascii="Times New Roman" w:cs="Times New Roman" w:eastAsia="Times New Roman" w:hAnsi="Times New Roman"/>
          <w:sz w:val="15"/>
          <w:szCs w:val="15"/>
          <w:color w:val="auto"/>
        </w:rPr>
      </w:pPr>
    </w:p>
    <w:p>
      <w:pPr>
        <w:ind w:left="380" w:right="200" w:firstLine="358"/>
        <w:spacing w:after="0" w:line="268" w:lineRule="auto"/>
        <w:tabs>
          <w:tab w:leader="none" w:pos="967" w:val="left"/>
        </w:tabs>
        <w:numPr>
          <w:ilvl w:val="1"/>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59" w:lineRule="exact"/>
        <w:rPr>
          <w:rFonts w:ascii="Times New Roman" w:cs="Times New Roman" w:eastAsia="Times New Roman" w:hAnsi="Times New Roman"/>
          <w:sz w:val="15"/>
          <w:szCs w:val="15"/>
          <w:color w:val="auto"/>
        </w:rPr>
      </w:pPr>
    </w:p>
    <w:p>
      <w:pPr>
        <w:ind w:left="380" w:right="520" w:firstLine="358"/>
        <w:spacing w:after="0" w:line="293" w:lineRule="auto"/>
        <w:tabs>
          <w:tab w:leader="none" w:pos="1010" w:val="left"/>
        </w:tabs>
        <w:numPr>
          <w:ilvl w:val="1"/>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any and all expense whatsoever, as incurred (including the reasonable fees and disbursements of counsel chosen by the Representatives), reasonably incurred in investigating, preparing or defending against any litigation, or any investigation or proceeding by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9400"/>
          </w:cols>
          <w:pgMar w:left="1240" w:top="248" w:right="1259" w:bottom="1440" w:gutter="0" w:footer="0" w:header="0"/>
        </w:sectPr>
      </w:pPr>
    </w:p>
    <w:bookmarkStart w:id="283" w:name="page284"/>
    <w:bookmarkEnd w:id="283"/>
    <w:p>
      <w:pPr>
        <w:ind w:left="380" w:right="10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48" w:lineRule="exact"/>
        <w:rPr>
          <w:sz w:val="20"/>
          <w:szCs w:val="20"/>
          <w:color w:val="auto"/>
        </w:rPr>
      </w:pPr>
    </w:p>
    <w:p>
      <w:pPr>
        <w:ind w:right="140" w:firstLine="376"/>
        <w:spacing w:after="0" w:line="263" w:lineRule="auto"/>
        <w:tabs>
          <w:tab w:leader="none" w:pos="59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 of Company, Directors and Officers</w:t>
      </w:r>
      <w:r>
        <w:rPr>
          <w:rFonts w:ascii="Times New Roman" w:cs="Times New Roman" w:eastAsia="Times New Roman" w:hAnsi="Times New Roman"/>
          <w:sz w:val="15"/>
          <w:szCs w:val="15"/>
          <w:color w:val="auto"/>
        </w:rPr>
        <w:t>. Each Underwriter, severally and not jointly, agrees to indemnify and hold harmless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any preliminary prospectus, Issuer Free Writing Prospectus, Written Testing-the-Waters Communication or the Prospectus (or any amendment or supplement thereto) in reliance upon and in conformity with the Underwriter Information.</w:t>
      </w:r>
    </w:p>
    <w:p>
      <w:pPr>
        <w:spacing w:after="0" w:line="152" w:lineRule="exact"/>
        <w:rPr>
          <w:rFonts w:ascii="Times New Roman" w:cs="Times New Roman" w:eastAsia="Times New Roman" w:hAnsi="Times New Roman"/>
          <w:sz w:val="15"/>
          <w:szCs w:val="15"/>
          <w:color w:val="auto"/>
        </w:rPr>
      </w:pPr>
    </w:p>
    <w:p>
      <w:pPr>
        <w:ind w:firstLine="376"/>
        <w:spacing w:after="0" w:line="259" w:lineRule="auto"/>
        <w:tabs>
          <w:tab w:leader="none" w:pos="585"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Actions against Parties; Notification</w:t>
      </w:r>
      <w:r>
        <w:rPr>
          <w:rFonts w:ascii="Times New Roman" w:cs="Times New Roman" w:eastAsia="Times New Roman" w:hAnsi="Times New Roman"/>
          <w:sz w:val="15"/>
          <w:szCs w:val="15"/>
          <w:color w:val="auto"/>
        </w:rPr>
        <w:t>. Each indemnified party shall give notice as promptly as reasonably practicable to each indemnifying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43" w:lineRule="exact"/>
        <w:rPr>
          <w:rFonts w:ascii="Times New Roman" w:cs="Times New Roman" w:eastAsia="Times New Roman" w:hAnsi="Times New Roman"/>
          <w:sz w:val="15"/>
          <w:szCs w:val="15"/>
          <w:color w:val="auto"/>
        </w:rPr>
      </w:pPr>
    </w:p>
    <w:p>
      <w:pPr>
        <w:ind w:right="140" w:firstLine="376"/>
        <w:spacing w:after="0" w:line="270" w:lineRule="auto"/>
        <w:tabs>
          <w:tab w:leader="none" w:pos="594"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Settlement without Consent if Failure to Reimburse</w:t>
      </w:r>
      <w:r>
        <w:rPr>
          <w:rFonts w:ascii="Times New Roman" w:cs="Times New Roman" w:eastAsia="Times New Roman" w:hAnsi="Times New Roman"/>
          <w:sz w:val="15"/>
          <w:szCs w:val="15"/>
          <w:color w:val="auto"/>
        </w:rPr>
        <w:t>. If at any time an indemnified party shall have requested an indemnifying party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reimburse the indemnified party for fees and expenses of counsel, such indemnifying party agrees that it shall be liable for any settlement of the nature contemplated by Section 6(a)(ii) or settlement of any claim in connection with any violation referred to in Section 6(e) effected without its written consent if (i) such settlement is entered into more than 60 days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9400"/>
          </w:cols>
          <w:pgMar w:left="1240" w:top="252" w:right="1259" w:bottom="1440" w:gutter="0" w:footer="0" w:header="0"/>
        </w:sectPr>
      </w:pPr>
    </w:p>
    <w:bookmarkStart w:id="284" w:name="page285"/>
    <w:bookmarkEnd w:id="284"/>
    <w:p>
      <w:pPr>
        <w:ind w:right="2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41" w:lineRule="exact"/>
        <w:rPr>
          <w:sz w:val="20"/>
          <w:szCs w:val="20"/>
          <w:color w:val="auto"/>
        </w:rPr>
      </w:pPr>
    </w:p>
    <w:p>
      <w:pPr>
        <w:ind w:firstLine="376"/>
        <w:spacing w:after="0" w:line="258" w:lineRule="auto"/>
        <w:tabs>
          <w:tab w:leader="none" w:pos="585" w:val="left"/>
        </w:tabs>
        <w:numPr>
          <w:ilvl w:val="1"/>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 for Reserved Securities</w:t>
      </w:r>
      <w:r>
        <w:rPr>
          <w:rFonts w:ascii="Times New Roman" w:cs="Times New Roman" w:eastAsia="Times New Roman" w:hAnsi="Times New Roman"/>
          <w:sz w:val="15"/>
          <w:szCs w:val="15"/>
          <w:color w:val="auto"/>
        </w:rPr>
        <w:t>. In connection with the offer and sale of the Reserved Securities, the Company agrees to indemnify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hold harmless the Underwriters, their Affiliates (including Merrill Lynch) and selling agents and each person, if any, who controls any Underwriter or Merrill Lynch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 (i) arising out of the violation of any applicable laws or regulations of foreign jurisdictions where Reserved Securities have been offered, (ii) arising out of any untrue statement or alleged untrue statement of a material fact contained in any other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provided, however, that no indemnification shall be available under this clause (ii) for any loss, liability, claim, damage or expense arising out of or based upon any untrue statement or omission or alleged untrue statement or omission in any material prepared by or with the consent of the Company for distribution to Invitees in connection with the offering of the Reserved Securities in reliance upon and in conformity with written information furnished by the Underwriters or their Affiliates expressly for use therein (iii) caused by the failure of any Invitee to pay for and accept delivery of Reserved Securities which have been orally confirmed for purchase by any Invitee by 11:59 P.M. (New York City time) on the date of the Agreement or</w:t>
      </w:r>
    </w:p>
    <w:p>
      <w:pPr>
        <w:spacing w:after="0" w:line="5" w:lineRule="exact"/>
        <w:rPr>
          <w:rFonts w:ascii="Times New Roman" w:cs="Times New Roman" w:eastAsia="Times New Roman" w:hAnsi="Times New Roman"/>
          <w:sz w:val="15"/>
          <w:szCs w:val="15"/>
          <w:color w:val="auto"/>
        </w:rPr>
      </w:pPr>
    </w:p>
    <w:p>
      <w:pPr>
        <w:jc w:val="both"/>
        <w:ind w:right="60"/>
        <w:spacing w:after="0" w:line="264" w:lineRule="auto"/>
        <w:tabs>
          <w:tab w:leader="none" w:pos="260" w:val="left"/>
        </w:tabs>
        <w:numPr>
          <w:ilvl w:val="0"/>
          <w:numId w:val="2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related to, or arising out of or in connection with, the offering of the Reserved Securities;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indemnification shall be available under this section for any loss, liability, claim, damage or expense which shall have been finally judicially determined by a court of competent jurisdiction to have been caused primarily by the gross negligence or willful misconduct of the Underwriters or their Affiliates.</w:t>
      </w:r>
    </w:p>
    <w:p>
      <w:pPr>
        <w:spacing w:after="0" w:line="154" w:lineRule="exact"/>
        <w:rPr>
          <w:sz w:val="20"/>
          <w:szCs w:val="20"/>
          <w:color w:val="auto"/>
        </w:rPr>
      </w:pPr>
    </w:p>
    <w:p>
      <w:pPr>
        <w:ind w:firstLine="376"/>
        <w:spacing w:after="0" w:line="261" w:lineRule="auto"/>
        <w:rPr>
          <w:sz w:val="20"/>
          <w:szCs w:val="20"/>
          <w:color w:val="auto"/>
        </w:rPr>
      </w:pPr>
      <w:r>
        <w:rPr>
          <w:rFonts w:ascii="Times New Roman" w:cs="Times New Roman" w:eastAsia="Times New Roman" w:hAnsi="Times New Roman"/>
          <w:sz w:val="15"/>
          <w:szCs w:val="15"/>
          <w:color w:val="auto"/>
        </w:rPr>
        <w:t xml:space="preserve">SECTION 7. </w:t>
      </w: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159" w:lineRule="exact"/>
        <w:rPr>
          <w:sz w:val="20"/>
          <w:szCs w:val="20"/>
          <w:color w:val="auto"/>
        </w:rPr>
      </w:pPr>
    </w:p>
    <w:p>
      <w:pPr>
        <w:ind w:right="160" w:firstLine="376"/>
        <w:spacing w:after="0" w:line="265" w:lineRule="auto"/>
        <w:rPr>
          <w:sz w:val="20"/>
          <w:szCs w:val="20"/>
          <w:color w:val="auto"/>
        </w:rPr>
      </w:pPr>
      <w:r>
        <w:rPr>
          <w:rFonts w:ascii="Times New Roman" w:cs="Times New Roman" w:eastAsia="Times New Roman" w:hAnsi="Times New Roman"/>
          <w:sz w:val="15"/>
          <w:szCs w:val="15"/>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340"/>
          </w:cols>
          <w:pgMar w:left="1240" w:top="252" w:right="1319" w:bottom="1440" w:gutter="0" w:footer="0" w:header="0"/>
        </w:sectPr>
      </w:pPr>
    </w:p>
    <w:bookmarkStart w:id="285" w:name="page286"/>
    <w:bookmarkEnd w:id="285"/>
    <w:p>
      <w:pPr>
        <w:ind w:right="280" w:firstLine="376"/>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pacing w:after="0" w:line="152" w:lineRule="exact"/>
        <w:rPr>
          <w:sz w:val="20"/>
          <w:szCs w:val="20"/>
          <w:color w:val="auto"/>
        </w:rPr>
      </w:pPr>
    </w:p>
    <w:p>
      <w:pPr>
        <w:ind w:right="40" w:firstLine="376"/>
        <w:spacing w:after="0" w:line="264" w:lineRule="auto"/>
        <w:rPr>
          <w:sz w:val="20"/>
          <w:szCs w:val="20"/>
          <w:color w:val="auto"/>
        </w:rPr>
      </w:pPr>
      <w:r>
        <w:rPr>
          <w:rFonts w:ascii="Times New Roman" w:cs="Times New Roman" w:eastAsia="Times New Roman" w:hAnsi="Times New Roman"/>
          <w:sz w:val="15"/>
          <w:szCs w:val="15"/>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53" w:lineRule="exact"/>
        <w:rPr>
          <w:sz w:val="20"/>
          <w:szCs w:val="20"/>
          <w:color w:val="auto"/>
        </w:rPr>
      </w:pPr>
    </w:p>
    <w:p>
      <w:pPr>
        <w:ind w:right="560" w:firstLine="376"/>
        <w:spacing w:after="0" w:line="293" w:lineRule="auto"/>
        <w:rPr>
          <w:sz w:val="20"/>
          <w:szCs w:val="20"/>
          <w:color w:val="auto"/>
        </w:rPr>
      </w:pPr>
      <w:r>
        <w:rPr>
          <w:rFonts w:ascii="Times New Roman" w:cs="Times New Roman" w:eastAsia="Times New Roman" w:hAnsi="Times New Roman"/>
          <w:sz w:val="15"/>
          <w:szCs w:val="15"/>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32" w:lineRule="exact"/>
        <w:rPr>
          <w:sz w:val="20"/>
          <w:szCs w:val="20"/>
          <w:color w:val="auto"/>
        </w:rPr>
      </w:pPr>
    </w:p>
    <w:p>
      <w:pPr>
        <w:ind w:right="140" w:firstLine="376"/>
        <w:spacing w:after="0" w:line="293" w:lineRule="auto"/>
        <w:rPr>
          <w:sz w:val="20"/>
          <w:szCs w:val="20"/>
          <w:color w:val="auto"/>
        </w:rPr>
      </w:pPr>
      <w:r>
        <w:rPr>
          <w:rFonts w:ascii="Times New Roman" w:cs="Times New Roman" w:eastAsia="Times New Roman" w:hAnsi="Times New Roman"/>
          <w:sz w:val="15"/>
          <w:szCs w:val="15"/>
          <w:color w:val="auto"/>
        </w:rPr>
        <w:t>No person guilty of fraudulent misrepresentation (within the meaning of Section 11(f) of the 1933 Act) shall be entitled to contribution from any person who was not guilty of such fraudulent misrepresentation.</w:t>
      </w:r>
    </w:p>
    <w:p>
      <w:pPr>
        <w:spacing w:after="0" w:line="132" w:lineRule="exact"/>
        <w:rPr>
          <w:sz w:val="20"/>
          <w:szCs w:val="20"/>
          <w:color w:val="auto"/>
        </w:rPr>
      </w:pPr>
    </w:p>
    <w:p>
      <w:pPr>
        <w:ind w:firstLine="376"/>
        <w:spacing w:after="0" w:line="264" w:lineRule="auto"/>
        <w:rPr>
          <w:sz w:val="20"/>
          <w:szCs w:val="20"/>
          <w:color w:val="auto"/>
        </w:rPr>
      </w:pPr>
      <w:r>
        <w:rPr>
          <w:rFonts w:ascii="Times New Roman" w:cs="Times New Roman" w:eastAsia="Times New Roman" w:hAnsi="Times New Roman"/>
          <w:sz w:val="15"/>
          <w:szCs w:val="15"/>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53" w:lineRule="exact"/>
        <w:rPr>
          <w:sz w:val="20"/>
          <w:szCs w:val="20"/>
          <w:color w:val="auto"/>
        </w:rPr>
      </w:pPr>
    </w:p>
    <w:p>
      <w:pPr>
        <w:ind w:right="20" w:firstLine="376"/>
        <w:spacing w:after="0" w:line="268" w:lineRule="auto"/>
        <w:rPr>
          <w:sz w:val="20"/>
          <w:szCs w:val="20"/>
          <w:color w:val="auto"/>
        </w:rPr>
      </w:pPr>
      <w:r>
        <w:rPr>
          <w:rFonts w:ascii="Times New Roman" w:cs="Times New Roman" w:eastAsia="Times New Roman" w:hAnsi="Times New Roman"/>
          <w:sz w:val="15"/>
          <w:szCs w:val="15"/>
          <w:color w:val="auto"/>
        </w:rPr>
        <w:t xml:space="preserve">SECTION 8. </w:t>
      </w:r>
      <w:r>
        <w:rPr>
          <w:rFonts w:ascii="Times New Roman" w:cs="Times New Roman" w:eastAsia="Times New Roman" w:hAnsi="Times New Roman"/>
          <w:sz w:val="15"/>
          <w:szCs w:val="15"/>
          <w:u w:val="single" w:color="auto"/>
          <w:color w:val="auto"/>
        </w:rPr>
        <w:t>Representations, Warranties and Agreements to Survive</w:t>
      </w:r>
      <w:r>
        <w:rPr>
          <w:rFonts w:ascii="Times New Roman" w:cs="Times New Roman" w:eastAsia="Times New Roman" w:hAnsi="Times New Roman"/>
          <w:sz w:val="15"/>
          <w:szCs w:val="15"/>
          <w:color w:val="auto"/>
        </w:rPr>
        <w:t>. All representations, warranties and agreements contained in this Agreement or in certificates of officers of the Company or any of its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9. </w:t>
      </w:r>
      <w:r>
        <w:rPr>
          <w:rFonts w:ascii="Times New Roman" w:cs="Times New Roman" w:eastAsia="Times New Roman" w:hAnsi="Times New Roman"/>
          <w:sz w:val="15"/>
          <w:szCs w:val="15"/>
          <w:u w:val="single" w:color="auto"/>
          <w:color w:val="auto"/>
        </w:rPr>
        <w:t>Termination of Agreement</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right="100" w:firstLine="376"/>
        <w:spacing w:after="0" w:line="265" w:lineRule="auto"/>
        <w:tabs>
          <w:tab w:leader="none" w:pos="585"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w:t>
      </w:r>
      <w:r>
        <w:rPr>
          <w:rFonts w:ascii="Times New Roman" w:cs="Times New Roman" w:eastAsia="Times New Roman" w:hAnsi="Times New Roman"/>
          <w:sz w:val="15"/>
          <w:szCs w:val="15"/>
          <w:color w:val="auto"/>
        </w:rPr>
        <w:t>. The Representatives may terminate this Agreement, by notice to the Company, at any time at or prior to the Closing Time (i) 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or the international financial markets, any outbreak of hostilities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9400"/>
          </w:cols>
          <w:pgMar w:left="1240" w:top="252" w:right="1259" w:bottom="1440" w:gutter="0" w:footer="0" w:header="0"/>
        </w:sectPr>
      </w:pPr>
    </w:p>
    <w:bookmarkStart w:id="286" w:name="page287"/>
    <w:bookmarkEnd w:id="286"/>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55" w:lineRule="exact"/>
        <w:rPr>
          <w:sz w:val="20"/>
          <w:szCs w:val="20"/>
          <w:color w:val="auto"/>
        </w:rPr>
      </w:pPr>
    </w:p>
    <w:p>
      <w:pPr>
        <w:jc w:val="both"/>
        <w:ind w:right="120" w:firstLine="376"/>
        <w:spacing w:after="0" w:line="277" w:lineRule="auto"/>
        <w:tabs>
          <w:tab w:leader="none" w:pos="594" w:val="left"/>
        </w:tabs>
        <w:numPr>
          <w:ilvl w:val="0"/>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Liabilities</w:t>
      </w:r>
      <w:r>
        <w:rPr>
          <w:rFonts w:ascii="Times New Roman" w:cs="Times New Roman" w:eastAsia="Times New Roman" w:hAnsi="Times New Roman"/>
          <w:sz w:val="15"/>
          <w:szCs w:val="15"/>
          <w:color w:val="auto"/>
        </w:rPr>
        <w:t>. If this Agreement is terminated pursuant to this Section, such termination shall be without liability of any party to any other party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except as provided in Section 4 hereof, and provided further that Sections 1, 6, 7, 8, 14, 15, 16 and 17 shall survive such termination and remain in full force and effect.</w:t>
      </w:r>
    </w:p>
    <w:p>
      <w:pPr>
        <w:spacing w:after="0" w:line="145" w:lineRule="exact"/>
        <w:rPr>
          <w:sz w:val="20"/>
          <w:szCs w:val="20"/>
          <w:color w:val="auto"/>
        </w:rPr>
      </w:pPr>
    </w:p>
    <w:p>
      <w:pPr>
        <w:ind w:firstLine="376"/>
        <w:spacing w:after="0" w:line="265" w:lineRule="auto"/>
        <w:rPr>
          <w:sz w:val="20"/>
          <w:szCs w:val="20"/>
          <w:color w:val="auto"/>
        </w:rPr>
      </w:pPr>
      <w:r>
        <w:rPr>
          <w:rFonts w:ascii="Times New Roman" w:cs="Times New Roman" w:eastAsia="Times New Roman" w:hAnsi="Times New Roman"/>
          <w:sz w:val="15"/>
          <w:szCs w:val="15"/>
          <w:color w:val="auto"/>
        </w:rPr>
        <w:t xml:space="preserve">SECTION 10. </w:t>
      </w:r>
      <w:r>
        <w:rPr>
          <w:rFonts w:ascii="Times New Roman" w:cs="Times New Roman" w:eastAsia="Times New Roman" w:hAnsi="Times New Roman"/>
          <w:sz w:val="15"/>
          <w:szCs w:val="15"/>
          <w:u w:val="single" w:color="auto"/>
          <w:color w:val="auto"/>
        </w:rPr>
        <w:t>Default by One or More of the Underwriters</w:t>
      </w:r>
      <w:r>
        <w:rPr>
          <w:rFonts w:ascii="Times New Roman" w:cs="Times New Roman" w:eastAsia="Times New Roman" w:hAnsi="Times New Roman"/>
          <w:sz w:val="15"/>
          <w:szCs w:val="15"/>
          <w:color w:val="auto"/>
        </w:rPr>
        <w:t>. If one or more of the Underwriters shall fail at the Closing Time or a Date of Delivery to purchase the Securities which it or they are obligated to purchase under this Agreement (the “</w:t>
      </w:r>
      <w:r>
        <w:rPr>
          <w:rFonts w:ascii="Times New Roman" w:cs="Times New Roman" w:eastAsia="Times New Roman" w:hAnsi="Times New Roman"/>
          <w:sz w:val="15"/>
          <w:szCs w:val="15"/>
          <w:b w:val="1"/>
          <w:bCs w:val="1"/>
          <w:color w:val="auto"/>
        </w:rPr>
        <w:t>Defaulted Securities</w:t>
      </w:r>
      <w:r>
        <w:rPr>
          <w:rFonts w:ascii="Times New Roman" w:cs="Times New Roman" w:eastAsia="Times New Roman" w:hAnsi="Times New Roman"/>
          <w:sz w:val="15"/>
          <w:szCs w:val="15"/>
          <w:color w:val="auto"/>
        </w:rPr>
        <w:t>”),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62" w:lineRule="exact"/>
        <w:rPr>
          <w:sz w:val="20"/>
          <w:szCs w:val="20"/>
          <w:color w:val="auto"/>
        </w:rPr>
      </w:pPr>
    </w:p>
    <w:p>
      <w:pPr>
        <w:ind w:left="380" w:right="560" w:firstLine="358"/>
        <w:spacing w:after="0" w:line="275" w:lineRule="auto"/>
        <w:tabs>
          <w:tab w:leader="none" w:pos="925"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52" w:lineRule="exact"/>
        <w:rPr>
          <w:rFonts w:ascii="Times New Roman" w:cs="Times New Roman" w:eastAsia="Times New Roman" w:hAnsi="Times New Roman"/>
          <w:sz w:val="15"/>
          <w:szCs w:val="15"/>
          <w:color w:val="auto"/>
        </w:rPr>
      </w:pPr>
    </w:p>
    <w:p>
      <w:pPr>
        <w:ind w:left="380" w:right="60" w:firstLine="358"/>
        <w:spacing w:after="0" w:line="272" w:lineRule="auto"/>
        <w:tabs>
          <w:tab w:leader="none" w:pos="967" w:val="left"/>
        </w:tabs>
        <w:numPr>
          <w:ilvl w:val="0"/>
          <w:numId w:val="2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3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No action taken pursuant to this Section shall relieve any defaulting Underwriter from liability in respect of its default.</w:t>
      </w:r>
    </w:p>
    <w:p>
      <w:pPr>
        <w:spacing w:after="0" w:line="196" w:lineRule="exact"/>
        <w:rPr>
          <w:sz w:val="20"/>
          <w:szCs w:val="20"/>
          <w:color w:val="auto"/>
        </w:rPr>
      </w:pPr>
    </w:p>
    <w:p>
      <w:pPr>
        <w:ind w:right="40" w:firstLine="376"/>
        <w:spacing w:after="0" w:line="264" w:lineRule="auto"/>
        <w:rPr>
          <w:sz w:val="20"/>
          <w:szCs w:val="20"/>
          <w:color w:val="auto"/>
        </w:rPr>
      </w:pPr>
      <w:r>
        <w:rPr>
          <w:rFonts w:ascii="Times New Roman" w:cs="Times New Roman" w:eastAsia="Times New Roman" w:hAnsi="Times New Roman"/>
          <w:sz w:val="15"/>
          <w:szCs w:val="15"/>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9380"/>
          </w:cols>
          <w:pgMar w:left="1240" w:top="252" w:right="1279" w:bottom="1440" w:gutter="0" w:footer="0" w:header="0"/>
        </w:sectPr>
      </w:pPr>
    </w:p>
    <w:bookmarkStart w:id="287" w:name="page288"/>
    <w:bookmarkEnd w:id="287"/>
    <w:p>
      <w:pPr>
        <w:ind w:right="20" w:firstLine="376"/>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SECTION 11.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and shall be deemed to have been duly given if mailed or transmitted by any standard form of telecommunication. Notices to the Underwriters shall be directed to BofA at One Bryant Park, New York, New York 10036, Attention: Syndicate Department (facsimile: (646) 855-3073), with a copy to ECM Legal (facsimile: (212) 230-8730); Jefferies at 520 Madison Avenue, New York, New York 10022, Attention: Global Head of Syndicate; Raymond James at 880 Carillon Parkway, St. Petersburg, Florida 33716, Attention: General Counsel; and with a copy to Shearman &amp; Sterling LLP at 599 Lexington Avenue, New York, New York 10022, Attention: Ilir Mujalovic. Notices to the Company shall be directed to it at 15440 Laguna Canyon Road, Irvine, California 92618, Attention: Bobak Azamian; with a copy to Gunderson Dettmer Stough Villeneuve Franklin &amp; Hachigian, LLP at 3570 Carmel Mountain Road, Suite 200, San Diego, California 92130, Attention: Ilan Lovinsky.</w:t>
      </w:r>
    </w:p>
    <w:p>
      <w:pPr>
        <w:spacing w:after="0" w:line="159"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No Advisory or Fiduciary Relationship</w:t>
      </w:r>
      <w:r>
        <w:rPr>
          <w:rFonts w:ascii="Times New Roman" w:cs="Times New Roman" w:eastAsia="Times New Roman" w:hAnsi="Times New Roman"/>
          <w:sz w:val="15"/>
          <w:szCs w:val="15"/>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and does not constitute a recommendation, investment advice, or solicitation of any action by the Underwriters, (b) in connection with the offering of the Securities and the process leading thereto, each Underwriter is and has been acting solely as a principal and is not the agent or fiduciary of the Company, any of its subsidiaries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any of its subsidiaries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investment or tax advice with respect to the offering of the Securities and the Company has consulted its own respective legal, accounting, financial, regulatory and tax advisors to the extent it deemed appropriate, and (f)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u w:val="single" w:color="auto"/>
          <w:color w:val="auto"/>
        </w:rPr>
        <w:t>Recognition of the U.S. Special Resolution Regimes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40" w:firstLine="376"/>
        <w:spacing w:after="0" w:line="268" w:lineRule="auto"/>
        <w:tabs>
          <w:tab w:leader="none" w:pos="585"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1" w:lineRule="exact"/>
        <w:rPr>
          <w:rFonts w:ascii="Times New Roman" w:cs="Times New Roman" w:eastAsia="Times New Roman" w:hAnsi="Times New Roman"/>
          <w:sz w:val="15"/>
          <w:szCs w:val="15"/>
          <w:color w:val="auto"/>
        </w:rPr>
      </w:pPr>
    </w:p>
    <w:p>
      <w:pPr>
        <w:ind w:right="40" w:firstLine="376"/>
        <w:spacing w:after="0" w:line="268" w:lineRule="auto"/>
        <w:tabs>
          <w:tab w:leader="none" w:pos="594"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48"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5"/>
          <w:szCs w:val="15"/>
          <w:color w:val="auto"/>
        </w:rPr>
        <w:t>For purposes of this Section 13, a “</w:t>
      </w:r>
      <w:r>
        <w:rPr>
          <w:rFonts w:ascii="Times New Roman" w:cs="Times New Roman" w:eastAsia="Times New Roman" w:hAnsi="Times New Roman"/>
          <w:sz w:val="15"/>
          <w:szCs w:val="15"/>
          <w:b w:val="1"/>
          <w:bCs w:val="1"/>
          <w:color w:val="auto"/>
        </w:rPr>
        <w:t>BHC Act Affiliate</w:t>
      </w:r>
      <w:r>
        <w:rPr>
          <w:rFonts w:ascii="Times New Roman" w:cs="Times New Roman" w:eastAsia="Times New Roman" w:hAnsi="Times New Roman"/>
          <w:sz w:val="15"/>
          <w:szCs w:val="15"/>
          <w:color w:val="auto"/>
        </w:rPr>
        <w:t>” has the meaning assigned to the term “affiliate” in, and shall be interpreted in accordance with, 12 U.S.C. § 1841(k). “</w:t>
      </w:r>
      <w:r>
        <w:rPr>
          <w:rFonts w:ascii="Times New Roman" w:cs="Times New Roman" w:eastAsia="Times New Roman" w:hAnsi="Times New Roman"/>
          <w:sz w:val="15"/>
          <w:szCs w:val="15"/>
          <w:b w:val="1"/>
          <w:bCs w:val="1"/>
          <w:color w:val="auto"/>
        </w:rPr>
        <w:t>Covered Entity</w:t>
      </w:r>
      <w:r>
        <w:rPr>
          <w:rFonts w:ascii="Times New Roman" w:cs="Times New Roman" w:eastAsia="Times New Roman" w:hAnsi="Times New Roman"/>
          <w:sz w:val="15"/>
          <w:szCs w:val="15"/>
          <w:color w:val="auto"/>
        </w:rPr>
        <w:t>” means any of the</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9380"/>
          </w:cols>
          <w:pgMar w:left="1240" w:top="252" w:right="1279" w:bottom="1440" w:gutter="0" w:footer="0" w:header="0"/>
        </w:sectPr>
      </w:pPr>
    </w:p>
    <w:bookmarkStart w:id="288" w:name="page289"/>
    <w:bookmarkEnd w:id="288"/>
    <w:p>
      <w:pPr>
        <w:ind w:right="10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5"/>
          <w:szCs w:val="15"/>
          <w:b w:val="1"/>
          <w:bCs w:val="1"/>
          <w:color w:val="auto"/>
        </w:rPr>
        <w:t>“Default Right</w:t>
      </w:r>
      <w:r>
        <w:rPr>
          <w:rFonts w:ascii="Times New Roman" w:cs="Times New Roman" w:eastAsia="Times New Roman" w:hAnsi="Times New Roman"/>
          <w:sz w:val="15"/>
          <w:szCs w:val="15"/>
          <w:color w:val="auto"/>
        </w:rPr>
        <w:t>” has the meaning assigned to that term in, and shall be interpreted in accordance with, 12 C.F.R. §§ 252.81, 47.2 or 382.1, as applicable. “</w:t>
      </w:r>
      <w:r>
        <w:rPr>
          <w:rFonts w:ascii="Times New Roman" w:cs="Times New Roman" w:eastAsia="Times New Roman" w:hAnsi="Times New Roman"/>
          <w:sz w:val="15"/>
          <w:szCs w:val="15"/>
          <w:b w:val="1"/>
          <w:bCs w:val="1"/>
          <w:color w:val="auto"/>
        </w:rPr>
        <w:t>U.S. Special Resolution Regime</w:t>
      </w:r>
      <w:r>
        <w:rPr>
          <w:rFonts w:ascii="Times New Roman" w:cs="Times New Roman" w:eastAsia="Times New Roman" w:hAnsi="Times New Roman"/>
          <w:sz w:val="15"/>
          <w:szCs w:val="15"/>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4" w:lineRule="exact"/>
        <w:rPr>
          <w:sz w:val="20"/>
          <w:szCs w:val="20"/>
          <w:color w:val="auto"/>
        </w:rPr>
      </w:pPr>
    </w:p>
    <w:p>
      <w:pPr>
        <w:ind w:right="80" w:firstLine="376"/>
        <w:spacing w:after="0" w:line="262"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342" w:lineRule="exact"/>
        <w:rPr>
          <w:sz w:val="20"/>
          <w:szCs w:val="20"/>
          <w:color w:val="auto"/>
        </w:rPr>
      </w:pPr>
    </w:p>
    <w:p>
      <w:pPr>
        <w:ind w:right="180" w:firstLine="376"/>
        <w:spacing w:after="0" w:line="275" w:lineRule="auto"/>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Trial by Jury</w:t>
      </w:r>
      <w:r>
        <w:rPr>
          <w:rFonts w:ascii="Times New Roman" w:cs="Times New Roman" w:eastAsia="Times New Roman" w:hAnsi="Times New Roman"/>
          <w:sz w:val="15"/>
          <w:szCs w:val="15"/>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45" w:lineRule="exact"/>
        <w:rPr>
          <w:sz w:val="20"/>
          <w:szCs w:val="20"/>
          <w:color w:val="auto"/>
        </w:rPr>
      </w:pPr>
    </w:p>
    <w:p>
      <w:pPr>
        <w:ind w:firstLine="376"/>
        <w:spacing w:after="0" w:line="275"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45" w:lineRule="exact"/>
        <w:rPr>
          <w:sz w:val="20"/>
          <w:szCs w:val="20"/>
          <w:color w:val="auto"/>
        </w:rPr>
      </w:pPr>
    </w:p>
    <w:p>
      <w:pPr>
        <w:ind w:right="20" w:firstLine="376"/>
        <w:spacing w:after="0" w:line="261" w:lineRule="auto"/>
        <w:rPr>
          <w:sz w:val="20"/>
          <w:szCs w:val="20"/>
          <w:color w:val="auto"/>
        </w:rPr>
      </w:pPr>
      <w:r>
        <w:rPr>
          <w:rFonts w:ascii="Times New Roman" w:cs="Times New Roman" w:eastAsia="Times New Roman" w:hAnsi="Times New Roman"/>
          <w:sz w:val="15"/>
          <w:szCs w:val="15"/>
          <w:color w:val="auto"/>
        </w:rPr>
        <w:t xml:space="preserve">SECTION 17. </w:t>
      </w:r>
      <w:r>
        <w:rPr>
          <w:rFonts w:ascii="Times New Roman" w:cs="Times New Roman" w:eastAsia="Times New Roman" w:hAnsi="Times New Roman"/>
          <w:sz w:val="15"/>
          <w:szCs w:val="15"/>
          <w:u w:val="single" w:color="auto"/>
          <w:color w:val="auto"/>
        </w:rPr>
        <w:t>Consent to Jurisdiction; Waiver of Immunity</w:t>
      </w:r>
      <w:r>
        <w:rPr>
          <w:rFonts w:ascii="Times New Roman" w:cs="Times New Roman" w:eastAsia="Times New Roman" w:hAnsi="Times New Roman"/>
          <w:sz w:val="15"/>
          <w:szCs w:val="15"/>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5"/>
          <w:szCs w:val="15"/>
          <w:b w:val="1"/>
          <w:bCs w:val="1"/>
          <w:color w:val="auto"/>
        </w:rPr>
        <w:t>Specified Courts</w:t>
      </w:r>
      <w:r>
        <w:rPr>
          <w:rFonts w:ascii="Times New Roman" w:cs="Times New Roman" w:eastAsia="Times New Roman" w:hAnsi="Times New Roman"/>
          <w:sz w:val="15"/>
          <w:szCs w:val="15"/>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56" w:lineRule="exact"/>
        <w:rPr>
          <w:sz w:val="20"/>
          <w:szCs w:val="20"/>
          <w:color w:val="auto"/>
        </w:rPr>
      </w:pPr>
    </w:p>
    <w:p>
      <w:pPr>
        <w:ind w:right="360" w:firstLine="376"/>
        <w:spacing w:after="0" w:line="293" w:lineRule="auto"/>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u w:val="single" w:color="auto"/>
          <w:color w:val="auto"/>
        </w:rPr>
        <w:t>TIME</w:t>
      </w:r>
      <w:r>
        <w:rPr>
          <w:rFonts w:ascii="Times New Roman" w:cs="Times New Roman" w:eastAsia="Times New Roman" w:hAnsi="Times New Roman"/>
          <w:sz w:val="15"/>
          <w:szCs w:val="15"/>
          <w:color w:val="auto"/>
        </w:rPr>
        <w:t>. TIME SHALL BE OF THE ESSENCE OF THIS AGREEMENT. EXCEPT AS OTHERWISE SET FORTH HEREIN, SPECIFIED TIMES OF DAY REFER TO NEW YORK CITY TIME.</w:t>
      </w:r>
    </w:p>
    <w:p>
      <w:pPr>
        <w:spacing w:after="0" w:line="132" w:lineRule="exact"/>
        <w:rPr>
          <w:sz w:val="20"/>
          <w:szCs w:val="20"/>
          <w:color w:val="auto"/>
        </w:rPr>
      </w:pPr>
    </w:p>
    <w:p>
      <w:pPr>
        <w:ind w:firstLine="376"/>
        <w:spacing w:after="0" w:line="293" w:lineRule="auto"/>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any number of counterparts, each of which shall be deemed to be an original, but all such counterparts shall together constitute one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9400"/>
          </w:cols>
          <w:pgMar w:left="1240" w:top="252" w:right="1259" w:bottom="1440" w:gutter="0" w:footer="0" w:header="0"/>
        </w:sectPr>
      </w:pPr>
    </w:p>
    <w:bookmarkStart w:id="289" w:name="page290"/>
    <w:bookmarkEnd w:id="289"/>
    <w:p>
      <w:pPr>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 xml:space="preserve">SECTION 20. </w:t>
      </w:r>
      <w:r>
        <w:rPr>
          <w:rFonts w:ascii="Times New Roman" w:cs="Times New Roman" w:eastAsia="Times New Roman" w:hAnsi="Times New Roman"/>
          <w:sz w:val="15"/>
          <w:szCs w:val="15"/>
          <w:u w:val="single" w:color="auto"/>
          <w:color w:val="auto"/>
        </w:rPr>
        <w:t>Effect of Headings</w:t>
      </w:r>
      <w:r>
        <w:rPr>
          <w:rFonts w:ascii="Times New Roman" w:cs="Times New Roman" w:eastAsia="Times New Roman" w:hAnsi="Times New Roman"/>
          <w:sz w:val="15"/>
          <w:szCs w:val="15"/>
          <w:color w:val="auto"/>
        </w:rPr>
        <w:t>. The Section headings herein are for convenience only and shall not affect the construction hereof.</w:t>
      </w:r>
    </w:p>
    <w:p>
      <w:pPr>
        <w:spacing w:after="0" w:line="1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9360"/>
          </w:cols>
          <w:pgMar w:left="1240" w:top="252" w:right="1299" w:bottom="1440" w:gutter="0" w:footer="0" w:header="0"/>
        </w:sectPr>
      </w:pPr>
    </w:p>
    <w:bookmarkStart w:id="290" w:name="page291"/>
    <w:bookmarkEnd w:id="290"/>
    <w:p>
      <w:pPr>
        <w:ind w:firstLine="376"/>
        <w:spacing w:after="0" w:line="28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3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17145</wp:posOffset>
            </wp:positionV>
            <wp:extent cx="224028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1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5"/>
          <w:szCs w:val="15"/>
          <w:color w:val="auto"/>
        </w:rPr>
        <w:t>Title:</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Underwriting Agreement</w:t>
      </w:r>
      <w:r>
        <w:rPr>
          <w:rFonts w:ascii="Times New Roman" w:cs="Times New Roman" w:eastAsia="Times New Roman" w:hAnsi="Times New Roman"/>
          <w:sz w:val="15"/>
          <w:szCs w:val="15"/>
          <w:color w:val="auto"/>
        </w:rPr>
        <w:t>]</w:t>
      </w:r>
    </w:p>
    <w:p>
      <w:pPr>
        <w:sectPr>
          <w:pgSz w:w="11900" w:h="16838" w:orient="portrait"/>
          <w:cols w:equalWidth="0" w:num="1">
            <w:col w:w="9340"/>
          </w:cols>
          <w:pgMar w:left="1240" w:top="252" w:right="13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CONFIRMED AND ACCEPTED,</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the date first above 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221805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Authorized Signatory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221805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Authorized Signatory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RAYMOND JAMES &amp; ASSOCIATES,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221805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2218055" cy="7620"/>
                    </a:xfrm>
                    <a:prstGeom prst="rect">
                      <a:avLst/>
                    </a:prstGeom>
                    <a:noFill/>
                  </pic:spPr>
                </pic:pic>
              </a:graphicData>
            </a:graphic>
          </wp:anchor>
        </w:drawing>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5"/>
          <w:szCs w:val="15"/>
          <w:color w:val="auto"/>
        </w:rPr>
        <w:t>Authorized Signatory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themselves and as Representatives of the other Underwriters named in Schedule A hereto.</w:t>
      </w:r>
    </w:p>
    <w:p>
      <w:pPr>
        <w:spacing w:after="0" w:line="1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Underwriting Agreement</w:t>
      </w:r>
      <w:r>
        <w:rPr>
          <w:rFonts w:ascii="Times New Roman" w:cs="Times New Roman" w:eastAsia="Times New Roman" w:hAnsi="Times New Roman"/>
          <w:sz w:val="15"/>
          <w:szCs w:val="15"/>
          <w:color w:val="auto"/>
        </w:rPr>
        <w:t>]</w:t>
      </w:r>
    </w:p>
    <w:p>
      <w:pPr>
        <w:sectPr>
          <w:pgSz w:w="11900" w:h="16838" w:orient="portrait"/>
          <w:cols w:equalWidth="0" w:num="1">
            <w:col w:w="9219"/>
          </w:cols>
          <w:pgMar w:left="1240" w:top="252" w:right="1440" w:bottom="1440" w:gutter="0" w:footer="0" w:header="0"/>
        </w:sectPr>
      </w:pPr>
    </w:p>
    <w:bookmarkStart w:id="292" w:name="page293"/>
    <w:bookmarkEnd w:id="292"/>
    <w:p>
      <w:pPr>
        <w:ind w:left="42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SCHEDULE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initial public offering price per share for the Securities shall be $[●].</w:t>
      </w:r>
    </w:p>
    <w:p>
      <w:pPr>
        <w:spacing w:after="0" w:line="196"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5"/>
          <w:szCs w:val="15"/>
          <w:color w:val="auto"/>
        </w:rPr>
        <w:t>The purchase price per share for the Securities to be paid by the several Underwriters shall be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Name of Underwriter</w:t>
            </w:r>
          </w:p>
        </w:tc>
        <w:tc>
          <w:tcPr>
            <w:tcW w:w="52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Number of</w:t>
            </w:r>
          </w:p>
        </w:tc>
        <w:tc>
          <w:tcPr>
            <w:tcW w:w="0" w:type="dxa"/>
            <w:vAlign w:val="bottom"/>
          </w:tcPr>
          <w:p>
            <w:pPr>
              <w:spacing w:after="0"/>
              <w:rPr>
                <w:sz w:val="1"/>
                <w:szCs w:val="1"/>
                <w:color w:val="auto"/>
              </w:rPr>
            </w:pPr>
          </w:p>
        </w:tc>
      </w:tr>
      <w:tr>
        <w:trPr>
          <w:trHeight w:val="147"/>
        </w:trPr>
        <w:tc>
          <w:tcPr>
            <w:tcW w:w="3320" w:type="dxa"/>
            <w:vAlign w:val="bottom"/>
            <w:gridSpan w:val="2"/>
            <w:vMerge w:val="continue"/>
          </w:tcPr>
          <w:p>
            <w:pPr>
              <w:spacing w:after="0"/>
              <w:rPr>
                <w:sz w:val="12"/>
                <w:szCs w:val="12"/>
                <w:color w:val="auto"/>
              </w:rPr>
            </w:pPr>
          </w:p>
        </w:tc>
        <w:tc>
          <w:tcPr>
            <w:tcW w:w="61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Initial Securities</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300" w:type="dxa"/>
            <w:vAlign w:val="bottom"/>
          </w:tcPr>
          <w:p>
            <w:pPr>
              <w:spacing w:after="0"/>
              <w:rPr>
                <w:sz w:val="6"/>
                <w:szCs w:val="6"/>
                <w:color w:val="auto"/>
              </w:rPr>
            </w:pPr>
          </w:p>
        </w:tc>
        <w:tc>
          <w:tcPr>
            <w:tcW w:w="522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BofA Securities, Inc.</w:t>
            </w:r>
          </w:p>
        </w:tc>
        <w:tc>
          <w:tcPr>
            <w:tcW w:w="5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Jefferies LLC</w:t>
            </w:r>
          </w:p>
        </w:tc>
        <w:tc>
          <w:tcPr>
            <w:tcW w:w="52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Raymond James &amp; Associates, Inc.</w:t>
            </w:r>
          </w:p>
        </w:tc>
        <w:tc>
          <w:tcPr>
            <w:tcW w:w="5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LifeSci Capital LLC</w:t>
            </w:r>
          </w:p>
        </w:tc>
        <w:tc>
          <w:tcPr>
            <w:tcW w:w="5220" w:type="dxa"/>
            <w:vAlign w:val="bottom"/>
          </w:tcPr>
          <w:p>
            <w:pPr>
              <w:spacing w:after="0"/>
              <w:rPr>
                <w:sz w:val="14"/>
                <w:szCs w:val="14"/>
                <w:color w:val="auto"/>
              </w:rPr>
            </w:pPr>
          </w:p>
        </w:tc>
        <w:tc>
          <w:tcPr>
            <w:tcW w:w="880" w:type="dxa"/>
            <w:vAlign w:val="bottom"/>
            <w:gridSpan w:val="2"/>
          </w:tcPr>
          <w:p>
            <w:pPr>
              <w:jc w:val="right"/>
              <w:ind w:right="60"/>
              <w:spacing w:after="0" w:line="17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Ladenburg Thalmann &amp; Co. Inc.</w:t>
            </w:r>
          </w:p>
        </w:tc>
        <w:tc>
          <w:tcPr>
            <w:tcW w:w="5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w:t>
            </w:r>
          </w:p>
        </w:tc>
        <w:tc>
          <w:tcPr>
            <w:tcW w:w="5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100" w:type="dxa"/>
            <w:vAlign w:val="bottom"/>
            <w:gridSpan w:val="3"/>
          </w:tcPr>
          <w:p>
            <w:pPr>
              <w:jc w:val="right"/>
              <w:ind w:right="4460"/>
              <w:spacing w:after="0"/>
              <w:rPr>
                <w:sz w:val="20"/>
                <w:szCs w:val="20"/>
                <w:color w:val="auto"/>
              </w:rPr>
            </w:pPr>
            <w:r>
              <w:rPr>
                <w:rFonts w:ascii="Times New Roman" w:cs="Times New Roman" w:eastAsia="Times New Roman" w:hAnsi="Times New Roman"/>
                <w:sz w:val="15"/>
                <w:szCs w:val="15"/>
                <w:color w:val="auto"/>
              </w:rPr>
              <w:t>Sch A-1</w:t>
            </w:r>
          </w:p>
        </w:tc>
        <w:tc>
          <w:tcPr>
            <w:tcW w:w="0" w:type="dxa"/>
            <w:vAlign w:val="bottom"/>
          </w:tcPr>
          <w:p>
            <w:pPr>
              <w:spacing w:after="0"/>
              <w:rPr>
                <w:sz w:val="1"/>
                <w:szCs w:val="1"/>
                <w:color w:val="auto"/>
              </w:rPr>
            </w:pPr>
          </w:p>
        </w:tc>
      </w:tr>
    </w:tbl>
    <w:p>
      <w:pPr>
        <w:sectPr>
          <w:pgSz w:w="11900" w:h="16838" w:orient="portrait"/>
          <w:cols w:equalWidth="0" w:num="1">
            <w:col w:w="9420"/>
          </w:cols>
          <w:pgMar w:left="1240" w:top="252" w:right="1239" w:bottom="1440" w:gutter="0" w:footer="0" w:header="0"/>
        </w:sectPr>
      </w:pPr>
    </w:p>
    <w:bookmarkStart w:id="293" w:name="page294"/>
    <w:bookmarkEnd w:id="293"/>
    <w:p>
      <w:pPr>
        <w:jc w:val="center"/>
        <w:ind w:right="-1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SCHEDULE B-1</w:t>
      </w:r>
    </w:p>
    <w:p>
      <w:pPr>
        <w:spacing w:after="0" w:line="1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u w:val="single" w:color="auto"/>
          <w:color w:val="auto"/>
        </w:rPr>
        <w:t>Pricing Terms</w:t>
      </w:r>
    </w:p>
    <w:p>
      <w:pPr>
        <w:spacing w:after="0" w:line="196" w:lineRule="exact"/>
        <w:rPr>
          <w:sz w:val="20"/>
          <w:szCs w:val="20"/>
          <w:color w:val="auto"/>
        </w:rPr>
      </w:pPr>
    </w:p>
    <w:p>
      <w:pPr>
        <w:ind w:left="160" w:hanging="160"/>
        <w:spacing w:after="0"/>
        <w:tabs>
          <w:tab w:leader="none" w:pos="16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selling [●] shares of Common Stock.</w:t>
      </w:r>
    </w:p>
    <w:p>
      <w:pPr>
        <w:spacing w:after="0" w:line="196" w:lineRule="exact"/>
        <w:rPr>
          <w:rFonts w:ascii="Times New Roman" w:cs="Times New Roman" w:eastAsia="Times New Roman" w:hAnsi="Times New Roman"/>
          <w:sz w:val="15"/>
          <w:szCs w:val="15"/>
          <w:color w:val="auto"/>
        </w:rPr>
      </w:pPr>
    </w:p>
    <w:p>
      <w:pPr>
        <w:ind w:left="160" w:hanging="160"/>
        <w:spacing w:after="0"/>
        <w:tabs>
          <w:tab w:leader="none" w:pos="16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granted an option to the Underwriters, severally and not jointly, to purchase up to an additional [●] shares of Common Stock.</w:t>
      </w:r>
    </w:p>
    <w:p>
      <w:pPr>
        <w:spacing w:after="0" w:line="196" w:lineRule="exact"/>
        <w:rPr>
          <w:rFonts w:ascii="Times New Roman" w:cs="Times New Roman" w:eastAsia="Times New Roman" w:hAnsi="Times New Roman"/>
          <w:sz w:val="15"/>
          <w:szCs w:val="15"/>
          <w:color w:val="auto"/>
        </w:rPr>
      </w:pPr>
    </w:p>
    <w:p>
      <w:pPr>
        <w:ind w:left="160" w:hanging="160"/>
        <w:spacing w:after="0"/>
        <w:tabs>
          <w:tab w:leader="none" w:pos="16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initial public offering price per share for the Securities shall be $[●].</w:t>
      </w:r>
    </w:p>
    <w:p>
      <w:pPr>
        <w:spacing w:after="0" w:line="1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5"/>
          <w:szCs w:val="15"/>
          <w:color w:val="auto"/>
        </w:rPr>
        <w:t>Sch B - 1</w:t>
      </w:r>
    </w:p>
    <w:p>
      <w:pPr>
        <w:sectPr>
          <w:pgSz w:w="11900" w:h="16838" w:orient="portrait"/>
          <w:cols w:equalWidth="0" w:num="1">
            <w:col w:w="9219"/>
          </w:cols>
          <w:pgMar w:left="1240" w:top="252" w:right="1440"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SCHEDULE B-2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Free Writing Prospectuses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 B - 2</w:t>
      </w:r>
    </w:p>
    <w:p>
      <w:pPr>
        <w:sectPr>
          <w:pgSz w:w="11900" w:h="16838" w:orient="portrait"/>
          <w:cols w:equalWidth="0" w:num="1">
            <w:col w:w="9019"/>
          </w:cols>
          <w:pgMar w:left="1440" w:top="252" w:right="1440" w:bottom="1440" w:gutter="0" w:footer="0" w:header="0"/>
        </w:sectPr>
      </w:pPr>
    </w:p>
    <w:bookmarkStart w:id="295" w:name="page296"/>
    <w:bookmarkEnd w:id="295"/>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SCHEDULE B-3</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Written Testing-the-Waters Communications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Sch B - 3</w:t>
      </w:r>
    </w:p>
    <w:p>
      <w:pPr>
        <w:sectPr>
          <w:pgSz w:w="11900" w:h="16838" w:orient="portrait"/>
          <w:cols w:equalWidth="0" w:num="1">
            <w:col w:w="9019"/>
          </w:cols>
          <w:pgMar w:left="1440" w:top="252" w:right="1440"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SCHEDULE 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List of Persons and Entities Subject to Lock-Up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Sch C-1</w:t>
      </w:r>
    </w:p>
    <w:p>
      <w:pPr>
        <w:sectPr>
          <w:pgSz w:w="11900" w:h="16838" w:orient="portrait"/>
          <w:cols w:equalWidth="0" w:num="1">
            <w:col w:w="9019"/>
          </w:cols>
          <w:pgMar w:left="1440" w:top="252" w:right="1440"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OF LOCK-UP FROM DIRECTORS, OFFICERS OR OTHER STOCKHOLDERS PURSUANT TO SECTION 5(i)</w:t>
      </w:r>
    </w:p>
    <w:p>
      <w:pPr>
        <w:spacing w:after="0" w:line="1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5"/>
          <w:szCs w:val="15"/>
          <w:color w:val="auto"/>
        </w:rPr>
        <w:t>,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BofA Securities,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Jefferies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Raymond James &amp; Associates, Inc.</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as Representatives of the several</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Underwriters to be named in the</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within-mentioned Underwriting Agreement</w:t>
      </w:r>
    </w:p>
    <w:p>
      <w:pPr>
        <w:spacing w:after="0" w:line="20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color w:val="auto"/>
        </w:rPr>
        <w:t>c/o</w:t>
        <w:tab/>
        <w:t>BofA Securities, Inc.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One Bryant Park</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New York, New York 10036</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Jefferies LLC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520 Madison Avenue</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New York, New York 10022</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Raymond James &amp; Associates, Inc.</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880 Carillon Parkway</w:t>
      </w:r>
    </w:p>
    <w:p>
      <w:pPr>
        <w:spacing w:after="0" w:line="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St. Petersburg, Florida 33716</w:t>
      </w:r>
    </w:p>
    <w:p>
      <w:pPr>
        <w:spacing w:after="0" w:line="20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color w:val="auto"/>
        </w:rPr>
        <w:t>Re:</w:t>
      </w:r>
      <w:r>
        <w:rPr>
          <w:sz w:val="20"/>
          <w:szCs w:val="20"/>
          <w:color w:val="auto"/>
        </w:rPr>
        <w:tab/>
      </w:r>
      <w:r>
        <w:rPr>
          <w:rFonts w:ascii="Times New Roman" w:cs="Times New Roman" w:eastAsia="Times New Roman" w:hAnsi="Times New Roman"/>
          <w:sz w:val="15"/>
          <w:szCs w:val="15"/>
          <w:u w:val="single" w:color="auto"/>
          <w:color w:val="auto"/>
        </w:rPr>
        <w:t>Proposed Public Offering by Tarsus Pharmaceuticals,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Ladies and Gentlemen:</w:t>
      </w:r>
    </w:p>
    <w:p>
      <w:pPr>
        <w:spacing w:after="0" w:line="196" w:lineRule="exact"/>
        <w:rPr>
          <w:sz w:val="20"/>
          <w:szCs w:val="20"/>
          <w:color w:val="auto"/>
        </w:rPr>
      </w:pPr>
    </w:p>
    <w:p>
      <w:pPr>
        <w:ind w:firstLine="376"/>
        <w:spacing w:after="0" w:line="259" w:lineRule="auto"/>
        <w:rPr>
          <w:sz w:val="20"/>
          <w:szCs w:val="20"/>
          <w:color w:val="auto"/>
        </w:rPr>
      </w:pPr>
      <w:r>
        <w:rPr>
          <w:rFonts w:ascii="Times New Roman" w:cs="Times New Roman" w:eastAsia="Times New Roman" w:hAnsi="Times New Roman"/>
          <w:sz w:val="15"/>
          <w:szCs w:val="15"/>
          <w:color w:val="auto"/>
        </w:rPr>
        <w:t>The undersigned, a stockholder and/or a stock option holder and/or an officer and/or a director, as applicable, of Tarsus Pharmaceuticals, Inc., a Delaware corporation (the “Company”), understands that BofA Securities, Inc. (“BofA”), Jefferies LLC (“Jefferies”) and Raymond James &amp; Associates, Inc. propose to enter into an Underwriting Agreement (the “Underwriting Agreement”) with the Company and the other Underwriters party thereto providing for the public offering (the “Public Offering”) of shares of the Company’s common stock, par value $0.0001 per share (the “Common Stock”). In recognition of the benefit that the Public Offering will confer upon the undersigned as a stockholder and/or a stock option holder and/or an officer and/or a director, as applicable,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(the “Lock-Up Period”), the undersigned will not, without the prior written consent of BofA and Jefferies (the “Lock-up Representatives”; it being understood that to the extent that prior to the consummation of the Public Offering, any such Underwriter ceases to participate in the Public Offering, such Underwriter shall cease to be a Lock-up Representative hereunder), (i) directly or indirectly, offer, pledge, sell, contract to sell, sell any option or contract to purchase, purchase any option or contract to sell, grant any option, right or warrant to purchase or otherwise transfer or dispose of any shares of the Company’s Common Stock 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9400"/>
          </w:cols>
          <w:pgMar w:left="1240" w:top="252" w:right="1259" w:bottom="1440" w:gutter="0" w:footer="0" w:header="0"/>
        </w:sectPr>
      </w:pPr>
    </w:p>
    <w:bookmarkStart w:id="298" w:name="page299"/>
    <w:bookmarkEnd w:id="298"/>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(ii) enter into any swap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344" w:lineRule="exact"/>
        <w:rPr>
          <w:sz w:val="20"/>
          <w:szCs w:val="20"/>
          <w:color w:val="auto"/>
        </w:rPr>
      </w:pPr>
    </w:p>
    <w:p>
      <w:pPr>
        <w:ind w:right="20" w:firstLine="376"/>
        <w:spacing w:after="0" w:line="261" w:lineRule="auto"/>
        <w:rPr>
          <w:sz w:val="20"/>
          <w:szCs w:val="20"/>
          <w:color w:val="auto"/>
        </w:rPr>
      </w:pPr>
      <w:r>
        <w:rPr>
          <w:rFonts w:ascii="Times New Roman" w:cs="Times New Roman" w:eastAsia="Times New Roman" w:hAnsi="Times New Roman"/>
          <w:sz w:val="15"/>
          <w:szCs w:val="15"/>
          <w:color w:val="auto"/>
        </w:rPr>
        <w:t>If the undersigned is an officer or director of the Company, (1) the Lock-up Representatives agree that, at least three business days before the effective date of any release or waiver of the foregoing restrictions in connection with a transfer of shares of Common Stock, the Lock-up Representatives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the Lock-up Representatives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59" w:lineRule="exact"/>
        <w:rPr>
          <w:sz w:val="20"/>
          <w:szCs w:val="20"/>
          <w:color w:val="auto"/>
        </w:rPr>
      </w:pPr>
    </w:p>
    <w:p>
      <w:pPr>
        <w:ind w:right="20" w:firstLine="376"/>
        <w:spacing w:after="0" w:line="259" w:lineRule="auto"/>
        <w:rPr>
          <w:sz w:val="20"/>
          <w:szCs w:val="20"/>
          <w:color w:val="auto"/>
        </w:rPr>
      </w:pPr>
      <w:r>
        <w:rPr>
          <w:rFonts w:ascii="Times New Roman" w:cs="Times New Roman" w:eastAsia="Times New Roman" w:hAnsi="Times New Roman"/>
          <w:sz w:val="15"/>
          <w:szCs w:val="15"/>
          <w:color w:val="auto"/>
        </w:rPr>
        <w:t>Notwithstanding the foregoing, and subject to the conditions below, the undersigned may transfer the Lock-Up Securities without the prior written consent of the Lock-up Representatives, provided that (1) in the case of clause (i) through (vi), (ix) and (x) below, the Lock-up Representatives receive a signed lock-up agreement for the balance of the Lock-Up Period from each donee, trustee, distributee, or transferee, as the case may be, (2) (A) in the clauses (i) through (v) below, any such transfer shall not involve a disposition for value, (B) in the cases of clause (i)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(v) through (ix) below, any filing under Section 16 of the Exchange Act made during the Lock-Up Period shall clearly indicate in the footnotes the circumstances of the transfer and</w:t>
      </w:r>
    </w:p>
    <w:p>
      <w:pPr>
        <w:spacing w:after="0" w:line="3" w:lineRule="exact"/>
        <w:rPr>
          <w:sz w:val="20"/>
          <w:szCs w:val="20"/>
          <w:color w:val="auto"/>
        </w:rPr>
      </w:pPr>
    </w:p>
    <w:p>
      <w:pPr>
        <w:ind w:left="220" w:hanging="220"/>
        <w:spacing w:after="0"/>
        <w:tabs>
          <w:tab w:leader="none" w:pos="220"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does not otherwise voluntarily effect any public filing or report regarding such transfers during the Lock-Up Period:</w:t>
      </w:r>
    </w:p>
    <w:p>
      <w:pPr>
        <w:spacing w:after="0" w:line="97" w:lineRule="exact"/>
        <w:rPr>
          <w:rFonts w:ascii="Times New Roman" w:cs="Times New Roman" w:eastAsia="Times New Roman" w:hAnsi="Times New Roman"/>
          <w:sz w:val="15"/>
          <w:szCs w:val="15"/>
          <w:color w:val="auto"/>
        </w:rPr>
      </w:pPr>
    </w:p>
    <w:p>
      <w:pPr>
        <w:ind w:left="840" w:hanging="471"/>
        <w:spacing w:after="0"/>
        <w:tabs>
          <w:tab w:leader="none" w:pos="840"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gift or gifts; or</w:t>
      </w:r>
    </w:p>
    <w:p>
      <w:pPr>
        <w:spacing w:after="0" w:line="119" w:lineRule="exact"/>
        <w:rPr>
          <w:rFonts w:ascii="Times New Roman" w:cs="Times New Roman" w:eastAsia="Times New Roman" w:hAnsi="Times New Roman"/>
          <w:sz w:val="15"/>
          <w:szCs w:val="15"/>
          <w:color w:val="auto"/>
        </w:rPr>
      </w:pPr>
    </w:p>
    <w:p>
      <w:pPr>
        <w:ind w:left="840" w:right="240" w:hanging="471"/>
        <w:spacing w:after="0" w:line="293" w:lineRule="auto"/>
        <w:tabs>
          <w:tab w:leader="none" w:pos="840"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trust for the direct or indirect benefit of the undersigned or the immediate family of the undersigned (for purposes of this lock-up agreement, “immediate family” shall mean any relationship by blood, marriage or adoption, not more remote than first cousin); or</w:t>
      </w:r>
    </w:p>
    <w:p>
      <w:pPr>
        <w:spacing w:after="0" w:line="51" w:lineRule="exact"/>
        <w:rPr>
          <w:rFonts w:ascii="Times New Roman" w:cs="Times New Roman" w:eastAsia="Times New Roman" w:hAnsi="Times New Roman"/>
          <w:sz w:val="15"/>
          <w:szCs w:val="15"/>
          <w:color w:val="auto"/>
        </w:rPr>
      </w:pPr>
    </w:p>
    <w:p>
      <w:pPr>
        <w:ind w:left="840" w:hanging="471"/>
        <w:spacing w:after="0"/>
        <w:tabs>
          <w:tab w:leader="none" w:pos="840"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distribution to general or limited partners, members, stockholders or other equity holders of the undersigned;</w:t>
      </w:r>
    </w:p>
    <w:p>
      <w:pPr>
        <w:spacing w:after="0" w:line="115" w:lineRule="exact"/>
        <w:rPr>
          <w:rFonts w:ascii="Times New Roman" w:cs="Times New Roman" w:eastAsia="Times New Roman" w:hAnsi="Times New Roman"/>
          <w:sz w:val="15"/>
          <w:szCs w:val="15"/>
          <w:color w:val="auto"/>
        </w:rPr>
      </w:pPr>
    </w:p>
    <w:p>
      <w:pPr>
        <w:ind w:left="840" w:right="320" w:hanging="471"/>
        <w:spacing w:after="0" w:line="293" w:lineRule="auto"/>
        <w:tabs>
          <w:tab w:leader="none" w:pos="840" w:val="left"/>
        </w:tabs>
        <w:numPr>
          <w:ilvl w:val="1"/>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undersigned’s affiliates or to any investment fund or other entity that, directly or indirectly, controls or manages, is controlled or managed by, or is under common control or management with, the undersigned;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A-1-2</w:t>
      </w:r>
    </w:p>
    <w:p>
      <w:pPr>
        <w:sectPr>
          <w:pgSz w:w="11900" w:h="16838" w:orient="portrait"/>
          <w:cols w:equalWidth="0" w:num="1">
            <w:col w:w="9400"/>
          </w:cols>
          <w:pgMar w:left="1240" w:top="252" w:right="1259" w:bottom="1440" w:gutter="0" w:footer="0" w:header="0"/>
        </w:sectPr>
      </w:pPr>
    </w:p>
    <w:bookmarkStart w:id="299" w:name="page300"/>
    <w:bookmarkEnd w:id="299"/>
    <w:p>
      <w:pPr>
        <w:ind w:left="840" w:hanging="471"/>
        <w:spacing w:after="0"/>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by will or intestate succession upon the death of the undersigned;</w:t>
      </w:r>
    </w:p>
    <w:p>
      <w:pPr>
        <w:spacing w:after="0" w:line="115" w:lineRule="exact"/>
        <w:rPr>
          <w:rFonts w:ascii="Times New Roman" w:cs="Times New Roman" w:eastAsia="Times New Roman" w:hAnsi="Times New Roman"/>
          <w:sz w:val="15"/>
          <w:szCs w:val="15"/>
          <w:color w:val="auto"/>
        </w:rPr>
      </w:pPr>
    </w:p>
    <w:p>
      <w:pPr>
        <w:ind w:left="840" w:hanging="471"/>
        <w:spacing w:after="0"/>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a court of regulatory agency order, a qualified domestic order or in connection with a divorce settlement;</w:t>
      </w:r>
    </w:p>
    <w:p>
      <w:pPr>
        <w:spacing w:after="0" w:line="115" w:lineRule="exact"/>
        <w:rPr>
          <w:rFonts w:ascii="Times New Roman" w:cs="Times New Roman" w:eastAsia="Times New Roman" w:hAnsi="Times New Roman"/>
          <w:sz w:val="15"/>
          <w:szCs w:val="15"/>
          <w:color w:val="auto"/>
        </w:rPr>
      </w:pPr>
    </w:p>
    <w:p>
      <w:pPr>
        <w:ind w:left="840" w:right="240" w:hanging="471"/>
        <w:spacing w:after="0" w:line="265" w:lineRule="auto"/>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 in connection with the exercise of options, warrants or other rights to acquire shares of Common Stock or any security convertible into or exercisable for shares of Common Stock of the Company by way of net exercise and/or to cover withholding tax obligations in connection with such exercise pursuant to an employee benefit plan, option, warrant or other right disclosed in the prospectus for the Public Offering, provided that any such shares of the Common Stock issued upon exercise of such option, warrant or other right shall be subject to the restrictions set forth herein;</w:t>
      </w:r>
    </w:p>
    <w:p>
      <w:pPr>
        <w:spacing w:after="0" w:line="73" w:lineRule="exact"/>
        <w:rPr>
          <w:rFonts w:ascii="Times New Roman" w:cs="Times New Roman" w:eastAsia="Times New Roman" w:hAnsi="Times New Roman"/>
          <w:sz w:val="15"/>
          <w:szCs w:val="15"/>
          <w:color w:val="auto"/>
        </w:rPr>
      </w:pPr>
    </w:p>
    <w:p>
      <w:pPr>
        <w:ind w:left="840" w:right="180" w:hanging="471"/>
        <w:spacing w:after="0" w:line="275" w:lineRule="auto"/>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Company pursuant to agreements under which the Company has exercised its option to repurchase such shares or has exercised a right of first refusal with respect to transfers of such shares upon termination of service of the undersigned, so long as such agreement or right of first refusal is disclosed in the prospectus for the Public Offering;</w:t>
      </w:r>
    </w:p>
    <w:p>
      <w:pPr>
        <w:spacing w:after="0" w:line="64" w:lineRule="exact"/>
        <w:rPr>
          <w:rFonts w:ascii="Times New Roman" w:cs="Times New Roman" w:eastAsia="Times New Roman" w:hAnsi="Times New Roman"/>
          <w:sz w:val="15"/>
          <w:szCs w:val="15"/>
          <w:color w:val="auto"/>
        </w:rPr>
      </w:pPr>
    </w:p>
    <w:p>
      <w:pPr>
        <w:ind w:left="840" w:right="320" w:hanging="471"/>
        <w:spacing w:after="0" w:line="275" w:lineRule="auto"/>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the automatic conversion of outstanding shares of preferred stock of the Company into shares of the Common Stock of the Company in connection with the Public Offering disclosed in the prospectus for the Public Offering, provided that the shares of the Common Stock received upon such conversion shall be subject to the restrictions set forth herein; or</w:t>
      </w:r>
    </w:p>
    <w:p>
      <w:pPr>
        <w:spacing w:after="0" w:line="64" w:lineRule="exact"/>
        <w:rPr>
          <w:rFonts w:ascii="Times New Roman" w:cs="Times New Roman" w:eastAsia="Times New Roman" w:hAnsi="Times New Roman"/>
          <w:sz w:val="15"/>
          <w:szCs w:val="15"/>
          <w:color w:val="auto"/>
        </w:rPr>
      </w:pPr>
    </w:p>
    <w:p>
      <w:pPr>
        <w:ind w:left="840" w:hanging="471"/>
        <w:spacing w:after="0" w:line="261" w:lineRule="auto"/>
        <w:tabs>
          <w:tab w:leader="none" w:pos="84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w:t>
      </w:r>
    </w:p>
    <w:p>
      <w:pPr>
        <w:spacing w:after="0" w:line="344" w:lineRule="exact"/>
        <w:rPr>
          <w:sz w:val="20"/>
          <w:szCs w:val="20"/>
          <w:color w:val="auto"/>
        </w:rPr>
      </w:pPr>
    </w:p>
    <w:p>
      <w:pPr>
        <w:ind w:right="100" w:firstLine="376"/>
        <w:spacing w:after="0" w:line="268" w:lineRule="auto"/>
        <w:rPr>
          <w:sz w:val="20"/>
          <w:szCs w:val="20"/>
          <w:color w:val="auto"/>
        </w:rPr>
      </w:pPr>
      <w:r>
        <w:rPr>
          <w:rFonts w:ascii="Times New Roman" w:cs="Times New Roman" w:eastAsia="Times New Roman" w:hAnsi="Times New Roman"/>
          <w:sz w:val="15"/>
          <w:szCs w:val="15"/>
          <w:color w:val="auto"/>
        </w:rPr>
        <w:t>Furthermore, the undersigned may sell shares of Common Stock of the Company purchased by the undersigned from the underwriters in the Public Offering (other than any issuer-directed shares of Common Stock purchased in the Public Offering by an officer or director of the Company) or on the open market following the Public Offering if and only if (i) such sales are not required to be reported in any public report or filing with the SEC, or otherwise, and (ii) the undersigned does not otherwise voluntarily effect any public filing or report regarding such sales during the Lock-Up Period.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Notwithstanding the foregoing, the undersigned may establish a trading plan pursuant to Rule 10b5-1 under the Exchange Act, provided that</w:t>
      </w:r>
    </w:p>
    <w:p>
      <w:pPr>
        <w:spacing w:after="0" w:line="26" w:lineRule="exact"/>
        <w:rPr>
          <w:sz w:val="20"/>
          <w:szCs w:val="20"/>
          <w:color w:val="auto"/>
        </w:rPr>
      </w:pPr>
    </w:p>
    <w:p>
      <w:pPr>
        <w:ind w:right="500"/>
        <w:spacing w:after="0" w:line="273" w:lineRule="auto"/>
        <w:tabs>
          <w:tab w:leader="none" w:pos="184" w:val="left"/>
        </w:tabs>
        <w:numPr>
          <w:ilvl w:val="0"/>
          <w:numId w:val="2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is not required to and does not otherwise effect any public filing or report regarding the establishment of such plan during the Lock-Up Period and (ii) no sales are made during the Lock-Up Period pursuant to such plan.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9400"/>
          </w:cols>
          <w:pgMar w:left="1240" w:top="252" w:right="1259" w:bottom="1440" w:gutter="0" w:footer="0" w:header="0"/>
        </w:sectPr>
      </w:pPr>
    </w:p>
    <w:bookmarkStart w:id="300" w:name="page301"/>
    <w:bookmarkEnd w:id="300"/>
    <w:p>
      <w:pPr>
        <w:ind w:firstLine="376"/>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[If any record or beneficial owner of any securities of the Company is granted an early release from any restriction described herein during the Lock-Up Period with respect to an aggregate amount of securities of the Company in excess of 1% of the issued and outstanding shares of the Company on an as-converted to Common Stock basis (whether in one or multiple releases), then each Major Holder (as defined below) shall also be granted an early release from its obligations hereunder on a pro rata basis with all other record or beneficial holders of similarly restricted securities of the Company based on the maximum percentage of shares held by any such record or beneficial holder being released from such holder’s lock-up agreement; provided, however, that in the case of an early release from the restrictions described herein during the Lock-Up Period in connection with an underwritten public offering, whether or not such offering or sale is wholly or partially a secondary offering of the Company’s Common Stock (an “Underwritten Sale”), such early release shall only apply with respect to such Major Holder’s participation in such Underwritten Sale. Notwithstanding any other provisions of this lock-up agreement, if the Lock-up Representatives in their sole judgment determine that a record or beneficial owner of any securities should be granted an early release from a lock-up agreement due to circumstances of an emergency or hardship, then the Major Holders shall not have any right to be granted an early release pursuant to the terms of this paragraph. For purposes of this lock-up agreement, each of the following persons is a “Major Holder”: each record or beneficial owner, as of the date hereof, of more than 5% of the outstanding shares of securities of the Company on an as-converted to Common Stock basis (for purposes of determining record or beneficial ownership of a stockholder, all shares of securities held by investment funds affiliated with such stockholder shall be aggregated)]</w:t>
      </w:r>
      <w:r>
        <w:rPr>
          <w:rFonts w:ascii="Times New Roman" w:cs="Times New Roman" w:eastAsia="Times New Roman" w:hAnsi="Times New Roman"/>
          <w:sz w:val="13"/>
          <w:szCs w:val="13"/>
          <w:color w:val="auto"/>
        </w:rPr>
        <w:t>1</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ind w:right="140" w:firstLine="376"/>
        <w:spacing w:after="0" w:line="275" w:lineRule="auto"/>
        <w:rPr>
          <w:sz w:val="20"/>
          <w:szCs w:val="20"/>
          <w:color w:val="auto"/>
        </w:rPr>
      </w:pPr>
      <w:r>
        <w:rPr>
          <w:rFonts w:ascii="Times New Roman" w:cs="Times New Roman" w:eastAsia="Times New Roman" w:hAnsi="Times New Roman"/>
          <w:sz w:val="15"/>
          <w:szCs w:val="15"/>
          <w:color w:val="auto"/>
        </w:rPr>
        <w:t>The undersigned acknowledges and agrees that the underwriters have not provided any recommendation or investment advice nor have the underwriters solicited any action from the undersigned with respect to the offering of the securities and the undersigned has consulted their own legal, accounting, financial, regulatory and tax advisors to the extent deemed appropriate.</w:t>
      </w:r>
    </w:p>
    <w:p>
      <w:pPr>
        <w:spacing w:after="0" w:line="145" w:lineRule="exact"/>
        <w:rPr>
          <w:sz w:val="20"/>
          <w:szCs w:val="20"/>
          <w:color w:val="auto"/>
        </w:rPr>
      </w:pPr>
    </w:p>
    <w:p>
      <w:pPr>
        <w:ind w:right="280" w:firstLine="376"/>
        <w:spacing w:after="0" w:line="293" w:lineRule="auto"/>
        <w:rPr>
          <w:sz w:val="20"/>
          <w:szCs w:val="20"/>
          <w:color w:val="auto"/>
        </w:rPr>
      </w:pPr>
      <w:r>
        <w:rPr>
          <w:rFonts w:ascii="Times New Roman" w:cs="Times New Roman" w:eastAsia="Times New Roman" w:hAnsi="Times New Roman"/>
          <w:sz w:val="15"/>
          <w:szCs w:val="15"/>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This agreement, the Lock-Up Period described herein and related restrictions shall automatically terminate upon the earliest to occur, if any, of</w:t>
      </w:r>
    </w:p>
    <w:p>
      <w:pPr>
        <w:spacing w:after="0" w:line="26" w:lineRule="exact"/>
        <w:rPr>
          <w:sz w:val="20"/>
          <w:szCs w:val="20"/>
          <w:color w:val="auto"/>
        </w:rPr>
      </w:pPr>
    </w:p>
    <w:p>
      <w:pPr>
        <w:ind w:right="140"/>
        <w:spacing w:after="0" w:line="260" w:lineRule="auto"/>
        <w:tabs>
          <w:tab w:leader="none" w:pos="184"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the Company, on the one hand, or the Lock-up Representatives, on the other hand, advising the other in writing prior to the execution of the Underwriting Agreement that it has determined not to proceed with the Public Offering, (ii) the termination of the Underwriting Agreement before payment for and delivery of the Common Stock to be sold thereunder, (iii) the registration statement filed under the Securities Act with respect to the Public Offering contemplated by the Underwriting Agreement is withdrawn or (iv) December 31, 2020, in the event the closing of the Public Offering shall not have occurred on or before such date.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This agreement shall be governed by and construed in accordance with the laws of the State of New York.</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65151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651510" cy="7620"/>
                    </a:xfrm>
                    <a:prstGeom prst="rect">
                      <a:avLst/>
                    </a:prstGeom>
                    <a:noFill/>
                  </pic:spPr>
                </pic:pic>
              </a:graphicData>
            </a:graphic>
          </wp:anchor>
        </w:drawing>
      </w:r>
    </w:p>
    <w:p>
      <w:pPr>
        <w:spacing w:after="0" w:line="157" w:lineRule="exact"/>
        <w:rPr>
          <w:sz w:val="20"/>
          <w:szCs w:val="20"/>
          <w:color w:val="auto"/>
        </w:rPr>
      </w:pPr>
    </w:p>
    <w:p>
      <w:pPr>
        <w:ind w:left="180" w:hanging="180"/>
        <w:spacing w:after="0"/>
        <w:tabs>
          <w:tab w:leader="none" w:pos="18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To be included for major holders only.</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A-1-4</w:t>
      </w:r>
    </w:p>
    <w:p>
      <w:pPr>
        <w:sectPr>
          <w:pgSz w:w="11900" w:h="16838" w:orient="portrait"/>
          <w:cols w:equalWidth="0" w:num="1">
            <w:col w:w="9360"/>
          </w:cols>
          <w:pgMar w:left="1240" w:top="252" w:right="1299" w:bottom="1440" w:gutter="0" w:footer="0" w:header="0"/>
        </w:sectPr>
      </w:pPr>
    </w:p>
    <w:bookmarkStart w:id="301" w:name="page302"/>
    <w:bookmarkEnd w:id="301"/>
    <w:p>
      <w:pPr>
        <w:ind w:left="5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Very truly yours,</w:t>
      </w:r>
    </w:p>
    <w:p>
      <w:pPr>
        <w:spacing w:after="0" w:line="19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If signatory is an individual</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9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If signatory is an entity</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0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190309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1903095" cy="7620"/>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A-1-5</w:t>
      </w:r>
    </w:p>
    <w:p>
      <w:pPr>
        <w:sectPr>
          <w:pgSz w:w="11900" w:h="16838" w:orient="portrait"/>
          <w:cols w:equalWidth="0" w:num="1">
            <w:col w:w="9019"/>
          </w:cols>
          <w:pgMar w:left="1440" w:top="252" w:right="1440"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B</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OF PRESS RELEASE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TO BE ISSUED PURSUANT TO SECTION 3(j)</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Tarsus Pharmaceuticals, Inc. (the “Company”) announced today that BofA and Jefferies, lead book-running managers in the Company’s recent public</w:t>
      </w:r>
    </w:p>
    <w:p>
      <w:pPr>
        <w:spacing w:after="0" w:line="26"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5"/>
          <w:szCs w:val="15"/>
          <w:color w:val="auto"/>
        </w:rPr>
        <w:t>sale of [●]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50" w:lineRule="exact"/>
        <w:rPr>
          <w:sz w:val="20"/>
          <w:szCs w:val="20"/>
          <w:color w:val="auto"/>
        </w:rPr>
      </w:pPr>
    </w:p>
    <w:p>
      <w:pPr>
        <w:jc w:val="both"/>
        <w:ind w:right="240"/>
        <w:spacing w:after="0" w:line="277" w:lineRule="auto"/>
        <w:rPr>
          <w:sz w:val="20"/>
          <w:szCs w:val="20"/>
          <w:color w:val="auto"/>
        </w:rPr>
      </w:pPr>
      <w:r>
        <w:rPr>
          <w:rFonts w:ascii="Times New Roman" w:cs="Times New Roman" w:eastAsia="Times New Roman" w:hAnsi="Times New Roman"/>
          <w:sz w:val="15"/>
          <w:szCs w:val="15"/>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9400"/>
          </w:cols>
          <w:pgMar w:left="1240" w:top="252" w:right="125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C</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FORM OF CHIEF FINANCIAL OFFICER’S CERTIFICATE TO BE ISSUED PURSUANT TO SECTION 5(j)</w:t>
      </w:r>
    </w:p>
    <w:p>
      <w:pPr>
        <w:spacing w:after="0" w:line="1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color w:val="auto"/>
        </w:rPr>
        <w:t>C-1</w:t>
      </w:r>
    </w:p>
    <w:p>
      <w:pPr>
        <w:sectPr>
          <w:pgSz w:w="11900" w:h="16838" w:orient="portrait"/>
          <w:cols w:equalWidth="0" w:num="1">
            <w:col w:w="9200"/>
          </w:cols>
          <w:pgMar w:left="1440" w:top="252" w:right="125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5"/>
          <w:szCs w:val="15"/>
          <w:b w:val="1"/>
          <w:bCs w:val="1"/>
          <w:color w:val="auto"/>
        </w:rPr>
        <w:t>Exhibit 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CERTIFICATE OF INCORPORATION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Sections 242 and 245 of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Corporation Law of the State of Delaware)</w:t>
      </w:r>
    </w:p>
    <w:p>
      <w:pPr>
        <w:spacing w:after="0" w:line="182" w:lineRule="exact"/>
        <w:rPr>
          <w:sz w:val="20"/>
          <w:szCs w:val="20"/>
          <w:color w:val="auto"/>
        </w:rPr>
      </w:pPr>
    </w:p>
    <w:p>
      <w:pPr>
        <w:ind w:right="20" w:firstLine="451"/>
        <w:spacing w:after="0" w:line="293" w:lineRule="auto"/>
        <w:rPr>
          <w:sz w:val="20"/>
          <w:szCs w:val="20"/>
          <w:color w:val="auto"/>
        </w:rPr>
      </w:pPr>
      <w:r>
        <w:rPr>
          <w:rFonts w:ascii="Times New Roman" w:cs="Times New Roman" w:eastAsia="Times New Roman" w:hAnsi="Times New Roman"/>
          <w:sz w:val="15"/>
          <w:szCs w:val="15"/>
          <w:color w:val="auto"/>
        </w:rPr>
        <w:t>Tarsus Pharmaceuticals, Inc., a corporation organized and existing under and by virtue of the provisions of the General Corporation Law of the State of Delaware (the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Corporation Law</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DOES HEREBY CERTIFY:</w:t>
      </w:r>
    </w:p>
    <w:p>
      <w:pPr>
        <w:spacing w:after="0" w:line="104" w:lineRule="exact"/>
        <w:rPr>
          <w:sz w:val="20"/>
          <w:szCs w:val="20"/>
          <w:color w:val="auto"/>
        </w:rPr>
      </w:pPr>
    </w:p>
    <w:p>
      <w:pPr>
        <w:ind w:right="2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FIRST</w:t>
      </w:r>
      <w:r>
        <w:rPr>
          <w:rFonts w:ascii="Times New Roman" w:cs="Times New Roman" w:eastAsia="Times New Roman" w:hAnsi="Times New Roman"/>
          <w:sz w:val="15"/>
          <w:szCs w:val="15"/>
          <w:color w:val="auto"/>
        </w:rPr>
        <w:t>: That the name of this corporation is Tarsus Pharmaceuticals, Inc. and that this corporation was originally incorporated pursuant to the General Corporation Law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November 17, 2016 under the name Tarsus Pharmaceuticals, Inc.</w:t>
      </w:r>
    </w:p>
    <w:p>
      <w:pPr>
        <w:spacing w:after="0" w:line="125" w:lineRule="exact"/>
        <w:rPr>
          <w:sz w:val="20"/>
          <w:szCs w:val="20"/>
          <w:color w:val="auto"/>
        </w:rPr>
      </w:pPr>
    </w:p>
    <w:p>
      <w:pPr>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SECOND</w:t>
      </w:r>
      <w:r>
        <w:rPr>
          <w:rFonts w:ascii="Times New Roman" w:cs="Times New Roman" w:eastAsia="Times New Roman" w:hAnsi="Times New Roman"/>
          <w:sz w:val="15"/>
          <w:szCs w:val="15"/>
          <w:color w:val="auto"/>
        </w:rPr>
        <w:t>: That the Board of Directors of this corporation duly adopted resolutions proposing to amend and restate the Certificate of Incorporation of this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the Certificate of Incorporation of this corporation be amended and restated in its entirety as follows: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name of this corporation is Tarsus Pharmaceuticals, Inc.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6" w:lineRule="exact"/>
        <w:rPr>
          <w:sz w:val="20"/>
          <w:szCs w:val="20"/>
          <w:color w:val="auto"/>
        </w:rPr>
      </w:pPr>
    </w:p>
    <w:p>
      <w:pPr>
        <w:ind w:right="120" w:firstLine="451"/>
        <w:spacing w:after="0" w:line="293" w:lineRule="auto"/>
        <w:rPr>
          <w:sz w:val="20"/>
          <w:szCs w:val="20"/>
          <w:color w:val="auto"/>
        </w:rPr>
      </w:pPr>
      <w:r>
        <w:rPr>
          <w:rFonts w:ascii="Times New Roman" w:cs="Times New Roman" w:eastAsia="Times New Roman" w:hAnsi="Times New Roman"/>
          <w:sz w:val="15"/>
          <w:szCs w:val="15"/>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6" w:lineRule="exact"/>
        <w:rPr>
          <w:sz w:val="20"/>
          <w:szCs w:val="20"/>
          <w:color w:val="auto"/>
        </w:rPr>
      </w:pPr>
    </w:p>
    <w:p>
      <w:pPr>
        <w:ind w:right="440" w:firstLine="451"/>
        <w:spacing w:after="0" w:line="293" w:lineRule="auto"/>
        <w:rPr>
          <w:sz w:val="20"/>
          <w:szCs w:val="20"/>
          <w:color w:val="auto"/>
        </w:rPr>
      </w:pPr>
      <w:r>
        <w:rPr>
          <w:rFonts w:ascii="Times New Roman" w:cs="Times New Roman" w:eastAsia="Times New Roman" w:hAnsi="Times New Roman"/>
          <w:sz w:val="15"/>
          <w:szCs w:val="15"/>
          <w:color w:val="auto"/>
        </w:rPr>
        <w:t>The nature of the business or purposes to be conducted or promoted is to engage in any lawful act or activity for which corporations may be organized under the General Corporation Law.</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IV</w:t>
      </w:r>
    </w:p>
    <w:p>
      <w:pPr>
        <w:spacing w:after="0" w:line="196" w:lineRule="exact"/>
        <w:rPr>
          <w:sz w:val="20"/>
          <w:szCs w:val="20"/>
          <w:color w:val="auto"/>
        </w:rPr>
      </w:pPr>
    </w:p>
    <w:p>
      <w:pPr>
        <w:ind w:right="40" w:firstLine="451"/>
        <w:spacing w:after="0" w:line="267"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Authorization of Stock</w:t>
      </w:r>
      <w:r>
        <w:rPr>
          <w:rFonts w:ascii="Times New Roman" w:cs="Times New Roman" w:eastAsia="Times New Roman" w:hAnsi="Times New Roman"/>
          <w:sz w:val="15"/>
          <w:szCs w:val="15"/>
          <w:color w:val="auto"/>
        </w:rPr>
        <w:t>. This corporation is authorized to issue two classes of stock to be designated, respectively, common stock and preferred stock. The total number of shares that this corporation is authorized to issue is 212,498,619. The total number of shares of common stock authorized to be issued is 130,000,000, par value $0.0001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The total number of shares of preferred stock authorized to be issued is 82,498,619, par value $0.0001 per share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 of which 11,698,716 shares are designated as “</w:t>
      </w:r>
      <w:r>
        <w:rPr>
          <w:rFonts w:ascii="Times New Roman" w:cs="Times New Roman" w:eastAsia="Times New Roman" w:hAnsi="Times New Roman"/>
          <w:sz w:val="15"/>
          <w:szCs w:val="15"/>
          <w:u w:val="single" w:color="auto"/>
          <w:color w:val="auto"/>
        </w:rPr>
        <w:t>Series A Preferred Stock</w:t>
      </w:r>
      <w:r>
        <w:rPr>
          <w:rFonts w:ascii="Times New Roman" w:cs="Times New Roman" w:eastAsia="Times New Roman" w:hAnsi="Times New Roman"/>
          <w:sz w:val="15"/>
          <w:szCs w:val="15"/>
          <w:color w:val="auto"/>
        </w:rPr>
        <w:t>,” 49,578,623 shares are designated as “</w:t>
      </w:r>
      <w:r>
        <w:rPr>
          <w:rFonts w:ascii="Times New Roman" w:cs="Times New Roman" w:eastAsia="Times New Roman" w:hAnsi="Times New Roman"/>
          <w:sz w:val="15"/>
          <w:szCs w:val="15"/>
          <w:u w:val="single" w:color="auto"/>
          <w:color w:val="auto"/>
        </w:rPr>
        <w:t>Series B Preferred Stock</w:t>
      </w:r>
      <w:r>
        <w:rPr>
          <w:rFonts w:ascii="Times New Roman" w:cs="Times New Roman" w:eastAsia="Times New Roman" w:hAnsi="Times New Roman"/>
          <w:sz w:val="15"/>
          <w:szCs w:val="15"/>
          <w:color w:val="auto"/>
        </w:rPr>
        <w:t>,” and 21,221,280 shares are designated as “</w:t>
      </w:r>
      <w:r>
        <w:rPr>
          <w:rFonts w:ascii="Times New Roman" w:cs="Times New Roman" w:eastAsia="Times New Roman" w:hAnsi="Times New Roman"/>
          <w:sz w:val="15"/>
          <w:szCs w:val="15"/>
          <w:u w:val="single" w:color="auto"/>
          <w:color w:val="auto"/>
        </w:rPr>
        <w:t>Series C Preferred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Stock</w:t>
      </w:r>
      <w:r>
        <w:rPr>
          <w:rFonts w:ascii="Times New Roman" w:cs="Times New Roman" w:eastAsia="Times New Roman" w:hAnsi="Times New Roman"/>
          <w:sz w:val="15"/>
          <w:szCs w:val="15"/>
          <w:color w:val="auto"/>
        </w:rPr>
        <w:t>.”</w:t>
      </w:r>
    </w:p>
    <w:p>
      <w:pPr>
        <w:sectPr>
          <w:pgSz w:w="11900" w:h="16838" w:orient="portrait"/>
          <w:cols w:equalWidth="0" w:num="1">
            <w:col w:w="11260"/>
          </w:cols>
          <w:pgMar w:left="320" w:top="121" w:right="319" w:bottom="1440" w:gutter="0" w:footer="0" w:header="0"/>
        </w:sectPr>
      </w:pPr>
    </w:p>
    <w:bookmarkStart w:id="305" w:name="page306"/>
    <w:bookmarkEnd w:id="305"/>
    <w:p>
      <w:pPr>
        <w:ind w:right="260" w:firstLine="451"/>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B. </w:t>
      </w:r>
      <w:r>
        <w:rPr>
          <w:rFonts w:ascii="Times New Roman" w:cs="Times New Roman" w:eastAsia="Times New Roman" w:hAnsi="Times New Roman"/>
          <w:sz w:val="15"/>
          <w:szCs w:val="15"/>
          <w:u w:val="single" w:color="auto"/>
          <w:color w:val="auto"/>
        </w:rPr>
        <w:t>Rights, Preferences and Restrictions of Preferred Stock</w:t>
      </w:r>
      <w:r>
        <w:rPr>
          <w:rFonts w:ascii="Times New Roman" w:cs="Times New Roman" w:eastAsia="Times New Roman" w:hAnsi="Times New Roman"/>
          <w:sz w:val="15"/>
          <w:szCs w:val="15"/>
          <w:color w:val="auto"/>
        </w:rPr>
        <w:t xml:space="preserve">. The rights, preferences, privileges and restrictions granted to and imposed on the Preferred Stock are as set forth below in this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ind w:left="1160" w:hanging="154"/>
        <w:spacing w:after="0"/>
        <w:tabs>
          <w:tab w:leader="none" w:pos="116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Provisions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firstLine="1456"/>
        <w:spacing w:after="0" w:line="260" w:lineRule="auto"/>
        <w:tabs>
          <w:tab w:leader="none" w:pos="1673"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this corporation’s board of directors (the “</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xml:space="preserve">”). For purposes of this </w:t>
      </w:r>
      <w:r>
        <w:rPr>
          <w:rFonts w:ascii="Times New Roman" w:cs="Times New Roman" w:eastAsia="Times New Roman" w:hAnsi="Times New Roman"/>
          <w:sz w:val="15"/>
          <w:szCs w:val="15"/>
          <w:u w:val="single" w:color="auto"/>
          <w:color w:val="auto"/>
        </w:rPr>
        <w:t>subsection 1(a)</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Dividend Rate</w:t>
      </w:r>
      <w:r>
        <w:rPr>
          <w:rFonts w:ascii="Times New Roman" w:cs="Times New Roman" w:eastAsia="Times New Roman" w:hAnsi="Times New Roman"/>
          <w:sz w:val="15"/>
          <w:szCs w:val="15"/>
          <w:color w:val="auto"/>
        </w:rPr>
        <w:t>” shall mean $0.0250 per annum for each share of Series A Preferred Stock (as adjusted for any stock splits, stock dividends, combinations, subdivisions, recapitalizations or the like), $0.096832 per annum for each share of Series B Preferred Stock (each, as adjusted for any stock splits, stock dividends, combinations, subdivisions, recapitalizations or the like), and $0.150792 per annum for each share of Series C Preferred Stock (each, as adjusted for any stock splits, stock dividends, combinations, subdivisions, recapitalizations or the like). The corporation shall not declare, pay or set aside any dividends on shares of any class or series of capital stock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the greater of (i) the applicable Dividend Rate or (ii) the dividend payable to such other class or series of capital stock of the corporation.</w:t>
      </w:r>
    </w:p>
    <w:p>
      <w:pPr>
        <w:spacing w:after="0" w:line="157" w:lineRule="exact"/>
        <w:rPr>
          <w:rFonts w:ascii="Times New Roman" w:cs="Times New Roman" w:eastAsia="Times New Roman" w:hAnsi="Times New Roman"/>
          <w:sz w:val="15"/>
          <w:szCs w:val="15"/>
          <w:color w:val="auto"/>
        </w:rPr>
      </w:pPr>
    </w:p>
    <w:p>
      <w:pPr>
        <w:ind w:right="80" w:firstLine="1456"/>
        <w:spacing w:after="0" w:line="275" w:lineRule="auto"/>
        <w:tabs>
          <w:tab w:leader="none" w:pos="1682"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 (as defined below).</w:t>
      </w:r>
    </w:p>
    <w:p>
      <w:pPr>
        <w:spacing w:after="0" w:line="144" w:lineRule="exact"/>
        <w:rPr>
          <w:rFonts w:ascii="Times New Roman" w:cs="Times New Roman" w:eastAsia="Times New Roman" w:hAnsi="Times New Roman"/>
          <w:sz w:val="15"/>
          <w:szCs w:val="15"/>
          <w:color w:val="auto"/>
        </w:rPr>
      </w:pPr>
    </w:p>
    <w:p>
      <w:pPr>
        <w:ind w:left="1160" w:hanging="154"/>
        <w:spacing w:after="0"/>
        <w:tabs>
          <w:tab w:leader="none" w:pos="116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Liquidation Preference</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40" w:firstLine="1456"/>
        <w:spacing w:after="0" w:line="261" w:lineRule="auto"/>
        <w:tabs>
          <w:tab w:leader="none" w:pos="1673" w:val="left"/>
        </w:tabs>
        <w:numPr>
          <w:ilvl w:val="1"/>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Liquidation Event (as defined below), either voluntary or involuntary, the holders of each series of Preferred Stock shall be entitled to receive out of the proceeds or assets of this corporation available for distribution to its stockholders (the “</w:t>
      </w:r>
      <w:r>
        <w:rPr>
          <w:rFonts w:ascii="Times New Roman" w:cs="Times New Roman" w:eastAsia="Times New Roman" w:hAnsi="Times New Roman"/>
          <w:sz w:val="15"/>
          <w:szCs w:val="15"/>
          <w:u w:val="single" w:color="auto"/>
          <w:color w:val="auto"/>
        </w:rPr>
        <w:t>Proceeds</w:t>
      </w:r>
      <w:r>
        <w:rPr>
          <w:rFonts w:ascii="Times New Roman" w:cs="Times New Roman" w:eastAsia="Times New Roman" w:hAnsi="Times New Roman"/>
          <w:sz w:val="15"/>
          <w:szCs w:val="15"/>
          <w:color w:val="auto"/>
        </w:rPr>
        <w:t xml:space="preserve">”), prior and in preference to any distribution of the Proceeds of such Liquidation Event to the holders of Common Stock by reason of their ownership thereof, an amount per share equal to the sum of the applicable Original Issue Price (as defined below) for such series of Preferred Stock, plus declared but unpaid dividends on such share.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w:t>
      </w:r>
      <w:r>
        <w:rPr>
          <w:rFonts w:ascii="Times New Roman" w:cs="Times New Roman" w:eastAsia="Times New Roman" w:hAnsi="Times New Roman"/>
          <w:sz w:val="15"/>
          <w:szCs w:val="15"/>
          <w:u w:val="single" w:color="auto"/>
          <w:color w:val="auto"/>
        </w:rPr>
        <w:t>subsection (a)</w:t>
      </w:r>
      <w:r>
        <w:rPr>
          <w:rFonts w:ascii="Times New Roman" w:cs="Times New Roman" w:eastAsia="Times New Roman" w:hAnsi="Times New Roman"/>
          <w:sz w:val="15"/>
          <w:szCs w:val="15"/>
          <w:color w:val="auto"/>
        </w:rPr>
        <w:t>. For purposes of this Amended and Restated Certificate of Incorporation, “</w:t>
      </w:r>
      <w:r>
        <w:rPr>
          <w:rFonts w:ascii="Times New Roman" w:cs="Times New Roman" w:eastAsia="Times New Roman" w:hAnsi="Times New Roman"/>
          <w:sz w:val="15"/>
          <w:szCs w:val="15"/>
          <w:u w:val="single" w:color="auto"/>
          <w:color w:val="auto"/>
        </w:rPr>
        <w:t>Original Issue Price</w:t>
      </w:r>
      <w:r>
        <w:rPr>
          <w:rFonts w:ascii="Times New Roman" w:cs="Times New Roman" w:eastAsia="Times New Roman" w:hAnsi="Times New Roman"/>
          <w:sz w:val="15"/>
          <w:szCs w:val="15"/>
          <w:color w:val="auto"/>
        </w:rPr>
        <w:t>” shall mean $0.312 per share for each share of the Series A Preferred Stock, $1.2104 per share for each share of the Series B Preferred Stock, and $1.8849 per share for each share of the Series C Preferred Stock (each, as adjusted for any stock splits, stock dividends, combinations, subdivisions, recapitalizations or the like with respect to such series of Preferred Stock).</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52" w:right="319" w:bottom="1440" w:gutter="0" w:footer="0" w:header="0"/>
        </w:sectPr>
      </w:pPr>
    </w:p>
    <w:bookmarkStart w:id="306" w:name="page307"/>
    <w:bookmarkEnd w:id="306"/>
    <w:p>
      <w:pPr>
        <w:ind w:right="260" w:firstLine="1456"/>
        <w:spacing w:after="0" w:line="293" w:lineRule="auto"/>
        <w:tabs>
          <w:tab w:leader="none" w:pos="1682"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Upon completion of the distribution required by </w:t>
      </w:r>
      <w:r>
        <w:rPr>
          <w:rFonts w:ascii="Times New Roman" w:cs="Times New Roman" w:eastAsia="Times New Roman" w:hAnsi="Times New Roman"/>
          <w:sz w:val="15"/>
          <w:szCs w:val="15"/>
          <w:u w:val="single" w:color="auto"/>
          <w:color w:val="auto"/>
        </w:rPr>
        <w:t>subsection (a)</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all of the remaining Proceeds available for distribution to stockholders shall be distributed among the holders of Common Stock pro rata based on the number of shares of Common Stock held by each.</w:t>
      </w:r>
    </w:p>
    <w:p>
      <w:pPr>
        <w:spacing w:after="0" w:line="132" w:lineRule="exact"/>
        <w:rPr>
          <w:rFonts w:ascii="Times New Roman" w:cs="Times New Roman" w:eastAsia="Times New Roman" w:hAnsi="Times New Roman"/>
          <w:sz w:val="15"/>
          <w:szCs w:val="15"/>
          <w:color w:val="auto"/>
        </w:rPr>
      </w:pPr>
    </w:p>
    <w:p>
      <w:pPr>
        <w:ind w:right="40" w:firstLine="1456"/>
        <w:spacing w:after="0" w:line="264" w:lineRule="auto"/>
        <w:tabs>
          <w:tab w:leader="none" w:pos="1673"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52" w:lineRule="exact"/>
        <w:rPr>
          <w:rFonts w:ascii="Times New Roman" w:cs="Times New Roman" w:eastAsia="Times New Roman" w:hAnsi="Times New Roman"/>
          <w:sz w:val="15"/>
          <w:szCs w:val="15"/>
          <w:color w:val="auto"/>
        </w:rPr>
      </w:pPr>
    </w:p>
    <w:p>
      <w:pPr>
        <w:ind w:firstLine="1456"/>
        <w:spacing w:after="0" w:line="259" w:lineRule="auto"/>
        <w:tabs>
          <w:tab w:leader="none" w:pos="1682"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 For purposes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u w:val="single" w:color="auto"/>
          <w:color w:val="auto"/>
        </w:rPr>
        <w:t>Liquidation Event</w:t>
      </w:r>
      <w:r>
        <w:rPr>
          <w:rFonts w:ascii="Times New Roman" w:cs="Times New Roman" w:eastAsia="Times New Roman" w:hAnsi="Times New Roman"/>
          <w:sz w:val="15"/>
          <w:szCs w:val="15"/>
          <w:color w:val="auto"/>
        </w:rPr>
        <w:t xml:space="preserve">” shall include (A) the closing of the sale, lease, transfer, exclusive license or other disposition of all or substantially all of this corporation’s assets and/or intellectual property, (B) the consummation of the merger or consolidation of this corporation with or into another entity (except a merger or consolidation in which the holders of capital stock of this corporation immediately prior to such merger or consolidation continue to hold at least fifty percent (50%) of the voting power of the capital stock of this corporation or the surviving or acquiring entity immediately following such merger or consolidation in substantially the same proportions, and with substantially the same terms, as held immediately prior to such merger or consolidation), (C) 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fifty percent (50%) or more of the then outstanding voting stock of this corporation (or the surviving or acquiring entity)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Notwithstanding the prior sentence, the sale by this corporation of its equity securities in a bona fide financing transaction conducted in accordance with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xml:space="preserve"> shall not be deemed a “Liquidation Event.” The treatment of any particular transaction or series of related transactions as a Liquidation Event may be waived by the vote or written consent of the holders of a majority of the then outstanding Preferred Stock (voting together as a single class and not as separate series, and on an as-converted basis).</w:t>
      </w:r>
    </w:p>
    <w:p>
      <w:pPr>
        <w:spacing w:after="0" w:line="162" w:lineRule="exact"/>
        <w:rPr>
          <w:rFonts w:ascii="Times New Roman" w:cs="Times New Roman" w:eastAsia="Times New Roman" w:hAnsi="Times New Roman"/>
          <w:sz w:val="15"/>
          <w:szCs w:val="15"/>
          <w:color w:val="auto"/>
        </w:rPr>
      </w:pPr>
    </w:p>
    <w:p>
      <w:pPr>
        <w:ind w:right="180" w:firstLine="2020"/>
        <w:spacing w:after="0" w:line="293" w:lineRule="auto"/>
        <w:tabs>
          <w:tab w:leader="none" w:pos="2254" w:val="left"/>
        </w:tabs>
        <w:numPr>
          <w:ilvl w:val="1"/>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Liquidation Event, if Proceeds received by this corporation or its stockholders is other than cash, its value will be deemed its fair market value as reasonably determined in good faith by the Board of Directors; provided, however, that any securities shall be valued as follows: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252" w:right="339" w:bottom="1440" w:gutter="0" w:footer="0" w:header="0"/>
        </w:sectPr>
      </w:pPr>
    </w:p>
    <w:bookmarkStart w:id="307" w:name="page308"/>
    <w:bookmarkEnd w:id="307"/>
    <w:p>
      <w:pPr>
        <w:ind w:left="2728" w:hanging="250"/>
        <w:spacing w:after="0"/>
        <w:tabs>
          <w:tab w:leader="none" w:pos="2728" w:val="left"/>
        </w:tabs>
        <w:numPr>
          <w:ilvl w:val="2"/>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Securities not subject to investment letter or other similar restrictions on free marketability covered by (B) below:</w:t>
      </w:r>
    </w:p>
    <w:p>
      <w:pPr>
        <w:spacing w:after="0" w:line="104" w:lineRule="exact"/>
        <w:rPr>
          <w:rFonts w:ascii="Times New Roman" w:cs="Times New Roman" w:eastAsia="Times New Roman" w:hAnsi="Times New Roman"/>
          <w:sz w:val="15"/>
          <w:szCs w:val="15"/>
          <w:color w:val="auto"/>
        </w:rPr>
      </w:pPr>
    </w:p>
    <w:p>
      <w:pPr>
        <w:ind w:left="3148" w:hanging="219"/>
        <w:spacing w:after="0"/>
        <w:tabs>
          <w:tab w:leader="none" w:pos="3148" w:val="left"/>
        </w:tabs>
        <w:numPr>
          <w:ilvl w:val="3"/>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traded on a securities exchange, the value shall be deemed to be the average of the closing prices of the securities on such</w:t>
      </w:r>
    </w:p>
    <w:p>
      <w:pPr>
        <w:spacing w:after="0" w:line="2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over the twenty (20) trading-day period ending three (3) trading days prior to the closing of the Liquidation Event;</w:t>
      </w:r>
    </w:p>
    <w:p>
      <w:pPr>
        <w:spacing w:after="0" w:line="181" w:lineRule="exact"/>
        <w:rPr>
          <w:rFonts w:ascii="Times New Roman" w:cs="Times New Roman" w:eastAsia="Times New Roman" w:hAnsi="Times New Roman"/>
          <w:sz w:val="15"/>
          <w:szCs w:val="15"/>
          <w:color w:val="auto"/>
        </w:rPr>
      </w:pPr>
    </w:p>
    <w:p>
      <w:pPr>
        <w:ind w:left="3148" w:hanging="219"/>
        <w:spacing w:after="0"/>
        <w:tabs>
          <w:tab w:leader="none" w:pos="3148" w:val="left"/>
        </w:tabs>
        <w:numPr>
          <w:ilvl w:val="3"/>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actively traded over-the-counter, the value shall be deemed to be the average of the closing bid or sale prices (whichever is</w:t>
      </w:r>
    </w:p>
    <w:p>
      <w:pPr>
        <w:spacing w:after="0" w:line="2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over the twenty (20) trading-day period ending three (3) trading days prior to the closing of the Liquidation Event; and</w:t>
      </w:r>
    </w:p>
    <w:p>
      <w:pPr>
        <w:spacing w:after="0" w:line="181" w:lineRule="exact"/>
        <w:rPr>
          <w:rFonts w:ascii="Times New Roman" w:cs="Times New Roman" w:eastAsia="Times New Roman" w:hAnsi="Times New Roman"/>
          <w:sz w:val="15"/>
          <w:szCs w:val="15"/>
          <w:color w:val="auto"/>
        </w:rPr>
      </w:pPr>
    </w:p>
    <w:p>
      <w:pPr>
        <w:ind w:left="8" w:right="280" w:firstLine="2921"/>
        <w:spacing w:after="0" w:line="268" w:lineRule="auto"/>
        <w:tabs>
          <w:tab w:leader="none" w:pos="3154" w:val="left"/>
        </w:tabs>
        <w:numPr>
          <w:ilvl w:val="3"/>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no active public market, the value shall be the fair market value thereof, as mutually determined by the Board of Directors and the holders of a majority of the then outstanding shares of Preferred Stock (voting together as a single class and not as separate series, and on an as-converted basis); provided that if a holder of Preferred Stock or an affiliate thereof is an acquiring entity in such Liquidation Event, the shares of Preferred Stock held by such holder shall not be included for purposes of such approval calculation.</w:t>
      </w:r>
    </w:p>
    <w:p>
      <w:pPr>
        <w:spacing w:after="0" w:line="151" w:lineRule="exact"/>
        <w:rPr>
          <w:rFonts w:ascii="Times New Roman" w:cs="Times New Roman" w:eastAsia="Times New Roman" w:hAnsi="Times New Roman"/>
          <w:sz w:val="15"/>
          <w:szCs w:val="15"/>
          <w:color w:val="auto"/>
        </w:rPr>
      </w:pPr>
    </w:p>
    <w:p>
      <w:pPr>
        <w:jc w:val="both"/>
        <w:ind w:left="8" w:right="80" w:firstLine="2470"/>
        <w:spacing w:after="0" w:line="265" w:lineRule="auto"/>
        <w:tabs>
          <w:tab w:leader="none" w:pos="2729" w:val="left"/>
        </w:tabs>
        <w:numPr>
          <w:ilvl w:val="2"/>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mutually determined by the Board of Directors and the holders of a majority of the voting power of all then outstanding shares of such Preferred Stock (voting together as a single class and not as separate series, and on an as-converted basis); provided that if a holder of Preferred Stock or an affiliate thereof is an acquiring entity in such Liquidation Event, the shares of Preferred Stock held by such holder shall not be included for purposes of such approval calculation.</w:t>
      </w:r>
    </w:p>
    <w:p>
      <w:pPr>
        <w:spacing w:after="0" w:line="154" w:lineRule="exact"/>
        <w:rPr>
          <w:rFonts w:ascii="Times New Roman" w:cs="Times New Roman" w:eastAsia="Times New Roman" w:hAnsi="Times New Roman"/>
          <w:sz w:val="15"/>
          <w:szCs w:val="15"/>
          <w:color w:val="auto"/>
        </w:rPr>
      </w:pPr>
    </w:p>
    <w:p>
      <w:pPr>
        <w:ind w:left="8" w:right="340" w:firstLine="2470"/>
        <w:spacing w:after="0" w:line="275" w:lineRule="auto"/>
        <w:tabs>
          <w:tab w:leader="none" w:pos="2729" w:val="left"/>
        </w:tabs>
        <w:numPr>
          <w:ilvl w:val="2"/>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foregoing methods for valuing non-cash consideration to be distributed in connection with a Liquidation Event shall, with the appropriate approval of the definitive agreements governing such Liquidation Event by the stockholders under the General Corporation Law and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be superseded by the determination of such value set forth in the definitive agreements governing such Liquidation Event.</w:t>
      </w:r>
    </w:p>
    <w:p>
      <w:pPr>
        <w:spacing w:after="0" w:line="144" w:lineRule="exact"/>
        <w:rPr>
          <w:rFonts w:ascii="Times New Roman" w:cs="Times New Roman" w:eastAsia="Times New Roman" w:hAnsi="Times New Roman"/>
          <w:sz w:val="15"/>
          <w:szCs w:val="15"/>
          <w:color w:val="auto"/>
        </w:rPr>
      </w:pPr>
    </w:p>
    <w:p>
      <w:pPr>
        <w:ind w:left="2288" w:hanging="260"/>
        <w:spacing w:after="0"/>
        <w:tabs>
          <w:tab w:leader="none" w:pos="2288" w:val="left"/>
        </w:tabs>
        <w:numPr>
          <w:ilvl w:val="1"/>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that a contemplated Liquidation Event would not comply with the requirements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this corporation shall forthwith</w:t>
      </w:r>
    </w:p>
    <w:p>
      <w:pPr>
        <w:spacing w:after="0" w:line="2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89" w:lineRule="exact"/>
        <w:rPr>
          <w:rFonts w:ascii="Times New Roman" w:cs="Times New Roman" w:eastAsia="Times New Roman" w:hAnsi="Times New Roman"/>
          <w:sz w:val="15"/>
          <w:szCs w:val="15"/>
          <w:color w:val="auto"/>
        </w:rPr>
      </w:pPr>
    </w:p>
    <w:p>
      <w:pPr>
        <w:ind w:left="2728" w:hanging="250"/>
        <w:spacing w:after="0"/>
        <w:tabs>
          <w:tab w:leader="none" w:pos="2728" w:val="left"/>
        </w:tabs>
        <w:numPr>
          <w:ilvl w:val="2"/>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cause the closing of such Liquidation Event to be postponed until such time as the requirements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have been complied</w:t>
      </w:r>
    </w:p>
    <w:p>
      <w:pPr>
        <w:spacing w:after="0" w:line="2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or</w:t>
      </w:r>
    </w:p>
    <w:p>
      <w:pPr>
        <w:spacing w:after="0" w:line="181" w:lineRule="exact"/>
        <w:rPr>
          <w:rFonts w:ascii="Times New Roman" w:cs="Times New Roman" w:eastAsia="Times New Roman" w:hAnsi="Times New Roman"/>
          <w:sz w:val="15"/>
          <w:szCs w:val="15"/>
          <w:color w:val="auto"/>
        </w:rPr>
      </w:pPr>
    </w:p>
    <w:p>
      <w:pPr>
        <w:ind w:left="8" w:firstLine="2470"/>
        <w:spacing w:after="0" w:line="293" w:lineRule="auto"/>
        <w:tabs>
          <w:tab w:leader="none" w:pos="2729" w:val="left"/>
        </w:tabs>
        <w:numPr>
          <w:ilvl w:val="2"/>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cancel such transaction, in which event the rights, preferences and privileges of the holders of the Preferred Stock shall revert to and be the same as such rights, preferences and privileges existing immediately prior to the date of the first notice referred to in </w:t>
      </w:r>
      <w:r>
        <w:rPr>
          <w:rFonts w:ascii="Times New Roman" w:cs="Times New Roman" w:eastAsia="Times New Roman" w:hAnsi="Times New Roman"/>
          <w:sz w:val="15"/>
          <w:szCs w:val="15"/>
          <w:u w:val="single" w:color="auto"/>
          <w:color w:val="auto"/>
        </w:rPr>
        <w:t>subsection 2(d)(iv)</w:t>
      </w:r>
      <w:r>
        <w:rPr>
          <w:rFonts w:ascii="Times New Roman" w:cs="Times New Roman" w:eastAsia="Times New Roman" w:hAnsi="Times New Roman"/>
          <w:sz w:val="15"/>
          <w:szCs w:val="15"/>
          <w:color w:val="auto"/>
        </w:rPr>
        <w:t xml:space="preserve"> hereof.</w:t>
      </w:r>
    </w:p>
    <w:p>
      <w:pPr>
        <w:spacing w:after="0" w:line="132" w:lineRule="exact"/>
        <w:rPr>
          <w:rFonts w:ascii="Times New Roman" w:cs="Times New Roman" w:eastAsia="Times New Roman" w:hAnsi="Times New Roman"/>
          <w:sz w:val="15"/>
          <w:szCs w:val="15"/>
          <w:color w:val="auto"/>
        </w:rPr>
      </w:pPr>
    </w:p>
    <w:p>
      <w:pPr>
        <w:ind w:left="2288" w:hanging="260"/>
        <w:spacing w:after="0"/>
        <w:tabs>
          <w:tab w:leader="none" w:pos="2288" w:val="left"/>
        </w:tabs>
        <w:numPr>
          <w:ilvl w:val="1"/>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corporation shall give each holder of record of Preferred Stock written notice of such impending Liquidation Event not later than twenty</w:t>
      </w:r>
    </w:p>
    <w:p>
      <w:pPr>
        <w:spacing w:after="0" w:line="26" w:lineRule="exact"/>
        <w:rPr>
          <w:rFonts w:ascii="Times New Roman" w:cs="Times New Roman" w:eastAsia="Times New Roman" w:hAnsi="Times New Roman"/>
          <w:sz w:val="15"/>
          <w:szCs w:val="15"/>
          <w:color w:val="auto"/>
        </w:rPr>
      </w:pPr>
    </w:p>
    <w:p>
      <w:pPr>
        <w:ind w:left="8" w:right="160" w:hanging="8"/>
        <w:spacing w:after="0" w:line="262" w:lineRule="auto"/>
        <w:tabs>
          <w:tab w:leader="none" w:pos="302" w:val="left"/>
        </w:tabs>
        <w:numPr>
          <w:ilvl w:val="0"/>
          <w:numId w:val="2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and this corporation shall thereafter give such holders prompt notice of any material changes. The transaction shall in no event take place sooner than twenty (20) days after this corporation has given the first notice provided for herein or sooner than ten (10) days</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8"/>
          </w:cols>
          <w:pgMar w:left="312" w:top="252" w:right="319" w:bottom="1440" w:gutter="0" w:footer="0" w:header="0"/>
        </w:sectPr>
      </w:pPr>
    </w:p>
    <w:bookmarkStart w:id="308" w:name="page309"/>
    <w:bookmarkEnd w:id="308"/>
    <w:p>
      <w:pPr>
        <w:jc w:val="both"/>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after this corporation has given notice of any material changes provided for herein; provided, however, that subject to compliance with the General Corporation Law such periods may be shortened or waived upon the written consent of the holders of Preferred Stock that represent a majority of the then outstanding shares of such Preferred Stock (voting together as a single class and not as separate series, and on an as-converted basis).</w:t>
      </w:r>
    </w:p>
    <w:p>
      <w:pPr>
        <w:spacing w:after="0" w:line="145" w:lineRule="exact"/>
        <w:rPr>
          <w:sz w:val="20"/>
          <w:szCs w:val="20"/>
          <w:color w:val="auto"/>
        </w:rPr>
      </w:pPr>
    </w:p>
    <w:p>
      <w:pPr>
        <w:ind w:right="100" w:firstLine="1456"/>
        <w:spacing w:after="0" w:line="260" w:lineRule="auto"/>
        <w:tabs>
          <w:tab w:leader="none" w:pos="1673" w:val="left"/>
        </w:tabs>
        <w:numPr>
          <w:ilvl w:val="1"/>
          <w:numId w:val="2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Allocation of Escrow and Contingent Consideration</w:t>
      </w:r>
      <w:r>
        <w:rPr>
          <w:rFonts w:ascii="Times New Roman" w:cs="Times New Roman" w:eastAsia="Times New Roman" w:hAnsi="Times New Roman"/>
          <w:sz w:val="15"/>
          <w:szCs w:val="15"/>
          <w:color w:val="auto"/>
        </w:rPr>
        <w:t xml:space="preserve">. In the event of a Liquidation Event, if any portion of the Proceeds is placed into escrow and/or is payable to the stockholders of the corporation subject to contingencies, notwithstanding the operation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the definitive agreement with respect to such transaction shall provide that the portion of such Proceeds that is placed in escrow and/or is subject to contingencies shall be allocated among the holders of capital stock of the corporation pro rata based on the amount of such consideration otherwise payable to each stockholder pursuant to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assuming there is no escrow and that none of the Proceeds are otherwise are subject to contingencies (such that each stockholder has the same percentage of the Proceeds payable to it placed into escrow and/or subject to contingencies, as applicable). For purposes of clarification only, (i) the portion of such Proceeds that is not subject to achievement of any milestones or other contingencies (the “</w:t>
      </w:r>
      <w:r>
        <w:rPr>
          <w:rFonts w:ascii="Times New Roman" w:cs="Times New Roman" w:eastAsia="Times New Roman" w:hAnsi="Times New Roman"/>
          <w:sz w:val="15"/>
          <w:szCs w:val="15"/>
          <w:u w:val="single" w:color="auto"/>
          <w:color w:val="auto"/>
        </w:rPr>
        <w:t>Initial Consideration</w:t>
      </w:r>
      <w:r>
        <w:rPr>
          <w:rFonts w:ascii="Times New Roman" w:cs="Times New Roman" w:eastAsia="Times New Roman" w:hAnsi="Times New Roman"/>
          <w:sz w:val="15"/>
          <w:szCs w:val="15"/>
          <w:color w:val="auto"/>
        </w:rPr>
        <w:t xml:space="preserve">”) shall be allocated among the stockholders of this corporation in accordance with </w:t>
      </w:r>
      <w:r>
        <w:rPr>
          <w:rFonts w:ascii="Times New Roman" w:cs="Times New Roman" w:eastAsia="Times New Roman" w:hAnsi="Times New Roman"/>
          <w:sz w:val="15"/>
          <w:szCs w:val="15"/>
          <w:u w:val="single" w:color="auto"/>
          <w:color w:val="auto"/>
        </w:rPr>
        <w:t>Sections 2(a)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2(b)</w:t>
      </w:r>
      <w:r>
        <w:rPr>
          <w:rFonts w:ascii="Times New Roman" w:cs="Times New Roman" w:eastAsia="Times New Roman" w:hAnsi="Times New Roman"/>
          <w:sz w:val="15"/>
          <w:szCs w:val="15"/>
          <w:color w:val="auto"/>
        </w:rPr>
        <w:t xml:space="preserve"> as if the Initial Consideration were the only consideration payable in connection with such Liquidation Event and (ii) any additional consideration which becomes payable to the stockholders of this corporation upon achievement of any milestones or satisfaction of contingencies shall be allocated among the stockholders of this corporation in accordance with </w:t>
      </w:r>
      <w:r>
        <w:rPr>
          <w:rFonts w:ascii="Times New Roman" w:cs="Times New Roman" w:eastAsia="Times New Roman" w:hAnsi="Times New Roman"/>
          <w:sz w:val="15"/>
          <w:szCs w:val="15"/>
          <w:u w:val="single" w:color="auto"/>
          <w:color w:val="auto"/>
        </w:rPr>
        <w:t>Sections 2(a)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2(b)</w:t>
      </w:r>
      <w:r>
        <w:rPr>
          <w:rFonts w:ascii="Times New Roman" w:cs="Times New Roman" w:eastAsia="Times New Roman" w:hAnsi="Times New Roman"/>
          <w:sz w:val="15"/>
          <w:szCs w:val="15"/>
          <w:color w:val="auto"/>
        </w:rPr>
        <w:t xml:space="preserve"> after taking into account the previous payment of the Initial Consideration as part of the same transaction.</w:t>
      </w:r>
    </w:p>
    <w:p>
      <w:pPr>
        <w:spacing w:after="0" w:line="160" w:lineRule="exact"/>
        <w:rPr>
          <w:rFonts w:ascii="Times New Roman" w:cs="Times New Roman" w:eastAsia="Times New Roman" w:hAnsi="Times New Roman"/>
          <w:sz w:val="15"/>
          <w:szCs w:val="15"/>
          <w:color w:val="auto"/>
        </w:rPr>
      </w:pPr>
    </w:p>
    <w:p>
      <w:pPr>
        <w:ind w:left="1160" w:hanging="154"/>
        <w:spacing w:after="0"/>
        <w:tabs>
          <w:tab w:leader="none" w:pos="1160"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Redemption</w:t>
      </w:r>
      <w:r>
        <w:rPr>
          <w:rFonts w:ascii="Times New Roman" w:cs="Times New Roman" w:eastAsia="Times New Roman" w:hAnsi="Times New Roman"/>
          <w:sz w:val="15"/>
          <w:szCs w:val="15"/>
          <w:color w:val="auto"/>
        </w:rPr>
        <w:t>. The Preferred Stock is not redeemable at the option of the holder thereof.</w:t>
      </w:r>
    </w:p>
    <w:p>
      <w:pPr>
        <w:spacing w:after="0" w:line="196" w:lineRule="exact"/>
        <w:rPr>
          <w:rFonts w:ascii="Times New Roman" w:cs="Times New Roman" w:eastAsia="Times New Roman" w:hAnsi="Times New Roman"/>
          <w:sz w:val="15"/>
          <w:szCs w:val="15"/>
          <w:color w:val="auto"/>
        </w:rPr>
      </w:pPr>
    </w:p>
    <w:p>
      <w:pPr>
        <w:ind w:left="1160" w:hanging="154"/>
        <w:spacing w:after="0"/>
        <w:tabs>
          <w:tab w:leader="none" w:pos="1160" w:val="left"/>
        </w:tabs>
        <w:numPr>
          <w:ilvl w:val="0"/>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Conversion</w:t>
      </w:r>
      <w:r>
        <w:rPr>
          <w:rFonts w:ascii="Times New Roman" w:cs="Times New Roman" w:eastAsia="Times New Roman" w:hAnsi="Times New Roman"/>
          <w:sz w:val="15"/>
          <w:szCs w:val="15"/>
          <w:color w:val="auto"/>
        </w:rPr>
        <w:t>. The holders of the Preferred Stock shall have conversion rights as follows (the “</w:t>
      </w:r>
      <w:r>
        <w:rPr>
          <w:rFonts w:ascii="Times New Roman" w:cs="Times New Roman" w:eastAsia="Times New Roman" w:hAnsi="Times New Roman"/>
          <w:sz w:val="15"/>
          <w:szCs w:val="15"/>
          <w:u w:val="single" w:color="auto"/>
          <w:color w:val="auto"/>
        </w:rPr>
        <w:t>Conversion Rights</w:t>
      </w:r>
      <w:r>
        <w:rPr>
          <w:rFonts w:ascii="Times New Roman" w:cs="Times New Roman" w:eastAsia="Times New Roman" w:hAnsi="Times New Roman"/>
          <w:sz w:val="15"/>
          <w:szCs w:val="15"/>
          <w:color w:val="auto"/>
        </w:rPr>
        <w:t>”):</w:t>
      </w:r>
    </w:p>
    <w:p>
      <w:pPr>
        <w:spacing w:after="0" w:line="104" w:lineRule="exact"/>
        <w:rPr>
          <w:rFonts w:ascii="Times New Roman" w:cs="Times New Roman" w:eastAsia="Times New Roman" w:hAnsi="Times New Roman"/>
          <w:sz w:val="15"/>
          <w:szCs w:val="15"/>
          <w:color w:val="auto"/>
        </w:rPr>
      </w:pPr>
    </w:p>
    <w:p>
      <w:pPr>
        <w:ind w:firstLine="1456"/>
        <w:spacing w:after="0" w:line="264" w:lineRule="auto"/>
        <w:tabs>
          <w:tab w:leader="none" w:pos="1673" w:val="left"/>
        </w:tabs>
        <w:numPr>
          <w:ilvl w:val="1"/>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 to Convert</w:t>
      </w:r>
      <w:r>
        <w:rPr>
          <w:rFonts w:ascii="Times New Roman" w:cs="Times New Roman" w:eastAsia="Times New Roman" w:hAnsi="Times New Roman"/>
          <w:sz w:val="15"/>
          <w:szCs w:val="15"/>
          <w:color w:val="auto"/>
        </w:rPr>
        <w:t>. Each share of Preferred Stock shall be convertible, at the option of the holder thereof, at any time after the date of issuance of such share, and without the payment of additional consideration by the holder thereof, at the office of this corporation or any transfer agent for such stock, into such number of fully paid and nonassessable shares of Common Stock as is determined by dividing the applicable Original Issue Price for such series by the applicable Conversion Price (as defined below) for such series (the conversion rate for a series of Preferred Stock into Common Stock is referred to herein as the “</w:t>
      </w:r>
      <w:r>
        <w:rPr>
          <w:rFonts w:ascii="Times New Roman" w:cs="Times New Roman" w:eastAsia="Times New Roman" w:hAnsi="Times New Roman"/>
          <w:sz w:val="15"/>
          <w:szCs w:val="15"/>
          <w:u w:val="single" w:color="auto"/>
          <w:color w:val="auto"/>
        </w:rPr>
        <w:t>Conversion Rate</w:t>
      </w:r>
      <w:r>
        <w:rPr>
          <w:rFonts w:ascii="Times New Roman" w:cs="Times New Roman" w:eastAsia="Times New Roman" w:hAnsi="Times New Roman"/>
          <w:sz w:val="15"/>
          <w:szCs w:val="15"/>
          <w:color w:val="auto"/>
        </w:rPr>
        <w:t>” for such series), determined as hereafter provided, in effect on the date the certificate is surrendered for conversion. The initial “</w:t>
      </w:r>
      <w:r>
        <w:rPr>
          <w:rFonts w:ascii="Times New Roman" w:cs="Times New Roman" w:eastAsia="Times New Roman" w:hAnsi="Times New Roman"/>
          <w:sz w:val="15"/>
          <w:szCs w:val="15"/>
          <w:u w:val="single" w:color="auto"/>
          <w:color w:val="auto"/>
        </w:rPr>
        <w:t>Conversion Price</w:t>
      </w:r>
      <w:r>
        <w:rPr>
          <w:rFonts w:ascii="Times New Roman" w:cs="Times New Roman" w:eastAsia="Times New Roman" w:hAnsi="Times New Roman"/>
          <w:sz w:val="15"/>
          <w:szCs w:val="15"/>
          <w:color w:val="auto"/>
        </w:rPr>
        <w:t xml:space="preserve">” per share for each series of Preferred Stock shall be the Original Issue Price applicable to such series; provided, however, that the Conversion Price for the Preferred Stock shall be subject to adjustment as set forth in </w:t>
      </w:r>
      <w:r>
        <w:rPr>
          <w:rFonts w:ascii="Times New Roman" w:cs="Times New Roman" w:eastAsia="Times New Roman" w:hAnsi="Times New Roman"/>
          <w:sz w:val="15"/>
          <w:szCs w:val="15"/>
          <w:u w:val="single" w:color="auto"/>
          <w:color w:val="auto"/>
        </w:rPr>
        <w:t>subsection 4(d)</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ind w:right="60" w:firstLine="1456"/>
        <w:spacing w:after="0" w:line="262" w:lineRule="auto"/>
        <w:tabs>
          <w:tab w:leader="none" w:pos="1682" w:val="left"/>
        </w:tabs>
        <w:numPr>
          <w:ilvl w:val="1"/>
          <w:numId w:val="2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Automatic Conversion</w:t>
      </w:r>
      <w:r>
        <w:rPr>
          <w:rFonts w:ascii="Times New Roman" w:cs="Times New Roman" w:eastAsia="Times New Roman" w:hAnsi="Times New Roman"/>
          <w:sz w:val="15"/>
          <w:szCs w:val="15"/>
          <w:color w:val="auto"/>
        </w:rPr>
        <w:t>. Each share of Preferred Stock shall automatically be converted into shares of Common Stock at the Conversion Rate at the time in effect for such series of Preferred Stock immediately upon the earlier of (i) the closing of this corporation’s sale of its Common Stock in a firm commitment underwritten public offering on an internationally recognized securities exchange (i.e., NASDAQ, New York Stock Exchange, the Stock Exchange of Hong Kong) pursuant to a registration statement on Form S-1 under the Securities Act of 1933, as amended, or on any comparable form in connection with registration in a jurisdiction other than the United States, with a pre-money valuation of at least $260,000,000 that results in at least $75,000,000 of proceeds to this corporation (a “</w:t>
      </w:r>
      <w:r>
        <w:rPr>
          <w:rFonts w:ascii="Times New Roman" w:cs="Times New Roman" w:eastAsia="Times New Roman" w:hAnsi="Times New Roman"/>
          <w:sz w:val="15"/>
          <w:szCs w:val="15"/>
          <w:u w:val="single" w:color="auto"/>
          <w:color w:val="auto"/>
        </w:rPr>
        <w:t>Qualified Public Offering</w:t>
      </w:r>
      <w:r>
        <w:rPr>
          <w:rFonts w:ascii="Times New Roman" w:cs="Times New Roman" w:eastAsia="Times New Roman" w:hAnsi="Times New Roman"/>
          <w:sz w:val="15"/>
          <w:szCs w:val="15"/>
          <w:color w:val="auto"/>
        </w:rPr>
        <w:t>”) or (ii) the date, or the occurrence of an event, specified by vote or written consent or agreement of the holders of a majority of the then outstanding shares of Preferred Stock (voting together as a single class and not as separate series, and on an as-converted basis).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20"/>
          </w:cols>
          <w:pgMar w:left="320" w:top="252" w:right="359" w:bottom="1440" w:gutter="0" w:footer="0" w:header="0"/>
        </w:sectPr>
      </w:pPr>
    </w:p>
    <w:bookmarkStart w:id="309" w:name="page310"/>
    <w:bookmarkEnd w:id="309"/>
    <w:p>
      <w:pPr>
        <w:ind w:firstLine="1456"/>
        <w:spacing w:after="0" w:line="259" w:lineRule="auto"/>
        <w:tabs>
          <w:tab w:leader="none" w:pos="1673"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Mechanics of Conversion</w:t>
      </w:r>
      <w:r>
        <w:rPr>
          <w:rFonts w:ascii="Times New Roman" w:cs="Times New Roman" w:eastAsia="Times New Roman" w:hAnsi="Times New Roman"/>
          <w:sz w:val="15"/>
          <w:szCs w:val="15"/>
          <w:color w:val="auto"/>
        </w:rPr>
        <w:t xml:space="preserve">. Before any holder of Preferred Stock shall be entitled to voluntarily convert the same into shares of Common Stock,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 issue and deliver at such office to such holder of Preferred Stock, or to the nominee or nominees of such holder, a certificate or certificates for the number of shares of Common Stock to which such holder shall be entitled as aforesaid and (ii) pay in cash or, to the extent sufficient funds are not then legally available therefor, in Common Stock (at the Common Stock’s fair market value determined by the Board of Directors as of the date of such conversion), any declared and unpaid dividends on the shares of Preferred Stock being converted.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Automatic Conversion provisions of </w:t>
      </w:r>
      <w:r>
        <w:rPr>
          <w:rFonts w:ascii="Times New Roman" w:cs="Times New Roman" w:eastAsia="Times New Roman" w:hAnsi="Times New Roman"/>
          <w:sz w:val="15"/>
          <w:szCs w:val="15"/>
          <w:u w:val="single" w:color="auto"/>
          <w:color w:val="auto"/>
        </w:rPr>
        <w:t>subsection 4(b)(ii)</w:t>
      </w:r>
      <w:r>
        <w:rPr>
          <w:rFonts w:ascii="Times New Roman" w:cs="Times New Roman" w:eastAsia="Times New Roman" w:hAnsi="Times New Roman"/>
          <w:sz w:val="15"/>
          <w:szCs w:val="15"/>
          <w:color w:val="auto"/>
        </w:rPr>
        <w:t xml:space="preserve"> above, such conversion shall be deemed to have been made on the conversion date described in the stockholder consent approving such conversion, and the persons entitled to receive shares of Common Stock issuable upon such conversion shall be treated for all purposes as the record holders of such shares of Common Stock as of such date.</w:t>
      </w:r>
    </w:p>
    <w:p>
      <w:pPr>
        <w:spacing w:after="0" w:line="159" w:lineRule="exact"/>
        <w:rPr>
          <w:rFonts w:ascii="Times New Roman" w:cs="Times New Roman" w:eastAsia="Times New Roman" w:hAnsi="Times New Roman"/>
          <w:sz w:val="15"/>
          <w:szCs w:val="15"/>
          <w:color w:val="auto"/>
        </w:rPr>
      </w:pPr>
    </w:p>
    <w:p>
      <w:pPr>
        <w:ind w:right="20" w:firstLine="1456"/>
        <w:spacing w:after="0" w:line="293" w:lineRule="auto"/>
        <w:tabs>
          <w:tab w:leader="none" w:pos="1682"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Conversion Price Adjustments of Preferred Stock for Certain Dilutive Issuances, Splits and Combinations</w:t>
      </w:r>
      <w:r>
        <w:rPr>
          <w:rFonts w:ascii="Times New Roman" w:cs="Times New Roman" w:eastAsia="Times New Roman" w:hAnsi="Times New Roman"/>
          <w:sz w:val="15"/>
          <w:szCs w:val="15"/>
          <w:color w:val="auto"/>
        </w:rPr>
        <w:t>. The Conversion Price of each series of Preferred Stock shall be subject to adjustment from time to time as follows:</w:t>
      </w:r>
    </w:p>
    <w:p>
      <w:pPr>
        <w:spacing w:after="0" w:line="39" w:lineRule="exact"/>
        <w:rPr>
          <w:rFonts w:ascii="Times New Roman" w:cs="Times New Roman" w:eastAsia="Times New Roman" w:hAnsi="Times New Roman"/>
          <w:sz w:val="15"/>
          <w:szCs w:val="15"/>
          <w:color w:val="auto"/>
        </w:rPr>
      </w:pPr>
    </w:p>
    <w:p>
      <w:pPr>
        <w:ind w:right="80" w:firstLine="2020"/>
        <w:spacing w:after="0" w:line="260" w:lineRule="auto"/>
        <w:tabs>
          <w:tab w:leader="none" w:pos="2211" w:val="left"/>
        </w:tabs>
        <w:numPr>
          <w:ilvl w:val="1"/>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If this corporation shall issue, on or after the date upon which this Amended and Restated Certificate of Incorporation is accepted for filing by the Secretary of State of the State of Delaware (the “</w:t>
      </w:r>
      <w:r>
        <w:rPr>
          <w:rFonts w:ascii="Times New Roman" w:cs="Times New Roman" w:eastAsia="Times New Roman" w:hAnsi="Times New Roman"/>
          <w:sz w:val="15"/>
          <w:szCs w:val="15"/>
          <w:u w:val="single" w:color="auto"/>
          <w:color w:val="auto"/>
        </w:rPr>
        <w:t>Filing Date</w:t>
      </w:r>
      <w:r>
        <w:rPr>
          <w:rFonts w:ascii="Times New Roman" w:cs="Times New Roman" w:eastAsia="Times New Roman" w:hAnsi="Times New Roman"/>
          <w:sz w:val="15"/>
          <w:szCs w:val="15"/>
          <w:color w:val="auto"/>
        </w:rPr>
        <w:t xml:space="preserve">”), any Additional Stock (as defined below) without consideration or for a consideration per share that is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immediately prior to such issuance plus the number of shares of such Additional Stock. For purposes of this </w:t>
      </w:r>
      <w:r>
        <w:rPr>
          <w:rFonts w:ascii="Times New Roman" w:cs="Times New Roman" w:eastAsia="Times New Roman" w:hAnsi="Times New Roman"/>
          <w:sz w:val="15"/>
          <w:szCs w:val="15"/>
          <w:u w:val="single" w:color="auto"/>
          <w:color w:val="auto"/>
        </w:rPr>
        <w:t>Section 4(d)(i)(A)</w:t>
      </w:r>
      <w:r>
        <w:rPr>
          <w:rFonts w:ascii="Times New Roman" w:cs="Times New Roman" w:eastAsia="Times New Roman" w:hAnsi="Times New Roman"/>
          <w:sz w:val="15"/>
          <w:szCs w:val="15"/>
          <w:color w:val="auto"/>
        </w:rPr>
        <w:t>, the term “</w:t>
      </w:r>
      <w:r>
        <w:rPr>
          <w:rFonts w:ascii="Times New Roman" w:cs="Times New Roman" w:eastAsia="Times New Roman" w:hAnsi="Times New Roman"/>
          <w:sz w:val="15"/>
          <w:szCs w:val="15"/>
          <w:u w:val="single" w:color="auto"/>
          <w:color w:val="auto"/>
        </w:rPr>
        <w:t>Common Stock Outstanding</w:t>
      </w:r>
      <w:r>
        <w:rPr>
          <w:rFonts w:ascii="Times New Roman" w:cs="Times New Roman" w:eastAsia="Times New Roman" w:hAnsi="Times New Roman"/>
          <w:sz w:val="15"/>
          <w:szCs w:val="15"/>
          <w:color w:val="auto"/>
        </w:rPr>
        <w:t>” shall mean and include the following: (1) outstanding Common Stock, (2) Common Stock issuable upon conversion of outstanding Preferred Stock, (3) Common Stock issuable upon exercise of outstanding stock options and (4) Common Stock issuable upon exercise (and, in the case of warrants to purchase Preferred Stock, conversion) of outstanding warrants. Shares described in (1) through (4) above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252" w:right="319" w:bottom="1440" w:gutter="0" w:footer="0" w:header="0"/>
        </w:sectPr>
      </w:pPr>
    </w:p>
    <w:bookmarkStart w:id="310" w:name="page311"/>
    <w:bookmarkEnd w:id="310"/>
    <w:p>
      <w:pPr>
        <w:ind w:right="6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 Price pursuant to the provisions of this </w:t>
      </w:r>
      <w:r>
        <w:rPr>
          <w:rFonts w:ascii="Times New Roman" w:cs="Times New Roman" w:eastAsia="Times New Roman" w:hAnsi="Times New Roman"/>
          <w:sz w:val="15"/>
          <w:szCs w:val="15"/>
          <w:u w:val="single" w:color="auto"/>
          <w:color w:val="auto"/>
        </w:rPr>
        <w:t>Section 4(d)</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First Dilutive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Issuance</w:t>
      </w:r>
      <w:r>
        <w:rPr>
          <w:rFonts w:ascii="Times New Roman" w:cs="Times New Roman" w:eastAsia="Times New Roman" w:hAnsi="Times New Roman"/>
          <w:sz w:val="15"/>
          <w:szCs w:val="15"/>
          <w:color w:val="auto"/>
        </w:rPr>
        <w:t>”), and this corporation then issues or sells, or is deemed to have issued or sold, shares of Additional Stock in one or more subsequent issuances other than the First Dilutive Issuance that would result in further adjustment to a Conversion Price (each, a “</w:t>
      </w:r>
      <w:r>
        <w:rPr>
          <w:rFonts w:ascii="Times New Roman" w:cs="Times New Roman" w:eastAsia="Times New Roman" w:hAnsi="Times New Roman"/>
          <w:sz w:val="15"/>
          <w:szCs w:val="15"/>
          <w:u w:val="single" w:color="auto"/>
          <w:color w:val="auto"/>
        </w:rPr>
        <w:t>Subsequent Dilutive Issuance</w:t>
      </w:r>
      <w:r>
        <w:rPr>
          <w:rFonts w:ascii="Times New Roman" w:cs="Times New Roman" w:eastAsia="Times New Roman" w:hAnsi="Times New Roman"/>
          <w:sz w:val="15"/>
          <w:szCs w:val="15"/>
          <w:color w:val="auto"/>
        </w:rPr>
        <w:t>”)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w:t>
      </w:r>
    </w:p>
    <w:p>
      <w:pPr>
        <w:spacing w:after="0" w:line="152" w:lineRule="exact"/>
        <w:rPr>
          <w:sz w:val="20"/>
          <w:szCs w:val="20"/>
          <w:color w:val="auto"/>
        </w:rPr>
      </w:pPr>
    </w:p>
    <w:p>
      <w:pPr>
        <w:jc w:val="both"/>
        <w:ind w:right="260" w:firstLine="2470"/>
        <w:spacing w:after="0" w:line="275" w:lineRule="auto"/>
        <w:tabs>
          <w:tab w:leader="none" w:pos="2721"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adjustment of the Conversion Price for the Preferred Stock shall be made in an amount less than one-tenth (1/10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of one cent per share ($0.001). Except to the limited extent provided for in </w:t>
      </w:r>
      <w:r>
        <w:rPr>
          <w:rFonts w:ascii="Times New Roman" w:cs="Times New Roman" w:eastAsia="Times New Roman" w:hAnsi="Times New Roman"/>
          <w:sz w:val="15"/>
          <w:szCs w:val="15"/>
          <w:u w:val="single" w:color="auto"/>
          <w:color w:val="auto"/>
        </w:rPr>
        <w:t>subsections (E)(3)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(E)(4)</w:t>
      </w:r>
      <w:r>
        <w:rPr>
          <w:rFonts w:ascii="Times New Roman" w:cs="Times New Roman" w:eastAsia="Times New Roman" w:hAnsi="Times New Roman"/>
          <w:sz w:val="15"/>
          <w:szCs w:val="15"/>
          <w:color w:val="auto"/>
        </w:rPr>
        <w:t xml:space="preserve">, no adjustment of such Conversion Price pursuant to this </w:t>
      </w:r>
      <w:r>
        <w:rPr>
          <w:rFonts w:ascii="Times New Roman" w:cs="Times New Roman" w:eastAsia="Times New Roman" w:hAnsi="Times New Roman"/>
          <w:sz w:val="15"/>
          <w:szCs w:val="15"/>
          <w:u w:val="single" w:color="auto"/>
          <w:color w:val="auto"/>
        </w:rPr>
        <w:t>subsection 4(d)(i)</w:t>
      </w:r>
      <w:r>
        <w:rPr>
          <w:rFonts w:ascii="Times New Roman" w:cs="Times New Roman" w:eastAsia="Times New Roman" w:hAnsi="Times New Roman"/>
          <w:sz w:val="15"/>
          <w:szCs w:val="15"/>
          <w:color w:val="auto"/>
        </w:rPr>
        <w:t xml:space="preserve"> shall have the effect of increasing the Conversion Price above the Conversion Price in effect immediately prior to such adjustment.</w:t>
      </w:r>
    </w:p>
    <w:p>
      <w:pPr>
        <w:spacing w:after="0" w:line="145" w:lineRule="exact"/>
        <w:rPr>
          <w:rFonts w:ascii="Times New Roman" w:cs="Times New Roman" w:eastAsia="Times New Roman" w:hAnsi="Times New Roman"/>
          <w:sz w:val="15"/>
          <w:szCs w:val="15"/>
          <w:color w:val="auto"/>
        </w:rPr>
      </w:pPr>
    </w:p>
    <w:p>
      <w:pPr>
        <w:jc w:val="both"/>
        <w:ind w:right="180" w:firstLine="2470"/>
        <w:spacing w:after="0" w:line="275" w:lineRule="auto"/>
        <w:tabs>
          <w:tab w:leader="none" w:pos="2721"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44" w:lineRule="exact"/>
        <w:rPr>
          <w:rFonts w:ascii="Times New Roman" w:cs="Times New Roman" w:eastAsia="Times New Roman" w:hAnsi="Times New Roman"/>
          <w:sz w:val="15"/>
          <w:szCs w:val="15"/>
          <w:color w:val="auto"/>
        </w:rPr>
      </w:pPr>
    </w:p>
    <w:p>
      <w:pPr>
        <w:ind w:firstLine="2470"/>
        <w:spacing w:after="0" w:line="293" w:lineRule="auto"/>
        <w:tabs>
          <w:tab w:leader="none" w:pos="273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32" w:lineRule="exact"/>
        <w:rPr>
          <w:rFonts w:ascii="Times New Roman" w:cs="Times New Roman" w:eastAsia="Times New Roman" w:hAnsi="Times New Roman"/>
          <w:sz w:val="15"/>
          <w:szCs w:val="15"/>
          <w:color w:val="auto"/>
        </w:rPr>
      </w:pPr>
    </w:p>
    <w:p>
      <w:pPr>
        <w:jc w:val="both"/>
        <w:ind w:right="260" w:firstLine="2470"/>
        <w:spacing w:after="0" w:line="275" w:lineRule="auto"/>
        <w:tabs>
          <w:tab w:leader="none" w:pos="2713"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52" w:lineRule="exact"/>
        <w:rPr>
          <w:rFonts w:ascii="Times New Roman" w:cs="Times New Roman" w:eastAsia="Times New Roman" w:hAnsi="Times New Roman"/>
          <w:sz w:val="15"/>
          <w:szCs w:val="15"/>
          <w:color w:val="auto"/>
        </w:rPr>
      </w:pPr>
    </w:p>
    <w:p>
      <w:pPr>
        <w:ind w:right="40" w:firstLine="2921"/>
        <w:spacing w:after="0" w:line="265" w:lineRule="auto"/>
        <w:tabs>
          <w:tab w:leader="none" w:pos="3146"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w:t>
      </w:r>
      <w:r>
        <w:rPr>
          <w:rFonts w:ascii="Times New Roman" w:cs="Times New Roman" w:eastAsia="Times New Roman" w:hAnsi="Times New Roman"/>
          <w:sz w:val="15"/>
          <w:szCs w:val="15"/>
          <w:u w:val="single" w:color="auto"/>
          <w:color w:val="auto"/>
        </w:rPr>
        <w:t>subsections 4(d)(i)(C)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(d)(i)(D)</w:t>
      </w:r>
      <w:r>
        <w:rPr>
          <w:rFonts w:ascii="Times New Roman" w:cs="Times New Roman" w:eastAsia="Times New Roman" w:hAnsi="Times New Roman"/>
          <w:sz w:val="15"/>
          <w:szCs w:val="15"/>
          <w:color w:val="auto"/>
        </w:rPr>
        <w:t>), if any, received by this corporation upon the issuance of such options or rights plus the minimum exercise price provided for in such options or rights (without taking into account potential antidilution adjustments) for the Common Stock covered thereby.</w:t>
      </w:r>
    </w:p>
    <w:p>
      <w:pPr>
        <w:spacing w:after="0" w:line="154" w:lineRule="exact"/>
        <w:rPr>
          <w:rFonts w:ascii="Times New Roman" w:cs="Times New Roman" w:eastAsia="Times New Roman" w:hAnsi="Times New Roman"/>
          <w:sz w:val="15"/>
          <w:szCs w:val="15"/>
          <w:color w:val="auto"/>
        </w:rPr>
      </w:pPr>
    </w:p>
    <w:p>
      <w:pPr>
        <w:ind w:firstLine="2921"/>
        <w:spacing w:after="0" w:line="268" w:lineRule="auto"/>
        <w:tabs>
          <w:tab w:leader="none" w:pos="3146"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0"/>
          </w:cols>
          <w:pgMar w:left="320" w:top="252" w:right="339" w:bottom="1440" w:gutter="0" w:footer="0" w:header="0"/>
        </w:sectPr>
      </w:pPr>
    </w:p>
    <w:bookmarkStart w:id="311" w:name="page312"/>
    <w:bookmarkEnd w:id="311"/>
    <w:p>
      <w:pPr>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w:t>
      </w:r>
      <w:r>
        <w:rPr>
          <w:rFonts w:ascii="Times New Roman" w:cs="Times New Roman" w:eastAsia="Times New Roman" w:hAnsi="Times New Roman"/>
          <w:sz w:val="15"/>
          <w:szCs w:val="15"/>
          <w:u w:val="single" w:color="auto"/>
          <w:color w:val="auto"/>
        </w:rPr>
        <w:t>subsections 4(d)(i)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(d)(i)(D)</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firstLine="2921"/>
        <w:spacing w:after="0" w:line="267" w:lineRule="auto"/>
        <w:tabs>
          <w:tab w:leader="none" w:pos="3146"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each applicable series of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339" w:lineRule="exact"/>
        <w:rPr>
          <w:rFonts w:ascii="Times New Roman" w:cs="Times New Roman" w:eastAsia="Times New Roman" w:hAnsi="Times New Roman"/>
          <w:sz w:val="15"/>
          <w:szCs w:val="15"/>
          <w:color w:val="auto"/>
        </w:rPr>
      </w:pPr>
    </w:p>
    <w:p>
      <w:pPr>
        <w:ind w:firstLine="2921"/>
        <w:spacing w:after="0" w:line="265" w:lineRule="auto"/>
        <w:tabs>
          <w:tab w:leader="none" w:pos="3146"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expiration of any such options or rights, the termination of any such rights to convert or exchange or the expiration of any options or rights related to such convertible or exchangeable securities, the Conversion Price of each applicable series of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54" w:lineRule="exact"/>
        <w:rPr>
          <w:rFonts w:ascii="Times New Roman" w:cs="Times New Roman" w:eastAsia="Times New Roman" w:hAnsi="Times New Roman"/>
          <w:sz w:val="15"/>
          <w:szCs w:val="15"/>
          <w:color w:val="auto"/>
        </w:rPr>
      </w:pPr>
    </w:p>
    <w:p>
      <w:pPr>
        <w:ind w:right="100" w:firstLine="2921"/>
        <w:spacing w:after="0" w:line="293" w:lineRule="auto"/>
        <w:tabs>
          <w:tab w:leader="none" w:pos="3146" w:val="left"/>
        </w:tabs>
        <w:numPr>
          <w:ilvl w:val="1"/>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number of shares of Additional Stock deemed issued and the consideration deemed paid therefor pursuant to </w:t>
      </w:r>
      <w:r>
        <w:rPr>
          <w:rFonts w:ascii="Times New Roman" w:cs="Times New Roman" w:eastAsia="Times New Roman" w:hAnsi="Times New Roman"/>
          <w:sz w:val="15"/>
          <w:szCs w:val="15"/>
          <w:u w:val="single" w:color="auto"/>
          <w:color w:val="auto"/>
        </w:rPr>
        <w:t>subsections 4(d)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(i)(E)(1)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w:t>
      </w:r>
      <w:r>
        <w:rPr>
          <w:rFonts w:ascii="Times New Roman" w:cs="Times New Roman" w:eastAsia="Times New Roman" w:hAnsi="Times New Roman"/>
          <w:sz w:val="15"/>
          <w:szCs w:val="15"/>
          <w:color w:val="auto"/>
        </w:rPr>
        <w:t xml:space="preserve"> shall be appropriately adjusted to reflect any change, termination or expiration of the type described in either </w:t>
      </w:r>
      <w:r>
        <w:rPr>
          <w:rFonts w:ascii="Times New Roman" w:cs="Times New Roman" w:eastAsia="Times New Roman" w:hAnsi="Times New Roman"/>
          <w:sz w:val="15"/>
          <w:szCs w:val="15"/>
          <w:u w:val="single" w:color="auto"/>
          <w:color w:val="auto"/>
        </w:rPr>
        <w:t>subsection 4(d)(i)(E)(3)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(4)</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right="300" w:firstLine="2020"/>
        <w:spacing w:after="0" w:line="293" w:lineRule="auto"/>
        <w:tabs>
          <w:tab w:leader="none" w:pos="2254"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Additional Stock</w:t>
      </w:r>
      <w:r>
        <w:rPr>
          <w:rFonts w:ascii="Times New Roman" w:cs="Times New Roman" w:eastAsia="Times New Roman" w:hAnsi="Times New Roman"/>
          <w:sz w:val="15"/>
          <w:szCs w:val="15"/>
          <w:color w:val="auto"/>
        </w:rPr>
        <w:t xml:space="preserve">” shall mean any shares of Common Stock issued (or deemed to have been issued pursuant to </w:t>
      </w:r>
      <w:r>
        <w:rPr>
          <w:rFonts w:ascii="Times New Roman" w:cs="Times New Roman" w:eastAsia="Times New Roman" w:hAnsi="Times New Roman"/>
          <w:sz w:val="15"/>
          <w:szCs w:val="15"/>
          <w:u w:val="single" w:color="auto"/>
          <w:color w:val="auto"/>
        </w:rPr>
        <w:t>subsection 4(d)(i)(E)</w:t>
      </w:r>
      <w:r>
        <w:rPr>
          <w:rFonts w:ascii="Times New Roman" w:cs="Times New Roman" w:eastAsia="Times New Roman" w:hAnsi="Times New Roman"/>
          <w:sz w:val="15"/>
          <w:szCs w:val="15"/>
          <w:color w:val="auto"/>
        </w:rPr>
        <w:t>) by this corporation on or after the Filing Date other than:</w:t>
      </w:r>
    </w:p>
    <w:p>
      <w:pPr>
        <w:spacing w:after="0" w:line="40" w:lineRule="exact"/>
        <w:rPr>
          <w:sz w:val="20"/>
          <w:szCs w:val="20"/>
          <w:color w:val="auto"/>
        </w:rPr>
      </w:pPr>
    </w:p>
    <w:p>
      <w:pPr>
        <w:ind w:left="3180" w:hanging="259"/>
        <w:spacing w:after="0"/>
        <w:tabs>
          <w:tab w:leader="none" w:pos="3180"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Common Stock issued pursuant to a transaction described in </w:t>
      </w:r>
      <w:r>
        <w:rPr>
          <w:rFonts w:ascii="Times New Roman" w:cs="Times New Roman" w:eastAsia="Times New Roman" w:hAnsi="Times New Roman"/>
          <w:sz w:val="15"/>
          <w:szCs w:val="15"/>
          <w:u w:val="single" w:color="auto"/>
          <w:color w:val="auto"/>
        </w:rPr>
        <w:t>subsection 4(d)(iii)</w:t>
      </w:r>
      <w:r>
        <w:rPr>
          <w:rFonts w:ascii="Times New Roman" w:cs="Times New Roman" w:eastAsia="Times New Roman" w:hAnsi="Times New Roman"/>
          <w:sz w:val="15"/>
          <w:szCs w:val="15"/>
          <w:color w:val="auto"/>
        </w:rPr>
        <w:t xml:space="preserve"> hereof;</w:t>
      </w:r>
    </w:p>
    <w:p>
      <w:pPr>
        <w:spacing w:after="0" w:line="196" w:lineRule="exact"/>
        <w:rPr>
          <w:rFonts w:ascii="Times New Roman" w:cs="Times New Roman" w:eastAsia="Times New Roman" w:hAnsi="Times New Roman"/>
          <w:sz w:val="15"/>
          <w:szCs w:val="15"/>
          <w:color w:val="auto"/>
        </w:rPr>
      </w:pPr>
    </w:p>
    <w:p>
      <w:pPr>
        <w:ind w:right="300" w:firstLine="2921"/>
        <w:spacing w:after="0" w:line="275" w:lineRule="auto"/>
        <w:tabs>
          <w:tab w:leader="none" w:pos="3172"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to employees, directors, consultants and other service providers for the primary purpose of soliciting or retaining their services pursuant to the 2016 Equity Incentive Plan or such other equity incentive plan approved and adopted by the Board, including at least two of the Preferred Directors;</w:t>
      </w:r>
    </w:p>
    <w:p>
      <w:pPr>
        <w:spacing w:after="0" w:line="144" w:lineRule="exact"/>
        <w:rPr>
          <w:rFonts w:ascii="Times New Roman" w:cs="Times New Roman" w:eastAsia="Times New Roman" w:hAnsi="Times New Roman"/>
          <w:sz w:val="15"/>
          <w:szCs w:val="15"/>
          <w:color w:val="auto"/>
        </w:rPr>
      </w:pPr>
    </w:p>
    <w:p>
      <w:pPr>
        <w:ind w:left="3160" w:hanging="239"/>
        <w:spacing w:after="0"/>
        <w:tabs>
          <w:tab w:leader="none" w:pos="3160"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pursuant to a Qualified Public Offering;</w:t>
      </w:r>
    </w:p>
    <w:p>
      <w:pPr>
        <w:spacing w:after="0" w:line="196" w:lineRule="exact"/>
        <w:rPr>
          <w:rFonts w:ascii="Times New Roman" w:cs="Times New Roman" w:eastAsia="Times New Roman" w:hAnsi="Times New Roman"/>
          <w:sz w:val="15"/>
          <w:szCs w:val="15"/>
          <w:color w:val="auto"/>
        </w:rPr>
      </w:pPr>
    </w:p>
    <w:p>
      <w:pPr>
        <w:ind w:left="3180" w:hanging="259"/>
        <w:spacing w:after="0"/>
        <w:tabs>
          <w:tab w:leader="none" w:pos="3180"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pursuant to the conversion or exercise of convertible or exercisable securities outstanding on the Filing</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20"/>
          </w:cols>
          <w:pgMar w:left="320" w:top="252" w:right="359" w:bottom="1440" w:gutter="0" w:footer="0" w:header="0"/>
        </w:sectPr>
      </w:pPr>
    </w:p>
    <w:bookmarkStart w:id="312" w:name="page313"/>
    <w:bookmarkEnd w:id="312"/>
    <w:p>
      <w:pPr>
        <w:ind w:right="180" w:firstLine="2921"/>
        <w:spacing w:after="0" w:line="275" w:lineRule="auto"/>
        <w:tabs>
          <w:tab w:leader="none" w:pos="3163"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Common Stock issued in connection with a bona fide business acquisition by this corporation, whether by merger, consolidation, sale of assets, sale or exchange of stock or otherwise; provided that such issuances are approved by the Board of Directors, including the approval of at least two of the Preferred Directors (as defined below);</w:t>
      </w:r>
    </w:p>
    <w:p>
      <w:pPr>
        <w:spacing w:after="0" w:line="144" w:lineRule="exact"/>
        <w:rPr>
          <w:rFonts w:ascii="Times New Roman" w:cs="Times New Roman" w:eastAsia="Times New Roman" w:hAnsi="Times New Roman"/>
          <w:sz w:val="15"/>
          <w:szCs w:val="15"/>
          <w:color w:val="auto"/>
        </w:rPr>
      </w:pPr>
    </w:p>
    <w:p>
      <w:pPr>
        <w:ind w:right="180" w:firstLine="2921"/>
        <w:spacing w:after="0" w:line="293" w:lineRule="auto"/>
        <w:tabs>
          <w:tab w:leader="none" w:pos="3155"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Common Stock issued or deemed issued pursuant to </w:t>
      </w:r>
      <w:r>
        <w:rPr>
          <w:rFonts w:ascii="Times New Roman" w:cs="Times New Roman" w:eastAsia="Times New Roman" w:hAnsi="Times New Roman"/>
          <w:sz w:val="15"/>
          <w:szCs w:val="15"/>
          <w:u w:val="single" w:color="auto"/>
          <w:color w:val="auto"/>
        </w:rPr>
        <w:t>subsection 4(d)(i)(E)</w:t>
      </w:r>
      <w:r>
        <w:rPr>
          <w:rFonts w:ascii="Times New Roman" w:cs="Times New Roman" w:eastAsia="Times New Roman" w:hAnsi="Times New Roman"/>
          <w:sz w:val="15"/>
          <w:szCs w:val="15"/>
          <w:color w:val="auto"/>
        </w:rPr>
        <w:t xml:space="preserve"> as a result of a decrease in the Conversion Price of any series of Preferred Stock resulting from the operation of </w:t>
      </w:r>
      <w:r>
        <w:rPr>
          <w:rFonts w:ascii="Times New Roman" w:cs="Times New Roman" w:eastAsia="Times New Roman" w:hAnsi="Times New Roman"/>
          <w:sz w:val="15"/>
          <w:szCs w:val="15"/>
          <w:u w:val="single" w:color="auto"/>
          <w:color w:val="auto"/>
        </w:rPr>
        <w:t>Section 4(d)</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left="3180" w:hanging="259"/>
        <w:spacing w:after="0"/>
        <w:tabs>
          <w:tab w:leader="none" w:pos="3180"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upon conversion of the Preferred Stock;</w:t>
      </w:r>
    </w:p>
    <w:p>
      <w:pPr>
        <w:spacing w:after="0" w:line="196" w:lineRule="exact"/>
        <w:rPr>
          <w:rFonts w:ascii="Times New Roman" w:cs="Times New Roman" w:eastAsia="Times New Roman" w:hAnsi="Times New Roman"/>
          <w:sz w:val="15"/>
          <w:szCs w:val="15"/>
          <w:color w:val="auto"/>
        </w:rPr>
      </w:pPr>
    </w:p>
    <w:p>
      <w:pPr>
        <w:ind w:right="460" w:firstLine="2921"/>
        <w:spacing w:after="0" w:line="293" w:lineRule="auto"/>
        <w:tabs>
          <w:tab w:leader="none" w:pos="3180"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pursuant to any equipment leasing arrangement or debt financing arrangement, which arrangement is approved by the Board of Directors, including the approval of at least two of the Preferred Directors (as defined below), and is primarily for non-equity financing purposes;</w:t>
      </w:r>
    </w:p>
    <w:p>
      <w:pPr>
        <w:spacing w:after="0" w:line="132" w:lineRule="exact"/>
        <w:rPr>
          <w:rFonts w:ascii="Times New Roman" w:cs="Times New Roman" w:eastAsia="Times New Roman" w:hAnsi="Times New Roman"/>
          <w:sz w:val="15"/>
          <w:szCs w:val="15"/>
          <w:color w:val="auto"/>
        </w:rPr>
      </w:pPr>
    </w:p>
    <w:p>
      <w:pPr>
        <w:ind w:right="120" w:firstLine="2921"/>
        <w:spacing w:after="0" w:line="293" w:lineRule="auto"/>
        <w:tabs>
          <w:tab w:leader="none" w:pos="3120"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issued to persons or entities pursuant to a strategic transaction, provided such issuances are approved by the Board of Directors, including the approval of at least two of the Preferred Directors (as defined below), and are primarily for non-equity financing purposes;</w:t>
      </w:r>
    </w:p>
    <w:p>
      <w:pPr>
        <w:spacing w:after="0" w:line="132" w:lineRule="exact"/>
        <w:rPr>
          <w:rFonts w:ascii="Times New Roman" w:cs="Times New Roman" w:eastAsia="Times New Roman" w:hAnsi="Times New Roman"/>
          <w:sz w:val="15"/>
          <w:szCs w:val="15"/>
          <w:color w:val="auto"/>
        </w:rPr>
      </w:pPr>
    </w:p>
    <w:p>
      <w:pPr>
        <w:ind w:right="140" w:firstLine="2921"/>
        <w:spacing w:after="0" w:line="275" w:lineRule="auto"/>
        <w:tabs>
          <w:tab w:leader="none" w:pos="3129"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that is issued with (a) the unanimous approval of the Board of Directors and the Board of Directors specifically states in such approval that it shall not be Additional Stock and (b) approval of the holders of a majority of the then outstanding shares of Preferred Stock (voting together as a single class and not as separate series, and on an as-converted basis).</w:t>
      </w:r>
    </w:p>
    <w:p>
      <w:pPr>
        <w:spacing w:after="0" w:line="144" w:lineRule="exact"/>
        <w:rPr>
          <w:rFonts w:ascii="Times New Roman" w:cs="Times New Roman" w:eastAsia="Times New Roman" w:hAnsi="Times New Roman"/>
          <w:sz w:val="15"/>
          <w:szCs w:val="15"/>
          <w:color w:val="auto"/>
        </w:rPr>
      </w:pPr>
    </w:p>
    <w:p>
      <w:pPr>
        <w:ind w:right="160" w:firstLine="2020"/>
        <w:spacing w:after="0" w:line="261" w:lineRule="auto"/>
        <w:tabs>
          <w:tab w:leader="none" w:pos="2296"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cs="Times New Roman" w:eastAsia="Times New Roman" w:hAnsi="Times New Roman"/>
          <w:sz w:val="15"/>
          <w:szCs w:val="15"/>
          <w:u w:val="single" w:color="auto"/>
          <w:color w:val="auto"/>
        </w:rPr>
        <w:t>Common Stock Equivalents</w:t>
      </w:r>
      <w:r>
        <w:rPr>
          <w:rFonts w:ascii="Times New Roman" w:cs="Times New Roman" w:eastAsia="Times New Roman" w:hAnsi="Times New Roman"/>
          <w:sz w:val="15"/>
          <w:szCs w:val="15"/>
          <w:color w:val="auto"/>
        </w:rPr>
        <w:t xml:space="preserve">”)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w:t>
      </w:r>
      <w:r>
        <w:rPr>
          <w:rFonts w:ascii="Times New Roman" w:cs="Times New Roman" w:eastAsia="Times New Roman" w:hAnsi="Times New Roman"/>
          <w:sz w:val="15"/>
          <w:szCs w:val="15"/>
          <w:u w:val="single" w:color="auto"/>
          <w:color w:val="auto"/>
        </w:rPr>
        <w:t>subsection 4(d)(i)(E)</w:t>
      </w:r>
      <w:r>
        <w:rPr>
          <w:rFonts w:ascii="Times New Roman" w:cs="Times New Roman" w:eastAsia="Times New Roman" w:hAnsi="Times New Roman"/>
          <w:sz w:val="15"/>
          <w:szCs w:val="15"/>
          <w:color w:val="auto"/>
        </w:rPr>
        <w:t>.</w:t>
      </w:r>
    </w:p>
    <w:p>
      <w:pPr>
        <w:spacing w:after="0" w:line="156" w:lineRule="exact"/>
        <w:rPr>
          <w:rFonts w:ascii="Times New Roman" w:cs="Times New Roman" w:eastAsia="Times New Roman" w:hAnsi="Times New Roman"/>
          <w:sz w:val="15"/>
          <w:szCs w:val="15"/>
          <w:color w:val="auto"/>
        </w:rPr>
      </w:pPr>
    </w:p>
    <w:p>
      <w:pPr>
        <w:ind w:firstLine="2020"/>
        <w:spacing w:after="0" w:line="275" w:lineRule="auto"/>
        <w:tabs>
          <w:tab w:leader="none" w:pos="2288"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w:t>
      </w:r>
    </w:p>
    <w:p>
      <w:pPr>
        <w:spacing w:after="0" w:line="145" w:lineRule="exact"/>
        <w:rPr>
          <w:sz w:val="20"/>
          <w:szCs w:val="20"/>
          <w:color w:val="auto"/>
        </w:rPr>
      </w:pPr>
    </w:p>
    <w:p>
      <w:pPr>
        <w:ind w:right="60" w:firstLine="1456"/>
        <w:spacing w:after="0" w:line="293" w:lineRule="auto"/>
        <w:tabs>
          <w:tab w:leader="none" w:pos="1673" w:val="left"/>
        </w:tabs>
        <w:numPr>
          <w:ilvl w:val="0"/>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Distributions</w:t>
      </w:r>
      <w:r>
        <w:rPr>
          <w:rFonts w:ascii="Times New Roman" w:cs="Times New Roman" w:eastAsia="Times New Roman" w:hAnsi="Times New Roman"/>
          <w:sz w:val="15"/>
          <w:szCs w:val="15"/>
          <w:color w:val="auto"/>
        </w:rPr>
        <w:t xml:space="preserve">. In the event this corporation shall declare a distribution payable in securities of other persons, evidences of indebtedness issued by this corporation or other persons, assets (excluding cash dividends) or options or rights not referred to in </w:t>
      </w:r>
      <w:r>
        <w:rPr>
          <w:rFonts w:ascii="Times New Roman" w:cs="Times New Roman" w:eastAsia="Times New Roman" w:hAnsi="Times New Roman"/>
          <w:sz w:val="15"/>
          <w:szCs w:val="15"/>
          <w:u w:val="single" w:color="auto"/>
          <w:color w:val="auto"/>
        </w:rPr>
        <w:t>subsection 4(d)(iii)</w:t>
      </w:r>
      <w:r>
        <w:rPr>
          <w:rFonts w:ascii="Times New Roman" w:cs="Times New Roman" w:eastAsia="Times New Roman" w:hAnsi="Times New Roman"/>
          <w:sz w:val="15"/>
          <w:szCs w:val="15"/>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252" w:right="319" w:bottom="1440" w:gutter="0" w:footer="0" w:header="0"/>
        </w:sectPr>
      </w:pPr>
    </w:p>
    <w:bookmarkStart w:id="313" w:name="page314"/>
    <w:bookmarkEnd w:id="313"/>
    <w:p>
      <w:pPr>
        <w:jc w:val="both"/>
        <w:ind w:left="8" w:right="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then, in each such case for the purpose of this </w:t>
      </w:r>
      <w:r>
        <w:rPr>
          <w:rFonts w:ascii="Times New Roman" w:cs="Times New Roman" w:eastAsia="Times New Roman" w:hAnsi="Times New Roman"/>
          <w:sz w:val="15"/>
          <w:szCs w:val="15"/>
          <w:u w:val="single" w:color="auto"/>
          <w:color w:val="auto"/>
        </w:rPr>
        <w:t>subsection 4(e)</w:t>
      </w:r>
      <w:r>
        <w:rPr>
          <w:rFonts w:ascii="Times New Roman" w:cs="Times New Roman" w:eastAsia="Times New Roman" w:hAnsi="Times New Roman"/>
          <w:sz w:val="15"/>
          <w:szCs w:val="15"/>
          <w:color w:val="auto"/>
        </w:rPr>
        <w:t>,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w:t>
      </w:r>
    </w:p>
    <w:p>
      <w:pPr>
        <w:spacing w:after="0" w:line="145" w:lineRule="exact"/>
        <w:rPr>
          <w:sz w:val="20"/>
          <w:szCs w:val="20"/>
          <w:color w:val="auto"/>
        </w:rPr>
      </w:pPr>
    </w:p>
    <w:p>
      <w:pPr>
        <w:ind w:left="8" w:firstLine="1456"/>
        <w:spacing w:after="0" w:line="263" w:lineRule="auto"/>
        <w:tabs>
          <w:tab w:leader="none" w:pos="1664"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Recapitalizations</w:t>
      </w:r>
      <w:r>
        <w:rPr>
          <w:rFonts w:ascii="Times New Roman" w:cs="Times New Roman" w:eastAsia="Times New Roman" w:hAnsi="Times New Roman"/>
          <w:sz w:val="15"/>
          <w:szCs w:val="15"/>
          <w:color w:val="auto"/>
        </w:rPr>
        <w:t xml:space="preserve">. If at any time or from time to time there shall be a recapitalization of the Common Stock (other than a subdivision, combination or merger or sale of assets transaction provided for elsewhere in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or in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with respect to the rights of the holders of the Preferred Stock after the recapitalization to the end that the provisions of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(including adjustment of the Conversion Price then in effect and the number of shares purchasable upon conversion of the Preferred Stock) shall be applicable after that event as nearly equivalently as may be practicable.</w:t>
      </w:r>
    </w:p>
    <w:p>
      <w:pPr>
        <w:spacing w:after="0" w:line="341" w:lineRule="exact"/>
        <w:rPr>
          <w:rFonts w:ascii="Times New Roman" w:cs="Times New Roman" w:eastAsia="Times New Roman" w:hAnsi="Times New Roman"/>
          <w:sz w:val="15"/>
          <w:szCs w:val="15"/>
          <w:color w:val="auto"/>
        </w:rPr>
      </w:pPr>
    </w:p>
    <w:p>
      <w:pPr>
        <w:ind w:left="1688" w:hanging="224"/>
        <w:spacing w:after="0"/>
        <w:tabs>
          <w:tab w:leader="none" w:pos="1688"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Fractional Shares and Certificate as to Adjustments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left="8" w:firstLine="2020"/>
        <w:spacing w:after="0" w:line="267" w:lineRule="auto"/>
        <w:tabs>
          <w:tab w:leader="none" w:pos="2219" w:val="left"/>
        </w:tabs>
        <w:numPr>
          <w:ilvl w:val="2"/>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w:t>
      </w:r>
    </w:p>
    <w:p>
      <w:pPr>
        <w:spacing w:after="0" w:line="339" w:lineRule="exact"/>
        <w:rPr>
          <w:rFonts w:ascii="Times New Roman" w:cs="Times New Roman" w:eastAsia="Times New Roman" w:hAnsi="Times New Roman"/>
          <w:sz w:val="15"/>
          <w:szCs w:val="15"/>
          <w:color w:val="auto"/>
        </w:rPr>
      </w:pPr>
    </w:p>
    <w:p>
      <w:pPr>
        <w:ind w:left="8" w:firstLine="2020"/>
        <w:spacing w:after="0" w:line="264" w:lineRule="auto"/>
        <w:tabs>
          <w:tab w:leader="none" w:pos="2261" w:val="left"/>
        </w:tabs>
        <w:numPr>
          <w:ilvl w:val="2"/>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the occurrence of each adjustment or readjustment of the Conversion Price of Preferred Stock pursuant to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w:t>
      </w:r>
    </w:p>
    <w:p>
      <w:pPr>
        <w:spacing w:after="0" w:line="152" w:lineRule="exact"/>
        <w:rPr>
          <w:rFonts w:ascii="Times New Roman" w:cs="Times New Roman" w:eastAsia="Times New Roman" w:hAnsi="Times New Roman"/>
          <w:sz w:val="15"/>
          <w:szCs w:val="15"/>
          <w:color w:val="auto"/>
        </w:rPr>
      </w:pPr>
    </w:p>
    <w:p>
      <w:pPr>
        <w:ind w:left="8" w:firstLine="1456"/>
        <w:spacing w:after="0" w:line="266" w:lineRule="auto"/>
        <w:tabs>
          <w:tab w:leader="none" w:pos="1689" w:val="left"/>
        </w:tabs>
        <w:numPr>
          <w:ilvl w:val="1"/>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 of Record Date</w:t>
      </w:r>
      <w:r>
        <w:rPr>
          <w:rFonts w:ascii="Times New Roman" w:cs="Times New Roman" w:eastAsia="Times New Roman" w:hAnsi="Times New Roman"/>
          <w:sz w:val="15"/>
          <w:szCs w:val="15"/>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w:t>
      </w:r>
    </w:p>
    <w:p>
      <w:pPr>
        <w:spacing w:after="0" w:line="1" w:lineRule="exact"/>
        <w:rPr>
          <w:rFonts w:ascii="Times New Roman" w:cs="Times New Roman" w:eastAsia="Times New Roman" w:hAnsi="Times New Roman"/>
          <w:sz w:val="15"/>
          <w:szCs w:val="15"/>
          <w:color w:val="auto"/>
        </w:rPr>
      </w:pPr>
    </w:p>
    <w:p>
      <w:pPr>
        <w:jc w:val="both"/>
        <w:ind w:left="8" w:right="120" w:hanging="8"/>
        <w:spacing w:after="0" w:line="262" w:lineRule="auto"/>
        <w:tabs>
          <w:tab w:leader="none" w:pos="302" w:val="left"/>
        </w:tabs>
        <w:numPr>
          <w:ilvl w:val="0"/>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prior to the date specified therein, a notice specifying the date on which any such record is to be taken for the purpose of such dividend or distribution, and the amount and character of such dividend or distribution; provided, however, that subject to compliance with the General Corporation Law such notice period may be shortened or waived upon the written consent of the holders of Preferred Stock that represent a majority of the then outstanding shares of such Preferred Stock (voting together as a single class and not as separate series, and on an as-converted basis).</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8"/>
          </w:cols>
          <w:pgMar w:left="312" w:top="252" w:right="339" w:bottom="1440" w:gutter="0" w:footer="0" w:header="0"/>
        </w:sectPr>
      </w:pPr>
    </w:p>
    <w:bookmarkStart w:id="314" w:name="page315"/>
    <w:bookmarkEnd w:id="314"/>
    <w:p>
      <w:pPr>
        <w:ind w:right="100" w:firstLine="1456"/>
        <w:spacing w:after="0" w:line="262" w:lineRule="auto"/>
        <w:tabs>
          <w:tab w:leader="none" w:pos="1648"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Reservation of Stock Issuable Upon Conversion</w:t>
      </w:r>
      <w:r>
        <w:rPr>
          <w:rFonts w:ascii="Times New Roman" w:cs="Times New Roman" w:eastAsia="Times New Roman" w:hAnsi="Times New Roman"/>
          <w:sz w:val="15"/>
          <w:szCs w:val="15"/>
          <w:color w:val="auto"/>
        </w:rPr>
        <w:t>.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w:t>
      </w:r>
    </w:p>
    <w:p>
      <w:pPr>
        <w:spacing w:after="0" w:line="157" w:lineRule="exact"/>
        <w:rPr>
          <w:rFonts w:ascii="Times New Roman" w:cs="Times New Roman" w:eastAsia="Times New Roman" w:hAnsi="Times New Roman"/>
          <w:sz w:val="15"/>
          <w:szCs w:val="15"/>
          <w:color w:val="auto"/>
        </w:rPr>
      </w:pPr>
    </w:p>
    <w:p>
      <w:pPr>
        <w:ind w:firstLine="1456"/>
        <w:spacing w:after="0" w:line="275" w:lineRule="auto"/>
        <w:tabs>
          <w:tab w:leader="none" w:pos="1648" w:val="left"/>
        </w:tabs>
        <w:numPr>
          <w:ilvl w:val="1"/>
          <w:numId w:val="2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Adjustment to Conversion Price</w:t>
      </w:r>
      <w:r>
        <w:rPr>
          <w:rFonts w:ascii="Times New Roman" w:cs="Times New Roman" w:eastAsia="Times New Roman" w:hAnsi="Times New Roman"/>
          <w:sz w:val="15"/>
          <w:szCs w:val="15"/>
          <w:color w:val="auto"/>
        </w:rPr>
        <w:t>. Notwithstanding anything herein to the contrary, any downward adjustment of the Conversion Price of any series of Preferred Stock may be waived, either prospectively or retroactively and either generally or in a particular instance, by the consent or vote of the holders of a majority of then outstanding shares of such series of Preferred Stock. Any such waiver shall bind all future holders of shares of such series of Preferred Stock.</w:t>
      </w:r>
    </w:p>
    <w:p>
      <w:pPr>
        <w:spacing w:after="0" w:line="144" w:lineRule="exact"/>
        <w:rPr>
          <w:rFonts w:ascii="Times New Roman" w:cs="Times New Roman" w:eastAsia="Times New Roman" w:hAnsi="Times New Roman"/>
          <w:sz w:val="15"/>
          <w:szCs w:val="15"/>
          <w:color w:val="auto"/>
        </w:rPr>
      </w:pPr>
    </w:p>
    <w:p>
      <w:pPr>
        <w:ind w:left="1160" w:hanging="154"/>
        <w:spacing w:after="0"/>
        <w:tabs>
          <w:tab w:leader="none" w:pos="1160" w:val="left"/>
        </w:tabs>
        <w:numPr>
          <w:ilvl w:val="0"/>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20" w:firstLine="1456"/>
        <w:spacing w:after="0" w:line="262" w:lineRule="auto"/>
        <w:tabs>
          <w:tab w:leader="none" w:pos="1673" w:val="left"/>
        </w:tabs>
        <w:numPr>
          <w:ilvl w:val="1"/>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Voting Rights</w:t>
      </w:r>
      <w:r>
        <w:rPr>
          <w:rFonts w:ascii="Times New Roman" w:cs="Times New Roman" w:eastAsia="Times New Roman" w:hAnsi="Times New Roman"/>
          <w:sz w:val="15"/>
          <w:szCs w:val="15"/>
          <w:color w:val="auto"/>
        </w:rPr>
        <w:t xml:space="preserve">.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w:t>
      </w:r>
      <w:r>
        <w:rPr>
          <w:rFonts w:ascii="Times New Roman" w:cs="Times New Roman" w:eastAsia="Times New Roman" w:hAnsi="Times New Roman"/>
          <w:sz w:val="15"/>
          <w:szCs w:val="15"/>
          <w:u w:val="single" w:color="auto"/>
          <w:color w:val="auto"/>
        </w:rPr>
        <w:t>subsection 5(b)</w:t>
      </w:r>
      <w:r>
        <w:rPr>
          <w:rFonts w:ascii="Times New Roman" w:cs="Times New Roman" w:eastAsia="Times New Roman" w:hAnsi="Times New Roman"/>
          <w:sz w:val="15"/>
          <w:szCs w:val="15"/>
          <w:color w:val="auto"/>
        </w:rPr>
        <w:t xml:space="preserve"> below with respect to the election of directors by the separate class vote of the holders of Common Stock,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such series of Preferred Stock held by each holder could be converted) shall be rounded to the nearest whole number (with one-half (1/2) being rounded upward).</w:t>
      </w:r>
    </w:p>
    <w:p>
      <w:pPr>
        <w:spacing w:after="0" w:line="157" w:lineRule="exact"/>
        <w:rPr>
          <w:rFonts w:ascii="Times New Roman" w:cs="Times New Roman" w:eastAsia="Times New Roman" w:hAnsi="Times New Roman"/>
          <w:sz w:val="15"/>
          <w:szCs w:val="15"/>
          <w:color w:val="auto"/>
        </w:rPr>
      </w:pPr>
    </w:p>
    <w:p>
      <w:pPr>
        <w:ind w:right="60" w:firstLine="1456"/>
        <w:spacing w:after="0" w:line="262" w:lineRule="auto"/>
        <w:tabs>
          <w:tab w:leader="none" w:pos="1682" w:val="left"/>
        </w:tabs>
        <w:numPr>
          <w:ilvl w:val="1"/>
          <w:numId w:val="2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for the Election of Directors</w:t>
      </w:r>
      <w:r>
        <w:rPr>
          <w:rFonts w:ascii="Times New Roman" w:cs="Times New Roman" w:eastAsia="Times New Roman" w:hAnsi="Times New Roman"/>
          <w:sz w:val="15"/>
          <w:szCs w:val="15"/>
          <w:color w:val="auto"/>
        </w:rPr>
        <w:t>. As long as a majority of the shares of Series A Preferred Stock originally issued remain outstanding, the holders of such shares of Series A Preferred Stock shall be entitled to elect one (1) director of this corporation at any election of directors (the “</w:t>
      </w:r>
      <w:r>
        <w:rPr>
          <w:rFonts w:ascii="Times New Roman" w:cs="Times New Roman" w:eastAsia="Times New Roman" w:hAnsi="Times New Roman"/>
          <w:sz w:val="15"/>
          <w:szCs w:val="15"/>
          <w:u w:val="single" w:color="auto"/>
          <w:color w:val="auto"/>
        </w:rPr>
        <w:t>Series A Director</w:t>
      </w:r>
      <w:r>
        <w:rPr>
          <w:rFonts w:ascii="Times New Roman" w:cs="Times New Roman" w:eastAsia="Times New Roman" w:hAnsi="Times New Roman"/>
          <w:sz w:val="15"/>
          <w:szCs w:val="15"/>
          <w:color w:val="auto"/>
        </w:rPr>
        <w:t>”). As long as at least 10,000,000 shares of Series B Preferred Stock or Series C Preferred Stock remain outstanding (as adjusted for any stock splits, stock dividends, combinations, subdivisions, recapitalizations or the like), the holders of the majority of such shares of Series B Preferred Stock and Series C Preferred Stock (voting together as a single class) shall be entitled to elect two (2) directors of this corporation at any election of directors (each a “</w:t>
      </w:r>
      <w:r>
        <w:rPr>
          <w:rFonts w:ascii="Times New Roman" w:cs="Times New Roman" w:eastAsia="Times New Roman" w:hAnsi="Times New Roman"/>
          <w:sz w:val="15"/>
          <w:szCs w:val="15"/>
          <w:u w:val="single" w:color="auto"/>
          <w:color w:val="auto"/>
        </w:rPr>
        <w:t>Series B/C Director</w:t>
      </w:r>
      <w:r>
        <w:rPr>
          <w:rFonts w:ascii="Times New Roman" w:cs="Times New Roman" w:eastAsia="Times New Roman" w:hAnsi="Times New Roman"/>
          <w:sz w:val="15"/>
          <w:szCs w:val="15"/>
          <w:color w:val="auto"/>
        </w:rPr>
        <w:t>” and together with the Series A Director, the “</w:t>
      </w:r>
      <w:r>
        <w:rPr>
          <w:rFonts w:ascii="Times New Roman" w:cs="Times New Roman" w:eastAsia="Times New Roman" w:hAnsi="Times New Roman"/>
          <w:sz w:val="15"/>
          <w:szCs w:val="15"/>
          <w:u w:val="single" w:color="auto"/>
          <w:color w:val="auto"/>
        </w:rPr>
        <w:t>Preferred Directors</w:t>
      </w:r>
      <w:r>
        <w:rPr>
          <w:rFonts w:ascii="Times New Roman" w:cs="Times New Roman" w:eastAsia="Times New Roman" w:hAnsi="Times New Roman"/>
          <w:sz w:val="15"/>
          <w:szCs w:val="15"/>
          <w:color w:val="auto"/>
        </w:rPr>
        <w:t>”). The holders of outstanding Common Stock shall be entitled to elect three (3) directors of this corporation at any election of directors. The holders of Preferred Stock and Common Stock (voting together as a single class and not as separate series, and on an as-converted basis) shall be entitled to elect any remaining directors of this corporation.</w:t>
      </w:r>
    </w:p>
    <w:p>
      <w:pPr>
        <w:spacing w:after="0" w:line="158" w:lineRule="exact"/>
        <w:rPr>
          <w:sz w:val="20"/>
          <w:szCs w:val="20"/>
          <w:color w:val="auto"/>
        </w:rPr>
      </w:pPr>
    </w:p>
    <w:p>
      <w:pPr>
        <w:ind w:firstLine="451"/>
        <w:spacing w:after="0" w:line="275" w:lineRule="auto"/>
        <w:rPr>
          <w:sz w:val="20"/>
          <w:szCs w:val="20"/>
          <w:color w:val="auto"/>
        </w:rPr>
      </w:pPr>
      <w:r>
        <w:rPr>
          <w:rFonts w:ascii="Times New Roman" w:cs="Times New Roman" w:eastAsia="Times New Roman" w:hAnsi="Times New Roman"/>
          <w:sz w:val="15"/>
          <w:szCs w:val="15"/>
          <w:color w:val="auto"/>
        </w:rPr>
        <w:t>Notwithstanding the provisions of Section 223(a)(1) and 223(a)(2) of the General Corporation Law, any vacancy, including newly created directorships resulting from any increase in the authorized number of directors or amendment of this Amended and Restated Certificate of Incorporation, and vacancies created by removal or resignation of a director, may be filled by a majority of the directors then in office, though less than a quorum, or by a sole remaining director, and the directors so chosen shall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0"/>
          </w:cols>
          <w:pgMar w:left="320" w:top="252" w:right="359" w:bottom="1440" w:gutter="0" w:footer="0" w:header="0"/>
        </w:sectPr>
      </w:pPr>
    </w:p>
    <w:bookmarkStart w:id="315" w:name="page316"/>
    <w:bookmarkEnd w:id="315"/>
    <w:p>
      <w:pPr>
        <w:ind w:left="8" w:right="4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w:t>
      </w:r>
    </w:p>
    <w:p>
      <w:pPr>
        <w:spacing w:after="0" w:line="1" w:lineRule="exact"/>
        <w:rPr>
          <w:sz w:val="20"/>
          <w:szCs w:val="20"/>
          <w:color w:val="auto"/>
        </w:rPr>
      </w:pPr>
    </w:p>
    <w:p>
      <w:pPr>
        <w:ind w:left="8" w:right="80" w:hanging="8"/>
        <w:spacing w:after="0" w:line="260" w:lineRule="auto"/>
        <w:tabs>
          <w:tab w:leader="none" w:pos="191" w:val="left"/>
        </w:tabs>
        <w:numPr>
          <w:ilvl w:val="0"/>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57" w:lineRule="exact"/>
        <w:rPr>
          <w:rFonts w:ascii="Times New Roman" w:cs="Times New Roman" w:eastAsia="Times New Roman" w:hAnsi="Times New Roman"/>
          <w:sz w:val="15"/>
          <w:szCs w:val="15"/>
          <w:color w:val="auto"/>
        </w:rPr>
      </w:pPr>
    </w:p>
    <w:p>
      <w:pPr>
        <w:jc w:val="both"/>
        <w:ind w:left="8" w:right="60" w:firstLine="1006"/>
        <w:spacing w:after="0" w:line="268" w:lineRule="auto"/>
        <w:tabs>
          <w:tab w:leader="none" w:pos="1175" w:val="left"/>
        </w:tabs>
        <w:numPr>
          <w:ilvl w:val="1"/>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Protective Provisions</w:t>
      </w:r>
      <w:r>
        <w:rPr>
          <w:rFonts w:ascii="Times New Roman" w:cs="Times New Roman" w:eastAsia="Times New Roman" w:hAnsi="Times New Roman"/>
          <w:sz w:val="15"/>
          <w:szCs w:val="15"/>
          <w:color w:val="auto"/>
        </w:rPr>
        <w:t>. So long as at least 15,000,000 shares of Preferred Stock remain outstanding (as adjusted for any stock splits, stock dividends, combinations, subdivisions, recapitalizations or the like), this corporation shall not (by amendment, merger, consolidation or otherwise) without (in addition to any other vote required by law or the Amended and Restated Certificate of Incorporation) first obtaining the approval by vote or written consent, as provided by law, of the holders of a majority of the then outstanding shares of Preferred Stock (voting together as a single class and not as separate series, and on an as-converted basis):</w:t>
      </w:r>
    </w:p>
    <w:p>
      <w:pPr>
        <w:spacing w:after="0" w:line="59" w:lineRule="exact"/>
        <w:rPr>
          <w:rFonts w:ascii="Times New Roman" w:cs="Times New Roman" w:eastAsia="Times New Roman" w:hAnsi="Times New Roman"/>
          <w:sz w:val="15"/>
          <w:szCs w:val="15"/>
          <w:color w:val="auto"/>
        </w:rPr>
      </w:pPr>
    </w:p>
    <w:p>
      <w:pPr>
        <w:ind w:left="1668" w:hanging="204"/>
        <w:spacing w:after="0"/>
        <w:tabs>
          <w:tab w:leader="none" w:pos="1668"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consummate a Liquidation Event or effect any other merger or consolidation;</w:t>
      </w:r>
    </w:p>
    <w:p>
      <w:pPr>
        <w:spacing w:after="0" w:line="196" w:lineRule="exact"/>
        <w:rPr>
          <w:rFonts w:ascii="Times New Roman" w:cs="Times New Roman" w:eastAsia="Times New Roman" w:hAnsi="Times New Roman"/>
          <w:sz w:val="15"/>
          <w:szCs w:val="15"/>
          <w:color w:val="auto"/>
        </w:rPr>
      </w:pPr>
    </w:p>
    <w:p>
      <w:pPr>
        <w:ind w:left="8" w:right="80" w:firstLine="1456"/>
        <w:spacing w:after="0" w:line="293" w:lineRule="auto"/>
        <w:tabs>
          <w:tab w:leader="none" w:pos="1690"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adversely alter or change the rights, preferences, privileges and restrictions of the shares of Preferred Stock, or amend, alter or repeal any provision of this corporation’s Amended and Restated Certificate of Incorporation or Bylaws;</w:t>
      </w:r>
    </w:p>
    <w:p>
      <w:pPr>
        <w:spacing w:after="0" w:line="132" w:lineRule="exact"/>
        <w:rPr>
          <w:rFonts w:ascii="Times New Roman" w:cs="Times New Roman" w:eastAsia="Times New Roman" w:hAnsi="Times New Roman"/>
          <w:sz w:val="15"/>
          <w:szCs w:val="15"/>
          <w:color w:val="auto"/>
        </w:rPr>
      </w:pPr>
    </w:p>
    <w:p>
      <w:pPr>
        <w:ind w:left="8" w:right="240" w:firstLine="1456"/>
        <w:spacing w:after="0" w:line="293" w:lineRule="auto"/>
        <w:tabs>
          <w:tab w:leader="none" w:pos="1681"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or decrease (other than by redemption or conversion) the total number of authorized shares of Common Stock or Preferred Stock or designated shares of any series of Preferred Stock;</w:t>
      </w:r>
    </w:p>
    <w:p>
      <w:pPr>
        <w:spacing w:after="0" w:line="132" w:lineRule="exact"/>
        <w:rPr>
          <w:rFonts w:ascii="Times New Roman" w:cs="Times New Roman" w:eastAsia="Times New Roman" w:hAnsi="Times New Roman"/>
          <w:sz w:val="15"/>
          <w:szCs w:val="15"/>
          <w:color w:val="auto"/>
        </w:rPr>
      </w:pPr>
    </w:p>
    <w:p>
      <w:pPr>
        <w:ind w:left="8" w:right="480" w:firstLine="1456"/>
        <w:spacing w:after="0" w:line="293" w:lineRule="auto"/>
        <w:tabs>
          <w:tab w:leader="none" w:pos="1690"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create or issue any equity security (including, without limitation, (i) any other security convertible into or exercisable for any such equity security or (ii) any unit of debt and equity securities) having a preference over, or being on a parity with, any series of Preferred Stock;</w:t>
      </w:r>
    </w:p>
    <w:p>
      <w:pPr>
        <w:spacing w:after="0" w:line="132" w:lineRule="exact"/>
        <w:rPr>
          <w:rFonts w:ascii="Times New Roman" w:cs="Times New Roman" w:eastAsia="Times New Roman" w:hAnsi="Times New Roman"/>
          <w:sz w:val="15"/>
          <w:szCs w:val="15"/>
          <w:color w:val="auto"/>
        </w:rPr>
      </w:pPr>
    </w:p>
    <w:p>
      <w:pPr>
        <w:ind w:left="8" w:right="140" w:firstLine="1456"/>
        <w:spacing w:after="0" w:line="265" w:lineRule="auto"/>
        <w:tabs>
          <w:tab w:leader="none" w:pos="1681"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reclassify, alter or amend any existing security of this corporation that is pari passu with the Series C Preferred Stock with respect to dividends, liquidation or redemption, if such reclassification, alteration or amendment would render such other security senior to the Series C Preferred Stock in respect of any such right, preference or privilege or (ii) reclassify, alter or amend any existing security of this corporation that is junior to the Series C Preferred Stock with respect to dividends, liquidation or redemption, if such reclassification, alteration or amendment would render such other security senior to or pari passu with the Series C Preferred Stock in respect of any such right, preference or privilege;</w:t>
      </w:r>
    </w:p>
    <w:p>
      <w:pPr>
        <w:spacing w:after="0" w:line="154" w:lineRule="exact"/>
        <w:rPr>
          <w:rFonts w:ascii="Times New Roman" w:cs="Times New Roman" w:eastAsia="Times New Roman" w:hAnsi="Times New Roman"/>
          <w:sz w:val="15"/>
          <w:szCs w:val="15"/>
          <w:color w:val="auto"/>
        </w:rPr>
      </w:pPr>
    </w:p>
    <w:p>
      <w:pPr>
        <w:ind w:left="8" w:firstLine="1456"/>
        <w:spacing w:after="0" w:line="268" w:lineRule="auto"/>
        <w:tabs>
          <w:tab w:leader="none" w:pos="1664" w:val="left"/>
        </w:tabs>
        <w:numPr>
          <w:ilvl w:val="2"/>
          <w:numId w:val="2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redeem, purchase or otherwise acquire (or pay into or set aside for a sinking fund for such purpose) any share or shares of Preferred Stock or Common Stock;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28"/>
          </w:cols>
          <w:pgMar w:left="312" w:top="252" w:right="359" w:bottom="1440" w:gutter="0" w:footer="0" w:header="0"/>
        </w:sectPr>
      </w:pPr>
    </w:p>
    <w:bookmarkStart w:id="316" w:name="page317"/>
    <w:bookmarkEnd w:id="316"/>
    <w:p>
      <w:pPr>
        <w:ind w:left="1680" w:hanging="224"/>
        <w:spacing w:after="0"/>
        <w:tabs>
          <w:tab w:leader="none" w:pos="168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change the authorized number of, or method of electing the, directors of this corporation;</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or declare any dividend on any shares of capital stock of this corporation;</w:t>
      </w:r>
    </w:p>
    <w:p>
      <w:pPr>
        <w:spacing w:after="0" w:line="196" w:lineRule="exact"/>
        <w:rPr>
          <w:rFonts w:ascii="Times New Roman" w:cs="Times New Roman" w:eastAsia="Times New Roman" w:hAnsi="Times New Roman"/>
          <w:sz w:val="15"/>
          <w:szCs w:val="15"/>
          <w:color w:val="auto"/>
        </w:rPr>
      </w:pPr>
    </w:p>
    <w:p>
      <w:pPr>
        <w:ind w:right="180" w:firstLine="1456"/>
        <w:spacing w:after="0" w:line="275" w:lineRule="auto"/>
        <w:tabs>
          <w:tab w:leader="none" w:pos="1648"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or amend any stock option plan or similar stock incentive arrangement providing for the issuance of this corporation’s capital stock to employees, officers, directors, consultants or other persons, including any increase to the number of shares of Common Stock reserved for issuance pursuant to such plan or arrangement or any other plan or arrangement existing on the Filing Date;</w:t>
      </w:r>
    </w:p>
    <w:p>
      <w:pPr>
        <w:spacing w:after="0" w:line="144"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an exclusive license to a substantial portion of this corporation’s material intellectual property rights;</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this corporation’s financial auditors;</w:t>
      </w:r>
    </w:p>
    <w:p>
      <w:pPr>
        <w:spacing w:after="0" w:line="196" w:lineRule="exact"/>
        <w:rPr>
          <w:rFonts w:ascii="Times New Roman" w:cs="Times New Roman" w:eastAsia="Times New Roman" w:hAnsi="Times New Roman"/>
          <w:sz w:val="15"/>
          <w:szCs w:val="15"/>
          <w:color w:val="auto"/>
        </w:rPr>
      </w:pPr>
    </w:p>
    <w:p>
      <w:pPr>
        <w:ind w:right="40" w:firstLine="1456"/>
        <w:spacing w:after="0" w:line="275" w:lineRule="auto"/>
        <w:tabs>
          <w:tab w:leader="none" w:pos="1648"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material change to this corporation’s accounting practices; provided, however, no such approval shall be required for any such change made to comport with the then current generally accepted accounting principles in effect in the United States as set forth in pronouncements of the Financial Accounting Standards Board (and its predecessors) and the American Institute of Certified Public Accountants;</w:t>
      </w:r>
    </w:p>
    <w:p>
      <w:pPr>
        <w:spacing w:after="0" w:line="144" w:lineRule="exact"/>
        <w:rPr>
          <w:rFonts w:ascii="Times New Roman" w:cs="Times New Roman" w:eastAsia="Times New Roman" w:hAnsi="Times New Roman"/>
          <w:sz w:val="15"/>
          <w:szCs w:val="15"/>
          <w:color w:val="auto"/>
        </w:rPr>
      </w:pPr>
    </w:p>
    <w:p>
      <w:pPr>
        <w:ind w:right="20" w:firstLine="1456"/>
        <w:spacing w:after="0" w:line="272" w:lineRule="auto"/>
        <w:tabs>
          <w:tab w:leader="none" w:pos="1724"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 create or issue any debt security, or permit any subsidiary to take any such action with respect to any debt security, if the aggregate indebtedness of this corporation and its subsidiaries for borrowed money following such action would exceed $2,500,000 (other than equipment leases, bank lines of credit, or trade payables incurred in the ordinary course of business) unless such debt security has been approved by the Board of Directors, including the approval of at least two (2) of the Preferred Directors; or</w:t>
      </w:r>
    </w:p>
    <w:p>
      <w:pPr>
        <w:spacing w:after="0" w:line="335"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1"/>
          <w:numId w:val="2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amendment to this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firstLine="1006"/>
        <w:spacing w:after="0" w:line="275" w:lineRule="auto"/>
        <w:tabs>
          <w:tab w:leader="none" w:pos="1167"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Status of Converted Stock</w:t>
      </w:r>
      <w:r>
        <w:rPr>
          <w:rFonts w:ascii="Times New Roman" w:cs="Times New Roman" w:eastAsia="Times New Roman" w:hAnsi="Times New Roman"/>
          <w:sz w:val="15"/>
          <w:szCs w:val="15"/>
          <w:color w:val="auto"/>
        </w:rPr>
        <w:t xml:space="preserve">. In the event any shares of Preferred Stock shall be converted pursuant to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hereof, the shares so converted shall be cancelled and shall not be issuable by this corporation. The Amended and Restated Certificate of Incorporation of this corporation shall be appropriately amended to effect the corresponding reduction in this corporation’s authorized capital stock.</w:t>
      </w:r>
    </w:p>
    <w:p>
      <w:pPr>
        <w:spacing w:after="0" w:line="144" w:lineRule="exact"/>
        <w:rPr>
          <w:rFonts w:ascii="Times New Roman" w:cs="Times New Roman" w:eastAsia="Times New Roman" w:hAnsi="Times New Roman"/>
          <w:sz w:val="15"/>
          <w:szCs w:val="15"/>
          <w:color w:val="auto"/>
        </w:rPr>
      </w:pPr>
    </w:p>
    <w:p>
      <w:pPr>
        <w:jc w:val="both"/>
        <w:ind w:right="200" w:firstLine="1006"/>
        <w:spacing w:after="0" w:line="268" w:lineRule="auto"/>
        <w:tabs>
          <w:tab w:leader="none" w:pos="1167" w:val="left"/>
        </w:tabs>
        <w:numPr>
          <w:ilvl w:val="0"/>
          <w:numId w:val="2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xml:space="preserve">. Any notice required by the provisions of this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xml:space="preserve"> to be given to the holders of shares of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40"/>
          </w:cols>
          <w:pgMar w:left="320" w:top="252" w:right="339" w:bottom="1440" w:gutter="0" w:footer="0" w:header="0"/>
        </w:sectPr>
      </w:pPr>
    </w:p>
    <w:bookmarkStart w:id="317" w:name="page318"/>
    <w:bookmarkEnd w:id="317"/>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C.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xml:space="preserve">. The rights, preferences, privileges and restrictions granted to and imposed on the Common Stock are as set forth below in this </w:t>
      </w:r>
      <w:r>
        <w:rPr>
          <w:rFonts w:ascii="Times New Roman" w:cs="Times New Roman" w:eastAsia="Times New Roman" w:hAnsi="Times New Roman"/>
          <w:sz w:val="15"/>
          <w:szCs w:val="15"/>
          <w:u w:val="single" w:color="auto"/>
          <w:color w:val="auto"/>
        </w:rPr>
        <w:t>Article IVC</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jc w:val="both"/>
        <w:ind w:right="40" w:firstLine="1006"/>
        <w:spacing w:after="0" w:line="275" w:lineRule="auto"/>
        <w:tabs>
          <w:tab w:leader="none" w:pos="1167"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Rights</w:t>
      </w:r>
      <w:r>
        <w:rPr>
          <w:rFonts w:ascii="Times New Roman" w:cs="Times New Roman" w:eastAsia="Times New Roman" w:hAnsi="Times New Roman"/>
          <w:sz w:val="15"/>
          <w:szCs w:val="15"/>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44" w:lineRule="exact"/>
        <w:rPr>
          <w:rFonts w:ascii="Times New Roman" w:cs="Times New Roman" w:eastAsia="Times New Roman" w:hAnsi="Times New Roman"/>
          <w:sz w:val="15"/>
          <w:szCs w:val="15"/>
          <w:color w:val="auto"/>
        </w:rPr>
      </w:pPr>
    </w:p>
    <w:p>
      <w:pPr>
        <w:ind w:firstLine="1006"/>
        <w:spacing w:after="0" w:line="293" w:lineRule="auto"/>
        <w:tabs>
          <w:tab w:leader="none" w:pos="1167"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Liquidation Rights</w:t>
      </w:r>
      <w:r>
        <w:rPr>
          <w:rFonts w:ascii="Times New Roman" w:cs="Times New Roman" w:eastAsia="Times New Roman" w:hAnsi="Times New Roman"/>
          <w:sz w:val="15"/>
          <w:szCs w:val="15"/>
          <w:color w:val="auto"/>
        </w:rPr>
        <w:t xml:space="preserve">. Upon the liquidation, dissolution or winding up of this corporation, the assets of this corporation shall be distributed as provided in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xml:space="preserve"> hereof.</w:t>
      </w:r>
    </w:p>
    <w:p>
      <w:pPr>
        <w:spacing w:after="0" w:line="132" w:lineRule="exact"/>
        <w:rPr>
          <w:rFonts w:ascii="Times New Roman" w:cs="Times New Roman" w:eastAsia="Times New Roman" w:hAnsi="Times New Roman"/>
          <w:sz w:val="15"/>
          <w:szCs w:val="15"/>
          <w:color w:val="auto"/>
        </w:rPr>
      </w:pPr>
    </w:p>
    <w:p>
      <w:pPr>
        <w:ind w:left="1160" w:hanging="154"/>
        <w:spacing w:after="0"/>
        <w:tabs>
          <w:tab w:leader="none" w:pos="1160"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Redemption</w:t>
      </w:r>
      <w:r>
        <w:rPr>
          <w:rFonts w:ascii="Times New Roman" w:cs="Times New Roman" w:eastAsia="Times New Roman" w:hAnsi="Times New Roman"/>
          <w:sz w:val="15"/>
          <w:szCs w:val="15"/>
          <w:color w:val="auto"/>
        </w:rPr>
        <w:t>. The Common Stock is not redeemable at the option of the holder.</w:t>
      </w:r>
    </w:p>
    <w:p>
      <w:pPr>
        <w:spacing w:after="0" w:line="196" w:lineRule="exact"/>
        <w:rPr>
          <w:rFonts w:ascii="Times New Roman" w:cs="Times New Roman" w:eastAsia="Times New Roman" w:hAnsi="Times New Roman"/>
          <w:sz w:val="15"/>
          <w:szCs w:val="15"/>
          <w:color w:val="auto"/>
        </w:rPr>
      </w:pPr>
    </w:p>
    <w:p>
      <w:pPr>
        <w:ind w:firstLine="1006"/>
        <w:spacing w:after="0" w:line="262" w:lineRule="auto"/>
        <w:tabs>
          <w:tab w:leader="none" w:pos="1167" w:val="left"/>
        </w:tabs>
        <w:numPr>
          <w:ilvl w:val="0"/>
          <w:numId w:val="2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Voting Rights</w:t>
      </w:r>
      <w:r>
        <w:rPr>
          <w:rFonts w:ascii="Times New Roman" w:cs="Times New Roman" w:eastAsia="Times New Roman" w:hAnsi="Times New Roman"/>
          <w:sz w:val="15"/>
          <w:szCs w:val="15"/>
          <w:color w:val="auto"/>
        </w:rPr>
        <w:t>.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provided, however, that, except as otherwise required by law, holders of Common Stock, as such, shall not be entitled to vote on any amendment to the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Amended and Restated Certificate of Incorporation or pursuant to the General Corporation Law.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w:t>
      </w:r>
    </w:p>
    <w:p>
      <w:pPr>
        <w:spacing w:after="0" w:line="196" w:lineRule="exact"/>
        <w:rPr>
          <w:sz w:val="20"/>
          <w:szCs w:val="20"/>
          <w:color w:val="auto"/>
        </w:rPr>
      </w:pPr>
    </w:p>
    <w:p>
      <w:pPr>
        <w:ind w:right="160" w:firstLine="451"/>
        <w:spacing w:after="0" w:line="293" w:lineRule="auto"/>
        <w:rPr>
          <w:sz w:val="20"/>
          <w:szCs w:val="20"/>
          <w:color w:val="auto"/>
        </w:rPr>
      </w:pPr>
      <w:r>
        <w:rPr>
          <w:rFonts w:ascii="Times New Roman" w:cs="Times New Roman" w:eastAsia="Times New Roman" w:hAnsi="Times New Roman"/>
          <w:sz w:val="15"/>
          <w:szCs w:val="15"/>
          <w:color w:val="auto"/>
        </w:rPr>
        <w:t>Except as otherwise provided in this Amended and Restated Certificate of Incorporation, in furtherance and not in limitation of the powers conferred by statute, the Board of Directors is expressly authorized to make, repeal, alter, amend and rescind any or all of the Bylaws of this corporation.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w:t>
      </w:r>
    </w:p>
    <w:p>
      <w:pPr>
        <w:spacing w:after="0" w:line="196" w:lineRule="exact"/>
        <w:rPr>
          <w:sz w:val="20"/>
          <w:szCs w:val="20"/>
          <w:color w:val="auto"/>
        </w:rPr>
      </w:pPr>
    </w:p>
    <w:p>
      <w:pPr>
        <w:ind w:right="280" w:firstLine="451"/>
        <w:spacing w:after="0" w:line="293" w:lineRule="auto"/>
        <w:rPr>
          <w:sz w:val="20"/>
          <w:szCs w:val="20"/>
          <w:color w:val="auto"/>
        </w:rPr>
      </w:pPr>
      <w:r>
        <w:rPr>
          <w:rFonts w:ascii="Times New Roman" w:cs="Times New Roman" w:eastAsia="Times New Roman" w:hAnsi="Times New Roman"/>
          <w:sz w:val="15"/>
          <w:szCs w:val="15"/>
          <w:color w:val="auto"/>
        </w:rPr>
        <w:t xml:space="preserve">Subject to the requirements of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xml:space="preserve"> hereof, the number of directors of this corporation shall be determined in the manner set forth in the Bylaws of this corporation.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Elections of directors need not be by written ballot unless the Bylaws of this corporation shall so provide.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VIII</w:t>
      </w:r>
    </w:p>
    <w:p>
      <w:pPr>
        <w:spacing w:after="0" w:line="196" w:lineRule="exact"/>
        <w:rPr>
          <w:sz w:val="20"/>
          <w:szCs w:val="20"/>
          <w:color w:val="auto"/>
        </w:rPr>
      </w:pPr>
    </w:p>
    <w:p>
      <w:pPr>
        <w:ind w:right="240" w:firstLine="451"/>
        <w:spacing w:after="0" w:line="275" w:lineRule="auto"/>
        <w:rPr>
          <w:sz w:val="20"/>
          <w:szCs w:val="20"/>
          <w:color w:val="auto"/>
        </w:rPr>
      </w:pPr>
      <w:r>
        <w:rPr>
          <w:rFonts w:ascii="Times New Roman" w:cs="Times New Roman" w:eastAsia="Times New Roman" w:hAnsi="Times New Roman"/>
          <w:sz w:val="15"/>
          <w:szCs w:val="15"/>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20"/>
          </w:cols>
          <w:pgMar w:left="320" w:top="252" w:right="359" w:bottom="1440" w:gutter="0" w:footer="0" w:header="0"/>
        </w:sectPr>
      </w:pPr>
    </w:p>
    <w:bookmarkStart w:id="318" w:name="page319"/>
    <w:bookmarkEnd w:id="318"/>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ARTICLE IX</w:t>
      </w:r>
    </w:p>
    <w:p>
      <w:pPr>
        <w:spacing w:after="0" w:line="196" w:lineRule="exact"/>
        <w:rPr>
          <w:sz w:val="20"/>
          <w:szCs w:val="20"/>
          <w:color w:val="auto"/>
        </w:rPr>
      </w:pPr>
    </w:p>
    <w:p>
      <w:pPr>
        <w:ind w:right="260" w:firstLine="451"/>
        <w:spacing w:after="0" w:line="268" w:lineRule="auto"/>
        <w:rPr>
          <w:sz w:val="20"/>
          <w:szCs w:val="20"/>
          <w:color w:val="auto"/>
        </w:rPr>
      </w:pPr>
      <w:r>
        <w:rPr>
          <w:rFonts w:ascii="Times New Roman" w:cs="Times New Roman" w:eastAsia="Times New Roman" w:hAnsi="Times New Roman"/>
          <w:sz w:val="15"/>
          <w:szCs w:val="15"/>
          <w:color w:val="auto"/>
        </w:rPr>
        <w:t xml:space="preserve">To the fullest extent permitted by law, a director of this corporation shall not be personally liable to this corporation or its stockholders for monetary damages for breach of fiduciary duty as a director. If the General Corporation Law is amended after approval by the stockholders of this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 xml:space="preserve">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52" w:lineRule="exact"/>
        <w:rPr>
          <w:sz w:val="20"/>
          <w:szCs w:val="20"/>
          <w:color w:val="auto"/>
        </w:rPr>
      </w:pPr>
    </w:p>
    <w:p>
      <w:pPr>
        <w:jc w:val="both"/>
        <w:ind w:right="80" w:firstLine="451"/>
        <w:spacing w:after="0" w:line="275" w:lineRule="auto"/>
        <w:rPr>
          <w:sz w:val="20"/>
          <w:szCs w:val="20"/>
          <w:color w:val="auto"/>
        </w:rPr>
      </w:pPr>
      <w:r>
        <w:rPr>
          <w:rFonts w:ascii="Times New Roman" w:cs="Times New Roman" w:eastAsia="Times New Roman" w:hAnsi="Times New Roman"/>
          <w:sz w:val="15"/>
          <w:szCs w:val="15"/>
          <w:color w:val="auto"/>
        </w:rPr>
        <w:t xml:space="preserve">Any amendment, repeal or modification of the foregoing provisions of this </w:t>
      </w:r>
      <w:r>
        <w:rPr>
          <w:rFonts w:ascii="Times New Roman" w:cs="Times New Roman" w:eastAsia="Times New Roman" w:hAnsi="Times New Roman"/>
          <w:sz w:val="15"/>
          <w:szCs w:val="15"/>
          <w:u w:val="single" w:color="auto"/>
          <w:color w:val="auto"/>
        </w:rPr>
        <w:t>Article IX</w:t>
      </w:r>
      <w:r>
        <w:rPr>
          <w:rFonts w:ascii="Times New Roman" w:cs="Times New Roman" w:eastAsia="Times New Roman" w:hAnsi="Times New Roman"/>
          <w:sz w:val="15"/>
          <w:szCs w:val="15"/>
          <w:color w:val="auto"/>
        </w:rPr>
        <w:t xml:space="preserve">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w:t>
      </w:r>
    </w:p>
    <w:p>
      <w:pPr>
        <w:spacing w:after="0" w:line="196" w:lineRule="exact"/>
        <w:rPr>
          <w:sz w:val="20"/>
          <w:szCs w:val="20"/>
          <w:color w:val="auto"/>
        </w:rPr>
      </w:pPr>
    </w:p>
    <w:p>
      <w:pPr>
        <w:ind w:firstLine="451"/>
        <w:spacing w:after="0" w:line="293" w:lineRule="auto"/>
        <w:rPr>
          <w:sz w:val="20"/>
          <w:szCs w:val="20"/>
          <w:color w:val="auto"/>
        </w:rPr>
      </w:pPr>
      <w:r>
        <w:rPr>
          <w:rFonts w:ascii="Times New Roman" w:cs="Times New Roman" w:eastAsia="Times New Roman" w:hAnsi="Times New Roman"/>
          <w:sz w:val="15"/>
          <w:szCs w:val="15"/>
          <w:color w:val="auto"/>
        </w:rPr>
        <w:t xml:space="preserve">This corporation reserves the right to amend, alter, change or repeal any provision contained in this Amended and Restated Certificate of Incorporation, in the manner now or hereafter prescribed by statute, and, subject to the requirements of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u w:val="single" w:color="auto"/>
          <w:color w:val="auto"/>
        </w:rPr>
        <w:t>Article IVB</w:t>
      </w:r>
      <w:r>
        <w:rPr>
          <w:rFonts w:ascii="Times New Roman" w:cs="Times New Roman" w:eastAsia="Times New Roman" w:hAnsi="Times New Roman"/>
          <w:sz w:val="15"/>
          <w:szCs w:val="15"/>
          <w:color w:val="auto"/>
        </w:rPr>
        <w:t xml:space="preserve"> hereof, all rights conferred upon stockholders herein are granted subject to this reservation.</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w:t>
      </w:r>
    </w:p>
    <w:p>
      <w:pPr>
        <w:spacing w:after="0" w:line="196" w:lineRule="exact"/>
        <w:rPr>
          <w:sz w:val="20"/>
          <w:szCs w:val="20"/>
          <w:color w:val="auto"/>
        </w:rPr>
      </w:pPr>
    </w:p>
    <w:p>
      <w:pPr>
        <w:jc w:val="both"/>
        <w:ind w:right="140" w:firstLine="451"/>
        <w:spacing w:after="0" w:line="268" w:lineRule="auto"/>
        <w:rPr>
          <w:sz w:val="20"/>
          <w:szCs w:val="20"/>
          <w:color w:val="auto"/>
        </w:rPr>
      </w:pPr>
      <w:r>
        <w:rPr>
          <w:rFonts w:ascii="Times New Roman" w:cs="Times New Roman" w:eastAsia="Times New Roman" w:hAnsi="Times New Roman"/>
          <w:sz w:val="15"/>
          <w:szCs w:val="15"/>
          <w:color w:val="auto"/>
        </w:rPr>
        <w:t>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w:t>
      </w:r>
    </w:p>
    <w:p>
      <w:pPr>
        <w:spacing w:after="0" w:line="152" w:lineRule="exact"/>
        <w:rPr>
          <w:sz w:val="20"/>
          <w:szCs w:val="20"/>
          <w:color w:val="auto"/>
        </w:rPr>
      </w:pPr>
    </w:p>
    <w:p>
      <w:pPr>
        <w:ind w:right="40" w:firstLine="451"/>
        <w:spacing w:after="0" w:line="275" w:lineRule="auto"/>
        <w:rPr>
          <w:sz w:val="20"/>
          <w:szCs w:val="20"/>
          <w:color w:val="auto"/>
        </w:rPr>
      </w:pPr>
      <w:r>
        <w:rPr>
          <w:rFonts w:ascii="Times New Roman" w:cs="Times New Roman" w:eastAsia="Times New Roman" w:hAnsi="Times New Roman"/>
          <w:sz w:val="15"/>
          <w:szCs w:val="15"/>
          <w:color w:val="auto"/>
        </w:rPr>
        <w:t xml:space="preserve">Any amendment, repeal or modification of the foregoing provisions of this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xml:space="preserve">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XII</w:t>
      </w:r>
    </w:p>
    <w:p>
      <w:pPr>
        <w:spacing w:after="0" w:line="196" w:lineRule="exact"/>
        <w:rPr>
          <w:sz w:val="20"/>
          <w:szCs w:val="20"/>
          <w:color w:val="auto"/>
        </w:rPr>
      </w:pPr>
    </w:p>
    <w:p>
      <w:pPr>
        <w:ind w:firstLine="451"/>
        <w:spacing w:after="0" w:line="264" w:lineRule="auto"/>
        <w:rPr>
          <w:sz w:val="20"/>
          <w:szCs w:val="20"/>
          <w:color w:val="auto"/>
        </w:rPr>
      </w:pPr>
      <w:r>
        <w:rPr>
          <w:rFonts w:ascii="Times New Roman" w:cs="Times New Roman" w:eastAsia="Times New Roman" w:hAnsi="Times New Roman"/>
          <w:sz w:val="15"/>
          <w:szCs w:val="15"/>
          <w:color w:val="auto"/>
        </w:rPr>
        <w:t>This corporation renounces any interest or expectancy of this corporation in, or in being offered an opportunity to participate in, any Excluded Opportunity. An “</w:t>
      </w:r>
      <w:r>
        <w:rPr>
          <w:rFonts w:ascii="Times New Roman" w:cs="Times New Roman" w:eastAsia="Times New Roman" w:hAnsi="Times New Roman"/>
          <w:sz w:val="15"/>
          <w:szCs w:val="15"/>
          <w:u w:val="single" w:color="auto"/>
          <w:color w:val="auto"/>
        </w:rPr>
        <w:t>Excluded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Opportunity</w:t>
      </w:r>
      <w:r>
        <w:rPr>
          <w:rFonts w:ascii="Times New Roman" w:cs="Times New Roman" w:eastAsia="Times New Roman" w:hAnsi="Times New Roman"/>
          <w:sz w:val="15"/>
          <w:szCs w:val="15"/>
          <w:color w:val="auto"/>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 “</w:t>
      </w:r>
      <w:r>
        <w:rPr>
          <w:rFonts w:ascii="Times New Roman" w:cs="Times New Roman" w:eastAsia="Times New Roman" w:hAnsi="Times New Roman"/>
          <w:sz w:val="15"/>
          <w:szCs w:val="15"/>
          <w:u w:val="single" w:color="auto"/>
          <w:color w:val="auto"/>
        </w:rPr>
        <w:t>Covered Persons</w:t>
      </w:r>
      <w:r>
        <w:rPr>
          <w:rFonts w:ascii="Times New Roman" w:cs="Times New Roman" w:eastAsia="Times New Roman" w:hAnsi="Times New Roman"/>
          <w:sz w:val="15"/>
          <w:szCs w:val="15"/>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40"/>
          </w:cols>
          <w:pgMar w:left="320" w:top="252" w:right="339"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XIII</w:t>
      </w:r>
    </w:p>
    <w:p>
      <w:pPr>
        <w:spacing w:after="0" w:line="196" w:lineRule="exact"/>
        <w:rPr>
          <w:sz w:val="20"/>
          <w:szCs w:val="20"/>
          <w:color w:val="auto"/>
        </w:rPr>
      </w:pPr>
    </w:p>
    <w:p>
      <w:pPr>
        <w:ind w:firstLine="451"/>
        <w:spacing w:after="0" w:line="265" w:lineRule="auto"/>
        <w:rPr>
          <w:sz w:val="20"/>
          <w:szCs w:val="20"/>
          <w:color w:val="auto"/>
        </w:rPr>
      </w:pPr>
      <w:r>
        <w:rPr>
          <w:rFonts w:ascii="Times New Roman" w:cs="Times New Roman" w:eastAsia="Times New Roman" w:hAnsi="Times New Roman"/>
          <w:sz w:val="15"/>
          <w:szCs w:val="15"/>
          <w:color w:val="auto"/>
        </w:rPr>
        <w:t>In connection with repurchases by this corporation of its Common Stock from employees, officers, directors, advisors, consultants or other persons performing services for this corporation or any subsidiary pursuant to agreements under which this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XIV</w:t>
      </w:r>
    </w:p>
    <w:p>
      <w:pPr>
        <w:spacing w:after="0" w:line="196"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Forum Selection</w:t>
      </w:r>
      <w:r>
        <w:rPr>
          <w:rFonts w:ascii="Times New Roman" w:cs="Times New Roman" w:eastAsia="Times New Roman" w:hAnsi="Times New Roman"/>
          <w:sz w:val="15"/>
          <w:szCs w:val="15"/>
          <w:color w:val="auto"/>
        </w:rPr>
        <w:t xml:space="preserve">.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Amended and Restated Certificate of Incorporation or the Bylaws (as either may be amended from time to time),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w:t>
      </w:r>
      <w:r>
        <w:rPr>
          <w:rFonts w:ascii="Times New Roman" w:cs="Times New Roman" w:eastAsia="Times New Roman" w:hAnsi="Times New Roman"/>
          <w:sz w:val="15"/>
          <w:szCs w:val="15"/>
          <w:u w:val="single" w:color="auto"/>
          <w:color w:val="auto"/>
        </w:rPr>
        <w:t>Article XIV</w:t>
      </w:r>
      <w:r>
        <w:rPr>
          <w:rFonts w:ascii="Times New Roman" w:cs="Times New Roman" w:eastAsia="Times New Roman" w:hAnsi="Times New Roman"/>
          <w:sz w:val="15"/>
          <w:szCs w:val="15"/>
          <w:color w:val="auto"/>
        </w:rPr>
        <w:t>.</w:t>
      </w:r>
    </w:p>
    <w:p>
      <w:pPr>
        <w:spacing w:after="0" w:line="156" w:lineRule="exact"/>
        <w:rPr>
          <w:sz w:val="20"/>
          <w:szCs w:val="20"/>
          <w:color w:val="auto"/>
        </w:rPr>
      </w:pPr>
    </w:p>
    <w:p>
      <w:pPr>
        <w:jc w:val="both"/>
        <w:ind w:right="60" w:firstLine="451"/>
        <w:spacing w:after="0" w:line="268" w:lineRule="auto"/>
        <w:rPr>
          <w:sz w:val="20"/>
          <w:szCs w:val="20"/>
          <w:color w:val="auto"/>
        </w:rPr>
      </w:pPr>
      <w:r>
        <w:rPr>
          <w:rFonts w:ascii="Times New Roman" w:cs="Times New Roman" w:eastAsia="Times New Roman" w:hAnsi="Times New Roman"/>
          <w:sz w:val="15"/>
          <w:szCs w:val="15"/>
          <w:color w:val="auto"/>
        </w:rPr>
        <w:t xml:space="preserve">B. </w:t>
      </w:r>
      <w:r>
        <w:rPr>
          <w:rFonts w:ascii="Times New Roman" w:cs="Times New Roman" w:eastAsia="Times New Roman" w:hAnsi="Times New Roman"/>
          <w:sz w:val="15"/>
          <w:szCs w:val="15"/>
          <w:u w:val="single" w:color="auto"/>
          <w:color w:val="auto"/>
        </w:rPr>
        <w:t>Personal Jurisdiction</w:t>
      </w:r>
      <w:r>
        <w:rPr>
          <w:rFonts w:ascii="Times New Roman" w:cs="Times New Roman" w:eastAsia="Times New Roman" w:hAnsi="Times New Roman"/>
          <w:sz w:val="15"/>
          <w:szCs w:val="15"/>
          <w:color w:val="auto"/>
        </w:rPr>
        <w:t xml:space="preserve">. If any action the subject matter of which is within the scope of </w:t>
      </w:r>
      <w:r>
        <w:rPr>
          <w:rFonts w:ascii="Times New Roman" w:cs="Times New Roman" w:eastAsia="Times New Roman" w:hAnsi="Times New Roman"/>
          <w:sz w:val="15"/>
          <w:szCs w:val="15"/>
          <w:u w:val="single" w:color="auto"/>
          <w:color w:val="auto"/>
        </w:rPr>
        <w:t>Article XIVA</w:t>
      </w:r>
      <w:r>
        <w:rPr>
          <w:rFonts w:ascii="Times New Roman" w:cs="Times New Roman" w:eastAsia="Times New Roman" w:hAnsi="Times New Roman"/>
          <w:sz w:val="15"/>
          <w:szCs w:val="15"/>
          <w:color w:val="auto"/>
        </w:rPr>
        <w:t xml:space="preserve"> is filed in a court other than a court located within the State of Delaware (a “</w:t>
      </w:r>
      <w:r>
        <w:rPr>
          <w:rFonts w:ascii="Times New Roman" w:cs="Times New Roman" w:eastAsia="Times New Roman" w:hAnsi="Times New Roman"/>
          <w:sz w:val="15"/>
          <w:szCs w:val="15"/>
          <w:u w:val="single" w:color="auto"/>
          <w:color w:val="auto"/>
        </w:rPr>
        <w:t>Foreign Action</w:t>
      </w:r>
      <w:r>
        <w:rPr>
          <w:rFonts w:ascii="Times New Roman" w:cs="Times New Roman" w:eastAsia="Times New Roman" w:hAnsi="Times New Roman"/>
          <w:sz w:val="15"/>
          <w:szCs w:val="15"/>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5"/>
          <w:szCs w:val="15"/>
          <w:u w:val="single" w:color="auto"/>
          <w:color w:val="auto"/>
        </w:rPr>
        <w:t>Article XIVA</w:t>
      </w:r>
      <w:r>
        <w:rPr>
          <w:rFonts w:ascii="Times New Roman" w:cs="Times New Roman" w:eastAsia="Times New Roman" w:hAnsi="Times New Roman"/>
          <w:sz w:val="15"/>
          <w:szCs w:val="15"/>
          <w:color w:val="auto"/>
        </w:rPr>
        <w:t xml:space="preserve"> (an “</w:t>
      </w:r>
      <w:r>
        <w:rPr>
          <w:rFonts w:ascii="Times New Roman" w:cs="Times New Roman" w:eastAsia="Times New Roman" w:hAnsi="Times New Roman"/>
          <w:sz w:val="15"/>
          <w:szCs w:val="15"/>
          <w:u w:val="single" w:color="auto"/>
          <w:color w:val="auto"/>
        </w:rPr>
        <w:t>FSC Enforcement Action</w:t>
      </w:r>
      <w:r>
        <w:rPr>
          <w:rFonts w:ascii="Times New Roman" w:cs="Times New Roman" w:eastAsia="Times New Roman" w:hAnsi="Times New Roman"/>
          <w:sz w:val="15"/>
          <w:szCs w:val="15"/>
          <w:color w:val="auto"/>
        </w:rPr>
        <w:t>”) and (ii) having service of process made upon such stockholder in any such FSC Enforcement Action by service upon such stockholder’s counsel in the Foreign Action as agent for such stockholder.</w:t>
      </w:r>
    </w:p>
    <w:p>
      <w:pPr>
        <w:spacing w:after="0" w:line="152" w:lineRule="exact"/>
        <w:rPr>
          <w:sz w:val="20"/>
          <w:szCs w:val="20"/>
          <w:color w:val="auto"/>
        </w:rPr>
      </w:pPr>
    </w:p>
    <w:p>
      <w:pPr>
        <w:ind w:right="20" w:firstLine="451"/>
        <w:spacing w:after="0" w:line="267" w:lineRule="auto"/>
        <w:rPr>
          <w:sz w:val="20"/>
          <w:szCs w:val="20"/>
          <w:color w:val="auto"/>
        </w:rPr>
      </w:pPr>
      <w:r>
        <w:rPr>
          <w:rFonts w:ascii="Times New Roman" w:cs="Times New Roman" w:eastAsia="Times New Roman" w:hAnsi="Times New Roman"/>
          <w:sz w:val="15"/>
          <w:szCs w:val="15"/>
          <w:color w:val="auto"/>
        </w:rPr>
        <w:t xml:space="preserve">C. </w:t>
      </w:r>
      <w:r>
        <w:rPr>
          <w:rFonts w:ascii="Times New Roman" w:cs="Times New Roman" w:eastAsia="Times New Roman" w:hAnsi="Times New Roman"/>
          <w:sz w:val="15"/>
          <w:szCs w:val="15"/>
          <w:u w:val="single" w:color="auto"/>
          <w:color w:val="auto"/>
        </w:rPr>
        <w:t>Savings</w:t>
      </w:r>
      <w:r>
        <w:rPr>
          <w:rFonts w:ascii="Times New Roman" w:cs="Times New Roman" w:eastAsia="Times New Roman" w:hAnsi="Times New Roman"/>
          <w:sz w:val="15"/>
          <w:szCs w:val="15"/>
          <w:color w:val="auto"/>
        </w:rPr>
        <w:t xml:space="preserve">. If any provision or provisions of this </w:t>
      </w:r>
      <w:r>
        <w:rPr>
          <w:rFonts w:ascii="Times New Roman" w:cs="Times New Roman" w:eastAsia="Times New Roman" w:hAnsi="Times New Roman"/>
          <w:sz w:val="15"/>
          <w:szCs w:val="15"/>
          <w:u w:val="single" w:color="auto"/>
          <w:color w:val="auto"/>
        </w:rPr>
        <w:t>Article XIV</w:t>
      </w:r>
      <w:r>
        <w:rPr>
          <w:rFonts w:ascii="Times New Roman" w:cs="Times New Roman" w:eastAsia="Times New Roman" w:hAnsi="Times New Roman"/>
          <w:sz w:val="15"/>
          <w:szCs w:val="15"/>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5"/>
          <w:szCs w:val="15"/>
          <w:u w:val="single" w:color="auto"/>
          <w:color w:val="auto"/>
        </w:rPr>
        <w:t>Article XIV</w:t>
      </w:r>
      <w:r>
        <w:rPr>
          <w:rFonts w:ascii="Times New Roman" w:cs="Times New Roman" w:eastAsia="Times New Roman" w:hAnsi="Times New Roman"/>
          <w:sz w:val="15"/>
          <w:szCs w:val="15"/>
          <w:color w:val="auto"/>
        </w:rPr>
        <w:t xml:space="preserve"> (including, without limitation, each portion of any sentence of this </w:t>
      </w:r>
      <w:r>
        <w:rPr>
          <w:rFonts w:ascii="Times New Roman" w:cs="Times New Roman" w:eastAsia="Times New Roman" w:hAnsi="Times New Roman"/>
          <w:sz w:val="15"/>
          <w:szCs w:val="15"/>
          <w:u w:val="single" w:color="auto"/>
          <w:color w:val="auto"/>
        </w:rPr>
        <w:t>Article XIV</w:t>
      </w:r>
      <w:r>
        <w:rPr>
          <w:rFonts w:ascii="Times New Roman" w:cs="Times New Roman" w:eastAsia="Times New Roman" w:hAnsi="Times New Roman"/>
          <w:sz w:val="15"/>
          <w:szCs w:val="15"/>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 *</w:t>
      </w:r>
    </w:p>
    <w:p>
      <w:pPr>
        <w:spacing w:after="0" w:line="192" w:lineRule="exact"/>
        <w:rPr>
          <w:sz w:val="20"/>
          <w:szCs w:val="20"/>
          <w:color w:val="auto"/>
        </w:rPr>
      </w:pPr>
    </w:p>
    <w:p>
      <w:pPr>
        <w:ind w:right="1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THIRD</w:t>
      </w:r>
      <w:r>
        <w:rPr>
          <w:rFonts w:ascii="Times New Roman" w:cs="Times New Roman" w:eastAsia="Times New Roman" w:hAnsi="Times New Roman"/>
          <w:sz w:val="15"/>
          <w:szCs w:val="15"/>
          <w:color w:val="auto"/>
        </w:rPr>
        <w:t>: The foregoing amendment and restatement was approved by the holders of the requisite number of shares of said corporation in accordance with Section 228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General Corporation Law.</w:t>
      </w:r>
    </w:p>
    <w:p>
      <w:pPr>
        <w:spacing w:after="0" w:line="125" w:lineRule="exact"/>
        <w:rPr>
          <w:sz w:val="20"/>
          <w:szCs w:val="20"/>
          <w:color w:val="auto"/>
        </w:rPr>
      </w:pPr>
    </w:p>
    <w:p>
      <w:pPr>
        <w:ind w:right="1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FOURTH</w:t>
      </w:r>
      <w:r>
        <w:rPr>
          <w:rFonts w:ascii="Times New Roman" w:cs="Times New Roman" w:eastAsia="Times New Roman" w:hAnsi="Times New Roman"/>
          <w:sz w:val="15"/>
          <w:szCs w:val="15"/>
          <w:color w:val="auto"/>
        </w:rPr>
        <w:t>: That said Amended and Restated Certificate of Incorporation, which restates and integrates and further amends the provisions of this corporation’s Amended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Restated Certificate of Incorporation, has been duly adopted in accordance with Sections 242 and 245 of the General Corporation Law.</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20"/>
          </w:cols>
          <w:pgMar w:left="320" w:top="252" w:right="359" w:bottom="1440" w:gutter="0" w:footer="0" w:header="0"/>
        </w:sectPr>
      </w:pPr>
    </w:p>
    <w:bookmarkStart w:id="320" w:name="page321"/>
    <w:bookmarkEnd w:id="320"/>
    <w:p>
      <w:pPr>
        <w:ind w:right="3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this Amended and Restated Certificate of Incorporation has been executed by a duly authorized officer of this corporation on this 23</w:t>
      </w:r>
      <w:r>
        <w:rPr>
          <w:rFonts w:ascii="Times New Roman" w:cs="Times New Roman" w:eastAsia="Times New Roman" w:hAnsi="Times New Roman"/>
          <w:sz w:val="13"/>
          <w:szCs w:val="13"/>
          <w:color w:val="auto"/>
        </w:rPr>
        <w:t>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September, 2020.</w:t>
      </w:r>
    </w:p>
    <w:p>
      <w:pPr>
        <w:spacing w:after="0" w:line="1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Bobak Azamian</w:t>
            </w:r>
          </w:p>
        </w:tc>
      </w:tr>
      <w:tr>
        <w:trPr>
          <w:trHeight w:val="162"/>
        </w:trPr>
        <w:tc>
          <w:tcPr>
            <w:tcW w:w="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Bobak Azamian</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ERTIFICATE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NCORPORATION FOR</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1260"/>
          </w:cols>
          <w:pgMar w:left="320" w:top="248" w:right="319" w:bottom="1440" w:gutter="0" w:footer="0" w:header="0"/>
        </w:sectPr>
      </w:pPr>
    </w:p>
    <w:bookmarkStart w:id="321" w:name="page322"/>
    <w:bookmarkEnd w:id="32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CERTIFICATE OF AMENDMENT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AMENDED AND RESTATED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CERTIFICATE OF INCORPORATION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Tarsus Pharmaceuticals, Inc., a corporation organized and existing under and by virtue of the General Corporation Law of the State of Delaware (the “</w:t>
      </w:r>
      <w:r>
        <w:rPr>
          <w:rFonts w:ascii="Times New Roman" w:cs="Times New Roman" w:eastAsia="Times New Roman" w:hAnsi="Times New Roman"/>
          <w:sz w:val="15"/>
          <w:szCs w:val="15"/>
          <w:u w:val="single" w:color="auto"/>
          <w:color w:val="auto"/>
        </w:rPr>
        <w:t>Corporation</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DOES HEREBY CERTIFY:</w:t>
      </w:r>
    </w:p>
    <w:p>
      <w:pPr>
        <w:spacing w:after="0" w:line="104" w:lineRule="exact"/>
        <w:rPr>
          <w:sz w:val="20"/>
          <w:szCs w:val="20"/>
          <w:color w:val="auto"/>
        </w:rPr>
      </w:pPr>
    </w:p>
    <w:p>
      <w:pPr>
        <w:ind w:right="2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FIRST</w:t>
      </w:r>
      <w:r>
        <w:rPr>
          <w:rFonts w:ascii="Times New Roman" w:cs="Times New Roman" w:eastAsia="Times New Roman" w:hAnsi="Times New Roman"/>
          <w:sz w:val="15"/>
          <w:szCs w:val="15"/>
          <w:color w:val="auto"/>
        </w:rPr>
        <w:t>: That the name of this corporation is Tarsus Pharmaceuticals, Inc. and that this corporation was originally incorporated pursuant to the General Corporation Law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November 17, 2016 under the name Tarsus Pharmaceuticals, Inc.</w:t>
      </w:r>
    </w:p>
    <w:p>
      <w:pPr>
        <w:spacing w:after="0" w:line="1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SECOND</w:t>
      </w:r>
      <w:r>
        <w:rPr>
          <w:rFonts w:ascii="Times New Roman" w:cs="Times New Roman" w:eastAsia="Times New Roman" w:hAnsi="Times New Roman"/>
          <w:sz w:val="15"/>
          <w:szCs w:val="15"/>
          <w:color w:val="auto"/>
        </w:rPr>
        <w:t>: That the Board of Directors of the Corporation duly adopted a resolution setting forth a proposed amendment to the Amended and Restated Certificate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Incorporation, as amended, declaring said amendment to be advisable and in the best interests of the Corporation and its stockholders and authorizing the appropriate officers of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Corporation to solicit the consent of the stockholders therefor, which resolution setting forth the proposed amendment is as follows:</w:t>
      </w:r>
    </w:p>
    <w:p>
      <w:pPr>
        <w:spacing w:after="0" w:line="86" w:lineRule="exact"/>
        <w:rPr>
          <w:sz w:val="20"/>
          <w:szCs w:val="20"/>
          <w:color w:val="auto"/>
        </w:rPr>
      </w:pPr>
    </w:p>
    <w:p>
      <w:pPr>
        <w:ind w:left="440" w:right="520" w:firstLine="432"/>
        <w:spacing w:after="0" w:line="298" w:lineRule="auto"/>
        <w:rPr>
          <w:sz w:val="20"/>
          <w:szCs w:val="20"/>
          <w:color w:val="auto"/>
        </w:rPr>
      </w:pPr>
      <w:r>
        <w:rPr>
          <w:rFonts w:ascii="Times New Roman" w:cs="Times New Roman" w:eastAsia="Times New Roman" w:hAnsi="Times New Roman"/>
          <w:sz w:val="15"/>
          <w:szCs w:val="15"/>
          <w:b w:val="1"/>
          <w:bCs w:val="1"/>
          <w:color w:val="auto"/>
        </w:rPr>
        <w:t>RESOLVED FURTHER</w:t>
      </w:r>
      <w:r>
        <w:rPr>
          <w:rFonts w:ascii="Times New Roman" w:cs="Times New Roman" w:eastAsia="Times New Roman" w:hAnsi="Times New Roman"/>
          <w:sz w:val="15"/>
          <w:szCs w:val="15"/>
          <w:color w:val="auto"/>
        </w:rPr>
        <w:t>, that Article IV(A), of the Amended and Restated Certificate of Incorporation of the Corporation be amended to read in its entirety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follows:</w:t>
      </w:r>
    </w:p>
    <w:p>
      <w:pPr>
        <w:spacing w:after="0" w:line="37" w:lineRule="exact"/>
        <w:rPr>
          <w:sz w:val="20"/>
          <w:szCs w:val="20"/>
          <w:color w:val="auto"/>
        </w:rPr>
      </w:pPr>
    </w:p>
    <w:p>
      <w:pPr>
        <w:ind w:left="1000" w:firstLine="410"/>
        <w:spacing w:after="0" w:line="259"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Reverse Stock Split; Authorization of Stock</w:t>
      </w:r>
      <w:r>
        <w:rPr>
          <w:rFonts w:ascii="Times New Roman" w:cs="Times New Roman" w:eastAsia="Times New Roman" w:hAnsi="Times New Roman"/>
          <w:sz w:val="15"/>
          <w:szCs w:val="15"/>
          <w:color w:val="auto"/>
        </w:rPr>
        <w:t>. Effective upon the filing of this Certificate of Amendment of the Amended and Restated Certificate of Incorporation with the Secretary of State of the State of Delaware (the “</w:t>
      </w:r>
      <w:r>
        <w:rPr>
          <w:rFonts w:ascii="Times New Roman" w:cs="Times New Roman" w:eastAsia="Times New Roman" w:hAnsi="Times New Roman"/>
          <w:sz w:val="15"/>
          <w:szCs w:val="15"/>
          <w:u w:val="single" w:color="auto"/>
          <w:color w:val="auto"/>
        </w:rPr>
        <w:t>Effective Time</w:t>
      </w:r>
      <w:r>
        <w:rPr>
          <w:rFonts w:ascii="Times New Roman" w:cs="Times New Roman" w:eastAsia="Times New Roman" w:hAnsi="Times New Roman"/>
          <w:sz w:val="15"/>
          <w:szCs w:val="15"/>
          <w:color w:val="auto"/>
        </w:rPr>
        <w:t>”), each 7.4276 issued shares of each series of Preferred Stock (as defined below) and Common Stock (as defined below) shall be combined and changed into one (1) share of such series of Preferred Stock or Common Stock, as applicable (the “</w:t>
      </w:r>
      <w:r>
        <w:rPr>
          <w:rFonts w:ascii="Times New Roman" w:cs="Times New Roman" w:eastAsia="Times New Roman" w:hAnsi="Times New Roman"/>
          <w:sz w:val="15"/>
          <w:szCs w:val="15"/>
          <w:u w:val="single" w:color="auto"/>
          <w:color w:val="auto"/>
        </w:rPr>
        <w:t>Reverse Stock Split</w:t>
      </w:r>
      <w:r>
        <w:rPr>
          <w:rFonts w:ascii="Times New Roman" w:cs="Times New Roman" w:eastAsia="Times New Roman" w:hAnsi="Times New Roman"/>
          <w:sz w:val="15"/>
          <w:szCs w:val="15"/>
          <w:color w:val="auto"/>
        </w:rPr>
        <w:t>”), which shares shall be fully paid and nonassessable. No fractional shares of Preferred Stock or Common Stock shall be issued as a result of the Reverse Stock Split. Each holder of a certificate evidencing such holder’s ownership of Preferred Stock or Common Stock at the Effective Time who would otherwise have been entitled to a fraction of a share as a result of the combination of the Preferred Stock or Common Stock represented by such certificate, shall, in lieu thereof, be entitled to receive a cash payment in an amount equal to the fraction to which the stockholder would otherwise be entitled in respect of such certificate multiplied by the fair market value per share as determined by the corporation’s Board of Directors (as defined below). Such Reverse Stock Split shall occur whether or not certificates representing any stockholder’s shares held prior to the Reverse Stock Split are surrendered for cancellation. Following the Effective Time, this corporation is authorized to issue two classes of stock to be designated, respectively, common stock and preferred stock. The total number of shares that this corporation is authorized to issue is 28,607,035. The total number of shares of common stock authorized to be issued is 17,500,000, par value $0.0001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The total number of shares of preferred stock authorized to be issued is 11,107,035, par value $0.0001 per share (the “</w:t>
      </w:r>
      <w:r>
        <w:rPr>
          <w:rFonts w:ascii="Times New Roman" w:cs="Times New Roman" w:eastAsia="Times New Roman" w:hAnsi="Times New Roman"/>
          <w:sz w:val="15"/>
          <w:szCs w:val="15"/>
          <w:u w:val="single" w:color="auto"/>
          <w:color w:val="auto"/>
        </w:rPr>
        <w:t>Preferred Stock</w:t>
      </w:r>
      <w:r>
        <w:rPr>
          <w:rFonts w:ascii="Times New Roman" w:cs="Times New Roman" w:eastAsia="Times New Roman" w:hAnsi="Times New Roman"/>
          <w:sz w:val="15"/>
          <w:szCs w:val="15"/>
          <w:color w:val="auto"/>
        </w:rPr>
        <w:t>”), of which 1,575,033 shares are designated as “</w:t>
      </w:r>
      <w:r>
        <w:rPr>
          <w:rFonts w:ascii="Times New Roman" w:cs="Times New Roman" w:eastAsia="Times New Roman" w:hAnsi="Times New Roman"/>
          <w:sz w:val="15"/>
          <w:szCs w:val="15"/>
          <w:u w:val="single" w:color="auto"/>
          <w:color w:val="auto"/>
        </w:rPr>
        <w:t>Series A Preferred Stock</w:t>
      </w:r>
      <w:r>
        <w:rPr>
          <w:rFonts w:ascii="Times New Roman" w:cs="Times New Roman" w:eastAsia="Times New Roman" w:hAnsi="Times New Roman"/>
          <w:sz w:val="15"/>
          <w:szCs w:val="15"/>
          <w:color w:val="auto"/>
        </w:rPr>
        <w:t>,” 6,674,918 shares are designated as “</w:t>
      </w:r>
      <w:r>
        <w:rPr>
          <w:rFonts w:ascii="Times New Roman" w:cs="Times New Roman" w:eastAsia="Times New Roman" w:hAnsi="Times New Roman"/>
          <w:sz w:val="15"/>
          <w:szCs w:val="15"/>
          <w:u w:val="single" w:color="auto"/>
          <w:color w:val="auto"/>
        </w:rPr>
        <w:t>Series B Preferred Stock</w:t>
      </w:r>
      <w:r>
        <w:rPr>
          <w:rFonts w:ascii="Times New Roman" w:cs="Times New Roman" w:eastAsia="Times New Roman" w:hAnsi="Times New Roman"/>
          <w:sz w:val="15"/>
          <w:szCs w:val="15"/>
          <w:color w:val="auto"/>
        </w:rPr>
        <w:t>,” and 2,857,084 shares are designated as “</w:t>
      </w:r>
      <w:r>
        <w:rPr>
          <w:rFonts w:ascii="Times New Roman" w:cs="Times New Roman" w:eastAsia="Times New Roman" w:hAnsi="Times New Roman"/>
          <w:sz w:val="15"/>
          <w:szCs w:val="15"/>
          <w:u w:val="single" w:color="auto"/>
          <w:color w:val="auto"/>
        </w:rPr>
        <w:t>Series C Preferred Stock</w:t>
      </w:r>
      <w:r>
        <w:rPr>
          <w:rFonts w:ascii="Times New Roman" w:cs="Times New Roman" w:eastAsia="Times New Roman" w:hAnsi="Times New Roman"/>
          <w:sz w:val="15"/>
          <w:szCs w:val="15"/>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40"/>
          </w:cols>
          <w:pgMar w:left="320" w:top="248" w:right="339" w:bottom="1440" w:gutter="0" w:footer="0" w:header="0"/>
        </w:sectPr>
      </w:pPr>
    </w:p>
    <w:bookmarkStart w:id="322" w:name="page323"/>
    <w:bookmarkEnd w:id="322"/>
    <w:p>
      <w:pPr>
        <w:ind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THIRD</w:t>
      </w:r>
      <w:r>
        <w:rPr>
          <w:rFonts w:ascii="Times New Roman" w:cs="Times New Roman" w:eastAsia="Times New Roman" w:hAnsi="Times New Roman"/>
          <w:sz w:val="15"/>
          <w:szCs w:val="15"/>
          <w:color w:val="auto"/>
        </w:rPr>
        <w:t>: That thereafter said amendment was duly adopted in accordance with the provisions of Section 242 of the General Corporation Law by written consent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stockholders holding the requisite number of shares required by statute given in accordance with and pursuant to Section 228 of the General Corporation Law of the State of Delaware.</w:t>
      </w:r>
    </w:p>
    <w:p>
      <w:pPr>
        <w:spacing w:after="0" w:line="1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14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700"/>
          </w:cols>
          <w:pgMar w:left="320" w:top="248" w:right="879" w:bottom="1440" w:gutter="0" w:footer="0" w:header="0"/>
        </w:sectPr>
      </w:pPr>
    </w:p>
    <w:bookmarkStart w:id="323" w:name="page324"/>
    <w:bookmarkEnd w:id="323"/>
    <w:p>
      <w:pPr>
        <w:ind w:right="1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Tarsus Pharmaceuticals, Inc. has caused this Certificate of Amendment to the Amended and Restated Certificate of Incorporation to be executed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a duly authorized officer on this 9</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day of October, 2020.</w:t>
      </w:r>
    </w:p>
    <w:p>
      <w:pPr>
        <w:spacing w:after="0" w:line="1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THE COMPANY:</w:t>
      </w:r>
    </w:p>
    <w:p>
      <w:pPr>
        <w:spacing w:after="0" w:line="10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Bobak Azamian</w:t>
            </w:r>
          </w:p>
        </w:tc>
      </w:tr>
      <w:tr>
        <w:trPr>
          <w:trHeight w:val="162"/>
        </w:trPr>
        <w:tc>
          <w:tcPr>
            <w:tcW w:w="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Bobak Azamian</w:t>
            </w:r>
          </w:p>
        </w:tc>
      </w:t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ERTIFICATE OF</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MENDMENT TO THE</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ERTIFICATE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NCORPORATION OF</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1260"/>
          </w:cols>
          <w:pgMar w:left="320" w:top="248" w:right="31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144145</wp:posOffset>
            </wp:positionV>
            <wp:extent cx="1500505"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Tarsus Pharmaceuticals, Inc., a corporation organized and existing under the laws of the State of Delaware, hereby certifies as follows:</w:t>
      </w:r>
    </w:p>
    <w:p>
      <w:pPr>
        <w:spacing w:after="0" w:line="104" w:lineRule="exact"/>
        <w:rPr>
          <w:sz w:val="20"/>
          <w:szCs w:val="20"/>
          <w:color w:val="auto"/>
        </w:rPr>
      </w:pPr>
    </w:p>
    <w:p>
      <w:pPr>
        <w:ind w:right="420" w:firstLine="443"/>
        <w:spacing w:after="0" w:line="293" w:lineRule="auto"/>
        <w:tabs>
          <w:tab w:leader="none" w:pos="604"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corporation is Tarsus Pharmaceuticals, Inc., which was the name under which the corporation was originally incorporated. The date of the filing of its original certificate of incorporation with the Secretary of State of the State of Delaware was November 17, 2016.</w:t>
      </w:r>
    </w:p>
    <w:p>
      <w:pPr>
        <w:spacing w:after="0" w:line="132" w:lineRule="exact"/>
        <w:rPr>
          <w:rFonts w:ascii="Times New Roman" w:cs="Times New Roman" w:eastAsia="Times New Roman" w:hAnsi="Times New Roman"/>
          <w:sz w:val="15"/>
          <w:szCs w:val="15"/>
          <w:color w:val="auto"/>
        </w:rPr>
      </w:pPr>
    </w:p>
    <w:p>
      <w:pPr>
        <w:ind w:right="380" w:firstLine="443"/>
        <w:spacing w:after="0" w:line="275" w:lineRule="auto"/>
        <w:tabs>
          <w:tab w:leader="none" w:pos="604"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Amended and Restated Certificate of Incorporation, which restates, integrates and further amends the certificate of incorporation of the corporation, has been duly adopted by the corporation in accordance with Sections 242 and 245 of the General Corporation Law of the State of Delaware and has been adopted by the requisite vote of the stockholders of the corporation, acting by written consent in lieu of a meeting in accordance with Section 228 of the General Corporation Law of the State of Delaware.</w:t>
      </w:r>
    </w:p>
    <w:p>
      <w:pPr>
        <w:spacing w:after="0" w:line="144" w:lineRule="exact"/>
        <w:rPr>
          <w:rFonts w:ascii="Times New Roman" w:cs="Times New Roman" w:eastAsia="Times New Roman" w:hAnsi="Times New Roman"/>
          <w:sz w:val="15"/>
          <w:szCs w:val="15"/>
          <w:color w:val="auto"/>
        </w:rPr>
      </w:pPr>
    </w:p>
    <w:p>
      <w:pPr>
        <w:ind w:left="600" w:hanging="157"/>
        <w:spacing w:after="0"/>
        <w:tabs>
          <w:tab w:leader="none" w:pos="600" w:val="left"/>
        </w:tabs>
        <w:numPr>
          <w:ilvl w:val="0"/>
          <w:numId w:val="2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certificate of incorporation of the corporation is hereby amended and restated in its entirety to read as follows: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FIRST</w:t>
      </w:r>
      <w:r>
        <w:rPr>
          <w:rFonts w:ascii="Times New Roman" w:cs="Times New Roman" w:eastAsia="Times New Roman" w:hAnsi="Times New Roman"/>
          <w:sz w:val="15"/>
          <w:szCs w:val="15"/>
          <w:color w:val="auto"/>
        </w:rPr>
        <w:t>: The name of the corporation is Tarsus Pharmaceuticals, Inc. (hereinafter called the “</w:t>
      </w:r>
      <w:r>
        <w:rPr>
          <w:rFonts w:ascii="Times New Roman" w:cs="Times New Roman" w:eastAsia="Times New Roman" w:hAnsi="Times New Roman"/>
          <w:sz w:val="15"/>
          <w:szCs w:val="15"/>
          <w:b w:val="1"/>
          <w:bCs w:val="1"/>
          <w:color w:val="auto"/>
        </w:rPr>
        <w:t>Corporation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2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SECOND</w:t>
      </w:r>
      <w:r>
        <w:rPr>
          <w:rFonts w:ascii="Times New Roman" w:cs="Times New Roman" w:eastAsia="Times New Roman" w:hAnsi="Times New Roman"/>
          <w:sz w:val="15"/>
          <w:szCs w:val="15"/>
          <w:color w:val="auto"/>
        </w:rPr>
        <w:t>: The address of the registered office of the Corporation in the State of Delaware is 3500 South Dupont Highway, in the City of Dover, County of Kent, Delaware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19901. The name of the registered agent of the Corporation in the State of Delaware at such address is Incorporating Services, Ltd.</w:t>
      </w:r>
    </w:p>
    <w:p>
      <w:pPr>
        <w:spacing w:after="0" w:line="125" w:lineRule="exact"/>
        <w:rPr>
          <w:sz w:val="20"/>
          <w:szCs w:val="20"/>
          <w:color w:val="auto"/>
        </w:rPr>
      </w:pPr>
    </w:p>
    <w:p>
      <w:pPr>
        <w:ind w:right="2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THIRD</w:t>
      </w:r>
      <w:r>
        <w:rPr>
          <w:rFonts w:ascii="Times New Roman" w:cs="Times New Roman" w:eastAsia="Times New Roman" w:hAnsi="Times New Roman"/>
          <w:sz w:val="15"/>
          <w:szCs w:val="15"/>
          <w:color w:val="auto"/>
        </w:rPr>
        <w:t>: The purpose of the Corporation is to engage in any lawful act or activity for which corporations may be organized and incorporated under the General Corporation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 of the State of Delaware or any applicable successor act thereto, as the same may be amended from time to time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w:t>
      </w:r>
    </w:p>
    <w:p>
      <w:pPr>
        <w:spacing w:after="0" w:line="125" w:lineRule="exact"/>
        <w:rPr>
          <w:sz w:val="20"/>
          <w:szCs w:val="20"/>
          <w:color w:val="auto"/>
        </w:rPr>
      </w:pPr>
    </w:p>
    <w:p>
      <w:pPr>
        <w:ind w:right="180"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FOURTH</w:t>
      </w:r>
      <w:r>
        <w:rPr>
          <w:rFonts w:ascii="Times New Roman" w:cs="Times New Roman" w:eastAsia="Times New Roman" w:hAnsi="Times New Roman"/>
          <w:sz w:val="15"/>
          <w:szCs w:val="15"/>
          <w:color w:val="auto"/>
        </w:rPr>
        <w:t>: The total number of shares of all classes of capital stock that the Corporation is authorized to issue is 210,000,000 shares, consisting of (i) 200,000,000 shares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par value $0.0001 per share (the “</w:t>
      </w: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5"/>
          <w:szCs w:val="15"/>
          <w:color w:val="auto"/>
        </w:rPr>
        <w:t>”), and (ii) 10,000,000 shares of preferred stock, par value $0.0001 per share (“</w:t>
      </w:r>
      <w:r>
        <w:rPr>
          <w:rFonts w:ascii="Times New Roman" w:cs="Times New Roman" w:eastAsia="Times New Roman" w:hAnsi="Times New Roman"/>
          <w:sz w:val="15"/>
          <w:szCs w:val="15"/>
          <w:b w:val="1"/>
          <w:bCs w:val="1"/>
          <w:color w:val="auto"/>
        </w:rPr>
        <w:t>Preferred Stock</w:t>
      </w:r>
      <w:r>
        <w:rPr>
          <w:rFonts w:ascii="Times New Roman" w:cs="Times New Roman" w:eastAsia="Times New Roman" w:hAnsi="Times New Roman"/>
          <w:sz w:val="15"/>
          <w:szCs w:val="15"/>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spacing w:after="0" w:line="152" w:lineRule="exact"/>
        <w:rPr>
          <w:sz w:val="20"/>
          <w:szCs w:val="20"/>
          <w:color w:val="auto"/>
        </w:rPr>
      </w:pPr>
    </w:p>
    <w:p>
      <w:pPr>
        <w:ind w:right="60" w:firstLine="451"/>
        <w:spacing w:after="0" w:line="293"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The powers, preferences and relative participating, optional or other special rights, and the qualifications, limitations and restrictions of the Common Stock are as follows:</w:t>
      </w:r>
    </w:p>
    <w:p>
      <w:pPr>
        <w:spacing w:after="0" w:line="40" w:lineRule="exact"/>
        <w:rPr>
          <w:sz w:val="20"/>
          <w:szCs w:val="20"/>
          <w:color w:val="auto"/>
        </w:rPr>
      </w:pPr>
    </w:p>
    <w:p>
      <w:pPr>
        <w:ind w:right="200" w:firstLine="1006"/>
        <w:spacing w:after="0" w:line="293" w:lineRule="auto"/>
        <w:tabs>
          <w:tab w:leader="none" w:pos="1167"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Ranking</w:t>
      </w:r>
      <w:r>
        <w:rPr>
          <w:rFonts w:ascii="Times New Roman" w:cs="Times New Roman" w:eastAsia="Times New Roman" w:hAnsi="Times New Roman"/>
          <w:sz w:val="15"/>
          <w:szCs w:val="15"/>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upon any issuance of the Preferred Stock of any series.</w:t>
      </w:r>
    </w:p>
    <w:p>
      <w:pPr>
        <w:sectPr>
          <w:pgSz w:w="11900" w:h="16838" w:orient="portrait"/>
          <w:cols w:equalWidth="0" w:num="1">
            <w:col w:w="11260"/>
          </w:cols>
          <w:pgMar w:left="320" w:top="121" w:right="319" w:bottom="1440" w:gutter="0" w:footer="0" w:header="0"/>
        </w:sectPr>
      </w:pPr>
    </w:p>
    <w:bookmarkStart w:id="325" w:name="page326"/>
    <w:bookmarkEnd w:id="325"/>
    <w:p>
      <w:pPr>
        <w:ind w:firstLine="1006"/>
        <w:spacing w:after="0" w:line="263" w:lineRule="auto"/>
        <w:tabs>
          <w:tab w:leader="none" w:pos="1167"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Voting</w:t>
      </w:r>
      <w:r>
        <w:rPr>
          <w:rFonts w:ascii="Times New Roman" w:cs="Times New Roman" w:eastAsia="Times New Roman" w:hAnsi="Times New Roman"/>
          <w:sz w:val="15"/>
          <w:szCs w:val="15"/>
          <w:color w:val="auto"/>
        </w:rPr>
        <w:t>. Except as otherwise provided by law or by this Amended and Restated Certificate of Incorporation (as amended from time to time, including the terms of any Preferred Stock Designation (as defined below), this “</w:t>
      </w:r>
      <w:r>
        <w:rPr>
          <w:rFonts w:ascii="Times New Roman" w:cs="Times New Roman" w:eastAsia="Times New Roman" w:hAnsi="Times New Roman"/>
          <w:sz w:val="15"/>
          <w:szCs w:val="15"/>
          <w:b w:val="1"/>
          <w:bCs w:val="1"/>
          <w:color w:val="auto"/>
        </w:rPr>
        <w:t>Certificate of Incorporation</w:t>
      </w:r>
      <w:r>
        <w:rPr>
          <w:rFonts w:ascii="Times New Roman" w:cs="Times New Roman" w:eastAsia="Times New Roman" w:hAnsi="Times New Roman"/>
          <w:sz w:val="15"/>
          <w:szCs w:val="15"/>
          <w:color w:val="auto"/>
        </w:rPr>
        <w:t>”), the holders of outstanding shares of Common Stock shall have the exclusive right to vote for the election and removal of directors and for all other purposes. Each outstanding share of Common Stock shall entitle the holder thereof to one vote on each matter properly submitted to the stockholders of the Corporation for their vote. Notwithstanding any other provision of this Certificate of Incorporation to the contrary, the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w:t>
      </w:r>
    </w:p>
    <w:p>
      <w:pPr>
        <w:spacing w:after="0" w:line="341" w:lineRule="exact"/>
        <w:rPr>
          <w:rFonts w:ascii="Times New Roman" w:cs="Times New Roman" w:eastAsia="Times New Roman" w:hAnsi="Times New Roman"/>
          <w:sz w:val="15"/>
          <w:szCs w:val="15"/>
          <w:color w:val="auto"/>
        </w:rPr>
      </w:pPr>
    </w:p>
    <w:p>
      <w:pPr>
        <w:ind w:right="60" w:firstLine="1006"/>
        <w:spacing w:after="0" w:line="275" w:lineRule="auto"/>
        <w:tabs>
          <w:tab w:leader="none" w:pos="1167"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Dividends</w:t>
      </w:r>
      <w:r>
        <w:rPr>
          <w:rFonts w:ascii="Times New Roman" w:cs="Times New Roman" w:eastAsia="Times New Roman" w:hAnsi="Times New Roman"/>
          <w:sz w:val="15"/>
          <w:szCs w:val="15"/>
          <w:color w:val="auto"/>
        </w:rPr>
        <w:t>. Subject to the rights of the holders of one or more outstanding series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44" w:lineRule="exact"/>
        <w:rPr>
          <w:rFonts w:ascii="Times New Roman" w:cs="Times New Roman" w:eastAsia="Times New Roman" w:hAnsi="Times New Roman"/>
          <w:sz w:val="15"/>
          <w:szCs w:val="15"/>
          <w:color w:val="auto"/>
        </w:rPr>
      </w:pPr>
    </w:p>
    <w:p>
      <w:pPr>
        <w:ind w:right="20" w:firstLine="1006"/>
        <w:spacing w:after="0" w:line="268" w:lineRule="auto"/>
        <w:tabs>
          <w:tab w:leader="none" w:pos="1167" w:val="left"/>
        </w:tabs>
        <w:numPr>
          <w:ilvl w:val="1"/>
          <w:numId w:val="2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Liquidation</w:t>
      </w:r>
      <w:r>
        <w:rPr>
          <w:rFonts w:ascii="Times New Roman" w:cs="Times New Roman" w:eastAsia="Times New Roman" w:hAnsi="Times New Roman"/>
          <w:sz w:val="15"/>
          <w:szCs w:val="15"/>
          <w:color w:val="auto"/>
        </w:rPr>
        <w:t>. Subject to the rights of the holders of one or more outstanding series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exclusive license, conveyance or other disposition of all or any part of its assets.</w:t>
      </w:r>
    </w:p>
    <w:p>
      <w:pPr>
        <w:spacing w:after="0" w:line="151" w:lineRule="exact"/>
        <w:rPr>
          <w:rFonts w:ascii="Times New Roman" w:cs="Times New Roman" w:eastAsia="Times New Roman" w:hAnsi="Times New Roman"/>
          <w:sz w:val="15"/>
          <w:szCs w:val="15"/>
          <w:color w:val="auto"/>
        </w:rPr>
      </w:pPr>
    </w:p>
    <w:p>
      <w:pPr>
        <w:ind w:left="620" w:hanging="177"/>
        <w:spacing w:after="0"/>
        <w:tabs>
          <w:tab w:leader="none" w:pos="62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Preferred Stock</w:t>
      </w:r>
    </w:p>
    <w:p>
      <w:pPr>
        <w:spacing w:after="0" w:line="196" w:lineRule="exact"/>
        <w:rPr>
          <w:sz w:val="20"/>
          <w:szCs w:val="20"/>
          <w:color w:val="auto"/>
        </w:rPr>
      </w:pPr>
    </w:p>
    <w:p>
      <w:pPr>
        <w:ind w:right="80" w:firstLine="451"/>
        <w:spacing w:after="0" w:line="261" w:lineRule="auto"/>
        <w:rPr>
          <w:sz w:val="20"/>
          <w:szCs w:val="20"/>
          <w:color w:val="auto"/>
        </w:rPr>
      </w:pPr>
      <w:r>
        <w:rPr>
          <w:rFonts w:ascii="Times New Roman" w:cs="Times New Roman" w:eastAsia="Times New Roman" w:hAnsi="Times New Roman"/>
          <w:sz w:val="15"/>
          <w:szCs w:val="15"/>
          <w:color w:val="auto"/>
        </w:rPr>
        <w:t>Shares of Preferred Stock may be issued from time to time in one or more series. The Board is hereby authorized to provide by resolution or resolutions from time to time for the issuance, out of the authorized but unissued shares of Preferred Stock, of one or more series of Preferred Stock, without stockholder approval (except as otherwise expressly required by this Certificate of Incorporation), by filing a certificate of designation pursuant to the applicable law of the State of Delaware (any such certificate, a “</w:t>
      </w:r>
      <w:r>
        <w:rPr>
          <w:rFonts w:ascii="Times New Roman" w:cs="Times New Roman" w:eastAsia="Times New Roman" w:hAnsi="Times New Roman"/>
          <w:sz w:val="15"/>
          <w:szCs w:val="15"/>
          <w:b w:val="1"/>
          <w:bCs w:val="1"/>
          <w:color w:val="auto"/>
        </w:rPr>
        <w:t>Preferred 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Designation</w:t>
      </w:r>
      <w:r>
        <w:rPr>
          <w:rFonts w:ascii="Times New Roman" w:cs="Times New Roman" w:eastAsia="Times New Roman" w:hAnsi="Times New Roman"/>
          <w:sz w:val="15"/>
          <w:szCs w:val="15"/>
          <w:color w:val="auto"/>
        </w:rPr>
        <w:t>”), setting forth such resolution and, with respect to each such series, establishing the number of shares to be included in such series, and fixing the voting powers, full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limited, or no voting power of the shares of such series, and the designation, preferences and relative, participating, optional or other special rights, and the qualifications, limitations or restrictions thereof, of the shares of each such series. The powers, designation, preferences and relative, participating, optional and other special rights, and the qualifications, limitations and restrictions thereof, of each series of Preferred Stock may differ from those of any and all other series at any time outstanding. The authority of the Board with respect to each series of Preferred Stock shall include, but not be limited to, the determination of the following:</w:t>
      </w:r>
    </w:p>
    <w:p>
      <w:pPr>
        <w:spacing w:after="0" w:line="67" w:lineRule="exact"/>
        <w:rPr>
          <w:sz w:val="20"/>
          <w:szCs w:val="20"/>
          <w:color w:val="auto"/>
        </w:rPr>
      </w:pPr>
    </w:p>
    <w:p>
      <w:pPr>
        <w:ind w:left="5580" w:right="4440" w:hanging="4124"/>
        <w:spacing w:after="0" w:line="354" w:lineRule="auto"/>
        <w:tabs>
          <w:tab w:leader="none" w:pos="166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series, which may be by distinguishing number, letter or title; 2</w:t>
      </w:r>
    </w:p>
    <w:p>
      <w:pPr>
        <w:sectPr>
          <w:pgSz w:w="11900" w:h="16838" w:orient="portrait"/>
          <w:cols w:equalWidth="0" w:num="1">
            <w:col w:w="11240"/>
          </w:cols>
          <w:pgMar w:left="320" w:top="252" w:right="339" w:bottom="1440" w:gutter="0" w:footer="0" w:header="0"/>
        </w:sectPr>
      </w:pPr>
    </w:p>
    <w:bookmarkStart w:id="326" w:name="page327"/>
    <w:bookmarkEnd w:id="326"/>
    <w:p>
      <w:pPr>
        <w:ind w:right="640" w:firstLine="1456"/>
        <w:spacing w:after="0" w:line="293" w:lineRule="auto"/>
        <w:tabs>
          <w:tab w:leader="none" w:pos="1682"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number of shares of the series, which number the Board may thereafter increase or decrease (but not below the number of shares thereof then outstanding) without any vote of stockholders (except as otherwise expressly required by this Certificate of Incorporation);</w:t>
      </w:r>
    </w:p>
    <w:p>
      <w:pPr>
        <w:spacing w:after="0" w:line="132" w:lineRule="exact"/>
        <w:rPr>
          <w:rFonts w:ascii="Times New Roman" w:cs="Times New Roman" w:eastAsia="Times New Roman" w:hAnsi="Times New Roman"/>
          <w:sz w:val="15"/>
          <w:szCs w:val="15"/>
          <w:color w:val="auto"/>
        </w:rPr>
      </w:pPr>
    </w:p>
    <w:p>
      <w:pPr>
        <w:ind w:right="260" w:firstLine="1456"/>
        <w:spacing w:after="0" w:line="293" w:lineRule="auto"/>
        <w:tabs>
          <w:tab w:leader="none" w:pos="1673"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or rates at which dividends will be payable on, and the preferences, if any, of shares of the series in respect of dividends, and whether such dividends, if any, shall be cumulative or noncumulative;</w:t>
      </w:r>
    </w:p>
    <w:p>
      <w:pPr>
        <w:spacing w:after="0" w:line="132"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dividends, if any, shall be payable;</w:t>
      </w:r>
    </w:p>
    <w:p>
      <w:pPr>
        <w:spacing w:after="0" w:line="196" w:lineRule="exact"/>
        <w:rPr>
          <w:rFonts w:ascii="Times New Roman" w:cs="Times New Roman" w:eastAsia="Times New Roman" w:hAnsi="Times New Roman"/>
          <w:sz w:val="15"/>
          <w:szCs w:val="15"/>
          <w:color w:val="auto"/>
        </w:rPr>
      </w:pPr>
    </w:p>
    <w:p>
      <w:pPr>
        <w:ind w:left="1660" w:hanging="204"/>
        <w:spacing w:after="0"/>
        <w:tabs>
          <w:tab w:leader="none" w:pos="166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rights and price or prices, if any, for shares of the series;</w:t>
      </w:r>
    </w:p>
    <w:p>
      <w:pPr>
        <w:spacing w:after="0" w:line="196"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amount of any sinking fund, if any, provided for the purchase or redemption of shares of the series;</w:t>
      </w:r>
    </w:p>
    <w:p>
      <w:pPr>
        <w:spacing w:after="0" w:line="196" w:lineRule="exact"/>
        <w:rPr>
          <w:rFonts w:ascii="Times New Roman" w:cs="Times New Roman" w:eastAsia="Times New Roman" w:hAnsi="Times New Roman"/>
          <w:sz w:val="15"/>
          <w:szCs w:val="15"/>
          <w:color w:val="auto"/>
        </w:rPr>
      </w:pPr>
    </w:p>
    <w:p>
      <w:pPr>
        <w:ind w:right="100" w:firstLine="1456"/>
        <w:spacing w:after="0" w:line="293" w:lineRule="auto"/>
        <w:tabs>
          <w:tab w:leader="none" w:pos="1682"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payable on, and the preferences, if any, of shares of the series in the event of any voluntary or involuntary liquidation, dissolution or winding up of the affairs of the Corporation;</w:t>
      </w:r>
    </w:p>
    <w:p>
      <w:pPr>
        <w:spacing w:after="0" w:line="132" w:lineRule="exact"/>
        <w:rPr>
          <w:rFonts w:ascii="Times New Roman" w:cs="Times New Roman" w:eastAsia="Times New Roman" w:hAnsi="Times New Roman"/>
          <w:sz w:val="15"/>
          <w:szCs w:val="15"/>
          <w:color w:val="auto"/>
        </w:rPr>
      </w:pPr>
    </w:p>
    <w:p>
      <w:pPr>
        <w:ind w:firstLine="1456"/>
        <w:spacing w:after="0" w:line="275" w:lineRule="auto"/>
        <w:tabs>
          <w:tab w:leader="none" w:pos="1682"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44"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issuance or reissuance of shares of the same series or any other class or series;</w:t>
      </w:r>
    </w:p>
    <w:p>
      <w:pPr>
        <w:spacing w:after="0" w:line="196"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voting rights, if any, of the holders of shares of the series generally or upon specified events; and</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powers, preferences and relative, participating, optional or other special rights, and the qualifications, limitations or restrictions thereof, of each</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series of Preferred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as may be determined from time to time by the Board and stated in the resolution or resolutions providing for the issuance of such Preferred Stock.</w:t>
      </w:r>
    </w:p>
    <w:p>
      <w:pPr>
        <w:spacing w:after="0" w:line="196"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5"/>
          <w:szCs w:val="15"/>
          <w:color w:val="auto"/>
        </w:rPr>
        <w:t>Without limiting the generality of the foregoing, subject to the rights of one or more series of Preferred Stock then outstanding, the resolutions providing for issuance of any series of Preferred Stock may provide that such series shall be superior or rank equally or be junior to any other series of Preferred Stock to the extent permitted by law.</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FIFTH</w:t>
      </w:r>
      <w:r>
        <w:rPr>
          <w:rFonts w:ascii="Times New Roman" w:cs="Times New Roman" w:eastAsia="Times New Roman" w:hAnsi="Times New Roman"/>
          <w:sz w:val="15"/>
          <w:szCs w:val="15"/>
          <w:color w:val="auto"/>
        </w:rPr>
        <w:t>: This Article FIFTH is inserted for the management of the business and for the conduct of the affairs of the Corporation.</w:t>
      </w:r>
    </w:p>
    <w:p>
      <w:pPr>
        <w:spacing w:after="0" w:line="200" w:lineRule="exact"/>
        <w:rPr>
          <w:sz w:val="20"/>
          <w:szCs w:val="20"/>
          <w:color w:val="auto"/>
        </w:rPr>
      </w:pPr>
    </w:p>
    <w:p>
      <w:pPr>
        <w:ind w:right="240" w:firstLine="451"/>
        <w:spacing w:after="0" w:line="293"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General Powers</w:t>
      </w:r>
      <w:r>
        <w:rPr>
          <w:rFonts w:ascii="Times New Roman" w:cs="Times New Roman" w:eastAsia="Times New Roman" w:hAnsi="Times New Roman"/>
          <w:sz w:val="15"/>
          <w:szCs w:val="15"/>
          <w:color w:val="auto"/>
        </w:rPr>
        <w:t>. The business and affairs of the Corporation shall be managed by or under the direction of the Board, except as otherwise provided by this Certificate of Incorporation or the DGCL.</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0"/>
          </w:cols>
          <w:pgMar w:left="320" w:top="252" w:right="359" w:bottom="1440" w:gutter="0" w:footer="0" w:header="0"/>
        </w:sectPr>
      </w:pPr>
    </w:p>
    <w:bookmarkStart w:id="327" w:name="page328"/>
    <w:bookmarkEnd w:id="327"/>
    <w:p>
      <w:pPr>
        <w:ind w:right="240" w:firstLine="451"/>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B. </w:t>
      </w:r>
      <w:r>
        <w:rPr>
          <w:rFonts w:ascii="Times New Roman" w:cs="Times New Roman" w:eastAsia="Times New Roman" w:hAnsi="Times New Roman"/>
          <w:sz w:val="15"/>
          <w:szCs w:val="15"/>
          <w:u w:val="single" w:color="auto"/>
          <w:color w:val="auto"/>
        </w:rPr>
        <w:t>Number of Directors; Election of Directors</w:t>
      </w:r>
      <w:r>
        <w:rPr>
          <w:rFonts w:ascii="Times New Roman" w:cs="Times New Roman" w:eastAsia="Times New Roman" w:hAnsi="Times New Roman"/>
          <w:sz w:val="15"/>
          <w:szCs w:val="15"/>
          <w:color w:val="auto"/>
        </w:rPr>
        <w:t>. Subject to the rights of holders of any series of Preferred Stock to elect directors, the number of directors of the Corporation shall be fixed from time to time by resolution of the majority of the Whole Board. For purposes of this Certificate of Incorporation, the term “</w:t>
      </w:r>
      <w:r>
        <w:rPr>
          <w:rFonts w:ascii="Times New Roman" w:cs="Times New Roman" w:eastAsia="Times New Roman" w:hAnsi="Times New Roman"/>
          <w:sz w:val="15"/>
          <w:szCs w:val="15"/>
          <w:b w:val="1"/>
          <w:bCs w:val="1"/>
          <w:color w:val="auto"/>
        </w:rPr>
        <w:t>Whole Board</w:t>
      </w:r>
      <w:r>
        <w:rPr>
          <w:rFonts w:ascii="Times New Roman" w:cs="Times New Roman" w:eastAsia="Times New Roman" w:hAnsi="Times New Roman"/>
          <w:sz w:val="15"/>
          <w:szCs w:val="15"/>
          <w:color w:val="auto"/>
        </w:rPr>
        <w:t>” will mean the total number of authorized directors, whether or not there exist any vacancies in previously authorized directorships. No decrease in the number of directors constituting the Board shall shorten the term of any incumbent director.</w:t>
      </w:r>
    </w:p>
    <w:p>
      <w:pPr>
        <w:spacing w:after="0" w:line="152" w:lineRule="exact"/>
        <w:rPr>
          <w:sz w:val="20"/>
          <w:szCs w:val="20"/>
          <w:color w:val="auto"/>
        </w:rPr>
      </w:pPr>
    </w:p>
    <w:p>
      <w:pPr>
        <w:jc w:val="both"/>
        <w:ind w:firstLine="451"/>
        <w:spacing w:after="0" w:line="275" w:lineRule="auto"/>
        <w:rPr>
          <w:sz w:val="20"/>
          <w:szCs w:val="20"/>
          <w:color w:val="auto"/>
        </w:rPr>
      </w:pPr>
      <w:r>
        <w:rPr>
          <w:rFonts w:ascii="Times New Roman" w:cs="Times New Roman" w:eastAsia="Times New Roman" w:hAnsi="Times New Roman"/>
          <w:sz w:val="15"/>
          <w:szCs w:val="15"/>
          <w:color w:val="auto"/>
        </w:rPr>
        <w:t xml:space="preserve">C. </w:t>
      </w:r>
      <w:r>
        <w:rPr>
          <w:rFonts w:ascii="Times New Roman" w:cs="Times New Roman" w:eastAsia="Times New Roman" w:hAnsi="Times New Roman"/>
          <w:sz w:val="15"/>
          <w:szCs w:val="15"/>
          <w:u w:val="single" w:color="auto"/>
          <w:color w:val="auto"/>
        </w:rPr>
        <w:t>Classes of Directors</w:t>
      </w:r>
      <w:r>
        <w:rPr>
          <w:rFonts w:ascii="Times New Roman" w:cs="Times New Roman" w:eastAsia="Times New Roman" w:hAnsi="Times New Roman"/>
          <w:sz w:val="15"/>
          <w:szCs w:val="15"/>
          <w:color w:val="auto"/>
        </w:rPr>
        <w:t>. Subject to the special rights of holders of any series of Preferred Stock to elect directors, the Board shall be and is divided into three classes, designated Class I, Class II and Class III, and each class shall consist, as nearly as may be possible, of one third of the total number of directors so divided into classes. The Board is authorized to assign members of the Board already in office to Class I, Class II or Class III at the time such classification becomes effective.</w:t>
      </w:r>
    </w:p>
    <w:p>
      <w:pPr>
        <w:spacing w:after="0" w:line="145" w:lineRule="exact"/>
        <w:rPr>
          <w:sz w:val="20"/>
          <w:szCs w:val="20"/>
          <w:color w:val="auto"/>
        </w:rPr>
      </w:pPr>
    </w:p>
    <w:p>
      <w:pPr>
        <w:ind w:firstLine="451"/>
        <w:spacing w:after="0" w:line="263" w:lineRule="auto"/>
        <w:rPr>
          <w:sz w:val="20"/>
          <w:szCs w:val="20"/>
          <w:color w:val="auto"/>
        </w:rPr>
      </w:pPr>
      <w:r>
        <w:rPr>
          <w:rFonts w:ascii="Times New Roman" w:cs="Times New Roman" w:eastAsia="Times New Roman" w:hAnsi="Times New Roman"/>
          <w:sz w:val="15"/>
          <w:szCs w:val="15"/>
          <w:color w:val="auto"/>
        </w:rPr>
        <w:t xml:space="preserve">D. </w:t>
      </w:r>
      <w:r>
        <w:rPr>
          <w:rFonts w:ascii="Times New Roman" w:cs="Times New Roman" w:eastAsia="Times New Roman" w:hAnsi="Times New Roman"/>
          <w:sz w:val="15"/>
          <w:szCs w:val="15"/>
          <w:u w:val="single" w:color="auto"/>
          <w:color w:val="auto"/>
        </w:rPr>
        <w:t>Terms of Office</w:t>
      </w:r>
      <w:r>
        <w:rPr>
          <w:rFonts w:ascii="Times New Roman" w:cs="Times New Roman" w:eastAsia="Times New Roman" w:hAnsi="Times New Roman"/>
          <w:sz w:val="15"/>
          <w:szCs w:val="15"/>
          <w:color w:val="auto"/>
        </w:rPr>
        <w:t xml:space="preserve">. Subject to the special rights of holders of any series of Preferred Stock to elect directors, each director shall serve for a term ending on the date of the third annual meeting of stockholders following the annual meeting of stockholders at which such director was elected;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each director shall continue to serve as a director until his or her successor is duly elected and qualified, subject to his or her earlier death, disqualification, resignation or removal.</w:t>
      </w:r>
    </w:p>
    <w:p>
      <w:pPr>
        <w:spacing w:after="0" w:line="342" w:lineRule="exact"/>
        <w:rPr>
          <w:sz w:val="20"/>
          <w:szCs w:val="20"/>
          <w:color w:val="auto"/>
        </w:rPr>
      </w:pPr>
    </w:p>
    <w:p>
      <w:pPr>
        <w:ind w:right="80" w:firstLine="451"/>
        <w:spacing w:after="0" w:line="265" w:lineRule="auto"/>
        <w:rPr>
          <w:sz w:val="20"/>
          <w:szCs w:val="20"/>
          <w:color w:val="auto"/>
        </w:rPr>
      </w:pPr>
      <w:r>
        <w:rPr>
          <w:rFonts w:ascii="Times New Roman" w:cs="Times New Roman" w:eastAsia="Times New Roman" w:hAnsi="Times New Roman"/>
          <w:sz w:val="15"/>
          <w:szCs w:val="15"/>
          <w:color w:val="auto"/>
        </w:rPr>
        <w:t xml:space="preserve">E. </w:t>
      </w:r>
      <w:r>
        <w:rPr>
          <w:rFonts w:ascii="Times New Roman" w:cs="Times New Roman" w:eastAsia="Times New Roman" w:hAnsi="Times New Roman"/>
          <w:sz w:val="15"/>
          <w:szCs w:val="15"/>
          <w:u w:val="single" w:color="auto"/>
          <w:color w:val="auto"/>
        </w:rPr>
        <w:t>Newly Created Directorships and Vacancies</w:t>
      </w:r>
      <w:r>
        <w:rPr>
          <w:rFonts w:ascii="Times New Roman" w:cs="Times New Roman" w:eastAsia="Times New Roman" w:hAnsi="Times New Roman"/>
          <w:sz w:val="15"/>
          <w:szCs w:val="15"/>
          <w:color w:val="auto"/>
        </w:rPr>
        <w:t>. Subject to the special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or newly created directorship shall hold office until the next election of the class to which such director shall have been appointed, and until his or her successor is duly elected and qualified, subject to his or her earlier death, disqualification, resignation or removal.</w:t>
      </w:r>
    </w:p>
    <w:p>
      <w:pPr>
        <w:spacing w:after="0" w:line="154" w:lineRule="exact"/>
        <w:rPr>
          <w:sz w:val="20"/>
          <w:szCs w:val="20"/>
          <w:color w:val="auto"/>
        </w:rPr>
      </w:pPr>
    </w:p>
    <w:p>
      <w:pPr>
        <w:ind w:right="40" w:firstLine="451"/>
        <w:spacing w:after="0" w:line="261" w:lineRule="auto"/>
        <w:rPr>
          <w:sz w:val="20"/>
          <w:szCs w:val="20"/>
          <w:color w:val="auto"/>
        </w:rPr>
      </w:pPr>
      <w:r>
        <w:rPr>
          <w:rFonts w:ascii="Times New Roman" w:cs="Times New Roman" w:eastAsia="Times New Roman" w:hAnsi="Times New Roman"/>
          <w:sz w:val="15"/>
          <w:szCs w:val="15"/>
          <w:color w:val="auto"/>
        </w:rPr>
        <w:t xml:space="preserve">F. </w:t>
      </w:r>
      <w:r>
        <w:rPr>
          <w:rFonts w:ascii="Times New Roman" w:cs="Times New Roman" w:eastAsia="Times New Roman" w:hAnsi="Times New Roman"/>
          <w:sz w:val="15"/>
          <w:szCs w:val="15"/>
          <w:u w:val="single" w:color="auto"/>
          <w:color w:val="auto"/>
        </w:rPr>
        <w:t>Preferred Directors</w:t>
      </w:r>
      <w:r>
        <w:rPr>
          <w:rFonts w:ascii="Times New Roman" w:cs="Times New Roman" w:eastAsia="Times New Roman" w:hAnsi="Times New Roman"/>
          <w:sz w:val="15"/>
          <w:szCs w:val="15"/>
          <w:color w:val="auto"/>
        </w:rPr>
        <w:t>. During any period when the holders of any series of Preferred Stock have the special right to elect additional directors, upon commencement and for the duration of such period during which such right continues: (i) the then otherwise total authorized number of directors of the Corporation shall automatically be increased by such specified number of additional directors, and the holders of such series of Preferred Stock shall be entitled to elect the additional directors so provided for or fixed pursuant to this Certificate of Incorporation; and (ii) each such additional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whenever the holders of any series of Preferred Stock having the special right to elect additional directors are divested of such right pursuant to this Certificate of Incorporation, the terms of office of all such additional directors elected by the holders of such series,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-967105</wp:posOffset>
            </wp:positionV>
            <wp:extent cx="2413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24130" cy="762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252" w:right="339" w:bottom="1440" w:gutter="0" w:footer="0" w:header="0"/>
        </w:sectPr>
      </w:pPr>
    </w:p>
    <w:bookmarkStart w:id="328" w:name="page329"/>
    <w:bookmarkEnd w:id="328"/>
    <w:p>
      <w:pPr>
        <w:ind w:right="20" w:firstLine="451"/>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G. </w:t>
      </w:r>
      <w:r>
        <w:rPr>
          <w:rFonts w:ascii="Times New Roman" w:cs="Times New Roman" w:eastAsia="Times New Roman" w:hAnsi="Times New Roman"/>
          <w:sz w:val="15"/>
          <w:szCs w:val="15"/>
          <w:u w:val="single" w:color="auto"/>
          <w:color w:val="auto"/>
        </w:rPr>
        <w:t>Removal</w:t>
      </w:r>
      <w:r>
        <w:rPr>
          <w:rFonts w:ascii="Times New Roman" w:cs="Times New Roman" w:eastAsia="Times New Roman" w:hAnsi="Times New Roman"/>
          <w:sz w:val="15"/>
          <w:szCs w:val="15"/>
          <w:color w:val="auto"/>
        </w:rPr>
        <w:t>. Subject to any special rights of the holders of one or more series of Preferred Stock to elect directors, any director or the entire Board may be removed from office at any time, but only for cause and only by the affirmative vote of the holders of at least 66 2/3% in voting power of the outstanding stock of the Corporation entitled to vote thereon, voting as a single class.</w:t>
      </w:r>
    </w:p>
    <w:p>
      <w:pPr>
        <w:spacing w:after="0" w:line="141" w:lineRule="exact"/>
        <w:rPr>
          <w:sz w:val="20"/>
          <w:szCs w:val="20"/>
          <w:color w:val="auto"/>
        </w:rPr>
      </w:pPr>
    </w:p>
    <w:p>
      <w:pPr>
        <w:ind w:firstLine="451"/>
        <w:spacing w:after="0" w:line="298" w:lineRule="auto"/>
        <w:rPr>
          <w:sz w:val="20"/>
          <w:szCs w:val="20"/>
          <w:color w:val="auto"/>
        </w:rPr>
      </w:pPr>
      <w:r>
        <w:rPr>
          <w:rFonts w:ascii="Times New Roman" w:cs="Times New Roman" w:eastAsia="Times New Roman" w:hAnsi="Times New Roman"/>
          <w:sz w:val="15"/>
          <w:szCs w:val="15"/>
          <w:color w:val="auto"/>
        </w:rPr>
        <w:t xml:space="preserve">H. </w:t>
      </w:r>
      <w:r>
        <w:rPr>
          <w:rFonts w:ascii="Times New Roman" w:cs="Times New Roman" w:eastAsia="Times New Roman" w:hAnsi="Times New Roman"/>
          <w:sz w:val="15"/>
          <w:szCs w:val="15"/>
          <w:u w:val="single" w:color="auto"/>
          <w:color w:val="auto"/>
        </w:rPr>
        <w:t>Committees</w:t>
      </w:r>
      <w:r>
        <w:rPr>
          <w:rFonts w:ascii="Times New Roman" w:cs="Times New Roman" w:eastAsia="Times New Roman" w:hAnsi="Times New Roman"/>
          <w:sz w:val="15"/>
          <w:szCs w:val="15"/>
          <w:color w:val="auto"/>
        </w:rPr>
        <w:t>. Pursuant to the Amended and Restated Bylaws of the Corporation (the “</w:t>
      </w:r>
      <w:r>
        <w:rPr>
          <w:rFonts w:ascii="Times New Roman" w:cs="Times New Roman" w:eastAsia="Times New Roman" w:hAnsi="Times New Roman"/>
          <w:sz w:val="15"/>
          <w:szCs w:val="15"/>
          <w:b w:val="1"/>
          <w:bCs w:val="1"/>
          <w:color w:val="auto"/>
        </w:rPr>
        <w:t>Bylaws</w:t>
      </w:r>
      <w:r>
        <w:rPr>
          <w:rFonts w:ascii="Times New Roman" w:cs="Times New Roman" w:eastAsia="Times New Roman" w:hAnsi="Times New Roman"/>
          <w:sz w:val="15"/>
          <w:szCs w:val="15"/>
          <w:color w:val="auto"/>
        </w:rPr>
        <w:t>”), the Board may establish one or more committees to which may be delegated any or all of the powers and duties of the Board to the full extent permitted by law.</w:t>
      </w:r>
    </w:p>
    <w:p>
      <w:pPr>
        <w:spacing w:after="0" w:line="129" w:lineRule="exact"/>
        <w:rPr>
          <w:sz w:val="20"/>
          <w:szCs w:val="20"/>
          <w:color w:val="auto"/>
        </w:rPr>
      </w:pPr>
    </w:p>
    <w:p>
      <w:pPr>
        <w:ind w:right="20" w:firstLine="451"/>
        <w:spacing w:after="0" w:line="293" w:lineRule="auto"/>
        <w:rPr>
          <w:sz w:val="20"/>
          <w:szCs w:val="20"/>
          <w:color w:val="auto"/>
        </w:rPr>
      </w:pPr>
      <w:r>
        <w:rPr>
          <w:rFonts w:ascii="Times New Roman" w:cs="Times New Roman" w:eastAsia="Times New Roman" w:hAnsi="Times New Roman"/>
          <w:sz w:val="15"/>
          <w:szCs w:val="15"/>
          <w:color w:val="auto"/>
        </w:rPr>
        <w:t xml:space="preserve">I. </w:t>
      </w:r>
      <w:r>
        <w:rPr>
          <w:rFonts w:ascii="Times New Roman" w:cs="Times New Roman" w:eastAsia="Times New Roman" w:hAnsi="Times New Roman"/>
          <w:sz w:val="15"/>
          <w:szCs w:val="15"/>
          <w:u w:val="single" w:color="auto"/>
          <w:color w:val="auto"/>
        </w:rPr>
        <w:t>Stockholder Nominations and Introduction of Business</w:t>
      </w:r>
      <w:r>
        <w:rPr>
          <w:rFonts w:ascii="Times New Roman" w:cs="Times New Roman" w:eastAsia="Times New Roman" w:hAnsi="Times New Roman"/>
          <w:sz w:val="15"/>
          <w:szCs w:val="15"/>
          <w:color w:val="auto"/>
        </w:rPr>
        <w:t>. Advance notice of stockholder nominations for election of directors and other business to be brought by stockholders before a meeting of stockholders shall be given in the manner provided by the Bylaws.</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SIXTH</w:t>
      </w:r>
      <w:r>
        <w:rPr>
          <w:rFonts w:ascii="Times New Roman" w:cs="Times New Roman" w:eastAsia="Times New Roman" w:hAnsi="Times New Roman"/>
          <w:sz w:val="15"/>
          <w:szCs w:val="15"/>
          <w:color w:val="auto"/>
        </w:rPr>
        <w:t>: Unless and except to the extent that the Bylaws shall so require, the election of directors of the Corporation need not be by written ballot.</w:t>
      </w:r>
    </w:p>
    <w:p>
      <w:pPr>
        <w:spacing w:after="0" w:line="196" w:lineRule="exact"/>
        <w:rPr>
          <w:sz w:val="20"/>
          <w:szCs w:val="20"/>
          <w:color w:val="auto"/>
        </w:rPr>
      </w:pPr>
    </w:p>
    <w:p>
      <w:pPr>
        <w:ind w:right="2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SEVENTH</w:t>
      </w:r>
      <w:r>
        <w:rPr>
          <w:rFonts w:ascii="Times New Roman" w:cs="Times New Roman" w:eastAsia="Times New Roman" w:hAnsi="Times New Roman"/>
          <w:sz w:val="15"/>
          <w:szCs w:val="15"/>
          <w:color w:val="auto"/>
        </w:rPr>
        <w:t>: To the fullest extent permitted by the DGCL as it now exists and as it may hereafter be amended, no director of the Corporation shall be personally liable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Corporation or any of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No amendment, modification or repeal of this Article SEVENTH shall apply to or have any adverse effect on any right or protection of, or any limitation of the liability of, a director of the Corporation with respect to actions or omissions occurring prior to the time of such amendment, modification or repeal.</w:t>
      </w:r>
    </w:p>
    <w:p>
      <w:pPr>
        <w:spacing w:after="0" w:line="147" w:lineRule="exact"/>
        <w:rPr>
          <w:sz w:val="20"/>
          <w:szCs w:val="20"/>
          <w:color w:val="auto"/>
        </w:rPr>
      </w:pPr>
    </w:p>
    <w:p>
      <w:pPr>
        <w:ind w:right="3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EIGHTH</w:t>
      </w:r>
      <w:r>
        <w:rPr>
          <w:rFonts w:ascii="Times New Roman" w:cs="Times New Roman" w:eastAsia="Times New Roman" w:hAnsi="Times New Roman"/>
          <w:sz w:val="15"/>
          <w:szCs w:val="15"/>
          <w:color w:val="auto"/>
        </w:rPr>
        <w:t>: Subject to the terms of any series of Preferred Stock, any action required or permitted to be taken by the stockholders of the Corporation must be effected at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annual or special meeting of the stockholders called in accordance with the Bylaws and may not be effected by written consent in lieu of a meeting.</w:t>
      </w:r>
    </w:p>
    <w:p>
      <w:pPr>
        <w:spacing w:after="0" w:line="125" w:lineRule="exact"/>
        <w:rPr>
          <w:sz w:val="20"/>
          <w:szCs w:val="20"/>
          <w:color w:val="auto"/>
        </w:rPr>
      </w:pPr>
    </w:p>
    <w:p>
      <w:pPr>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NINTH</w:t>
      </w:r>
      <w:r>
        <w:rPr>
          <w:rFonts w:ascii="Times New Roman" w:cs="Times New Roman" w:eastAsia="Times New Roman" w:hAnsi="Times New Roman"/>
          <w:sz w:val="15"/>
          <w:szCs w:val="15"/>
          <w:color w:val="auto"/>
        </w:rPr>
        <w:t>: Except as otherwise required by law and subject to the terms of any series of Preferred Stock, special meetings of stockholders for any purpose or purposes may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called at any time by the majority of the Whole Board, the Chairman of the Board or the Chief Executive Officer of the Corporation, and may not be called by stockholders or any other person or persons. Business transacted at any special meeting of stockholders shall be limited to matters relating to the purpose or purposes stated in the notice for such meeting.</w:t>
      </w:r>
    </w:p>
    <w:p>
      <w:pPr>
        <w:spacing w:after="0" w:line="141" w:lineRule="exact"/>
        <w:rPr>
          <w:sz w:val="20"/>
          <w:szCs w:val="20"/>
          <w:color w:val="auto"/>
        </w:rPr>
      </w:pPr>
    </w:p>
    <w:p>
      <w:pPr>
        <w:ind w:right="6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TENTH</w:t>
      </w:r>
      <w:r>
        <w:rPr>
          <w:rFonts w:ascii="Times New Roman" w:cs="Times New Roman" w:eastAsia="Times New Roman" w:hAnsi="Times New Roman"/>
          <w:sz w:val="15"/>
          <w:szCs w:val="15"/>
          <w:color w:val="auto"/>
        </w:rPr>
        <w:t>: If any provision or provisions of this Certificate of Incorporation shall be held to be invalid, illegal or unenforceable as applied to any circumstance for any reason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251" w:right="319" w:bottom="1440" w:gutter="0" w:footer="0" w:header="0"/>
        </w:sectPr>
      </w:pPr>
    </w:p>
    <w:bookmarkStart w:id="329" w:name="page330"/>
    <w:bookmarkEnd w:id="329"/>
    <w:p>
      <w:pPr>
        <w:ind w:right="20" w:firstLine="451"/>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TENTH. Notwithstanding any other provision of this Certificate of Incorporation or any provision of law that might otherwise permit a lesser vote or no vote, but in addition to any affirmative vote of the holders of any series of Preferred Stock required by law or by this Certificate of Incorporation, the affirmative vote of the holders of at least 66 2/3% in voting power of the outstanding stock of the Corporation entitled to vote thereon, voting together as a single class, shall be required to amend, alter, change or repeal, or adopt any provision inconsistent with, any of Parts A. and B. of ARTICLE FOURTH, Article FIFTH, Article SEVENTH, Article EIGHTH, Article NINTH, Article ELEVENTH, Article TWELFTH, and this Article TENTH, and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SEVENTH, and this sentence shall not adversely affect any right or protection of any person existing thereunder with respect to any act or omission occurring prior to such repeal or modification.</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b w:val="1"/>
          <w:bCs w:val="1"/>
          <w:color w:val="auto"/>
        </w:rPr>
        <w:t>ELEVENTH</w:t>
      </w:r>
      <w:r>
        <w:rPr>
          <w:rFonts w:ascii="Times New Roman" w:cs="Times New Roman" w:eastAsia="Times New Roman" w:hAnsi="Times New Roman"/>
          <w:sz w:val="15"/>
          <w:szCs w:val="15"/>
          <w:color w:val="auto"/>
        </w:rPr>
        <w:t>: In furtherance and not in limitation of the powers conferred upon it by law, the Board is expressly authorized and empowered to adopt, amend and repeal the Bylaws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affirmative vote of a majority of the Whole Board. The stockholders shall also have power to adopt, amend or repeal the Bylaws; provided, however,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or the Bylaws, the affirmative vote of the holders of at least 66 2/3% in voting power of the outstanding shares of the stock of the Corporation entitled to vote thereon, voting together as a single class, shall be required for the stockholders to adopt, amend or repeal any provision of the Bylaws.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TWELFTH</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Forum Selection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20" w:firstLine="1456"/>
        <w:spacing w:after="0" w:line="265" w:lineRule="auto"/>
        <w:tabs>
          <w:tab w:leader="none" w:pos="1673"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Corporation consents in writing to the selection of an alternative forum, the Court of Chancery of the State of Delaware (or, if the Court of Chancery does not have jurisdiction, the state or federal courts in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stockholder or other employee of the Corporation to the Corporation or the Corporation’s stockholders, (3) any action arising pursuant to any provision of the DGCL or this Certificate of Incorporation or the Bylaws (as the foregoing may be amended, modified, supplemented and/or restated from time to time), or (4) any action asserting a claim governed by the internal affairs doctrine.</w:t>
      </w:r>
    </w:p>
    <w:p>
      <w:pPr>
        <w:spacing w:after="0" w:line="338" w:lineRule="exact"/>
        <w:rPr>
          <w:rFonts w:ascii="Times New Roman" w:cs="Times New Roman" w:eastAsia="Times New Roman" w:hAnsi="Times New Roman"/>
          <w:sz w:val="15"/>
          <w:szCs w:val="15"/>
          <w:color w:val="auto"/>
        </w:rPr>
      </w:pPr>
    </w:p>
    <w:p>
      <w:pPr>
        <w:jc w:val="both"/>
        <w:ind w:right="180" w:firstLine="1456"/>
        <w:spacing w:after="0" w:line="293" w:lineRule="auto"/>
        <w:tabs>
          <w:tab w:leader="none" w:pos="1682"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252" w:right="319" w:bottom="1440" w:gutter="0" w:footer="0" w:header="0"/>
        </w:sectPr>
      </w:pPr>
    </w:p>
    <w:bookmarkStart w:id="330" w:name="page331"/>
    <w:bookmarkEnd w:id="330"/>
    <w:p>
      <w:pPr>
        <w:ind w:left="-40" w:right="80" w:firstLine="1006"/>
        <w:spacing w:after="0" w:line="293" w:lineRule="auto"/>
        <w:tabs>
          <w:tab w:leader="none" w:pos="1183" w:val="left"/>
        </w:tabs>
        <w:numPr>
          <w:ilvl w:val="1"/>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Any person or entity purchasing or otherwise acquiring or holding any interest in shares of capital stock of the Corporation shall be deemed to have notice of and consented to the provisions of this Article TWELFTH.</w:t>
      </w:r>
    </w:p>
    <w:p>
      <w:pPr>
        <w:spacing w:after="0" w:line="132" w:lineRule="exact"/>
        <w:rPr>
          <w:rFonts w:ascii="Times New Roman" w:cs="Times New Roman" w:eastAsia="Times New Roman" w:hAnsi="Times New Roman"/>
          <w:sz w:val="15"/>
          <w:szCs w:val="15"/>
          <w:color w:val="auto"/>
        </w:rPr>
      </w:pPr>
    </w:p>
    <w:p>
      <w:pPr>
        <w:ind w:left="-40" w:firstLine="443"/>
        <w:spacing w:after="0" w:line="265" w:lineRule="auto"/>
        <w:tabs>
          <w:tab w:leader="none" w:pos="590"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Personal Jurisdiction</w:t>
      </w:r>
      <w:r>
        <w:rPr>
          <w:rFonts w:ascii="Times New Roman" w:cs="Times New Roman" w:eastAsia="Times New Roman" w:hAnsi="Times New Roman"/>
          <w:sz w:val="15"/>
          <w:szCs w:val="15"/>
          <w:color w:val="auto"/>
        </w:rPr>
        <w:t>. If any action the subject matter of which is within the scope of Section A immediately above is filed in a court other than a court located within the State of Delaware (a “</w:t>
      </w:r>
      <w:r>
        <w:rPr>
          <w:rFonts w:ascii="Times New Roman" w:cs="Times New Roman" w:eastAsia="Times New Roman" w:hAnsi="Times New Roman"/>
          <w:sz w:val="15"/>
          <w:szCs w:val="15"/>
          <w:b w:val="1"/>
          <w:bCs w:val="1"/>
          <w:color w:val="auto"/>
        </w:rPr>
        <w:t>Foreign Action</w:t>
      </w:r>
      <w:r>
        <w:rPr>
          <w:rFonts w:ascii="Times New Roman" w:cs="Times New Roman" w:eastAsia="Times New Roman" w:hAnsi="Times New Roman"/>
          <w:sz w:val="15"/>
          <w:szCs w:val="15"/>
          <w:color w:val="auto"/>
        </w:rPr>
        <w:t>”) in the name of any stockholder, such stockholder shall be deemed to have consented to (i) the personal jurisdiction of the applicable state and federal courts located within the State of Delaware in connection with any action brought in any such court to enforce Section A immediately above (an “</w:t>
      </w:r>
      <w:r>
        <w:rPr>
          <w:rFonts w:ascii="Times New Roman" w:cs="Times New Roman" w:eastAsia="Times New Roman" w:hAnsi="Times New Roman"/>
          <w:sz w:val="15"/>
          <w:szCs w:val="15"/>
          <w:b w:val="1"/>
          <w:bCs w:val="1"/>
          <w:color w:val="auto"/>
        </w:rPr>
        <w:t>FSC Enforcement Action</w:t>
      </w:r>
      <w:r>
        <w:rPr>
          <w:rFonts w:ascii="Times New Roman" w:cs="Times New Roman" w:eastAsia="Times New Roman" w:hAnsi="Times New Roman"/>
          <w:sz w:val="15"/>
          <w:szCs w:val="15"/>
          <w:color w:val="auto"/>
        </w:rPr>
        <w:t>”) and (ii) having service of process made upon such stockholder in any such FSC Enforcement Action by service upon such stockholder’s counsel in the Foreign Action as agent for such stockholder.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160"/>
          </w:cols>
          <w:pgMar w:left="360" w:top="252" w:right="37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99"/>
        </w:trPr>
        <w:tc>
          <w:tcPr>
            <w:tcW w:w="7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 WITNESS WHEREOF, the undersigned has executed this Amended and Restated Certificate of Incorporation as of this</w:t>
            </w:r>
          </w:p>
        </w:tc>
        <w:tc>
          <w:tcPr>
            <w:tcW w:w="10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day of</w:t>
            </w:r>
          </w:p>
        </w:tc>
        <w:tc>
          <w:tcPr>
            <w:tcW w:w="1860" w:type="dxa"/>
            <w:vAlign w:val="bottom"/>
          </w:tcPr>
          <w:p>
            <w:pPr>
              <w:jc w:val="right"/>
              <w:ind w:right="1183"/>
              <w:spacing w:after="0"/>
              <w:rPr>
                <w:sz w:val="20"/>
                <w:szCs w:val="20"/>
                <w:color w:val="auto"/>
              </w:rPr>
            </w:pPr>
            <w:r>
              <w:rPr>
                <w:rFonts w:ascii="Times New Roman" w:cs="Times New Roman" w:eastAsia="Times New Roman" w:hAnsi="Times New Roman"/>
                <w:sz w:val="15"/>
                <w:szCs w:val="15"/>
                <w:color w:val="auto"/>
              </w:rPr>
              <w:t>, 2020</w:t>
            </w:r>
          </w:p>
        </w:tc>
      </w:tr>
      <w:tr>
        <w:trPr>
          <w:trHeight w:val="576"/>
        </w:trPr>
        <w:tc>
          <w:tcPr>
            <w:tcW w:w="6860" w:type="dxa"/>
            <w:vAlign w:val="bottom"/>
          </w:tcPr>
          <w:p>
            <w:pPr>
              <w:ind w:left="6320"/>
              <w:spacing w:after="0"/>
              <w:rPr>
                <w:sz w:val="20"/>
                <w:szCs w:val="20"/>
                <w:color w:val="auto"/>
              </w:rPr>
            </w:pPr>
            <w:r>
              <w:rPr>
                <w:rFonts w:ascii="Times New Roman" w:cs="Times New Roman" w:eastAsia="Times New Roman" w:hAnsi="Times New Roman"/>
                <w:sz w:val="15"/>
                <w:szCs w:val="15"/>
                <w:color w:val="auto"/>
              </w:rPr>
              <w:t>By:</w:t>
            </w: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162"/>
        </w:trPr>
        <w:tc>
          <w:tcPr>
            <w:tcW w:w="6860" w:type="dxa"/>
            <w:vAlign w:val="bottom"/>
          </w:tcPr>
          <w:p>
            <w:pPr>
              <w:ind w:left="632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21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5"/>
                <w:szCs w:val="15"/>
                <w:color w:val="auto"/>
              </w:rPr>
              <w:t>Bobak Azamian, M.D., Ph.D.</w:t>
            </w:r>
          </w:p>
        </w:tc>
        <w:tc>
          <w:tcPr>
            <w:tcW w:w="1860" w:type="dxa"/>
            <w:vAlign w:val="bottom"/>
          </w:tcPr>
          <w:p>
            <w:pPr>
              <w:spacing w:after="0"/>
              <w:rPr>
                <w:sz w:val="14"/>
                <w:szCs w:val="14"/>
                <w:color w:val="auto"/>
              </w:rPr>
            </w:pPr>
          </w:p>
        </w:tc>
      </w:tr>
      <w:tr>
        <w:trPr>
          <w:trHeight w:val="199"/>
        </w:trPr>
        <w:tc>
          <w:tcPr>
            <w:tcW w:w="6860" w:type="dxa"/>
            <w:vAlign w:val="bottom"/>
          </w:tcPr>
          <w:p>
            <w:pPr>
              <w:ind w:left="6320"/>
              <w:spacing w:after="0"/>
              <w:rPr>
                <w:sz w:val="20"/>
                <w:szCs w:val="20"/>
                <w:color w:val="auto"/>
              </w:rPr>
            </w:pPr>
            <w:r>
              <w:rPr>
                <w:rFonts w:ascii="Times New Roman" w:cs="Times New Roman" w:eastAsia="Times New Roman" w:hAnsi="Times New Roman"/>
                <w:sz w:val="15"/>
                <w:szCs w:val="15"/>
                <w:color w:val="auto"/>
              </w:rPr>
              <w:t>Title:</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c>
          <w:tcPr>
            <w:tcW w:w="1860" w:type="dxa"/>
            <w:vAlign w:val="bottom"/>
          </w:tcPr>
          <w:p>
            <w:pPr>
              <w:spacing w:after="0"/>
              <w:rPr>
                <w:sz w:val="17"/>
                <w:szCs w:val="17"/>
                <w:color w:val="auto"/>
              </w:rPr>
            </w:pPr>
          </w:p>
        </w:tc>
      </w:tr>
      <w:tr>
        <w:trPr>
          <w:trHeight w:val="311"/>
        </w:trPr>
        <w:tc>
          <w:tcPr>
            <w:tcW w:w="6860" w:type="dxa"/>
            <w:vAlign w:val="bottom"/>
          </w:tcPr>
          <w:p>
            <w:pPr>
              <w:ind w:left="5140"/>
              <w:spacing w:after="0"/>
              <w:rPr>
                <w:sz w:val="20"/>
                <w:szCs w:val="20"/>
                <w:color w:val="auto"/>
              </w:rPr>
            </w:pPr>
            <w:r>
              <w:rPr>
                <w:rFonts w:ascii="Times New Roman" w:cs="Times New Roman" w:eastAsia="Times New Roman" w:hAnsi="Times New Roman"/>
                <w:sz w:val="15"/>
                <w:szCs w:val="15"/>
                <w:color w:val="auto"/>
              </w:rPr>
              <w:t>8</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20"/>
          </w:cols>
          <w:pgMar w:left="760" w:top="252" w:right="319" w:bottom="1440" w:gutter="0" w:footer="0" w:header="0"/>
        </w:sect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bookmarkStart w:id="332" w:name="page333"/>
    <w:bookmarkEnd w:id="332"/>
    <w:p>
      <w:pPr>
        <w:jc w:val="right"/>
        <w:spacing w:after="0"/>
        <w:rPr>
          <w:sz w:val="20"/>
          <w:szCs w:val="20"/>
          <w:color w:val="auto"/>
        </w:rPr>
      </w:pPr>
      <w:r>
        <w:rPr>
          <w:rFonts w:ascii="Times New Roman" w:cs="Times New Roman" w:eastAsia="Times New Roman" w:hAnsi="Times New Roman"/>
          <w:sz w:val="15"/>
          <w:szCs w:val="15"/>
          <w:b w:val="1"/>
          <w:bCs w:val="1"/>
          <w:color w:val="auto"/>
        </w:rPr>
        <w:t>Exhibit 3.3</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BYLAWS OF</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5"/>
          <w:szCs w:val="15"/>
          <w:b w:val="1"/>
          <w:bCs w:val="1"/>
          <w:color w:val="auto"/>
        </w:rPr>
        <w:t>(A DELAWARE CORPORATION)</w:t>
      </w:r>
    </w:p>
    <w:p>
      <w:pPr>
        <w:sectPr>
          <w:pgSz w:w="11900" w:h="16838" w:orient="portrait"/>
          <w:cols w:equalWidth="0" w:num="1">
            <w:col w:w="10140"/>
          </w:cols>
          <w:pgMar w:left="1440" w:top="121" w:right="31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7880" w:type="dxa"/>
            <w:vAlign w:val="bottom"/>
          </w:tcPr>
          <w:p>
            <w:pPr>
              <w:ind w:left="39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500" w:type="dxa"/>
            <w:vAlign w:val="bottom"/>
          </w:tcPr>
          <w:p>
            <w:pPr>
              <w:spacing w:after="0"/>
              <w:rPr>
                <w:sz w:val="17"/>
                <w:szCs w:val="17"/>
                <w:color w:val="auto"/>
              </w:rPr>
            </w:pPr>
          </w:p>
        </w:tc>
      </w:tr>
      <w:tr>
        <w:trPr>
          <w:trHeight w:val="320"/>
        </w:trPr>
        <w:tc>
          <w:tcPr>
            <w:tcW w:w="8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 OFFICES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Registered Office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Offices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62"/>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 MEETINGS OF STOCKHOLDERS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Timing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2.3</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 of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2.4</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Stockholders’ Records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2.5</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Special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2.6</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 of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2.7</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Business Transacted at Special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2.8</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Quorum; Meeting Adjournment; Presence by Remote Means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2.9</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Voting Thresholds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2.10</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Number of Votes Per Share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Action by Written Consent of Stockholders; Electronic Consent; Notice of Action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62"/>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Authorized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Vacancies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3.3</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Board Authority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3.4</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Location of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3.5</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First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3.6</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Regular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3.7</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Special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3.8</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Quorum</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3.9</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Action Without a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3.10</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Telephonic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Committees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Minutes of Meetings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3.13</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Compensation of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3.14</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Removal of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62"/>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Waiver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4.3</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Electronic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62"/>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Required and Permitted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5.2</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Appointment of Required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5.3</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Appointment of Permitted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5.4</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Officer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5.5</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Term of Office; Vacancies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5.6</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Chairman Presides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5.7</w:t>
            </w:r>
          </w:p>
        </w:tc>
        <w:tc>
          <w:tcPr>
            <w:tcW w:w="7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Absence of Chairman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00"/>
          </w:cols>
          <w:pgMar w:left="320" w:top="248" w:right="37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5.8</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Powers of Chief Executive Officer</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5.9</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Chief Executive Officer’s Signature Authority</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5.10</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Absence of Chief Executive Officer</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5.11</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Powers of President</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5.12</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Absence of President</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5.13</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Duties of Secretary</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5.14</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Duties of Assistant Secretary</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5.15</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Duties of Treasurer</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5.16</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Disbursements and Financial Reports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5.17</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Treasurer’s Bond</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5.18</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Duties of Assistant Treasurer</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62"/>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CERTIFICATE OF STOCK</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6.1</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Stock Certificates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6.2</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Facsimile Signatures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6.3</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Lost Certificates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6.4</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Transfer of Stock</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6.5</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Fixing a Record Date</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6.6</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Registered Stockholders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62"/>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GENERAL PROVISIONS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7.1</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Dividends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7.2</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Reserve for Dividends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7.3</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Checks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7.4</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Fiscal Year</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7.5</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Corporate Seal</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7.6</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Indemnification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9"/>
        </w:trPr>
        <w:tc>
          <w:tcPr>
            <w:tcW w:w="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7.7</w:t>
            </w:r>
          </w:p>
        </w:tc>
        <w:tc>
          <w:tcPr>
            <w:tcW w:w="3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Conflicts with Certificate of Incorporation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77"/>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VIII AMENDMENTS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77"/>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LOANS TO OFFICERS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77"/>
        </w:trPr>
        <w:tc>
          <w:tcPr>
            <w:tcW w:w="4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 RECORDS AND REPORTS</w:t>
            </w:r>
          </w:p>
        </w:tc>
        <w:tc>
          <w:tcPr>
            <w:tcW w:w="6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311"/>
        </w:trPr>
        <w:tc>
          <w:tcPr>
            <w:tcW w:w="8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460" w:type="dxa"/>
            <w:vAlign w:val="bottom"/>
          </w:tcPr>
          <w:p>
            <w:pPr>
              <w:jc w:val="right"/>
              <w:ind w:right="5463"/>
              <w:spacing w:after="0"/>
              <w:rPr>
                <w:sz w:val="20"/>
                <w:szCs w:val="20"/>
                <w:color w:val="auto"/>
              </w:rPr>
            </w:pPr>
            <w:r>
              <w:rPr>
                <w:rFonts w:ascii="Times New Roman" w:cs="Times New Roman" w:eastAsia="Times New Roman" w:hAnsi="Times New Roman"/>
                <w:sz w:val="15"/>
                <w:szCs w:val="15"/>
                <w:color w:val="auto"/>
              </w:rPr>
              <w:t>ii</w:t>
            </w:r>
          </w:p>
        </w:tc>
      </w:tr>
    </w:tbl>
    <w:p>
      <w:pPr>
        <w:jc w:val="right"/>
        <w:ind w:right="5463"/>
        <w:spacing w:after="0"/>
        <w:rPr>
          <w:sz w:val="20"/>
          <w:szCs w:val="20"/>
          <w:color w:val="auto"/>
        </w:rPr>
        <w:sectPr>
          <w:pgSz w:w="11900" w:h="16838" w:orient="portrait"/>
          <w:cols w:equalWidth="0" w:num="1">
            <w:col w:w="11200"/>
          </w:cols>
          <w:pgMar w:left="320" w:top="252" w:right="379" w:bottom="1440" w:gutter="0" w:footer="0" w:header="0"/>
        </w:sect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bookmarkStart w:id="335" w:name="page336"/>
    <w:bookmarkEnd w:id="33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BYLAWS OF</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OFFICES</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b w:val="1"/>
          <w:bCs w:val="1"/>
          <w:color w:val="auto"/>
        </w:rPr>
        <w:t>Registered Office</w:t>
      </w:r>
      <w:r>
        <w:rPr>
          <w:rFonts w:ascii="Times New Roman" w:cs="Times New Roman" w:eastAsia="Times New Roman" w:hAnsi="Times New Roman"/>
          <w:sz w:val="15"/>
          <w:szCs w:val="15"/>
          <w:color w:val="auto"/>
        </w:rPr>
        <w:t>. The registered office shall be in the City of Dover, County of Kent, State of Delaware.</w:t>
      </w:r>
    </w:p>
    <w:p>
      <w:pPr>
        <w:spacing w:after="0" w:line="196" w:lineRule="exact"/>
        <w:rPr>
          <w:sz w:val="20"/>
          <w:szCs w:val="20"/>
          <w:color w:val="auto"/>
        </w:rPr>
      </w:pPr>
    </w:p>
    <w:p>
      <w:pPr>
        <w:ind w:right="30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b w:val="1"/>
          <w:bCs w:val="1"/>
          <w:color w:val="auto"/>
        </w:rPr>
        <w:t>Offices</w:t>
      </w:r>
      <w:r>
        <w:rPr>
          <w:rFonts w:ascii="Times New Roman" w:cs="Times New Roman" w:eastAsia="Times New Roman" w:hAnsi="Times New Roman"/>
          <w:sz w:val="15"/>
          <w:szCs w:val="15"/>
          <w:color w:val="auto"/>
        </w:rPr>
        <w:t>. The corporation may also have offices at such other places both within and without the State of Delaware as the Board of Directors may from time to time determine or the business of the corporation may require.</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MEETINGS OF STOCKHOLDERS</w:t>
      </w:r>
    </w:p>
    <w:p>
      <w:pPr>
        <w:spacing w:after="0" w:line="178" w:lineRule="exact"/>
        <w:rPr>
          <w:sz w:val="20"/>
          <w:szCs w:val="20"/>
          <w:color w:val="auto"/>
        </w:rPr>
      </w:pPr>
    </w:p>
    <w:p>
      <w:pPr>
        <w:ind w:right="20" w:firstLine="1014"/>
        <w:spacing w:after="0" w:line="265"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b w:val="1"/>
          <w:bCs w:val="1"/>
          <w:color w:val="auto"/>
        </w:rPr>
        <w:t>Location</w:t>
      </w:r>
      <w:r>
        <w:rPr>
          <w:rFonts w:ascii="Times New Roman" w:cs="Times New Roman" w:eastAsia="Times New Roman" w:hAnsi="Times New Roman"/>
          <w:sz w:val="15"/>
          <w:szCs w:val="15"/>
          <w:color w:val="auto"/>
        </w:rPr>
        <w:t>. All meetings of the stockholders for the election of directors shall be held in Newport Beach, California,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148" w:lineRule="exact"/>
        <w:rPr>
          <w:sz w:val="20"/>
          <w:szCs w:val="20"/>
          <w:color w:val="auto"/>
        </w:rPr>
      </w:pPr>
    </w:p>
    <w:p>
      <w:pPr>
        <w:ind w:right="32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b w:val="1"/>
          <w:bCs w:val="1"/>
          <w:color w:val="auto"/>
        </w:rPr>
        <w:t>Timing</w:t>
      </w:r>
      <w:r>
        <w:rPr>
          <w:rFonts w:ascii="Times New Roman" w:cs="Times New Roman" w:eastAsia="Times New Roman" w:hAnsi="Times New Roman"/>
          <w:sz w:val="15"/>
          <w:szCs w:val="15"/>
          <w:color w:val="auto"/>
        </w:rPr>
        <w:t>. Annual meetings of stockholders, commencing with the year following the adoption of these bylaws,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41"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b w:val="1"/>
          <w:bCs w:val="1"/>
          <w:color w:val="auto"/>
        </w:rPr>
        <w:t>Notice of Meeting</w:t>
      </w:r>
      <w:r>
        <w:rPr>
          <w:rFonts w:ascii="Times New Roman" w:cs="Times New Roman" w:eastAsia="Times New Roman" w:hAnsi="Times New Roman"/>
          <w:sz w:val="15"/>
          <w:szCs w:val="15"/>
          <w:color w:val="auto"/>
        </w:rPr>
        <w:t>.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141" w:lineRule="exact"/>
        <w:rPr>
          <w:sz w:val="20"/>
          <w:szCs w:val="20"/>
          <w:color w:val="auto"/>
        </w:rPr>
      </w:pPr>
    </w:p>
    <w:p>
      <w:pPr>
        <w:ind w:right="40" w:firstLine="1014"/>
        <w:spacing w:after="0" w:line="265"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b w:val="1"/>
          <w:bCs w:val="1"/>
          <w:color w:val="auto"/>
        </w:rPr>
        <w:t>Stockholders’ Records</w:t>
      </w:r>
      <w:r>
        <w:rPr>
          <w:rFonts w:ascii="Times New Roman" w:cs="Times New Roman" w:eastAsia="Times New Roman" w:hAnsi="Times New Roman"/>
          <w:sz w:val="15"/>
          <w:szCs w:val="15"/>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w:t>
      </w:r>
    </w:p>
    <w:p>
      <w:pPr>
        <w:sectPr>
          <w:pgSz w:w="11900" w:h="16838" w:orient="portrait"/>
          <w:cols w:equalWidth="0" w:num="1">
            <w:col w:w="11240"/>
          </w:cols>
          <w:pgMar w:left="320" w:top="248" w:right="339" w:bottom="1440" w:gutter="0" w:footer="0" w:header="0"/>
        </w:sectPr>
      </w:pPr>
    </w:p>
    <w:bookmarkStart w:id="336" w:name="page337"/>
    <w:bookmarkEnd w:id="336"/>
    <w:p>
      <w:pPr>
        <w:ind w:right="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48" w:lineRule="exact"/>
        <w:rPr>
          <w:sz w:val="20"/>
          <w:szCs w:val="20"/>
          <w:color w:val="auto"/>
        </w:rPr>
      </w:pPr>
    </w:p>
    <w:p>
      <w:pPr>
        <w:jc w:val="both"/>
        <w:ind w:right="6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2.5 </w:t>
      </w:r>
      <w:r>
        <w:rPr>
          <w:rFonts w:ascii="Times New Roman" w:cs="Times New Roman" w:eastAsia="Times New Roman" w:hAnsi="Times New Roman"/>
          <w:sz w:val="15"/>
          <w:szCs w:val="15"/>
          <w:b w:val="1"/>
          <w:bCs w:val="1"/>
          <w:color w:val="auto"/>
        </w:rPr>
        <w:t>Special Meetings</w:t>
      </w:r>
      <w:r>
        <w:rPr>
          <w:rFonts w:ascii="Times New Roman" w:cs="Times New Roman" w:eastAsia="Times New Roman" w:hAnsi="Times New Roman"/>
          <w:sz w:val="15"/>
          <w:szCs w:val="15"/>
          <w:color w:val="auto"/>
        </w:rPr>
        <w:t>. Special meetings of the stockholders, for any purpose or purposes, unless otherwise prescribed by statute or by the certificate of incorporation, may be called by the Chief Executive Officer and shall be called by the Chief Executive Officer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146"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b w:val="1"/>
          <w:bCs w:val="1"/>
          <w:color w:val="auto"/>
        </w:rPr>
        <w:t>Notice of Meeting</w:t>
      </w:r>
      <w:r>
        <w:rPr>
          <w:rFonts w:ascii="Times New Roman" w:cs="Times New Roman" w:eastAsia="Times New Roman" w:hAnsi="Times New Roman"/>
          <w:sz w:val="15"/>
          <w:szCs w:val="15"/>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b w:val="1"/>
          <w:bCs w:val="1"/>
          <w:color w:val="auto"/>
        </w:rPr>
        <w:t>Business Transacted at Special Meeting</w:t>
      </w:r>
      <w:r>
        <w:rPr>
          <w:rFonts w:ascii="Times New Roman" w:cs="Times New Roman" w:eastAsia="Times New Roman" w:hAnsi="Times New Roman"/>
          <w:sz w:val="15"/>
          <w:szCs w:val="15"/>
          <w:color w:val="auto"/>
        </w:rPr>
        <w:t>. Business transacted at any special meeting of stockholders shall be limited to the purposes stated in the notice.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2.8 </w:t>
      </w:r>
      <w:r>
        <w:rPr>
          <w:rFonts w:ascii="Times New Roman" w:cs="Times New Roman" w:eastAsia="Times New Roman" w:hAnsi="Times New Roman"/>
          <w:sz w:val="15"/>
          <w:szCs w:val="15"/>
          <w:b w:val="1"/>
          <w:bCs w:val="1"/>
          <w:color w:val="auto"/>
        </w:rPr>
        <w:t>Quorum; Meeting Adjournment; Presence by Remote Means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40" w:firstLine="1456"/>
        <w:spacing w:after="0" w:line="263" w:lineRule="auto"/>
        <w:tabs>
          <w:tab w:leader="none" w:pos="1673"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Quorum; Meeting Adjournment</w:t>
      </w:r>
      <w:r>
        <w:rPr>
          <w:rFonts w:ascii="Times New Roman" w:cs="Times New Roman" w:eastAsia="Times New Roman" w:hAnsi="Times New Roman"/>
          <w:sz w:val="15"/>
          <w:szCs w:val="15"/>
          <w:color w:val="auto"/>
        </w:rPr>
        <w:t>. The holders of a majority of the stock issued and outstanding and entitled to vote thereat, present in person or represented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2" w:lineRule="exact"/>
        <w:rPr>
          <w:rFonts w:ascii="Times New Roman" w:cs="Times New Roman" w:eastAsia="Times New Roman" w:hAnsi="Times New Roman"/>
          <w:sz w:val="15"/>
          <w:szCs w:val="15"/>
          <w:color w:val="auto"/>
        </w:rPr>
      </w:pPr>
    </w:p>
    <w:p>
      <w:pPr>
        <w:ind w:right="260" w:firstLine="1456"/>
        <w:spacing w:after="0" w:line="298" w:lineRule="auto"/>
        <w:tabs>
          <w:tab w:leader="none" w:pos="1682"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Presence by Remote Means</w:t>
      </w:r>
      <w:r>
        <w:rPr>
          <w:rFonts w:ascii="Times New Roman" w:cs="Times New Roman" w:eastAsia="Times New Roman" w:hAnsi="Times New Roman"/>
          <w:sz w:val="15"/>
          <w:szCs w:val="15"/>
          <w:color w:val="auto"/>
        </w:rPr>
        <w:t>. If authorized by the Board of Directors in its sole discretion, and subject to such guidelines and procedures as the Board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Directors may adopt, stockholders and proxyholders not physically present at a meeting of stockholders may, by means of remote communication:</w:t>
      </w:r>
    </w:p>
    <w:p>
      <w:pPr>
        <w:spacing w:after="0" w:line="36" w:lineRule="exact"/>
        <w:rPr>
          <w:rFonts w:ascii="Times New Roman" w:cs="Times New Roman" w:eastAsia="Times New Roman" w:hAnsi="Times New Roman"/>
          <w:sz w:val="15"/>
          <w:szCs w:val="15"/>
          <w:color w:val="auto"/>
        </w:rPr>
      </w:pPr>
    </w:p>
    <w:p>
      <w:pPr>
        <w:ind w:left="2240" w:hanging="220"/>
        <w:spacing w:after="0"/>
        <w:tabs>
          <w:tab w:leader="none" w:pos="2240" w:val="left"/>
        </w:tabs>
        <w:numPr>
          <w:ilvl w:val="1"/>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participate in a meeting of stockholders; and</w:t>
      </w:r>
    </w:p>
    <w:p>
      <w:pPr>
        <w:spacing w:after="0" w:line="196" w:lineRule="exact"/>
        <w:rPr>
          <w:rFonts w:ascii="Times New Roman" w:cs="Times New Roman" w:eastAsia="Times New Roman" w:hAnsi="Times New Roman"/>
          <w:sz w:val="15"/>
          <w:szCs w:val="15"/>
          <w:color w:val="auto"/>
        </w:rPr>
      </w:pPr>
    </w:p>
    <w:p>
      <w:pPr>
        <w:ind w:firstLine="2020"/>
        <w:spacing w:after="0" w:line="268" w:lineRule="auto"/>
        <w:tabs>
          <w:tab w:leader="none" w:pos="2245" w:val="left"/>
        </w:tabs>
        <w:numPr>
          <w:ilvl w:val="1"/>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251" w:right="339" w:bottom="1440" w:gutter="0" w:footer="0" w:header="0"/>
        </w:sectPr>
      </w:pPr>
    </w:p>
    <w:bookmarkStart w:id="337" w:name="page338"/>
    <w:bookmarkEnd w:id="337"/>
    <w:p>
      <w:pPr>
        <w:ind w:right="2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28" w:lineRule="exact"/>
        <w:rPr>
          <w:sz w:val="20"/>
          <w:szCs w:val="20"/>
          <w:color w:val="auto"/>
        </w:rPr>
      </w:pPr>
    </w:p>
    <w:p>
      <w:pPr>
        <w:jc w:val="both"/>
        <w:ind w:right="54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2.9 </w:t>
      </w:r>
      <w:r>
        <w:rPr>
          <w:rFonts w:ascii="Times New Roman" w:cs="Times New Roman" w:eastAsia="Times New Roman" w:hAnsi="Times New Roman"/>
          <w:sz w:val="15"/>
          <w:szCs w:val="15"/>
          <w:b w:val="1"/>
          <w:bCs w:val="1"/>
          <w:color w:val="auto"/>
        </w:rPr>
        <w:t>Voting Thresholds</w:t>
      </w:r>
      <w:r>
        <w:rPr>
          <w:rFonts w:ascii="Times New Roman" w:cs="Times New Roman" w:eastAsia="Times New Roman" w:hAnsi="Times New Roman"/>
          <w:sz w:val="15"/>
          <w:szCs w:val="15"/>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41" w:lineRule="exact"/>
        <w:rPr>
          <w:sz w:val="20"/>
          <w:szCs w:val="20"/>
          <w:color w:val="auto"/>
        </w:rPr>
      </w:pPr>
    </w:p>
    <w:p>
      <w:pPr>
        <w:ind w:right="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2.10 </w:t>
      </w:r>
      <w:r>
        <w:rPr>
          <w:rFonts w:ascii="Times New Roman" w:cs="Times New Roman" w:eastAsia="Times New Roman" w:hAnsi="Times New Roman"/>
          <w:sz w:val="15"/>
          <w:szCs w:val="15"/>
          <w:b w:val="1"/>
          <w:bCs w:val="1"/>
          <w:color w:val="auto"/>
        </w:rPr>
        <w:t>Number of Votes Per Share</w:t>
      </w:r>
      <w:r>
        <w:rPr>
          <w:rFonts w:ascii="Times New Roman" w:cs="Times New Roman" w:eastAsia="Times New Roman" w:hAnsi="Times New Roman"/>
          <w:sz w:val="15"/>
          <w:szCs w:val="15"/>
          <w:color w:val="auto"/>
        </w:rPr>
        <w:t>.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b w:val="1"/>
          <w:bCs w:val="1"/>
          <w:color w:val="auto"/>
        </w:rPr>
        <w:t>Action by Written Consent of Stockholders; Electronic Consent; Notice of Action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firstLine="1456"/>
        <w:spacing w:after="0" w:line="263" w:lineRule="auto"/>
        <w:tabs>
          <w:tab w:leader="none" w:pos="1673"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Action by Written Consent of Stockholders. </w:t>
      </w:r>
      <w:r>
        <w:rPr>
          <w:rFonts w:ascii="Times New Roman" w:cs="Times New Roman" w:eastAsia="Times New Roman" w:hAnsi="Times New Roman"/>
          <w:sz w:val="15"/>
          <w:szCs w:val="15"/>
          <w:color w:val="auto"/>
        </w:rPr>
        <w:t>Unless otherwise provided by the certificate of incorporation, any action required or permitted to be taken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52" w:lineRule="exact"/>
        <w:rPr>
          <w:rFonts w:ascii="Times New Roman" w:cs="Times New Roman" w:eastAsia="Times New Roman" w:hAnsi="Times New Roman"/>
          <w:sz w:val="15"/>
          <w:szCs w:val="15"/>
          <w:color w:val="auto"/>
        </w:rPr>
      </w:pPr>
    </w:p>
    <w:p>
      <w:pPr>
        <w:ind w:right="20" w:firstLine="1456"/>
        <w:spacing w:after="0" w:line="260" w:lineRule="auto"/>
        <w:tabs>
          <w:tab w:leader="none" w:pos="1682"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Electronic Consent</w:t>
      </w:r>
      <w:r>
        <w:rPr>
          <w:rFonts w:ascii="Times New Roman" w:cs="Times New Roman" w:eastAsia="Times New Roman" w:hAnsi="Times New Roman"/>
          <w:sz w:val="15"/>
          <w:szCs w:val="15"/>
          <w:color w:val="auto"/>
        </w:rPr>
        <w:t>. A telegram, cablegram or other electronic transmission consenting to an action to be taken and transmitted by a stockholder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0"/>
          </w:cols>
          <w:pgMar w:left="320" w:top="252" w:right="359" w:bottom="1440" w:gutter="0" w:footer="0" w:header="0"/>
        </w:sectPr>
      </w:pPr>
    </w:p>
    <w:bookmarkStart w:id="338" w:name="page339"/>
    <w:bookmarkEnd w:id="338"/>
    <w:p>
      <w:pPr>
        <w:ind w:left="14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(c) </w:t>
      </w:r>
      <w:r>
        <w:rPr>
          <w:rFonts w:ascii="Times New Roman" w:cs="Times New Roman" w:eastAsia="Times New Roman" w:hAnsi="Times New Roman"/>
          <w:sz w:val="15"/>
          <w:szCs w:val="15"/>
          <w:i w:val="1"/>
          <w:iCs w:val="1"/>
          <w:color w:val="auto"/>
        </w:rPr>
        <w:t>Notice of Action</w:t>
      </w:r>
      <w:r>
        <w:rPr>
          <w:rFonts w:ascii="Times New Roman" w:cs="Times New Roman" w:eastAsia="Times New Roman" w:hAnsi="Times New Roman"/>
          <w:sz w:val="15"/>
          <w:szCs w:val="15"/>
          <w:color w:val="auto"/>
        </w:rPr>
        <w:t>. Prompt notice of any action taken pursuant to this Section 2.11 shall be provided to the stockholders in accordance with Section 228(e)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DGCL.</w:t>
      </w:r>
    </w:p>
    <w:p>
      <w:pPr>
        <w:spacing w:after="0" w:line="3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DIRECTORS</w:t>
      </w:r>
    </w:p>
    <w:p>
      <w:pPr>
        <w:spacing w:after="0" w:line="178" w:lineRule="exact"/>
        <w:rPr>
          <w:sz w:val="20"/>
          <w:szCs w:val="20"/>
          <w:color w:val="auto"/>
        </w:rPr>
      </w:pPr>
    </w:p>
    <w:p>
      <w:pPr>
        <w:jc w:val="both"/>
        <w:ind w:right="16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b w:val="1"/>
          <w:bCs w:val="1"/>
          <w:color w:val="auto"/>
        </w:rPr>
        <w:t>Authorized Directors</w:t>
      </w:r>
      <w:r>
        <w:rPr>
          <w:rFonts w:ascii="Times New Roman" w:cs="Times New Roman" w:eastAsia="Times New Roman" w:hAnsi="Times New Roman"/>
          <w:sz w:val="15"/>
          <w:szCs w:val="15"/>
          <w:color w:val="auto"/>
        </w:rPr>
        <w:t>.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w:t>
      </w:r>
    </w:p>
    <w:p>
      <w:pPr>
        <w:spacing w:after="0" w:line="141" w:lineRule="exact"/>
        <w:rPr>
          <w:sz w:val="20"/>
          <w:szCs w:val="20"/>
          <w:color w:val="auto"/>
        </w:rPr>
      </w:pPr>
    </w:p>
    <w:p>
      <w:pPr>
        <w:ind w:right="100" w:firstLine="1014"/>
        <w:spacing w:after="0" w:line="263"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b w:val="1"/>
          <w:bCs w:val="1"/>
          <w:color w:val="auto"/>
        </w:rPr>
        <w:t>Vacancies</w:t>
      </w:r>
      <w:r>
        <w:rPr>
          <w:rFonts w:ascii="Times New Roman" w:cs="Times New Roman" w:eastAsia="Times New Roman" w:hAnsi="Times New Roman"/>
          <w:sz w:val="15"/>
          <w:szCs w:val="15"/>
          <w:color w:val="auto"/>
        </w:rPr>
        <w:t>.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53" w:lineRule="exact"/>
        <w:rPr>
          <w:sz w:val="20"/>
          <w:szCs w:val="20"/>
          <w:color w:val="auto"/>
        </w:rPr>
      </w:pPr>
    </w:p>
    <w:p>
      <w:pPr>
        <w:ind w:right="4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b w:val="1"/>
          <w:bCs w:val="1"/>
          <w:color w:val="auto"/>
        </w:rPr>
        <w:t>Board Authority</w:t>
      </w:r>
      <w:r>
        <w:rPr>
          <w:rFonts w:ascii="Times New Roman" w:cs="Times New Roman" w:eastAsia="Times New Roman" w:hAnsi="Times New Roman"/>
          <w:sz w:val="15"/>
          <w:szCs w:val="15"/>
          <w:color w:val="auto"/>
        </w:rPr>
        <w:t>.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b w:val="1"/>
          <w:bCs w:val="1"/>
          <w:color w:val="auto"/>
        </w:rPr>
        <w:t>Location of Meetings</w:t>
      </w:r>
      <w:r>
        <w:rPr>
          <w:rFonts w:ascii="Times New Roman" w:cs="Times New Roman" w:eastAsia="Times New Roman" w:hAnsi="Times New Roman"/>
          <w:sz w:val="15"/>
          <w:szCs w:val="15"/>
          <w:color w:val="auto"/>
        </w:rPr>
        <w:t>. The Board of Directors of the corporation may hold meetings, both regular and special, either within or without the State of Delaware.</w:t>
      </w:r>
    </w:p>
    <w:p>
      <w:pPr>
        <w:spacing w:after="0" w:line="196" w:lineRule="exact"/>
        <w:rPr>
          <w:sz w:val="20"/>
          <w:szCs w:val="20"/>
          <w:color w:val="auto"/>
        </w:rPr>
      </w:pPr>
    </w:p>
    <w:p>
      <w:pPr>
        <w:ind w:right="20" w:firstLine="1014"/>
        <w:spacing w:after="0" w:line="267" w:lineRule="auto"/>
        <w:rPr>
          <w:sz w:val="20"/>
          <w:szCs w:val="20"/>
          <w:color w:val="auto"/>
        </w:rPr>
      </w:pPr>
      <w:r>
        <w:rPr>
          <w:rFonts w:ascii="Times New Roman" w:cs="Times New Roman" w:eastAsia="Times New Roman" w:hAnsi="Times New Roman"/>
          <w:sz w:val="15"/>
          <w:szCs w:val="15"/>
          <w:color w:val="auto"/>
        </w:rPr>
        <w:t xml:space="preserve">3.5 </w:t>
      </w:r>
      <w:r>
        <w:rPr>
          <w:rFonts w:ascii="Times New Roman" w:cs="Times New Roman" w:eastAsia="Times New Roman" w:hAnsi="Times New Roman"/>
          <w:sz w:val="15"/>
          <w:szCs w:val="15"/>
          <w:b w:val="1"/>
          <w:bCs w:val="1"/>
          <w:color w:val="auto"/>
        </w:rPr>
        <w:t>First Meeting</w:t>
      </w:r>
      <w:r>
        <w:rPr>
          <w:rFonts w:ascii="Times New Roman" w:cs="Times New Roman" w:eastAsia="Times New Roman" w:hAnsi="Times New Roman"/>
          <w:sz w:val="15"/>
          <w:szCs w:val="15"/>
          <w:color w:val="auto"/>
        </w:rPr>
        <w:t>.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47" w:lineRule="exact"/>
        <w:rPr>
          <w:sz w:val="20"/>
          <w:szCs w:val="20"/>
          <w:color w:val="auto"/>
        </w:rPr>
      </w:pPr>
    </w:p>
    <w:p>
      <w:pPr>
        <w:ind w:firstLine="1014"/>
        <w:spacing w:after="0" w:line="298"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b w:val="1"/>
          <w:bCs w:val="1"/>
          <w:color w:val="auto"/>
        </w:rPr>
        <w:t>Regular Meetings</w:t>
      </w:r>
      <w:r>
        <w:rPr>
          <w:rFonts w:ascii="Times New Roman" w:cs="Times New Roman" w:eastAsia="Times New Roman" w:hAnsi="Times New Roman"/>
          <w:sz w:val="15"/>
          <w:szCs w:val="15"/>
          <w:color w:val="auto"/>
        </w:rPr>
        <w:t>. Regular meetings of the Board of Directors may be held without notice at such time and at such place as shall from time to time be determined by the Board of Directors.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48" w:right="319" w:bottom="1440" w:gutter="0" w:footer="0" w:header="0"/>
        </w:sectPr>
      </w:pPr>
    </w:p>
    <w:bookmarkStart w:id="339" w:name="page340"/>
    <w:bookmarkEnd w:id="339"/>
    <w:p>
      <w:pPr>
        <w:ind w:right="20" w:firstLine="1014"/>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3.7 </w:t>
      </w:r>
      <w:r>
        <w:rPr>
          <w:rFonts w:ascii="Times New Roman" w:cs="Times New Roman" w:eastAsia="Times New Roman" w:hAnsi="Times New Roman"/>
          <w:sz w:val="15"/>
          <w:szCs w:val="15"/>
          <w:b w:val="1"/>
          <w:bCs w:val="1"/>
          <w:color w:val="auto"/>
        </w:rPr>
        <w:t>Special Meetings</w:t>
      </w:r>
      <w:r>
        <w:rPr>
          <w:rFonts w:ascii="Times New Roman" w:cs="Times New Roman" w:eastAsia="Times New Roman" w:hAnsi="Times New Roman"/>
          <w:sz w:val="15"/>
          <w:szCs w:val="15"/>
          <w:color w:val="auto"/>
        </w:rPr>
        <w:t>. Special meetings of the Board of Directors may be called by the Chief Executive Officer upon notice to each director; special meetings shall be called by the Chief Executive Officer or secretary in like manner and on like notice on the written request of two (2) 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158" w:lineRule="exact"/>
        <w:rPr>
          <w:sz w:val="20"/>
          <w:szCs w:val="20"/>
          <w:color w:val="auto"/>
        </w:rPr>
      </w:pPr>
    </w:p>
    <w:p>
      <w:pPr>
        <w:ind w:firstLine="1014"/>
        <w:spacing w:after="0" w:line="267" w:lineRule="auto"/>
        <w:rPr>
          <w:sz w:val="20"/>
          <w:szCs w:val="20"/>
          <w:color w:val="auto"/>
        </w:rPr>
      </w:pPr>
      <w:r>
        <w:rPr>
          <w:rFonts w:ascii="Times New Roman" w:cs="Times New Roman" w:eastAsia="Times New Roman" w:hAnsi="Times New Roman"/>
          <w:sz w:val="15"/>
          <w:szCs w:val="15"/>
          <w:color w:val="auto"/>
        </w:rPr>
        <w:t xml:space="preserve">3.8 </w:t>
      </w:r>
      <w:r>
        <w:rPr>
          <w:rFonts w:ascii="Times New Roman" w:cs="Times New Roman" w:eastAsia="Times New Roman" w:hAnsi="Times New Roman"/>
          <w:sz w:val="15"/>
          <w:szCs w:val="15"/>
          <w:b w:val="1"/>
          <w:bCs w:val="1"/>
          <w:color w:val="auto"/>
        </w:rPr>
        <w:t>Quorum</w:t>
      </w:r>
      <w:r>
        <w:rPr>
          <w:rFonts w:ascii="Times New Roman" w:cs="Times New Roman" w:eastAsia="Times New Roman" w:hAnsi="Times New Roman"/>
          <w:sz w:val="15"/>
          <w:szCs w:val="15"/>
          <w:color w:val="auto"/>
        </w:rPr>
        <w:t>. At all meetings of the Board of Directors, the greater of (a) a majority of the directors at any time in office, and (b) one-third of the number of directors fixed by the Board of Directors or by the stockholders pursuant to Section 3.1 of Article III hereof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147" w:lineRule="exact"/>
        <w:rPr>
          <w:sz w:val="20"/>
          <w:szCs w:val="20"/>
          <w:color w:val="auto"/>
        </w:rPr>
      </w:pPr>
    </w:p>
    <w:p>
      <w:pPr>
        <w:ind w:right="12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b w:val="1"/>
          <w:bCs w:val="1"/>
          <w:color w:val="auto"/>
        </w:rPr>
        <w:t>Action Without a Meeting</w:t>
      </w:r>
      <w:r>
        <w:rPr>
          <w:rFonts w:ascii="Times New Roman" w:cs="Times New Roman" w:eastAsia="Times New Roman" w:hAnsi="Times New Roman"/>
          <w:sz w:val="15"/>
          <w:szCs w:val="15"/>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146" w:lineRule="exact"/>
        <w:rPr>
          <w:sz w:val="20"/>
          <w:szCs w:val="20"/>
          <w:color w:val="auto"/>
        </w:rPr>
      </w:pPr>
    </w:p>
    <w:p>
      <w:pPr>
        <w:ind w:right="4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3.10 </w:t>
      </w:r>
      <w:r>
        <w:rPr>
          <w:rFonts w:ascii="Times New Roman" w:cs="Times New Roman" w:eastAsia="Times New Roman" w:hAnsi="Times New Roman"/>
          <w:sz w:val="15"/>
          <w:szCs w:val="15"/>
          <w:b w:val="1"/>
          <w:bCs w:val="1"/>
          <w:color w:val="auto"/>
        </w:rPr>
        <w:t>Telephonic Meetings</w:t>
      </w:r>
      <w:r>
        <w:rPr>
          <w:rFonts w:ascii="Times New Roman" w:cs="Times New Roman" w:eastAsia="Times New Roman" w:hAnsi="Times New Roman"/>
          <w:sz w:val="15"/>
          <w:szCs w:val="15"/>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141" w:lineRule="exact"/>
        <w:rPr>
          <w:sz w:val="20"/>
          <w:szCs w:val="20"/>
          <w:color w:val="auto"/>
        </w:rPr>
      </w:pPr>
    </w:p>
    <w:p>
      <w:pPr>
        <w:ind w:right="4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3.11 </w:t>
      </w:r>
      <w:r>
        <w:rPr>
          <w:rFonts w:ascii="Times New Roman" w:cs="Times New Roman" w:eastAsia="Times New Roman" w:hAnsi="Times New Roman"/>
          <w:sz w:val="15"/>
          <w:szCs w:val="15"/>
          <w:b w:val="1"/>
          <w:bCs w:val="1"/>
          <w:color w:val="auto"/>
        </w:rPr>
        <w:t>Committees</w:t>
      </w:r>
      <w:r>
        <w:rPr>
          <w:rFonts w:ascii="Times New Roman" w:cs="Times New Roman" w:eastAsia="Times New Roman" w:hAnsi="Times New Roman"/>
          <w:sz w:val="15"/>
          <w:szCs w:val="15"/>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29" w:lineRule="exact"/>
        <w:rPr>
          <w:sz w:val="20"/>
          <w:szCs w:val="20"/>
          <w:color w:val="auto"/>
        </w:rPr>
      </w:pPr>
    </w:p>
    <w:p>
      <w:pPr>
        <w:ind w:right="200" w:firstLine="1014"/>
        <w:spacing w:after="0" w:line="286" w:lineRule="auto"/>
        <w:rPr>
          <w:sz w:val="20"/>
          <w:szCs w:val="20"/>
          <w:color w:val="auto"/>
        </w:rPr>
      </w:pPr>
      <w:r>
        <w:rPr>
          <w:rFonts w:ascii="Times New Roman" w:cs="Times New Roman" w:eastAsia="Times New Roman" w:hAnsi="Times New Roman"/>
          <w:sz w:val="15"/>
          <w:szCs w:val="15"/>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248" w:right="319" w:bottom="1440" w:gutter="0" w:footer="0" w:header="0"/>
        </w:sectPr>
      </w:pPr>
    </w:p>
    <w:bookmarkStart w:id="340" w:name="page341"/>
    <w:bookmarkEnd w:id="340"/>
    <w:p>
      <w:pPr>
        <w:ind w:right="140" w:firstLine="1014"/>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3.12 </w:t>
      </w:r>
      <w:r>
        <w:rPr>
          <w:rFonts w:ascii="Times New Roman" w:cs="Times New Roman" w:eastAsia="Times New Roman" w:hAnsi="Times New Roman"/>
          <w:sz w:val="15"/>
          <w:szCs w:val="15"/>
          <w:b w:val="1"/>
          <w:bCs w:val="1"/>
          <w:color w:val="auto"/>
        </w:rPr>
        <w:t>Minutes of Meetings</w:t>
      </w:r>
      <w:r>
        <w:rPr>
          <w:rFonts w:ascii="Times New Roman" w:cs="Times New Roman" w:eastAsia="Times New Roman" w:hAnsi="Times New Roman"/>
          <w:sz w:val="15"/>
          <w:szCs w:val="15"/>
          <w:color w:val="auto"/>
        </w:rPr>
        <w:t>. Each committee shall keep regular minutes of its meetings and report the same to the Board of Directors when required.</w:t>
      </w:r>
    </w:p>
    <w:p>
      <w:pPr>
        <w:spacing w:after="0" w:line="196" w:lineRule="exact"/>
        <w:rPr>
          <w:sz w:val="20"/>
          <w:szCs w:val="20"/>
          <w:color w:val="auto"/>
        </w:rPr>
      </w:pPr>
    </w:p>
    <w:p>
      <w:pPr>
        <w:ind w:right="2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3.13 </w:t>
      </w:r>
      <w:r>
        <w:rPr>
          <w:rFonts w:ascii="Times New Roman" w:cs="Times New Roman" w:eastAsia="Times New Roman" w:hAnsi="Times New Roman"/>
          <w:sz w:val="15"/>
          <w:szCs w:val="15"/>
          <w:b w:val="1"/>
          <w:bCs w:val="1"/>
          <w:color w:val="auto"/>
        </w:rPr>
        <w:t>Compensation of Directors</w:t>
      </w:r>
      <w:r>
        <w:rPr>
          <w:rFonts w:ascii="Times New Roman" w:cs="Times New Roman" w:eastAsia="Times New Roman" w:hAnsi="Times New Roman"/>
          <w:sz w:val="15"/>
          <w:szCs w:val="15"/>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46" w:lineRule="exact"/>
        <w:rPr>
          <w:sz w:val="20"/>
          <w:szCs w:val="20"/>
          <w:color w:val="auto"/>
        </w:rPr>
      </w:pPr>
    </w:p>
    <w:p>
      <w:pPr>
        <w:ind w:right="44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3.14 </w:t>
      </w:r>
      <w:r>
        <w:rPr>
          <w:rFonts w:ascii="Times New Roman" w:cs="Times New Roman" w:eastAsia="Times New Roman" w:hAnsi="Times New Roman"/>
          <w:sz w:val="15"/>
          <w:szCs w:val="15"/>
          <w:b w:val="1"/>
          <w:bCs w:val="1"/>
          <w:color w:val="auto"/>
        </w:rPr>
        <w:t>Removal of Directors</w:t>
      </w:r>
      <w:r>
        <w:rPr>
          <w:rFonts w:ascii="Times New Roman" w:cs="Times New Roman" w:eastAsia="Times New Roman" w:hAnsi="Times New Roman"/>
          <w:sz w:val="15"/>
          <w:szCs w:val="15"/>
          <w:color w:val="auto"/>
        </w:rPr>
        <w:t>.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NOTICES</w:t>
      </w:r>
    </w:p>
    <w:p>
      <w:pPr>
        <w:spacing w:after="0" w:line="178" w:lineRule="exact"/>
        <w:rPr>
          <w:sz w:val="20"/>
          <w:szCs w:val="20"/>
          <w:color w:val="auto"/>
        </w:rPr>
      </w:pPr>
    </w:p>
    <w:p>
      <w:pPr>
        <w:ind w:firstLine="1014"/>
        <w:spacing w:after="0" w:line="270"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46" w:lineRule="exact"/>
        <w:rPr>
          <w:sz w:val="20"/>
          <w:szCs w:val="20"/>
          <w:color w:val="auto"/>
        </w:rPr>
      </w:pPr>
    </w:p>
    <w:p>
      <w:pPr>
        <w:ind w:right="38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b w:val="1"/>
          <w:bCs w:val="1"/>
          <w:color w:val="auto"/>
        </w:rPr>
        <w:t>Waiver of Notice</w:t>
      </w:r>
      <w:r>
        <w:rPr>
          <w:rFonts w:ascii="Times New Roman" w:cs="Times New Roman" w:eastAsia="Times New Roman" w:hAnsi="Times New Roman"/>
          <w:sz w:val="15"/>
          <w:szCs w:val="15"/>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b w:val="1"/>
          <w:bCs w:val="1"/>
          <w:color w:val="auto"/>
        </w:rPr>
        <w:t>Electronic Notice</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20" w:firstLine="1456"/>
        <w:spacing w:after="0" w:line="265" w:lineRule="auto"/>
        <w:tabs>
          <w:tab w:leader="none" w:pos="167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Electronic Transmission</w:t>
      </w:r>
      <w:r>
        <w:rPr>
          <w:rFonts w:ascii="Times New Roman" w:cs="Times New Roman" w:eastAsia="Times New Roman" w:hAnsi="Times New Roman"/>
          <w:sz w:val="15"/>
          <w:szCs w:val="15"/>
          <w:color w:val="auto"/>
        </w:rPr>
        <w:t>. Without limiting the manner by which notice otherwise may be given effectively to stockholders and directors, any notice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40"/>
          </w:cols>
          <w:pgMar w:left="320" w:top="251" w:right="339" w:bottom="1440" w:gutter="0" w:footer="0" w:header="0"/>
        </w:sectPr>
      </w:pPr>
    </w:p>
    <w:bookmarkStart w:id="341" w:name="page342"/>
    <w:bookmarkEnd w:id="341"/>
    <w:p>
      <w:pPr>
        <w:ind w:firstLine="1456"/>
        <w:spacing w:after="0" w:line="265" w:lineRule="auto"/>
        <w:tabs>
          <w:tab w:leader="none" w:pos="1682"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Effective Date of Notice</w:t>
      </w:r>
      <w:r>
        <w:rPr>
          <w:rFonts w:ascii="Times New Roman" w:cs="Times New Roman" w:eastAsia="Times New Roman" w:hAnsi="Times New Roman"/>
          <w:sz w:val="15"/>
          <w:szCs w:val="15"/>
          <w:color w:val="auto"/>
        </w:rPr>
        <w:t>. Notice given pursuant to subsection (a) of this section shall be deemed given: (1) if by facsimile telecommunication, when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48" w:lineRule="exact"/>
        <w:rPr>
          <w:rFonts w:ascii="Times New Roman" w:cs="Times New Roman" w:eastAsia="Times New Roman" w:hAnsi="Times New Roman"/>
          <w:sz w:val="15"/>
          <w:szCs w:val="15"/>
          <w:color w:val="auto"/>
        </w:rPr>
      </w:pPr>
    </w:p>
    <w:p>
      <w:pPr>
        <w:ind w:right="120" w:firstLine="1456"/>
        <w:spacing w:after="0" w:line="277" w:lineRule="auto"/>
        <w:tabs>
          <w:tab w:leader="none" w:pos="1673" w:val="left"/>
        </w:tabs>
        <w:numPr>
          <w:ilvl w:val="0"/>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Form of Electronic Transmission</w:t>
      </w:r>
      <w:r>
        <w:rPr>
          <w:rFonts w:ascii="Times New Roman" w:cs="Times New Roman" w:eastAsia="Times New Roman" w:hAnsi="Times New Roman"/>
          <w:sz w:val="15"/>
          <w:szCs w:val="15"/>
          <w:color w:val="auto"/>
        </w:rPr>
        <w:t>. For purposes of these bylaws, “electronic transmission” means any form of communication, not directly involving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physical transmission of paper, that creates a record that may be retained, retrieved, and reviewed by a recipient thereof, and that may be directly reproduced in paper form by such a recipient through an automated process.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OFFICERS</w:t>
      </w:r>
    </w:p>
    <w:p>
      <w:pPr>
        <w:spacing w:after="0" w:line="178" w:lineRule="exact"/>
        <w:rPr>
          <w:sz w:val="20"/>
          <w:szCs w:val="20"/>
          <w:color w:val="auto"/>
        </w:rPr>
      </w:pPr>
    </w:p>
    <w:p>
      <w:pPr>
        <w:ind w:right="8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b w:val="1"/>
          <w:bCs w:val="1"/>
          <w:color w:val="auto"/>
        </w:rPr>
        <w:t>Required and Permitted Officers</w:t>
      </w:r>
      <w:r>
        <w:rPr>
          <w:rFonts w:ascii="Times New Roman" w:cs="Times New Roman" w:eastAsia="Times New Roman" w:hAnsi="Times New Roman"/>
          <w:sz w:val="15"/>
          <w:szCs w:val="15"/>
          <w:color w:val="auto"/>
        </w:rPr>
        <w:t>-.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 presidents, assistant secretaries and assistant treasurers. Any number of offices may be held by the same person, unless the certificate of incorporation or these bylaws otherwise provide.</w:t>
      </w:r>
    </w:p>
    <w:p>
      <w:pPr>
        <w:spacing w:after="0" w:line="146" w:lineRule="exact"/>
        <w:rPr>
          <w:sz w:val="20"/>
          <w:szCs w:val="20"/>
          <w:color w:val="auto"/>
        </w:rPr>
      </w:pPr>
    </w:p>
    <w:p>
      <w:pPr>
        <w:ind w:right="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b w:val="1"/>
          <w:bCs w:val="1"/>
          <w:color w:val="auto"/>
        </w:rPr>
        <w:t>Appointment of Required Officers</w:t>
      </w:r>
      <w:r>
        <w:rPr>
          <w:rFonts w:ascii="Times New Roman" w:cs="Times New Roman" w:eastAsia="Times New Roman" w:hAnsi="Times New Roman"/>
          <w:sz w:val="15"/>
          <w:szCs w:val="15"/>
          <w:color w:val="auto"/>
        </w:rPr>
        <w:t>-. The Board of Directors at its first meeting after each annual meeting of stockholders shall choose a Chief Executive Officer and/or a president, a treasurer, and a secretary and may choose vice presidents.</w:t>
      </w:r>
    </w:p>
    <w:p>
      <w:pPr>
        <w:spacing w:after="0" w:line="125" w:lineRule="exact"/>
        <w:rPr>
          <w:sz w:val="20"/>
          <w:szCs w:val="20"/>
          <w:color w:val="auto"/>
        </w:rPr>
      </w:pPr>
    </w:p>
    <w:p>
      <w:pPr>
        <w:ind w:right="18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b w:val="1"/>
          <w:bCs w:val="1"/>
          <w:color w:val="auto"/>
        </w:rPr>
        <w:t>Appointment of Permitted Officers</w:t>
      </w:r>
      <w:r>
        <w:rPr>
          <w:rFonts w:ascii="Times New Roman" w:cs="Times New Roman" w:eastAsia="Times New Roman" w:hAnsi="Times New Roman"/>
          <w:sz w:val="15"/>
          <w:szCs w:val="15"/>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b w:val="1"/>
          <w:bCs w:val="1"/>
          <w:color w:val="auto"/>
        </w:rPr>
        <w:t>Officer Compensation</w:t>
      </w:r>
      <w:r>
        <w:rPr>
          <w:rFonts w:ascii="Times New Roman" w:cs="Times New Roman" w:eastAsia="Times New Roman" w:hAnsi="Times New Roman"/>
          <w:sz w:val="15"/>
          <w:szCs w:val="15"/>
          <w:color w:val="auto"/>
        </w:rPr>
        <w:t>. The salaries of all officers and agents of the corporation shall be fixed by the Board of Directors.</w:t>
      </w:r>
    </w:p>
    <w:p>
      <w:pPr>
        <w:spacing w:after="0" w:line="196" w:lineRule="exact"/>
        <w:rPr>
          <w:sz w:val="20"/>
          <w:szCs w:val="20"/>
          <w:color w:val="auto"/>
        </w:rPr>
      </w:pPr>
    </w:p>
    <w:p>
      <w:pPr>
        <w:jc w:val="both"/>
        <w:ind w:right="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b w:val="1"/>
          <w:bCs w:val="1"/>
          <w:color w:val="auto"/>
        </w:rPr>
        <w:t>Term of Office; Vacancies</w:t>
      </w:r>
      <w:r>
        <w:rPr>
          <w:rFonts w:ascii="Times New Roman" w:cs="Times New Roman" w:eastAsia="Times New Roman" w:hAnsi="Times New Roman"/>
          <w:sz w:val="15"/>
          <w:szCs w:val="15"/>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0"/>
          </w:cols>
          <w:pgMar w:left="320" w:top="248" w:right="339" w:bottom="1440" w:gutter="0" w:footer="0" w:header="0"/>
        </w:sectPr>
      </w:pPr>
    </w:p>
    <w:bookmarkStart w:id="342" w:name="page343"/>
    <w:bookmarkEnd w:id="342"/>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CHAIRMAN OF THE BOARD</w:t>
      </w:r>
    </w:p>
    <w:p>
      <w:pPr>
        <w:spacing w:after="0" w:line="196" w:lineRule="exact"/>
        <w:rPr>
          <w:sz w:val="20"/>
          <w:szCs w:val="20"/>
          <w:color w:val="auto"/>
        </w:rPr>
      </w:pPr>
    </w:p>
    <w:p>
      <w:pPr>
        <w:ind w:right="6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5.6 </w:t>
      </w:r>
      <w:r>
        <w:rPr>
          <w:rFonts w:ascii="Times New Roman" w:cs="Times New Roman" w:eastAsia="Times New Roman" w:hAnsi="Times New Roman"/>
          <w:sz w:val="15"/>
          <w:szCs w:val="15"/>
          <w:b w:val="1"/>
          <w:bCs w:val="1"/>
          <w:color w:val="auto"/>
        </w:rPr>
        <w:t>Chairman Presides</w:t>
      </w:r>
      <w:r>
        <w:rPr>
          <w:rFonts w:ascii="Times New Roman" w:cs="Times New Roman" w:eastAsia="Times New Roman" w:hAnsi="Times New Roman"/>
          <w:sz w:val="15"/>
          <w:szCs w:val="15"/>
          <w:color w:val="auto"/>
        </w:rPr>
        <w:t>.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141"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b w:val="1"/>
          <w:bCs w:val="1"/>
          <w:color w:val="auto"/>
        </w:rPr>
        <w:t>Absence of Chairman</w:t>
      </w:r>
      <w:r>
        <w:rPr>
          <w:rFonts w:ascii="Times New Roman" w:cs="Times New Roman" w:eastAsia="Times New Roman" w:hAnsi="Times New Roman"/>
          <w:sz w:val="15"/>
          <w:szCs w:val="15"/>
          <w:color w:val="auto"/>
        </w:rPr>
        <w:t>.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THE CHIEF EXECUTIVE OFFICER</w:t>
      </w:r>
    </w:p>
    <w:p>
      <w:pPr>
        <w:spacing w:after="0" w:line="196" w:lineRule="exact"/>
        <w:rPr>
          <w:sz w:val="20"/>
          <w:szCs w:val="20"/>
          <w:color w:val="auto"/>
        </w:rPr>
      </w:pPr>
    </w:p>
    <w:p>
      <w:pPr>
        <w:ind w:right="1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15"/>
          <w:szCs w:val="15"/>
          <w:b w:val="1"/>
          <w:bCs w:val="1"/>
          <w:color w:val="auto"/>
        </w:rPr>
        <w:t>Powers of Chief Executive Officer</w:t>
      </w:r>
      <w:r>
        <w:rPr>
          <w:rFonts w:ascii="Times New Roman" w:cs="Times New Roman" w:eastAsia="Times New Roman" w:hAnsi="Times New Roman"/>
          <w:sz w:val="15"/>
          <w:szCs w:val="15"/>
          <w:color w:val="auto"/>
        </w:rPr>
        <w:t>. The Chief Executive Officer shall have general and active management of the business of the corporation and shall see that all orders and resolutions of the Board of Directors are carried into effect.</w:t>
      </w:r>
    </w:p>
    <w:p>
      <w:pPr>
        <w:spacing w:after="0" w:line="125" w:lineRule="exact"/>
        <w:rPr>
          <w:sz w:val="20"/>
          <w:szCs w:val="20"/>
          <w:color w:val="auto"/>
        </w:rPr>
      </w:pPr>
    </w:p>
    <w:p>
      <w:pPr>
        <w:jc w:val="both"/>
        <w:ind w:right="4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5.9 </w:t>
      </w:r>
      <w:r>
        <w:rPr>
          <w:rFonts w:ascii="Times New Roman" w:cs="Times New Roman" w:eastAsia="Times New Roman" w:hAnsi="Times New Roman"/>
          <w:sz w:val="15"/>
          <w:szCs w:val="15"/>
          <w:b w:val="1"/>
          <w:bCs w:val="1"/>
          <w:color w:val="auto"/>
        </w:rPr>
        <w:t>Chief Executive Officer’s Signature Authority</w:t>
      </w:r>
      <w:r>
        <w:rPr>
          <w:rFonts w:ascii="Times New Roman" w:cs="Times New Roman" w:eastAsia="Times New Roman" w:hAnsi="Times New Roman"/>
          <w:sz w:val="15"/>
          <w:szCs w:val="15"/>
          <w:color w:val="auto"/>
        </w:rPr>
        <w: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w:t>
      </w:r>
    </w:p>
    <w:p>
      <w:pPr>
        <w:spacing w:after="0" w:line="141" w:lineRule="exact"/>
        <w:rPr>
          <w:sz w:val="20"/>
          <w:szCs w:val="20"/>
          <w:color w:val="auto"/>
        </w:rPr>
      </w:pPr>
    </w:p>
    <w:p>
      <w:pPr>
        <w:ind w:right="3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5.10 </w:t>
      </w:r>
      <w:r>
        <w:rPr>
          <w:rFonts w:ascii="Times New Roman" w:cs="Times New Roman" w:eastAsia="Times New Roman" w:hAnsi="Times New Roman"/>
          <w:sz w:val="15"/>
          <w:szCs w:val="15"/>
          <w:b w:val="1"/>
          <w:bCs w:val="1"/>
          <w:color w:val="auto"/>
        </w:rPr>
        <w:t>Absence of Chief Executive Officer</w:t>
      </w:r>
      <w:r>
        <w:rPr>
          <w:rFonts w:ascii="Times New Roman" w:cs="Times New Roman" w:eastAsia="Times New Roman" w:hAnsi="Times New Roman"/>
          <w:sz w:val="15"/>
          <w:szCs w:val="15"/>
          <w:color w:val="auto"/>
        </w:rPr>
        <w:t>.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-THE PRESIDENT AND VICE PRESIDENTS</w:t>
      </w:r>
    </w:p>
    <w:p>
      <w:pPr>
        <w:spacing w:after="0" w:line="196" w:lineRule="exact"/>
        <w:rPr>
          <w:sz w:val="20"/>
          <w:szCs w:val="20"/>
          <w:color w:val="auto"/>
        </w:rPr>
      </w:pPr>
    </w:p>
    <w:p>
      <w:pPr>
        <w:jc w:val="both"/>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5.11 </w:t>
      </w:r>
      <w:r>
        <w:rPr>
          <w:rFonts w:ascii="Times New Roman" w:cs="Times New Roman" w:eastAsia="Times New Roman" w:hAnsi="Times New Roman"/>
          <w:sz w:val="15"/>
          <w:szCs w:val="15"/>
          <w:b w:val="1"/>
          <w:bCs w:val="1"/>
          <w:color w:val="auto"/>
        </w:rPr>
        <w:t>Powers of President</w:t>
      </w:r>
      <w:r>
        <w:rPr>
          <w:rFonts w:ascii="Times New Roman" w:cs="Times New Roman" w:eastAsia="Times New Roman" w:hAnsi="Times New Roman"/>
          <w:sz w:val="15"/>
          <w:szCs w:val="15"/>
          <w:color w:val="auto"/>
        </w:rPr>
        <w:t>.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w:t>
      </w:r>
    </w:p>
    <w:p>
      <w:pPr>
        <w:spacing w:after="0" w:line="141" w:lineRule="exact"/>
        <w:rPr>
          <w:sz w:val="20"/>
          <w:szCs w:val="20"/>
          <w:color w:val="auto"/>
        </w:rPr>
      </w:pPr>
    </w:p>
    <w:p>
      <w:pPr>
        <w:ind w:firstLine="1014"/>
        <w:spacing w:after="0" w:line="270" w:lineRule="auto"/>
        <w:rPr>
          <w:sz w:val="20"/>
          <w:szCs w:val="20"/>
          <w:color w:val="auto"/>
        </w:rPr>
      </w:pPr>
      <w:r>
        <w:rPr>
          <w:rFonts w:ascii="Times New Roman" w:cs="Times New Roman" w:eastAsia="Times New Roman" w:hAnsi="Times New Roman"/>
          <w:sz w:val="15"/>
          <w:szCs w:val="15"/>
          <w:color w:val="auto"/>
        </w:rPr>
        <w:t xml:space="preserve">5.12 </w:t>
      </w:r>
      <w:r>
        <w:rPr>
          <w:rFonts w:ascii="Times New Roman" w:cs="Times New Roman" w:eastAsia="Times New Roman" w:hAnsi="Times New Roman"/>
          <w:sz w:val="15"/>
          <w:szCs w:val="15"/>
          <w:b w:val="1"/>
          <w:bCs w:val="1"/>
          <w:color w:val="auto"/>
        </w:rPr>
        <w:t>Absence of President</w:t>
      </w:r>
      <w:r>
        <w:rPr>
          <w:rFonts w:ascii="Times New Roman" w:cs="Times New Roman" w:eastAsia="Times New Roman" w:hAnsi="Times New Roman"/>
          <w:sz w:val="15"/>
          <w:szCs w:val="15"/>
          <w:color w:val="auto"/>
        </w:rPr>
        <w:t>-. In the absence of the president or in the event of his or her inability or refusal to act, the vice president, if any,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THE SECRETARY AND ASSISTANT SECRETARY</w:t>
      </w:r>
    </w:p>
    <w:p>
      <w:pPr>
        <w:spacing w:after="0" w:line="196" w:lineRule="exact"/>
        <w:rPr>
          <w:sz w:val="20"/>
          <w:szCs w:val="20"/>
          <w:color w:val="auto"/>
        </w:rPr>
      </w:pPr>
    </w:p>
    <w:p>
      <w:pPr>
        <w:ind w:right="8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5.13 </w:t>
      </w:r>
      <w:r>
        <w:rPr>
          <w:rFonts w:ascii="Times New Roman" w:cs="Times New Roman" w:eastAsia="Times New Roman" w:hAnsi="Times New Roman"/>
          <w:sz w:val="15"/>
          <w:szCs w:val="15"/>
          <w:b w:val="1"/>
          <w:bCs w:val="1"/>
          <w:color w:val="auto"/>
        </w:rPr>
        <w:t>Duties of Secretary</w:t>
      </w:r>
      <w:r>
        <w:rPr>
          <w:rFonts w:ascii="Times New Roman" w:cs="Times New Roman" w:eastAsia="Times New Roman" w:hAnsi="Times New Roman"/>
          <w:sz w:val="15"/>
          <w:szCs w:val="15"/>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40"/>
          </w:cols>
          <w:pgMar w:left="320" w:top="248" w:right="339" w:bottom="1440" w:gutter="0" w:footer="0" w:header="0"/>
        </w:sectPr>
      </w:pPr>
    </w:p>
    <w:bookmarkStart w:id="343" w:name="page344"/>
    <w:bookmarkEnd w:id="343"/>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41"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5.14 </w:t>
      </w:r>
      <w:r>
        <w:rPr>
          <w:rFonts w:ascii="Times New Roman" w:cs="Times New Roman" w:eastAsia="Times New Roman" w:hAnsi="Times New Roman"/>
          <w:sz w:val="15"/>
          <w:szCs w:val="15"/>
          <w:b w:val="1"/>
          <w:bCs w:val="1"/>
          <w:color w:val="auto"/>
        </w:rPr>
        <w:t>Duties of Assistant Secretary</w:t>
      </w:r>
      <w:r>
        <w:rPr>
          <w:rFonts w:ascii="Times New Roman" w:cs="Times New Roman" w:eastAsia="Times New Roman" w:hAnsi="Times New Roman"/>
          <w:sz w:val="15"/>
          <w:szCs w:val="15"/>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THE TREASURER AND ASSISTANT TREASURERS</w:t>
      </w:r>
    </w:p>
    <w:p>
      <w:pPr>
        <w:spacing w:after="0" w:line="196" w:lineRule="exact"/>
        <w:rPr>
          <w:sz w:val="20"/>
          <w:szCs w:val="20"/>
          <w:color w:val="auto"/>
        </w:rPr>
      </w:pPr>
    </w:p>
    <w:p>
      <w:pPr>
        <w:ind w:right="30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5.15 </w:t>
      </w:r>
      <w:r>
        <w:rPr>
          <w:rFonts w:ascii="Times New Roman" w:cs="Times New Roman" w:eastAsia="Times New Roman" w:hAnsi="Times New Roman"/>
          <w:sz w:val="15"/>
          <w:szCs w:val="15"/>
          <w:b w:val="1"/>
          <w:bCs w:val="1"/>
          <w:color w:val="auto"/>
        </w:rPr>
        <w:t>Duties of Treasurer</w:t>
      </w:r>
      <w:r>
        <w:rPr>
          <w:rFonts w:ascii="Times New Roman" w:cs="Times New Roman" w:eastAsia="Times New Roman" w:hAnsi="Times New Roman"/>
          <w:sz w:val="15"/>
          <w:szCs w:val="15"/>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41" w:lineRule="exact"/>
        <w:rPr>
          <w:sz w:val="20"/>
          <w:szCs w:val="20"/>
          <w:color w:val="auto"/>
        </w:rPr>
      </w:pPr>
    </w:p>
    <w:p>
      <w:pPr>
        <w:ind w:right="30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5.16 </w:t>
      </w:r>
      <w:r>
        <w:rPr>
          <w:rFonts w:ascii="Times New Roman" w:cs="Times New Roman" w:eastAsia="Times New Roman" w:hAnsi="Times New Roman"/>
          <w:sz w:val="15"/>
          <w:szCs w:val="15"/>
          <w:b w:val="1"/>
          <w:bCs w:val="1"/>
          <w:color w:val="auto"/>
        </w:rPr>
        <w:t>Disbursements and Financial Reports</w:t>
      </w:r>
      <w:r>
        <w:rPr>
          <w:rFonts w:ascii="Times New Roman" w:cs="Times New Roman" w:eastAsia="Times New Roman" w:hAnsi="Times New Roman"/>
          <w:sz w:val="15"/>
          <w:szCs w:val="15"/>
          <w:color w:val="auto"/>
        </w:rPr>
        <w:t>.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w:t>
      </w:r>
    </w:p>
    <w:p>
      <w:pPr>
        <w:spacing w:after="0" w:line="141" w:lineRule="exact"/>
        <w:rPr>
          <w:sz w:val="20"/>
          <w:szCs w:val="20"/>
          <w:color w:val="auto"/>
        </w:rPr>
      </w:pPr>
    </w:p>
    <w:p>
      <w:pPr>
        <w:ind w:right="4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5.17 </w:t>
      </w:r>
      <w:r>
        <w:rPr>
          <w:rFonts w:ascii="Times New Roman" w:cs="Times New Roman" w:eastAsia="Times New Roman" w:hAnsi="Times New Roman"/>
          <w:sz w:val="15"/>
          <w:szCs w:val="15"/>
          <w:b w:val="1"/>
          <w:bCs w:val="1"/>
          <w:color w:val="auto"/>
        </w:rPr>
        <w:t>Treasurer’s Bond</w:t>
      </w:r>
      <w:r>
        <w:rPr>
          <w:rFonts w:ascii="Times New Roman" w:cs="Times New Roman" w:eastAsia="Times New Roman" w:hAnsi="Times New Roman"/>
          <w:sz w:val="15"/>
          <w:szCs w:val="15"/>
          <w:color w:val="auto"/>
        </w:rPr>
        <w:t>.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46" w:lineRule="exact"/>
        <w:rPr>
          <w:sz w:val="20"/>
          <w:szCs w:val="20"/>
          <w:color w:val="auto"/>
        </w:rPr>
      </w:pPr>
    </w:p>
    <w:p>
      <w:pPr>
        <w:ind w:right="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5.18 </w:t>
      </w:r>
      <w:r>
        <w:rPr>
          <w:rFonts w:ascii="Times New Roman" w:cs="Times New Roman" w:eastAsia="Times New Roman" w:hAnsi="Times New Roman"/>
          <w:sz w:val="15"/>
          <w:szCs w:val="15"/>
          <w:b w:val="1"/>
          <w:bCs w:val="1"/>
          <w:color w:val="auto"/>
        </w:rPr>
        <w:t>Duties of Assistant Treasurer</w:t>
      </w:r>
      <w:r>
        <w:rPr>
          <w:rFonts w:ascii="Times New Roman" w:cs="Times New Roman" w:eastAsia="Times New Roman" w:hAnsi="Times New Roman"/>
          <w:sz w:val="15"/>
          <w:szCs w:val="15"/>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CERTIFICATE OF STOCK</w:t>
      </w:r>
    </w:p>
    <w:p>
      <w:pPr>
        <w:spacing w:after="0" w:line="178" w:lineRule="exact"/>
        <w:rPr>
          <w:sz w:val="20"/>
          <w:szCs w:val="20"/>
          <w:color w:val="auto"/>
        </w:rPr>
      </w:pPr>
    </w:p>
    <w:p>
      <w:pPr>
        <w:ind w:right="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b w:val="1"/>
          <w:bCs w:val="1"/>
          <w:color w:val="auto"/>
        </w:rPr>
        <w:t>Stock Certificates</w:t>
      </w:r>
      <w:r>
        <w:rPr>
          <w:rFonts w:ascii="Times New Roman" w:cs="Times New Roman" w:eastAsia="Times New Roman" w:hAnsi="Times New Roman"/>
          <w:sz w:val="15"/>
          <w:szCs w:val="15"/>
          <w:color w:val="auto"/>
        </w:rPr>
        <w:t>. Every holder of stock in the corporation shall be entitled to have a certificate, signed by or in the name of the corporation by, the Chairman or Vice-Chairman of the Board of Directors, or the president or a vice president and the treasurer or an assistant treasurer, or the secretary or an assistant secretary of the corporation, certifying the number of shares owned by him or her in the corporation.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252" w:right="319" w:bottom="1440" w:gutter="0" w:footer="0" w:header="0"/>
        </w:sectPr>
      </w:pPr>
    </w:p>
    <w:bookmarkStart w:id="344" w:name="page345"/>
    <w:bookmarkEnd w:id="344"/>
    <w:p>
      <w:pPr>
        <w:ind w:right="300" w:firstLine="1014"/>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32" w:lineRule="exact"/>
        <w:rPr>
          <w:sz w:val="20"/>
          <w:szCs w:val="20"/>
          <w:color w:val="auto"/>
        </w:rPr>
      </w:pPr>
    </w:p>
    <w:p>
      <w:pPr>
        <w:ind w:right="20" w:firstLine="1014"/>
        <w:spacing w:after="0" w:line="264" w:lineRule="auto"/>
        <w:rPr>
          <w:sz w:val="20"/>
          <w:szCs w:val="20"/>
          <w:color w:val="auto"/>
        </w:rPr>
      </w:pPr>
      <w:r>
        <w:rPr>
          <w:rFonts w:ascii="Times New Roman" w:cs="Times New Roman" w:eastAsia="Times New Roman" w:hAnsi="Times New Roman"/>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49" w:lineRule="exact"/>
        <w:rPr>
          <w:sz w:val="20"/>
          <w:szCs w:val="20"/>
          <w:color w:val="auto"/>
        </w:rPr>
      </w:pPr>
    </w:p>
    <w:p>
      <w:pPr>
        <w:ind w:right="1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b w:val="1"/>
          <w:bCs w:val="1"/>
          <w:color w:val="auto"/>
        </w:rPr>
        <w:t>Facsimile Signatures</w:t>
      </w:r>
      <w:r>
        <w:rPr>
          <w:rFonts w:ascii="Times New Roman" w:cs="Times New Roman" w:eastAsia="Times New Roman" w:hAnsi="Times New Roman"/>
          <w:sz w:val="15"/>
          <w:szCs w:val="15"/>
          <w:color w:val="auto"/>
        </w:rPr>
        <w:t>.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141" w:lineRule="exact"/>
        <w:rPr>
          <w:sz w:val="20"/>
          <w:szCs w:val="20"/>
          <w:color w:val="auto"/>
        </w:rPr>
      </w:pPr>
    </w:p>
    <w:p>
      <w:pPr>
        <w:ind w:firstLine="1014"/>
        <w:spacing w:after="0" w:line="267"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b w:val="1"/>
          <w:bCs w:val="1"/>
          <w:color w:val="auto"/>
        </w:rPr>
        <w:t>Lost Certificates</w:t>
      </w:r>
      <w:r>
        <w:rPr>
          <w:rFonts w:ascii="Times New Roman" w:cs="Times New Roman" w:eastAsia="Times New Roman" w:hAnsi="Times New Roman"/>
          <w:sz w:val="15"/>
          <w:szCs w:val="15"/>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47" w:lineRule="exact"/>
        <w:rPr>
          <w:sz w:val="20"/>
          <w:szCs w:val="20"/>
          <w:color w:val="auto"/>
        </w:rPr>
      </w:pPr>
    </w:p>
    <w:p>
      <w:pPr>
        <w:jc w:val="both"/>
        <w:ind w:right="10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15"/>
          <w:szCs w:val="15"/>
          <w:b w:val="1"/>
          <w:bCs w:val="1"/>
          <w:color w:val="auto"/>
        </w:rPr>
        <w:t>Transfer of Stock</w:t>
      </w:r>
      <w:r>
        <w:rPr>
          <w:rFonts w:ascii="Times New Roman" w:cs="Times New Roman" w:eastAsia="Times New Roman" w:hAnsi="Times New Roman"/>
          <w:sz w:val="15"/>
          <w:szCs w:val="15"/>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41" w:lineRule="exact"/>
        <w:rPr>
          <w:sz w:val="20"/>
          <w:szCs w:val="20"/>
          <w:color w:val="auto"/>
        </w:rPr>
      </w:pPr>
    </w:p>
    <w:p>
      <w:pPr>
        <w:ind w:firstLine="1014"/>
        <w:spacing w:after="0" w:line="265" w:lineRule="auto"/>
        <w:rPr>
          <w:sz w:val="20"/>
          <w:szCs w:val="20"/>
          <w:color w:val="auto"/>
        </w:rPr>
      </w:pPr>
      <w:r>
        <w:rPr>
          <w:rFonts w:ascii="Times New Roman" w:cs="Times New Roman" w:eastAsia="Times New Roman" w:hAnsi="Times New Roman"/>
          <w:sz w:val="15"/>
          <w:szCs w:val="15"/>
          <w:color w:val="auto"/>
        </w:rPr>
        <w:t xml:space="preserve">6.5 </w:t>
      </w:r>
      <w:r>
        <w:rPr>
          <w:rFonts w:ascii="Times New Roman" w:cs="Times New Roman" w:eastAsia="Times New Roman" w:hAnsi="Times New Roman"/>
          <w:sz w:val="15"/>
          <w:szCs w:val="15"/>
          <w:b w:val="1"/>
          <w:bCs w:val="1"/>
          <w:color w:val="auto"/>
        </w:rPr>
        <w:t>Fixing a Record Date</w:t>
      </w:r>
      <w:r>
        <w:rPr>
          <w:rFonts w:ascii="Times New Roman" w:cs="Times New Roman" w:eastAsia="Times New Roman" w:hAnsi="Times New Roman"/>
          <w:sz w:val="15"/>
          <w:szCs w:val="15"/>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8" w:lineRule="exact"/>
        <w:rPr>
          <w:sz w:val="20"/>
          <w:szCs w:val="20"/>
          <w:color w:val="auto"/>
        </w:rPr>
      </w:pPr>
    </w:p>
    <w:p>
      <w:pPr>
        <w:jc w:val="both"/>
        <w:ind w:right="12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6.6 </w:t>
      </w:r>
      <w:r>
        <w:rPr>
          <w:rFonts w:ascii="Times New Roman" w:cs="Times New Roman" w:eastAsia="Times New Roman" w:hAnsi="Times New Roman"/>
          <w:sz w:val="15"/>
          <w:szCs w:val="15"/>
          <w:b w:val="1"/>
          <w:bCs w:val="1"/>
          <w:color w:val="auto"/>
        </w:rPr>
        <w:t>Registered Stockholders</w:t>
      </w:r>
      <w:r>
        <w:rPr>
          <w:rFonts w:ascii="Times New Roman" w:cs="Times New Roman" w:eastAsia="Times New Roman" w:hAnsi="Times New Roman"/>
          <w:sz w:val="15"/>
          <w:szCs w:val="15"/>
          <w:color w:val="auto"/>
        </w:rPr>
        <w:t>.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251" w:right="339"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GENERAL PROVISIONS</w:t>
      </w:r>
    </w:p>
    <w:p>
      <w:pPr>
        <w:spacing w:after="0" w:line="178"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b w:val="1"/>
          <w:bCs w:val="1"/>
          <w:color w:val="auto"/>
        </w:rPr>
        <w:t>Dividends</w:t>
      </w:r>
      <w:r>
        <w:rPr>
          <w:rFonts w:ascii="Times New Roman" w:cs="Times New Roman" w:eastAsia="Times New Roman" w:hAnsi="Times New Roman"/>
          <w:sz w:val="15"/>
          <w:szCs w:val="15"/>
          <w:color w:val="auto"/>
        </w:rPr>
        <w:t>.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141" w:lineRule="exact"/>
        <w:rPr>
          <w:sz w:val="20"/>
          <w:szCs w:val="20"/>
          <w:color w:val="auto"/>
        </w:rPr>
      </w:pPr>
    </w:p>
    <w:p>
      <w:pPr>
        <w:ind w:right="10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b w:val="1"/>
          <w:bCs w:val="1"/>
          <w:color w:val="auto"/>
        </w:rPr>
        <w:t>Reserve for Dividends</w:t>
      </w:r>
      <w:r>
        <w:rPr>
          <w:rFonts w:ascii="Times New Roman" w:cs="Times New Roman" w:eastAsia="Times New Roman" w:hAnsi="Times New Roman"/>
          <w:sz w:val="15"/>
          <w:szCs w:val="15"/>
          <w:color w:val="auto"/>
        </w:rPr>
        <w:t>.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146" w:lineRule="exact"/>
        <w:rPr>
          <w:sz w:val="20"/>
          <w:szCs w:val="20"/>
          <w:color w:val="auto"/>
        </w:rPr>
      </w:pPr>
    </w:p>
    <w:p>
      <w:pPr>
        <w:ind w:right="1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b w:val="1"/>
          <w:bCs w:val="1"/>
          <w:color w:val="auto"/>
        </w:rPr>
        <w:t>Checks</w:t>
      </w:r>
      <w:r>
        <w:rPr>
          <w:rFonts w:ascii="Times New Roman" w:cs="Times New Roman" w:eastAsia="Times New Roman" w:hAnsi="Times New Roman"/>
          <w:sz w:val="15"/>
          <w:szCs w:val="15"/>
          <w:color w:val="auto"/>
        </w:rPr>
        <w:t>. All checks or demands for money and notes of the corporation shall be signed by such officer or officers or such other person or persons as the Board of Directors may from time to time designate.</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7.4 </w:t>
      </w:r>
      <w:r>
        <w:rPr>
          <w:rFonts w:ascii="Times New Roman" w:cs="Times New Roman" w:eastAsia="Times New Roman" w:hAnsi="Times New Roman"/>
          <w:sz w:val="15"/>
          <w:szCs w:val="15"/>
          <w:b w:val="1"/>
          <w:bCs w:val="1"/>
          <w:color w:val="auto"/>
        </w:rPr>
        <w:t>Fiscal Year</w:t>
      </w:r>
      <w:r>
        <w:rPr>
          <w:rFonts w:ascii="Times New Roman" w:cs="Times New Roman" w:eastAsia="Times New Roman" w:hAnsi="Times New Roman"/>
          <w:sz w:val="15"/>
          <w:szCs w:val="15"/>
          <w:color w:val="auto"/>
        </w:rPr>
        <w:t>. The fiscal year of the corporation shall be fixed by resolution of the Board of Directors.</w:t>
      </w:r>
    </w:p>
    <w:p>
      <w:pPr>
        <w:spacing w:after="0" w:line="196" w:lineRule="exact"/>
        <w:rPr>
          <w:sz w:val="20"/>
          <w:szCs w:val="20"/>
          <w:color w:val="auto"/>
        </w:rPr>
      </w:pPr>
    </w:p>
    <w:p>
      <w:pPr>
        <w:ind w:right="34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7.5 </w:t>
      </w:r>
      <w:r>
        <w:rPr>
          <w:rFonts w:ascii="Times New Roman" w:cs="Times New Roman" w:eastAsia="Times New Roman" w:hAnsi="Times New Roman"/>
          <w:sz w:val="15"/>
          <w:szCs w:val="15"/>
          <w:b w:val="1"/>
          <w:bCs w:val="1"/>
          <w:color w:val="auto"/>
        </w:rPr>
        <w:t>Corporate Seal</w:t>
      </w:r>
      <w:r>
        <w:rPr>
          <w:rFonts w:ascii="Times New Roman" w:cs="Times New Roman" w:eastAsia="Times New Roman" w:hAnsi="Times New Roman"/>
          <w:sz w:val="15"/>
          <w:szCs w:val="15"/>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125" w:lineRule="exact"/>
        <w:rPr>
          <w:sz w:val="20"/>
          <w:szCs w:val="20"/>
          <w:color w:val="auto"/>
        </w:rPr>
      </w:pPr>
    </w:p>
    <w:p>
      <w:pPr>
        <w:ind w:right="60" w:firstLine="1014"/>
        <w:spacing w:after="0" w:line="261" w:lineRule="auto"/>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15"/>
          <w:szCs w:val="15"/>
          <w:b w:val="1"/>
          <w:bCs w:val="1"/>
          <w:color w:val="auto"/>
        </w:rPr>
        <w:t>Indemnification</w:t>
      </w:r>
      <w:r>
        <w:rPr>
          <w:rFonts w:ascii="Times New Roman" w:cs="Times New Roman" w:eastAsia="Times New Roman" w:hAnsi="Times New Roman"/>
          <w:sz w:val="15"/>
          <w:szCs w:val="15"/>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60" w:lineRule="exact"/>
        <w:rPr>
          <w:sz w:val="20"/>
          <w:szCs w:val="20"/>
          <w:color w:val="auto"/>
        </w:rPr>
      </w:pPr>
    </w:p>
    <w:p>
      <w:pPr>
        <w:ind w:right="100" w:firstLine="1014"/>
        <w:spacing w:after="0" w:line="293" w:lineRule="auto"/>
        <w:rPr>
          <w:sz w:val="20"/>
          <w:szCs w:val="20"/>
          <w:color w:val="auto"/>
        </w:rPr>
      </w:pPr>
      <w:r>
        <w:rPr>
          <w:rFonts w:ascii="Times New Roman" w:cs="Times New Roman" w:eastAsia="Times New Roman" w:hAnsi="Times New Roman"/>
          <w:sz w:val="15"/>
          <w:szCs w:val="15"/>
          <w:color w:val="auto"/>
        </w:rPr>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0"/>
          </w:cols>
          <w:pgMar w:left="320" w:top="248" w:right="319" w:bottom="1440" w:gutter="0" w:footer="0" w:header="0"/>
        </w:sectPr>
      </w:pPr>
    </w:p>
    <w:bookmarkStart w:id="346" w:name="page347"/>
    <w:bookmarkEnd w:id="346"/>
    <w:p>
      <w:pPr>
        <w:ind w:right="24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54" w:lineRule="exact"/>
        <w:rPr>
          <w:sz w:val="20"/>
          <w:szCs w:val="20"/>
          <w:color w:val="auto"/>
        </w:rPr>
      </w:pPr>
    </w:p>
    <w:p>
      <w:pPr>
        <w:jc w:val="both"/>
        <w:ind w:firstLine="1014"/>
        <w:spacing w:after="0" w:line="275" w:lineRule="auto"/>
        <w:rPr>
          <w:sz w:val="20"/>
          <w:szCs w:val="20"/>
          <w:color w:val="auto"/>
        </w:rPr>
      </w:pPr>
      <w:r>
        <w:rPr>
          <w:rFonts w:ascii="Times New Roman" w:cs="Times New Roman" w:eastAsia="Times New Roman" w:hAnsi="Times New Roman"/>
          <w:sz w:val="15"/>
          <w:szCs w:val="15"/>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45" w:lineRule="exact"/>
        <w:rPr>
          <w:sz w:val="20"/>
          <w:szCs w:val="20"/>
          <w:color w:val="auto"/>
        </w:rPr>
      </w:pPr>
    </w:p>
    <w:p>
      <w:pPr>
        <w:ind w:right="100" w:firstLine="1014"/>
        <w:spacing w:after="0" w:line="293" w:lineRule="auto"/>
        <w:rPr>
          <w:sz w:val="20"/>
          <w:szCs w:val="20"/>
          <w:color w:val="auto"/>
        </w:rPr>
      </w:pPr>
      <w:r>
        <w:rPr>
          <w:rFonts w:ascii="Times New Roman" w:cs="Times New Roman" w:eastAsia="Times New Roman" w:hAnsi="Times New Roman"/>
          <w:sz w:val="15"/>
          <w:szCs w:val="15"/>
          <w:color w:val="auto"/>
        </w:rPr>
        <w:t>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w:t>
      </w:r>
    </w:p>
    <w:p>
      <w:pPr>
        <w:spacing w:after="0" w:line="132" w:lineRule="exact"/>
        <w:rPr>
          <w:sz w:val="20"/>
          <w:szCs w:val="20"/>
          <w:color w:val="auto"/>
        </w:rPr>
      </w:pPr>
    </w:p>
    <w:p>
      <w:pPr>
        <w:ind w:right="20" w:firstLine="1014"/>
        <w:spacing w:after="0" w:line="262" w:lineRule="auto"/>
        <w:rPr>
          <w:sz w:val="20"/>
          <w:szCs w:val="20"/>
          <w:color w:val="auto"/>
        </w:rPr>
      </w:pPr>
      <w:r>
        <w:rPr>
          <w:rFonts w:ascii="Times New Roman" w:cs="Times New Roman" w:eastAsia="Times New Roman" w:hAnsi="Times New Roman"/>
          <w:sz w:val="15"/>
          <w:szCs w:val="15"/>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u w:val="single" w:color="auto"/>
          <w:color w:val="auto"/>
        </w:rPr>
        <w:t>CERTIFICATE OF INCORPORATION GOVERNS</w:t>
      </w:r>
    </w:p>
    <w:p>
      <w:pPr>
        <w:spacing w:after="0" w:line="196" w:lineRule="exact"/>
        <w:rPr>
          <w:sz w:val="20"/>
          <w:szCs w:val="20"/>
          <w:color w:val="auto"/>
        </w:rPr>
      </w:pPr>
    </w:p>
    <w:p>
      <w:pPr>
        <w:ind w:right="46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7.7 </w:t>
      </w:r>
      <w:r>
        <w:rPr>
          <w:rFonts w:ascii="Times New Roman" w:cs="Times New Roman" w:eastAsia="Times New Roman" w:hAnsi="Times New Roman"/>
          <w:sz w:val="15"/>
          <w:szCs w:val="15"/>
          <w:b w:val="1"/>
          <w:bCs w:val="1"/>
          <w:color w:val="auto"/>
        </w:rPr>
        <w:t>Conflicts with Certificate of Incorporation</w:t>
      </w:r>
      <w:r>
        <w:rPr>
          <w:rFonts w:ascii="Times New Roman" w:cs="Times New Roman" w:eastAsia="Times New Roman" w:hAnsi="Times New Roman"/>
          <w:sz w:val="15"/>
          <w:szCs w:val="15"/>
          <w:color w:val="auto"/>
        </w:rPr>
        <w:t>. In the event of any conflict between the provisions of the corporation’s certificate of incorporation and these bylaws, the provisions of the certificate of incorporation shall govern.</w:t>
      </w:r>
    </w:p>
    <w:p>
      <w:pPr>
        <w:spacing w:after="0" w:line="30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5"/>
          <w:szCs w:val="15"/>
          <w:b w:val="1"/>
          <w:bCs w:val="1"/>
          <w:color w:val="auto"/>
        </w:rPr>
        <w:t>ARTICLE VIII</w:t>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color w:val="auto"/>
        </w:rPr>
        <w:t>AMENDMENTS</w:t>
      </w:r>
    </w:p>
    <w:p>
      <w:pPr>
        <w:spacing w:after="0" w:line="182" w:lineRule="exact"/>
        <w:rPr>
          <w:sz w:val="20"/>
          <w:szCs w:val="20"/>
          <w:color w:val="auto"/>
        </w:rPr>
      </w:pPr>
    </w:p>
    <w:p>
      <w:pPr>
        <w:ind w:right="40" w:firstLine="1014"/>
        <w:spacing w:after="0" w:line="267" w:lineRule="auto"/>
        <w:rPr>
          <w:sz w:val="20"/>
          <w:szCs w:val="20"/>
          <w:color w:val="auto"/>
        </w:rPr>
      </w:pPr>
      <w:r>
        <w:rPr>
          <w:rFonts w:ascii="Times New Roman" w:cs="Times New Roman" w:eastAsia="Times New Roman" w:hAnsi="Times New Roman"/>
          <w:sz w:val="15"/>
          <w:szCs w:val="15"/>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20"/>
          </w:cols>
          <w:pgMar w:left="320" w:top="252" w:right="359" w:bottom="1440" w:gutter="0" w:footer="0" w:header="0"/>
        </w:sectPr>
      </w:pPr>
    </w:p>
    <w:bookmarkStart w:id="347" w:name="page348"/>
    <w:bookmarkEnd w:id="347"/>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ARTICLE IX</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LOANS TO OFFICERS</w:t>
      </w:r>
    </w:p>
    <w:p>
      <w:pPr>
        <w:spacing w:after="0" w:line="182" w:lineRule="exact"/>
        <w:rPr>
          <w:sz w:val="20"/>
          <w:szCs w:val="20"/>
          <w:color w:val="auto"/>
        </w:rPr>
      </w:pPr>
    </w:p>
    <w:p>
      <w:pPr>
        <w:ind w:firstLine="1014"/>
        <w:spacing w:after="0" w:line="265" w:lineRule="auto"/>
        <w:rPr>
          <w:sz w:val="20"/>
          <w:szCs w:val="20"/>
          <w:color w:val="auto"/>
        </w:rPr>
      </w:pPr>
      <w:r>
        <w:rPr>
          <w:rFonts w:ascii="Times New Roman" w:cs="Times New Roman" w:eastAsia="Times New Roman" w:hAnsi="Times New Roman"/>
          <w:sz w:val="15"/>
          <w:szCs w:val="15"/>
          <w:color w:val="auto"/>
        </w:rPr>
        <w:t>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ARTICLE X</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RECORDS AND REPORTS</w:t>
      </w:r>
    </w:p>
    <w:p>
      <w:pPr>
        <w:spacing w:after="0" w:line="1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10.1 The application and requirements of Section 1501 of the California General Corporation Law are hereby expressly waived to the fullest extent permitted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thereunder.</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140"/>
          </w:cols>
          <w:pgMar w:left="320" w:top="248" w:right="439" w:bottom="1440" w:gutter="0" w:footer="0" w:header="0"/>
        </w:sectPr>
      </w:pPr>
    </w:p>
    <w:bookmarkStart w:id="348" w:name="page349"/>
    <w:bookmarkEnd w:id="348"/>
    <w:p>
      <w:pPr>
        <w:ind w:left="43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CERTIFICATE OF SECRETARY OF</w:t>
      </w:r>
    </w:p>
    <w:p>
      <w:pPr>
        <w:spacing w:after="0" w:line="10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200" w:lineRule="exact"/>
        <w:rPr>
          <w:sz w:val="20"/>
          <w:szCs w:val="20"/>
          <w:color w:val="auto"/>
        </w:rPr>
      </w:pPr>
    </w:p>
    <w:p>
      <w:pPr>
        <w:ind w:firstLine="1014"/>
        <w:spacing w:after="0" w:line="275" w:lineRule="auto"/>
        <w:rPr>
          <w:sz w:val="20"/>
          <w:szCs w:val="20"/>
          <w:color w:val="auto"/>
        </w:rPr>
      </w:pPr>
      <w:r>
        <w:rPr>
          <w:rFonts w:ascii="Times New Roman" w:cs="Times New Roman" w:eastAsia="Times New Roman" w:hAnsi="Times New Roman"/>
          <w:sz w:val="15"/>
          <w:szCs w:val="15"/>
          <w:color w:val="auto"/>
        </w:rPr>
        <w:t>The undersigned, Ilan Lovinsky, hereby certifies that he or she is the duly elected and acting Secretary of Tarsus Pharmaceuticals, Inc., a Delaware corporation (the “Corporation”), and that the bylaws attached hereto constitute the bylaws of said Corporation as duly adopted by Action by Written Consent in Lieu of Organizational Meeting by the Directors on December 14, 2016.</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undersigned has hereunto subscribed his name this December 14, 2016.</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/s/ Ilan Lovinsky</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Ilan Lovinsky,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-108585</wp:posOffset>
            </wp:positionV>
            <wp:extent cx="285496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2854960" cy="7620"/>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15"/>
          <w:szCs w:val="15"/>
          <w:b w:val="1"/>
          <w:bCs w:val="1"/>
          <w:color w:val="auto"/>
        </w:rPr>
        <w:t>Exhibit 3.4</w:t>
      </w:r>
    </w:p>
    <w:p>
      <w:pPr>
        <w:spacing w:after="0" w:line="1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Amended and Restated Bylaws</w:t>
      </w:r>
    </w:p>
    <w:p>
      <w:pPr>
        <w:spacing w:after="0" w:line="18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(amended and restated on October 8, 2020 and effective as of the</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closing of this corporation’s initial public offering)</w:t>
      </w:r>
    </w:p>
    <w:p>
      <w:pPr>
        <w:sectPr>
          <w:pgSz w:w="11900" w:h="16838" w:orient="portrait"/>
          <w:cols w:equalWidth="0" w:num="1">
            <w:col w:w="10140"/>
          </w:cols>
          <w:pgMar w:left="1440" w:top="121" w:right="31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440" w:type="dxa"/>
            <w:vAlign w:val="bottom"/>
          </w:tcPr>
          <w:p>
            <w:pPr>
              <w:jc w:val="right"/>
              <w:ind w:right="4923"/>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20"/>
        </w:trPr>
        <w:tc>
          <w:tcPr>
            <w:tcW w:w="1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84"/>
        </w:trPr>
        <w:tc>
          <w:tcPr>
            <w:tcW w:w="4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 Stockholders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Place of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Annual Meeting</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Special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Notice of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1.5</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Voting List</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1.6</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Quorum</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1.7</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Adjournments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1.8</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Voting and Proxies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1.9</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Action at Meeting</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1.10</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Nomination of Directors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Notice of Business at Annual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Conduct of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99"/>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1.13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Delivery to the Corporation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354"/>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Article II Directors</w:t>
            </w:r>
          </w:p>
        </w:tc>
        <w:tc>
          <w:tcPr>
            <w:tcW w:w="35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General Powers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Number, Election and Qualification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Chairman of the Board; Vice Chairman of the Board</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2.4</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Classes of Directors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2.5</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Terms of Office</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2.6</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Quorum</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2.7</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Action at Meeting</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2.8</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Removal</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2.9</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Vacancies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2.10</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Resignation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Regular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Special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Notice of Special Meetings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2.14</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Meetings by Conference Communications Equipment</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2.15</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Action by Consent</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2.16</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Committees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99"/>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2.17</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Compensation of Directors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354"/>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Article III Officers</w:t>
            </w:r>
          </w:p>
        </w:tc>
        <w:tc>
          <w:tcPr>
            <w:tcW w:w="35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Titles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Appointment</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Qualification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3.4</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Tenure</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3.5</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Removal; Resignation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3.6</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Vacancies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3.7</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President; Chief Executive Officer</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3.8</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3.9</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3.10</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Secretary and Assistant Secretaries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3.11</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Salaries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3.12</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Delegation of Authority</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9"/>
        </w:trPr>
        <w:tc>
          <w:tcPr>
            <w:tcW w:w="11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3.13</w:t>
            </w: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Execution of Contracts</w:t>
            </w:r>
          </w:p>
        </w:tc>
        <w:tc>
          <w:tcPr>
            <w:tcW w:w="6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00"/>
          </w:cols>
          <w:pgMar w:left="320" w:top="248" w:right="37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184"/>
        </w:trPr>
        <w:tc>
          <w:tcPr>
            <w:tcW w:w="9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Capital Stock</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4.1</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Issuance of Stock</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4.2</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Stock Certificates; Uncertificated Shares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4.3</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Transfers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4.4</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Lost, Stolen or Destroyed Certificates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4.5</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Record Date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4.6</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Regulations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99"/>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4.7</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Dividends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354"/>
        </w:trPr>
        <w:tc>
          <w:tcPr>
            <w:tcW w:w="9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 General Provisions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5.1</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Fiscal Year</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5.2</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Corporate Seal</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5.3</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Waiver of Notice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5.4</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Voting of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5.5</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Evidence of Authority</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5.6</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Certificate of Incorporation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5.7</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Severability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5.8</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Pronouns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99"/>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5.9</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Electronic Transmission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369"/>
        </w:trPr>
        <w:tc>
          <w:tcPr>
            <w:tcW w:w="9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Amendments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354"/>
        </w:trPr>
        <w:tc>
          <w:tcPr>
            <w:tcW w:w="9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VII Indemnification and Advancement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7.1</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Power to Indemnify in Actions, Suits or Proceedings other than Those by or in the Right of the Corporation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7.2</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Power to Indemnify in Actions, Suits or Proceedings by or in the Right of the Corporation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7.3</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Authorization of Indemnification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7.4</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Good Faith Defined</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7.5</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Right of Claimant to Bring Suit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7.6</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Expenses Payable in Advance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7.7</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Nonexclusivity of Indemnification and Advancement of Expenses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7.8</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Insurance</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7.9</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Certain Definitions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7.10</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Survival of Indemnification and Advancement of Expenses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4"/>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7.11</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Limitation on Indemnification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9"/>
        </w:trPr>
        <w:tc>
          <w:tcPr>
            <w:tcW w:w="8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7.12</w:t>
            </w:r>
          </w:p>
        </w:tc>
        <w:tc>
          <w:tcPr>
            <w:tcW w:w="85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Contract Rights</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1200"/>
          </w:cols>
          <w:pgMar w:left="320" w:top="252" w:right="379" w:bottom="1440" w:gutter="0" w:footer="0" w:header="0"/>
        </w:sectPr>
      </w:pPr>
    </w:p>
    <w:bookmarkStart w:id="352" w:name="page353"/>
    <w:bookmarkEnd w:id="35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Stockholders</w:t>
      </w:r>
    </w:p>
    <w:p>
      <w:pPr>
        <w:spacing w:after="0" w:line="178" w:lineRule="exact"/>
        <w:rPr>
          <w:sz w:val="20"/>
          <w:szCs w:val="20"/>
          <w:color w:val="auto"/>
        </w:rPr>
      </w:pPr>
    </w:p>
    <w:p>
      <w:pPr>
        <w:ind w:right="60" w:firstLine="451"/>
        <w:spacing w:after="0" w:line="267" w:lineRule="auto"/>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b w:val="1"/>
          <w:bCs w:val="1"/>
          <w:color w:val="auto"/>
        </w:rPr>
        <w:t>Place of Meetings</w:t>
      </w:r>
      <w:r>
        <w:rPr>
          <w:rFonts w:ascii="Times New Roman" w:cs="Times New Roman" w:eastAsia="Times New Roman" w:hAnsi="Times New Roman"/>
          <w:sz w:val="15"/>
          <w:szCs w:val="15"/>
          <w:color w:val="auto"/>
        </w:rPr>
        <w:t>. All meetings of stockholders shall be held at such place, if any, as may be designated from time to time by the Board of Directors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of Tarsus Pharmaceuticals, Inc. (the “</w:t>
      </w:r>
      <w:r>
        <w:rPr>
          <w:rFonts w:ascii="Times New Roman" w:cs="Times New Roman" w:eastAsia="Times New Roman" w:hAnsi="Times New Roman"/>
          <w:sz w:val="15"/>
          <w:szCs w:val="15"/>
          <w:b w:val="1"/>
          <w:bCs w:val="1"/>
          <w:color w:val="auto"/>
        </w:rPr>
        <w:t>Corporation</w:t>
      </w:r>
      <w:r>
        <w:rPr>
          <w:rFonts w:ascii="Times New Roman" w:cs="Times New Roman" w:eastAsia="Times New Roman" w:hAnsi="Times New Roman"/>
          <w:sz w:val="15"/>
          <w:szCs w:val="15"/>
          <w:color w:val="auto"/>
        </w:rPr>
        <w:t>”), the Chairman of the Board, the Chief Executive Officer or the President or, if not so designated, at the principal executive office of the Corporation. The Board may, in its sole discretion, determine that a meeting shall not be held at any place, but may instead be held solely by means of remote communication in accordance with Section 211(a) of the General Corporation Law of the State of Delaware or any applicable successor act thereto, as the same may be amended from time to time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firstLine="451"/>
        <w:spacing w:after="0" w:line="265" w:lineRule="auto"/>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b w:val="1"/>
          <w:bCs w:val="1"/>
          <w:color w:val="auto"/>
        </w:rPr>
        <w:t>Annual Meeting</w:t>
      </w:r>
      <w:r>
        <w:rPr>
          <w:rFonts w:ascii="Times New Roman" w:cs="Times New Roman" w:eastAsia="Times New Roman" w:hAnsi="Times New Roman"/>
          <w:sz w:val="15"/>
          <w:szCs w:val="15"/>
          <w:color w:val="auto"/>
        </w:rPr>
        <w:t>. The annual meeting of stockholders for the election of directors and for the transaction of such other business as may properly be brought before the meeting shall be held on a date and at a time designated by the Board, the Chairman of the Board, the Chief Executive Officer or the President (which date shall not be a legal holiday in the place, if any, where the meeting is to be held) and stated in the notice of the meeting. The Board acting pursuant to a resolution adopted by the majority of the Whole Board may postpone, reschedule or cancel any previously scheduled annual meeting of stockholders, before or after the notice for such meeting has been sent to the stockholders. For purposes of these Amended and Restated Bylaws (the “</w:t>
      </w:r>
      <w:r>
        <w:rPr>
          <w:rFonts w:ascii="Times New Roman" w:cs="Times New Roman" w:eastAsia="Times New Roman" w:hAnsi="Times New Roman"/>
          <w:sz w:val="15"/>
          <w:szCs w:val="15"/>
          <w:b w:val="1"/>
          <w:bCs w:val="1"/>
          <w:color w:val="auto"/>
        </w:rPr>
        <w:t>Bylaws</w:t>
      </w:r>
      <w:r>
        <w:rPr>
          <w:rFonts w:ascii="Times New Roman" w:cs="Times New Roman" w:eastAsia="Times New Roman" w:hAnsi="Times New Roman"/>
          <w:sz w:val="15"/>
          <w:szCs w:val="15"/>
          <w:color w:val="auto"/>
        </w:rPr>
        <w:t>”), the term “</w:t>
      </w:r>
      <w:r>
        <w:rPr>
          <w:rFonts w:ascii="Times New Roman" w:cs="Times New Roman" w:eastAsia="Times New Roman" w:hAnsi="Times New Roman"/>
          <w:sz w:val="15"/>
          <w:szCs w:val="15"/>
          <w:b w:val="1"/>
          <w:bCs w:val="1"/>
          <w:color w:val="auto"/>
        </w:rPr>
        <w:t>Whole Board</w:t>
      </w:r>
      <w:r>
        <w:rPr>
          <w:rFonts w:ascii="Times New Roman" w:cs="Times New Roman" w:eastAsia="Times New Roman" w:hAnsi="Times New Roman"/>
          <w:sz w:val="15"/>
          <w:szCs w:val="15"/>
          <w:color w:val="auto"/>
        </w:rPr>
        <w:t>” will mean the total number of authorized directors whether or not there exist any vacancies in previously authorized directorships.</w:t>
      </w:r>
    </w:p>
    <w:p>
      <w:pPr>
        <w:spacing w:after="0" w:line="148" w:lineRule="exact"/>
        <w:rPr>
          <w:sz w:val="20"/>
          <w:szCs w:val="20"/>
          <w:color w:val="auto"/>
        </w:rPr>
      </w:pPr>
    </w:p>
    <w:p>
      <w:pPr>
        <w:ind w:right="20" w:firstLine="451"/>
        <w:spacing w:after="0" w:line="270" w:lineRule="auto"/>
        <w:rPr>
          <w:sz w:val="20"/>
          <w:szCs w:val="20"/>
          <w:color w:val="auto"/>
        </w:rPr>
      </w:pPr>
      <w:r>
        <w:rPr>
          <w:rFonts w:ascii="Times New Roman" w:cs="Times New Roman" w:eastAsia="Times New Roman" w:hAnsi="Times New Roman"/>
          <w:sz w:val="15"/>
          <w:szCs w:val="15"/>
          <w:color w:val="auto"/>
        </w:rPr>
        <w:t xml:space="preserve">1.3 </w:t>
      </w:r>
      <w:r>
        <w:rPr>
          <w:rFonts w:ascii="Times New Roman" w:cs="Times New Roman" w:eastAsia="Times New Roman" w:hAnsi="Times New Roman"/>
          <w:sz w:val="15"/>
          <w:szCs w:val="15"/>
          <w:b w:val="1"/>
          <w:bCs w:val="1"/>
          <w:color w:val="auto"/>
        </w:rPr>
        <w:t>Special Meetings</w:t>
      </w:r>
      <w:r>
        <w:rPr>
          <w:rFonts w:ascii="Times New Roman" w:cs="Times New Roman" w:eastAsia="Times New Roman" w:hAnsi="Times New Roman"/>
          <w:sz w:val="15"/>
          <w:szCs w:val="15"/>
          <w:color w:val="auto"/>
        </w:rPr>
        <w:t>. Special meetings of stockholders for any purpose or purposes may be called at any time by a resolution adopted by the majority of the Whole Board, the Chairman of the Board or the Chief Executive Officer, and may not be called by any other person or persons. The Board acting pursuant to a resolution adopted by the majority of the Whole Board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146" w:lineRule="exact"/>
        <w:rPr>
          <w:sz w:val="20"/>
          <w:szCs w:val="20"/>
          <w:color w:val="auto"/>
        </w:rPr>
      </w:pPr>
    </w:p>
    <w:p>
      <w:pPr>
        <w:ind w:right="60" w:firstLine="451"/>
        <w:spacing w:after="0" w:line="261"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b w:val="1"/>
          <w:bCs w:val="1"/>
          <w:color w:val="auto"/>
        </w:rPr>
        <w:t>Notice of Meetings</w:t>
      </w:r>
      <w:r>
        <w:rPr>
          <w:rFonts w:ascii="Times New Roman" w:cs="Times New Roman" w:eastAsia="Times New Roman" w:hAnsi="Times New Roman"/>
          <w:sz w:val="15"/>
          <w:szCs w:val="15"/>
          <w:color w:val="auto"/>
        </w:rPr>
        <w:t>. Except as otherwise provided by law, notice of each meeting of stockholders, whether annual or special, shall be given not less than ten (10) nor more than sixty (60) days before the date of the meeting to each stockholder entitled to vote at such meeting as of the record date for determining the stockholders entitled to notice of the meeting. Without limiting the manner by which notice otherwise may be given to stockholders, any notice shall be effective if given by a form of electronic transmission consented to (in a manner consistent with the DGCL) by the stockholder to whom the notice is given. The notices of all meetings shall state the place, if any, date and time of the meeting,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stockholders entitled to notice of the meeting). The notice of a special meeting shall state, in addition to the foregoing,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overnight courier or by electronic transmission, such notice shall be deemed given at the time specified in Section 232 of the DGCL.</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40"/>
          </w:cols>
          <w:pgMar w:left="320" w:top="247"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1.5 </w:t>
      </w:r>
      <w:r>
        <w:rPr>
          <w:rFonts w:ascii="Times New Roman" w:cs="Times New Roman" w:eastAsia="Times New Roman" w:hAnsi="Times New Roman"/>
          <w:sz w:val="15"/>
          <w:szCs w:val="15"/>
          <w:b w:val="1"/>
          <w:bCs w:val="1"/>
          <w:color w:val="auto"/>
        </w:rPr>
        <w:t>Voting List</w:t>
      </w:r>
      <w:r>
        <w:rPr>
          <w:rFonts w:ascii="Times New Roman" w:cs="Times New Roman" w:eastAsia="Times New Roman" w:hAnsi="Times New Roman"/>
          <w:sz w:val="15"/>
          <w:szCs w:val="15"/>
          <w:color w:val="auto"/>
        </w:rPr>
        <w:t>. The Corporation shall prepare, at least ten (10) days before every meeting of stockholders, a complete list of the stockholders entitled to vote at the meeting</w:t>
      </w:r>
    </w:p>
    <w:p>
      <w:pPr>
        <w:spacing w:after="0" w:line="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information required to gain access to such list is provided with the notice of the meeting, or (b) during ordinary business hours, at the principal place of business of the Corporation. The Corporation shall not be required to include electronic mail addresses or other electronic contact information on such list.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1.5 or to vote in person or by proxy at any meeting of stockholders.</w:t>
      </w:r>
    </w:p>
    <w:p>
      <w:pPr>
        <w:spacing w:after="0" w:line="156" w:lineRule="exact"/>
        <w:rPr>
          <w:sz w:val="20"/>
          <w:szCs w:val="20"/>
          <w:color w:val="auto"/>
        </w:rPr>
      </w:pPr>
    </w:p>
    <w:p>
      <w:pPr>
        <w:ind w:right="20" w:firstLine="451"/>
        <w:spacing w:after="0" w:line="265" w:lineRule="auto"/>
        <w:rPr>
          <w:sz w:val="20"/>
          <w:szCs w:val="20"/>
          <w:color w:val="auto"/>
        </w:rPr>
      </w:pPr>
      <w:r>
        <w:rPr>
          <w:rFonts w:ascii="Times New Roman" w:cs="Times New Roman" w:eastAsia="Times New Roman" w:hAnsi="Times New Roman"/>
          <w:sz w:val="15"/>
          <w:szCs w:val="15"/>
          <w:color w:val="auto"/>
        </w:rPr>
        <w:t xml:space="preserve">1.6 </w:t>
      </w:r>
      <w:r>
        <w:rPr>
          <w:rFonts w:ascii="Times New Roman" w:cs="Times New Roman" w:eastAsia="Times New Roman" w:hAnsi="Times New Roman"/>
          <w:sz w:val="15"/>
          <w:szCs w:val="15"/>
          <w:b w:val="1"/>
          <w:bCs w:val="1"/>
          <w:color w:val="auto"/>
        </w:rPr>
        <w:t>Quorum</w:t>
      </w:r>
      <w:r>
        <w:rPr>
          <w:rFonts w:ascii="Times New Roman" w:cs="Times New Roman" w:eastAsia="Times New Roman" w:hAnsi="Times New Roman"/>
          <w:sz w:val="15"/>
          <w:szCs w:val="15"/>
          <w:color w:val="auto"/>
        </w:rPr>
        <w:t xml:space="preserve">. Except as otherwise provided by law, the Certificate of Incorporation or these Bylaws, the holders of a majority in voting power of the shares of the capital stock of the Corporation issued and outstanding and entitled to vote at the meeting, present in person or represented by proxy, shall constitute a quorum for the transaction of business;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52" w:lineRule="exact"/>
        <w:rPr>
          <w:sz w:val="20"/>
          <w:szCs w:val="20"/>
          <w:color w:val="auto"/>
        </w:rPr>
      </w:pPr>
    </w:p>
    <w:p>
      <w:pPr>
        <w:ind w:firstLine="451"/>
        <w:spacing w:after="0" w:line="268" w:lineRule="auto"/>
        <w:rPr>
          <w:sz w:val="20"/>
          <w:szCs w:val="20"/>
          <w:color w:val="auto"/>
        </w:rPr>
      </w:pPr>
      <w:r>
        <w:rPr>
          <w:rFonts w:ascii="Times New Roman" w:cs="Times New Roman" w:eastAsia="Times New Roman" w:hAnsi="Times New Roman"/>
          <w:sz w:val="15"/>
          <w:szCs w:val="15"/>
          <w:color w:val="auto"/>
        </w:rPr>
        <w:t>If, however, such quorum is not present or represented at any meeting of the stockholders, then either (i) the chairperson of the meeting, or (ii) the stockholders so present may, by the affirmative vote of the holders of a majority in voting power of the shares of the corporation which are present in person or represented by proxy and entitled to vote thereat, shall have power to adjourn the meeting from time to time in the manner provided in Section 1.7 of these Bylaws, until a quorum shall attend. At any such adjourned meeting at which there is a quorum, any business may be transacted that might have been transacted at the meeting originally called.</w:t>
      </w:r>
    </w:p>
    <w:p>
      <w:pPr>
        <w:spacing w:after="0" w:line="148" w:lineRule="exact"/>
        <w:rPr>
          <w:sz w:val="20"/>
          <w:szCs w:val="20"/>
          <w:color w:val="auto"/>
        </w:rPr>
      </w:pPr>
    </w:p>
    <w:p>
      <w:pPr>
        <w:ind w:right="80" w:firstLine="451"/>
        <w:spacing w:after="0" w:line="262" w:lineRule="auto"/>
        <w:rPr>
          <w:sz w:val="20"/>
          <w:szCs w:val="20"/>
          <w:color w:val="auto"/>
        </w:rPr>
      </w:pPr>
      <w:r>
        <w:rPr>
          <w:rFonts w:ascii="Times New Roman" w:cs="Times New Roman" w:eastAsia="Times New Roman" w:hAnsi="Times New Roman"/>
          <w:sz w:val="15"/>
          <w:szCs w:val="15"/>
          <w:color w:val="auto"/>
        </w:rPr>
        <w:t xml:space="preserve">1.7 </w:t>
      </w:r>
      <w:r>
        <w:rPr>
          <w:rFonts w:ascii="Times New Roman" w:cs="Times New Roman" w:eastAsia="Times New Roman" w:hAnsi="Times New Roman"/>
          <w:sz w:val="15"/>
          <w:szCs w:val="15"/>
          <w:b w:val="1"/>
          <w:bCs w:val="1"/>
          <w:color w:val="auto"/>
        </w:rPr>
        <w:t>Adjournments</w:t>
      </w:r>
      <w:r>
        <w:rPr>
          <w:rFonts w:ascii="Times New Roman" w:cs="Times New Roman" w:eastAsia="Times New Roman" w:hAnsi="Times New Roman"/>
          <w:sz w:val="15"/>
          <w:szCs w:val="15"/>
          <w:color w:val="auto"/>
        </w:rPr>
        <w:t>. The chairman of any meeting of stockholders, annual or special, shall have the power to recess and/or adjourn any such meeting from time to time to any other time and to any other place (or to means of remote communication). Notice of an adjourned meeting need not be given if the time, date and place (or means of remote communication) are announced at the meeting at which the adjournment is taken; provided, however, that . if the adjournment is for more than thirty (30) days or if a new record date for determining stockholders entitled to vote is fixed for the adjourned meeting, a notice of the adjourned meeting shall be given.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which might have been transacted at the original meeting.</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247" w:right="339" w:bottom="1440" w:gutter="0" w:footer="0" w:header="0"/>
        </w:sectPr>
      </w:pPr>
    </w:p>
    <w:bookmarkStart w:id="354" w:name="page355"/>
    <w:bookmarkEnd w:id="354"/>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1.8 </w:t>
      </w:r>
      <w:r>
        <w:rPr>
          <w:rFonts w:ascii="Times New Roman" w:cs="Times New Roman" w:eastAsia="Times New Roman" w:hAnsi="Times New Roman"/>
          <w:sz w:val="15"/>
          <w:szCs w:val="15"/>
          <w:b w:val="1"/>
          <w:bCs w:val="1"/>
          <w:color w:val="auto"/>
        </w:rPr>
        <w:t>Voting and Proxies</w:t>
      </w:r>
      <w:r>
        <w:rPr>
          <w:rFonts w:ascii="Times New Roman" w:cs="Times New Roman" w:eastAsia="Times New Roman" w:hAnsi="Times New Roman"/>
          <w:sz w:val="15"/>
          <w:szCs w:val="15"/>
          <w:color w:val="auto"/>
        </w:rPr>
        <w:t>. Except as otherwise provided by applicable law or pursuant to the provisions of the Certificate of Incorporation, each stockholder entitled to vote at any meeting of stockholders shall be entitled to one vote for each share of stock held by such stockholder that has voting power upon the matter in question. Each stockholder of record entitled to vote at a meeting of stockholders may vote in person (including by means of remote communications, if any, by which stockholders may be deemed to be present in person and vote at such meeting) or may authorize another person or persons to vote for such stockholder by a proxy executed or transmitted in a manner permitted by applicable law. The authorization of a person to act as proxy may be documented, signed and delivered in accordance with Section 116 of the DGCL, provided that such authorization shall set forth, or be delivered with, information enabling the corporation to determine the identity of the stockholder granting such authorization. No such proxy shall be voted upon after three years from the date of its execution, unless the proxy expressly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56" w:lineRule="exact"/>
        <w:rPr>
          <w:sz w:val="20"/>
          <w:szCs w:val="20"/>
          <w:color w:val="auto"/>
        </w:rPr>
      </w:pPr>
    </w:p>
    <w:p>
      <w:pPr>
        <w:ind w:right="40" w:firstLine="451"/>
        <w:spacing w:after="0" w:line="265" w:lineRule="auto"/>
        <w:rPr>
          <w:sz w:val="20"/>
          <w:szCs w:val="20"/>
          <w:color w:val="auto"/>
        </w:rPr>
      </w:pPr>
      <w:r>
        <w:rPr>
          <w:rFonts w:ascii="Times New Roman" w:cs="Times New Roman" w:eastAsia="Times New Roman" w:hAnsi="Times New Roman"/>
          <w:sz w:val="15"/>
          <w:szCs w:val="15"/>
          <w:color w:val="auto"/>
        </w:rPr>
        <w:t xml:space="preserve">1.9 </w:t>
      </w:r>
      <w:r>
        <w:rPr>
          <w:rFonts w:ascii="Times New Roman" w:cs="Times New Roman" w:eastAsia="Times New Roman" w:hAnsi="Times New Roman"/>
          <w:sz w:val="15"/>
          <w:szCs w:val="15"/>
          <w:b w:val="1"/>
          <w:bCs w:val="1"/>
          <w:color w:val="auto"/>
        </w:rPr>
        <w:t>Action at Meeting</w:t>
      </w:r>
      <w:r>
        <w:rPr>
          <w:rFonts w:ascii="Times New Roman" w:cs="Times New Roman" w:eastAsia="Times New Roman" w:hAnsi="Times New Roman"/>
          <w:sz w:val="15"/>
          <w:szCs w:val="15"/>
          <w:color w:val="auto"/>
        </w:rPr>
        <w:t>. When a quorum is present at any meeting, any matter other than the election of directors to be voted upon by the stockholders at such meeting shall be decided by the vote of the holders of shares of stock having a majority in voting power of the votes cast by the holders of all of the shares of stock present in person or represented by proxy at the meeting and voting affirmatively or negatively on such matter, except when a different vote is required by applicable law, regulation applicable to the Corporation or its securities, the rules or regulations of any stock exchange applicable to the Corporation, the Certificate of Incorporation or these Bylaws. For the avoidance of doubt, neither abstentions nor broker non-votes will be counted as votes cast for or against such matter. Subject to any special rights of the holders of one or more outstanding series of Preferred Stock to elect directors, each director shall be elected by a plurality of the votes cast. Voting at meetings of stockholders need not be by written ballot.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1.10 </w:t>
      </w:r>
      <w:r>
        <w:rPr>
          <w:rFonts w:ascii="Times New Roman" w:cs="Times New Roman" w:eastAsia="Times New Roman" w:hAnsi="Times New Roman"/>
          <w:sz w:val="15"/>
          <w:szCs w:val="15"/>
          <w:b w:val="1"/>
          <w:bCs w:val="1"/>
          <w:color w:val="auto"/>
        </w:rPr>
        <w:t>Nomination of Directors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right="20" w:firstLine="1006"/>
        <w:spacing w:after="0" w:line="263" w:lineRule="auto"/>
        <w:tabs>
          <w:tab w:leader="none" w:pos="1223"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(1) any director entitled to be elected pursuant to the special rights of the holders of one or more outstanding series of Preferred Stock, (2) any directors elected in accordance with Section 2.9 hereof by the Board to fill a vacancy or newly-created directorship or (3) as otherwise required by applicable law or stock exchange regulation, at any meeting of stockholders, only persons who are nominated in accordance with the procedures in this Section 1.10 shall be eligible for election or re-election as directors.</w:t>
      </w:r>
    </w:p>
    <w:p>
      <w:pPr>
        <w:ind w:right="34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Nomination for election to the Board at a meeting of stockholders may be made (i) by or at the direction of the Board (or any committee thereof) or (ii) by any stockholder of the Corporation who (x) timely complies with the notice procedures in Section 1.10(b), (y) is a stockholder of record on the date the stockholder gives notice provided for in Section 1.10(b) and on the record date for the determination of stockholders entitled to vote at such meeting and (z) is entitled to vote at such meeting.</w:t>
      </w:r>
    </w:p>
    <w:p>
      <w:pPr>
        <w:spacing w:after="0" w:line="154" w:lineRule="exact"/>
        <w:rPr>
          <w:rFonts w:ascii="Times New Roman" w:cs="Times New Roman" w:eastAsia="Times New Roman" w:hAnsi="Times New Roman"/>
          <w:sz w:val="15"/>
          <w:szCs w:val="15"/>
          <w:color w:val="auto"/>
        </w:rPr>
      </w:pPr>
    </w:p>
    <w:p>
      <w:pPr>
        <w:ind w:right="100" w:firstLine="1006"/>
        <w:spacing w:after="0" w:line="275" w:lineRule="auto"/>
        <w:tabs>
          <w:tab w:leader="none" w:pos="1231"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timely, a stockholder’s notice must be received in writing by the Secretary at the principal executive offices of the Corporation as follows: (i) in the case of an election of directors at an annual meeting of stockholders, not less than ninety (90) days nor more than one hundred and twenty (120) days prior to the first anniversary of the preceding year’s annual meeting (except in the case of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0"/>
          </w:cols>
          <w:pgMar w:left="320" w:top="248" w:right="359" w:bottom="1440" w:gutter="0" w:footer="0" w:header="0"/>
        </w:sectPr>
      </w:pPr>
    </w:p>
    <w:bookmarkStart w:id="355" w:name="page356"/>
    <w:bookmarkEnd w:id="355"/>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Corporation’s first annual meeting following its initial public offering, for which such notice shall be timely if delivered in the same time period as if such meeting were for the election of directors at a special meeting governed by this Section 1.10(b));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the event that the date of the annual meeting in any other year is advanced by more than thirty (30)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or (ii) in the case of an election of directors at a special meeting of stockholders,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majority of the Whole Board, the Chairman of the Board or the Chief Executive Officer has determined, in accordance with Section 1.3, that directors shall be elected at such special meeting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the nomination made by the stockholder is for one of the director positions that the Board, the Chairman of the Board or the Chief Executive Officer, as the case may be, has determined will be filled at such special meeting, not earlier than the one hundred and twentieth (120th) day prior to such special meeting and not later than the close of business on the later of (x) the ninetieth (90th) day prior to such special meeting and (y) the tenth (10th)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 under this Section 1.10.</w:t>
      </w:r>
    </w:p>
    <w:p>
      <w:pPr>
        <w:spacing w:after="0" w:line="16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The stockholder’s notice to the Secretary shall set forth:</w:t>
      </w:r>
    </w:p>
    <w:p>
      <w:pPr>
        <w:spacing w:after="0" w:line="104" w:lineRule="exact"/>
        <w:rPr>
          <w:sz w:val="20"/>
          <w:szCs w:val="20"/>
          <w:color w:val="auto"/>
        </w:rPr>
      </w:pPr>
    </w:p>
    <w:p>
      <w:pPr>
        <w:ind w:right="20" w:firstLine="1006"/>
        <w:spacing w:after="0" w:line="259" w:lineRule="auto"/>
        <w:tabs>
          <w:tab w:leader="none" w:pos="1265"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proposed nominee (1) such person’s name, age, business address and, if known, residence address, (2) such person’s principal occupation or employment, (3) the class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(5)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proposed nominee, the effect or intent of which is to mitigate loss to, manage risk or benefit of share price changes for, or increase or decrease the voting power of, such proposed nominee with respect to shares of stock of the Corporation, and (6) any other information concerning such person that must be disclosed as to nominees in proxy solicitations pursuant to Regulation 14A under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and</w:t>
      </w:r>
    </w:p>
    <w:p>
      <w:pPr>
        <w:spacing w:after="0" w:line="164" w:lineRule="exact"/>
        <w:rPr>
          <w:rFonts w:ascii="Times New Roman" w:cs="Times New Roman" w:eastAsia="Times New Roman" w:hAnsi="Times New Roman"/>
          <w:sz w:val="15"/>
          <w:szCs w:val="15"/>
          <w:color w:val="auto"/>
        </w:rPr>
      </w:pPr>
    </w:p>
    <w:p>
      <w:pPr>
        <w:ind w:right="700" w:firstLine="1006"/>
        <w:spacing w:after="0" w:line="293" w:lineRule="auto"/>
        <w:tabs>
          <w:tab w:leader="none" w:pos="1257"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the stockholder giving the notice and the beneficial owner, if any, on whose behalf the nomination is being made (1) the name and address of such stockholder as they appear on the Corporation’s books, the name and address of such beneficial owner, and the name and address of 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52" w:right="319" w:bottom="1440" w:gutter="0" w:footer="0" w:header="0"/>
        </w:sectPr>
      </w:pPr>
    </w:p>
    <w:bookmarkStart w:id="356" w:name="page357"/>
    <w:bookmarkEnd w:id="356"/>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Stockholder Associated Person (as defined below), (2) the class and series and number of shares of stock of the Corporation that are directly or indirectly owned, beneficially or of record, by such stockholder, such beneficial owner and any Stockholder Associated Person, (3) a description of any agreement, arrangement or understanding between or among such stockholder, such beneficial owner and/or any Stockholder Associated Person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such beneficial owner or any Stockholder Associated Person, the effect or intent of which is to mitigate loss to, manage risk or benefit of share price changes for, or increase or decrease the voting power of, such stockholder, such beneficial owner or any Stockholder Associated Person with respect to shares of stock of the Corporation, (5) any other information relating to such stockholder, such beneficial owner and any Stockholder Associated Person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intends to appear in person or by proxy at the meeting to nominate the person(s) named in its notice and (7) a representation whether such stockholder, such beneficial owner and/or such Stockholder Associated Person intends or is part of a group which intends (x) to deliver a proxy statement and/or form of proxy to holders of at least the percentage of the Corporation’s outstanding capital stock reasonably believed by such stockholder, such beneficial owner or such Stockholder Associated Person to be sufficient to elect the nominee and/or (y) otherwise to solicit proxies or votes from stockholders in support of such nomination.</w:t>
      </w:r>
    </w:p>
    <w:p>
      <w:pPr>
        <w:spacing w:after="0" w:line="157" w:lineRule="exact"/>
        <w:rPr>
          <w:sz w:val="20"/>
          <w:szCs w:val="20"/>
          <w:color w:val="auto"/>
        </w:rPr>
      </w:pPr>
    </w:p>
    <w:p>
      <w:pPr>
        <w:ind w:firstLine="451"/>
        <w:spacing w:after="0" w:line="259" w:lineRule="auto"/>
        <w:rPr>
          <w:sz w:val="20"/>
          <w:szCs w:val="20"/>
          <w:color w:val="auto"/>
        </w:rPr>
      </w:pPr>
      <w:r>
        <w:rPr>
          <w:rFonts w:ascii="Times New Roman" w:cs="Times New Roman" w:eastAsia="Times New Roman" w:hAnsi="Times New Roman"/>
          <w:sz w:val="15"/>
          <w:szCs w:val="15"/>
          <w:color w:val="auto"/>
        </w:rPr>
        <w:t>Such information provided and statements made as required by clauses (A) and (B) above or otherwise by this Section 1.10 are hereinafter referred to as a “</w:t>
      </w:r>
      <w:r>
        <w:rPr>
          <w:rFonts w:ascii="Times New Roman" w:cs="Times New Roman" w:eastAsia="Times New Roman" w:hAnsi="Times New Roman"/>
          <w:sz w:val="15"/>
          <w:szCs w:val="15"/>
          <w:b w:val="1"/>
          <w:bCs w:val="1"/>
          <w:color w:val="auto"/>
        </w:rPr>
        <w:t>Nominee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Solicitation Statement</w:t>
      </w:r>
      <w:r>
        <w:rPr>
          <w:rFonts w:ascii="Times New Roman" w:cs="Times New Roman" w:eastAsia="Times New Roman" w:hAnsi="Times New Roman"/>
          <w:sz w:val="15"/>
          <w:szCs w:val="15"/>
          <w:color w:val="auto"/>
        </w:rPr>
        <w:t>.” Not later than ten (10) days after the record date for determining stockholders entitled to notice of the meeting, the information required by Items (A)(1)-(5)</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(B)(1)-(5) of the prior sentence shall be supplemented by the stockholder giving the notice to provide updated information as of such record date. In addition, to be effective, the stockholder’s notice must be accompanied by a written questionnaire with respect to the background and qualification of such proposed nominee (which questionnaire shall be provided by the Secretary upon written request) and the written consent of the proposed nominee to be named in the Corporation’s proxy statement as a nominee and to serve as a director if elected and a written statement executed by the proposed nominee acknowledging that as a director of the Corporation, the nominee will owe fiduciary duties under Delaware law to the Corporation and its stockholders. The Corporation may require any proposed nominee to furnish such other information as the Corporation may reasonably require to determine the eligibility of such proposed nominee to serve as a director of the Corporation or that could be material to a reasonable stockholder’s understanding of the independence, or lack thereof, of such nominee, or whether such nominee would be independent under applicable Securities and Exchange Commission and stock exchange rules and the Corporation’s publicly disclosed corporate governance guidelines. A stockholder shall not have complied with this Section 1.10(b)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 For purposes of these Bylaws, a “</w:t>
      </w:r>
      <w:r>
        <w:rPr>
          <w:rFonts w:ascii="Times New Roman" w:cs="Times New Roman" w:eastAsia="Times New Roman" w:hAnsi="Times New Roman"/>
          <w:sz w:val="15"/>
          <w:szCs w:val="15"/>
          <w:b w:val="1"/>
          <w:bCs w:val="1"/>
          <w:color w:val="auto"/>
        </w:rPr>
        <w:t>Stockholder Associated Person</w:t>
      </w:r>
      <w:r>
        <w:rPr>
          <w:rFonts w:ascii="Times New Roman" w:cs="Times New Roman" w:eastAsia="Times New Roman" w:hAnsi="Times New Roman"/>
          <w:sz w:val="15"/>
          <w:szCs w:val="15"/>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180"/>
          </w:cols>
          <w:pgMar w:left="320" w:top="251" w:right="399" w:bottom="1440" w:gutter="0" w:footer="0" w:header="0"/>
        </w:sectPr>
      </w:pPr>
    </w:p>
    <w:bookmarkStart w:id="357" w:name="page358"/>
    <w:bookmarkEnd w:id="357"/>
    <w:p>
      <w:pPr>
        <w:ind w:left="8" w:right="120" w:hanging="8"/>
        <w:spacing w:after="0" w:line="262" w:lineRule="auto"/>
        <w:tabs>
          <w:tab w:leader="none" w:pos="217"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Without exception, no person shall be eligible for election or re-election as a director of the Corporation at a meeting of stockholders unless nominated in accordance with the provisions set forth in this Section 1.10.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chairman of any meeting shall have the power and duty to determine whether a nomination was made in accordance with the provisions of this Section 1.10 (including the previous sentence of this Section 1.10(c)), and if the chairman should determine that a nomination was not made in accordance with the provisions of this Section 1.10, the chairman shall so declare to the meeting and such nomination shall not be brought before the meeting.</w:t>
      </w:r>
    </w:p>
    <w:p>
      <w:pPr>
        <w:spacing w:after="0" w:line="157" w:lineRule="exact"/>
        <w:rPr>
          <w:rFonts w:ascii="Times New Roman" w:cs="Times New Roman" w:eastAsia="Times New Roman" w:hAnsi="Times New Roman"/>
          <w:sz w:val="15"/>
          <w:szCs w:val="15"/>
          <w:color w:val="auto"/>
        </w:rPr>
      </w:pPr>
    </w:p>
    <w:p>
      <w:pPr>
        <w:ind w:left="8" w:right="720" w:firstLine="1006"/>
        <w:spacing w:after="0" w:line="293" w:lineRule="auto"/>
        <w:tabs>
          <w:tab w:leader="none" w:pos="1239"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required by law, nothing in this Section 1.10 shall obligate the Corporation or the Board to include in any proxy statement or other stockholder communication distributed on behalf of the Corporation or the Board information with respect to any nominee for director submitted by a stockholder.</w:t>
      </w:r>
    </w:p>
    <w:p>
      <w:pPr>
        <w:spacing w:after="0" w:line="132" w:lineRule="exact"/>
        <w:rPr>
          <w:rFonts w:ascii="Times New Roman" w:cs="Times New Roman" w:eastAsia="Times New Roman" w:hAnsi="Times New Roman"/>
          <w:sz w:val="15"/>
          <w:szCs w:val="15"/>
          <w:color w:val="auto"/>
        </w:rPr>
      </w:pPr>
    </w:p>
    <w:p>
      <w:pPr>
        <w:ind w:left="8" w:firstLine="1006"/>
        <w:spacing w:after="0" w:line="265" w:lineRule="auto"/>
        <w:tabs>
          <w:tab w:leader="none" w:pos="1230"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w:t>
      </w:r>
      <w:r>
        <w:rPr>
          <w:rFonts w:ascii="Times New Roman" w:cs="Times New Roman" w:eastAsia="Times New Roman" w:hAnsi="Times New Roman"/>
          <w:sz w:val="15"/>
          <w:szCs w:val="15"/>
          <w:b w:val="1"/>
          <w:bCs w:val="1"/>
          <w:color w:val="auto"/>
        </w:rPr>
        <w:t>qualified representative of the stockholder</w:t>
      </w:r>
      <w:r>
        <w:rPr>
          <w:rFonts w:ascii="Times New Roman" w:cs="Times New Roman" w:eastAsia="Times New Roman" w:hAnsi="Times New Roman"/>
          <w:sz w:val="15"/>
          <w:szCs w:val="15"/>
          <w:color w:val="auto"/>
        </w:rPr>
        <w:t>”,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334" w:lineRule="exact"/>
        <w:rPr>
          <w:rFonts w:ascii="Times New Roman" w:cs="Times New Roman" w:eastAsia="Times New Roman" w:hAnsi="Times New Roman"/>
          <w:sz w:val="15"/>
          <w:szCs w:val="15"/>
          <w:color w:val="auto"/>
        </w:rPr>
      </w:pPr>
    </w:p>
    <w:p>
      <w:pPr>
        <w:ind w:left="8" w:right="260" w:firstLine="1006"/>
        <w:spacing w:after="0" w:line="277" w:lineRule="auto"/>
        <w:tabs>
          <w:tab w:leader="none" w:pos="1213"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1.10, “</w:t>
      </w:r>
      <w:r>
        <w:rPr>
          <w:rFonts w:ascii="Times New Roman" w:cs="Times New Roman" w:eastAsia="Times New Roman" w:hAnsi="Times New Roman"/>
          <w:sz w:val="15"/>
          <w:szCs w:val="15"/>
          <w:b w:val="1"/>
          <w:bCs w:val="1"/>
          <w:color w:val="auto"/>
        </w:rPr>
        <w:t>public disclosure</w:t>
      </w:r>
      <w:r>
        <w:rPr>
          <w:rFonts w:ascii="Times New Roman" w:cs="Times New Roman" w:eastAsia="Times New Roman" w:hAnsi="Times New Roman"/>
          <w:sz w:val="15"/>
          <w:szCs w:val="15"/>
          <w:color w:val="auto"/>
        </w:rPr>
        <w: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44" w:lineRule="exact"/>
        <w:rPr>
          <w:rFonts w:ascii="Times New Roman" w:cs="Times New Roman" w:eastAsia="Times New Roman" w:hAnsi="Times New Roman"/>
          <w:sz w:val="15"/>
          <w:szCs w:val="15"/>
          <w:color w:val="auto"/>
        </w:rPr>
      </w:pPr>
    </w:p>
    <w:p>
      <w:pPr>
        <w:ind w:left="8" w:right="40" w:firstLine="1006"/>
        <w:spacing w:after="0" w:line="265" w:lineRule="auto"/>
        <w:tabs>
          <w:tab w:leader="none" w:pos="1239" w:val="left"/>
        </w:tabs>
        <w:numPr>
          <w:ilvl w:val="1"/>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provisions of this Section 1.10, a stockholder shall also comply with all applicable requirements of the Exchange Act and the rules and regulations promulgated thereunder with respect to the matters set forth in this Section 1.10;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references in these Bylaws to the Exchange Act or the rules and regulations promulgated thereunder are not intended to and shall not limit any requirements applicable to nominations to be considered pursuant to this Section 1.10 (including paragraph (a)(ii) hereof), and compliance with paragraph (a)(ii) of this Section 1.10 shall be the exclusive means for a stockholder to make nominations. Nothing in this Section 1.10 shall be deemed to affect any rights of the holders of any series of Preferred Stock to elect directors pursuant to any applicable provisions of the Certificate of Incorporation.</w:t>
      </w:r>
    </w:p>
    <w:p>
      <w:pPr>
        <w:spacing w:after="0" w:line="28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28"/>
          </w:cols>
          <w:pgMar w:left="312" w:top="251" w:right="359" w:bottom="1440" w:gutter="0" w:footer="0" w:header="0"/>
        </w:sectPr>
      </w:pPr>
    </w:p>
    <w:bookmarkStart w:id="358" w:name="page359"/>
    <w:bookmarkEnd w:id="358"/>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1.11 </w:t>
      </w:r>
      <w:r>
        <w:rPr>
          <w:rFonts w:ascii="Times New Roman" w:cs="Times New Roman" w:eastAsia="Times New Roman" w:hAnsi="Times New Roman"/>
          <w:sz w:val="15"/>
          <w:szCs w:val="15"/>
          <w:b w:val="1"/>
          <w:bCs w:val="1"/>
          <w:color w:val="auto"/>
        </w:rPr>
        <w:t>Notice of Business at Annual Meetings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right="60" w:firstLine="1006"/>
        <w:spacing w:after="0" w:line="261" w:lineRule="auto"/>
        <w:tabs>
          <w:tab w:leader="none" w:pos="1223"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annual meeting of the stockholders, only such business shall be conducted as shall have been properly brought before the meeting. To be properly brought before an annual meeting, business must be (1) specified in the notice of meeting (or any supplement thereto) given by or at the direction of the Board, (2) otherwise properly brought before the meeting by or at the direction of the Board (or any committee thereof), or (3) properly brought before the annual meeting by a stockholder. For business to be properly brought before an annual meeting by a stockholder, (i) if such business relates to the nomination of a person for election as a director of the Corporation, the procedures in</w:t>
      </w:r>
    </w:p>
    <w:p>
      <w:pPr>
        <w:spacing w:after="0" w:line="1" w:lineRule="exact"/>
        <w:rPr>
          <w:rFonts w:ascii="Times New Roman" w:cs="Times New Roman" w:eastAsia="Times New Roman" w:hAnsi="Times New Roman"/>
          <w:sz w:val="15"/>
          <w:szCs w:val="15"/>
          <w:color w:val="auto"/>
        </w:rPr>
      </w:pPr>
    </w:p>
    <w:p>
      <w:pPr>
        <w:jc w:val="both"/>
        <w:ind w:right="14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1.10 must be complied with and (ii) if such business relates to any other matter, the business must constitute a proper matter under Delaware law for stockholder action and the stockholder must (x) have given timely notice thereof in writing to the Secretary in accordance with the procedures in Section 1.11(b), (y) be a stockholder of record on the date the stockholder gives notice provided for in Section 1.11(b) and on the record date for the determination of stockholders entitled to vote at such annual meeting and (z) be entitled to vote at such annual meeting.</w:t>
      </w:r>
    </w:p>
    <w:p>
      <w:pPr>
        <w:spacing w:after="0" w:line="154" w:lineRule="exact"/>
        <w:rPr>
          <w:rFonts w:ascii="Times New Roman" w:cs="Times New Roman" w:eastAsia="Times New Roman" w:hAnsi="Times New Roman"/>
          <w:sz w:val="15"/>
          <w:szCs w:val="15"/>
          <w:color w:val="auto"/>
        </w:rPr>
      </w:pPr>
    </w:p>
    <w:p>
      <w:pPr>
        <w:ind w:firstLine="1006"/>
        <w:spacing w:after="0" w:line="261" w:lineRule="auto"/>
        <w:tabs>
          <w:tab w:leader="none" w:pos="1231"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be timely, a stockholder’s notice must be received in writing by the Secretary at the principal executive offices of the Corporation not less than ninety (90) days nor more than one hundred and twenty (120) days prior to the first anniversary of the preceding year’s annual meeting ((except in the case of the Corporation’s first annual meeting following its initial public offering, for which such notice shall be timely if delivered in the same time period as if such meeting were for the election of directors at a special meeting governed by Section 1.10(b)));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event that the date of the annual meeting in any other year is advanced by more than thirty (30) days, or delayed by more than sixty (60) days, from the first anniversary of the preceding year’s annual meeting,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 under this Section 1.11.</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The stockholder’s notice to the Secretary shall set forth:</w:t>
      </w:r>
    </w:p>
    <w:p>
      <w:pPr>
        <w:spacing w:after="0" w:line="104" w:lineRule="exact"/>
        <w:rPr>
          <w:sz w:val="20"/>
          <w:szCs w:val="20"/>
          <w:color w:val="auto"/>
        </w:rPr>
      </w:pPr>
    </w:p>
    <w:p>
      <w:pPr>
        <w:jc w:val="both"/>
        <w:ind w:firstLine="443"/>
        <w:spacing w:after="0" w:line="275" w:lineRule="auto"/>
        <w:tabs>
          <w:tab w:leader="none" w:pos="702"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matter the stockholder proposes to bring before the annual meeting (1) a brief description of the business desired to be brought before the annual meeting, (2) the text of the proposal (including the exact text of any resolutions proposed for consideration and, in the event that such business includes a proposal to amend the Bylaws, the exact text of the proposed amendment), and (3) the reasons for conducting such business at the annual meeting, and</w:t>
      </w:r>
    </w:p>
    <w:p>
      <w:pPr>
        <w:spacing w:after="0" w:line="144" w:lineRule="exact"/>
        <w:rPr>
          <w:rFonts w:ascii="Times New Roman" w:cs="Times New Roman" w:eastAsia="Times New Roman" w:hAnsi="Times New Roman"/>
          <w:sz w:val="15"/>
          <w:szCs w:val="15"/>
          <w:color w:val="auto"/>
        </w:rPr>
      </w:pPr>
    </w:p>
    <w:p>
      <w:pPr>
        <w:ind w:right="80" w:firstLine="443"/>
        <w:spacing w:after="0" w:line="261" w:lineRule="auto"/>
        <w:tabs>
          <w:tab w:leader="none" w:pos="694" w:val="left"/>
        </w:tabs>
        <w:numPr>
          <w:ilvl w:val="0"/>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the stockholder giving the notice and the beneficial owner, if any, on whose behalf the proposal is being made (1) the name and address of such stockholder, as they appear on the Corporation’s books, of such beneficial owner and of any Stockholder Associated Person, (2) the class and series and number of shares of stock of the Corporation that are, directly or indirectly, owned, beneficially or of record, by such stockholder, such beneficial owner and any Stockholder Associated Person, (3) a description of any material interest of such stockholder, such beneficial owner or any Stockholder Associated Person and the respective affiliates and associates of, or others acting in concert with, such stockholder, such beneficial owner or any Stockholder Associated Person in such business, (4) a description of any agreement, arrangement or understanding between or among such stockholder, such beneficial owner and/or any Stockholder Associated Person and any other person or persons (including their names) in connection with the proposal of such business or who may participate in the solicitation of proxies in favor of such proposal, (5) a description of any agreement, arrangement or understanding (including any derivative or short positions, swaps, profit interests, options, warrants, convertible securities, stock appreciation or similar rights, hedging transactions, and borrowed or loaned shares) that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0"/>
          </w:cols>
          <w:pgMar w:left="320" w:top="248" w:right="339" w:bottom="1440" w:gutter="0" w:footer="0" w:header="0"/>
        </w:sectPr>
      </w:pPr>
    </w:p>
    <w:bookmarkStart w:id="359" w:name="page360"/>
    <w:bookmarkEnd w:id="359"/>
    <w:p>
      <w:pPr>
        <w:ind w:left="8"/>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has been entered into by, or on behalf of, such stockholder, such beneficial owner or any Stockholder Associated Person, the effect or intent of which is to mitigate loss to, manage risk or benefit of share price changes for, or increase or decrease the voting power of, such stockholder, such beneficial owner or any Stockholder Associated Person with respect to shares of stock of the Corporation, (6) any other information relating to such stockholder, such beneficial owner and any Stockholder Associated Person that would be required to be disclosed in a proxy statement or other filings required to be made in connection with solicitations of proxies for the business proposed pursuant to Section 14 of the Exchange Act and the rules and regulations promulgated thereunder, (7) a representation that such stockholder intends to appear in person or by proxy at the annual meeting to bring such business before the meeting and (8) a representation whether such stockholder, such beneficial owner and/or any Stockholder Associated Person intends or is part of a group which intends</w:t>
      </w:r>
    </w:p>
    <w:p>
      <w:pPr>
        <w:ind w:left="8" w:right="20" w:hanging="8"/>
        <w:spacing w:after="0" w:line="258" w:lineRule="auto"/>
        <w:tabs>
          <w:tab w:leader="none" w:pos="225"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deliver a proxy statement and/or form of proxy to holders of at least the percentage of the Corporation’s outstanding capital stock required to approve or adopt the proposal and/or (y) otherwise to solicit proxies or votes from stockholders in support of such proposal. Such information provided and statements made as required by clauses (A) and (B) above or otherwise by this Section 1.11 are hereinafter referred to as a “</w:t>
      </w:r>
      <w:r>
        <w:rPr>
          <w:rFonts w:ascii="Times New Roman" w:cs="Times New Roman" w:eastAsia="Times New Roman" w:hAnsi="Times New Roman"/>
          <w:sz w:val="15"/>
          <w:szCs w:val="15"/>
          <w:b w:val="1"/>
          <w:bCs w:val="1"/>
          <w:color w:val="auto"/>
        </w:rPr>
        <w:t>Business Solicitation Statement</w:t>
      </w:r>
      <w:r>
        <w:rPr>
          <w:rFonts w:ascii="Times New Roman" w:cs="Times New Roman" w:eastAsia="Times New Roman" w:hAnsi="Times New Roman"/>
          <w:sz w:val="15"/>
          <w:szCs w:val="15"/>
          <w:color w:val="auto"/>
        </w:rPr>
        <w:t xml:space="preserve">.” Not later than ten (10) days after the record date for determining stockholders entitled to notice of the meeting, the information required by Items (A)(3) and (B)(1)-(6) of the prior sentence shall be supplemented by the stockholder giving the notice to provide updated information as of such record date. Notwithstanding anything in these Bylaws to the contrary, no business shall be conducted at any annual meeting of stockholders except in accordance with the procedures in this Section 1.11;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stockholder proposal which complies with Rule 14a-8 of the proxy rules (or any successor provision) promulgated under the Exchange Act and is to be included in the Corporation’s proxy statement for an annual meeting of stockholders shall be deemed to comply with the notice requirements of this Section 1.11. A stockholder shall not have complied with this Section 1.11(b) if the stockholder (or beneficial owner, if any, on whose behalf the proposal is made) solicits or does not solicit, as the case may be, proxies or votes in support of such stockholder’s proposal in contravention of the representations with respect thereto required by this Section 1.11.</w:t>
      </w:r>
    </w:p>
    <w:p>
      <w:pPr>
        <w:spacing w:after="0" w:line="345" w:lineRule="exact"/>
        <w:rPr>
          <w:rFonts w:ascii="Times New Roman" w:cs="Times New Roman" w:eastAsia="Times New Roman" w:hAnsi="Times New Roman"/>
          <w:sz w:val="15"/>
          <w:szCs w:val="15"/>
          <w:color w:val="auto"/>
        </w:rPr>
      </w:pPr>
    </w:p>
    <w:p>
      <w:pPr>
        <w:ind w:left="8" w:firstLine="1006"/>
        <w:spacing w:after="0" w:line="262" w:lineRule="auto"/>
        <w:tabs>
          <w:tab w:leader="none" w:pos="1230" w:val="left"/>
        </w:tabs>
        <w:numPr>
          <w:ilvl w:val="1"/>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exception, no business shall be conducted at any annual meeting except in accordance with the provisions set forth in this Section 1.11.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chairman of any annual meeting shall have the power and duty to determine whether business was properly brought before the annual meeting in accordance with the provisions of this Section 1.11 (including the previous sentence of this Section 1.11(c)), and if the chairman should determine that business was not properly brought before the annual meeting in accordance with the provisions of this Section 1.11, the chairman shall so declare to the meeting and such business shall not be brought before the annual meeting.</w:t>
      </w:r>
    </w:p>
    <w:p>
      <w:pPr>
        <w:spacing w:after="0" w:line="157" w:lineRule="exact"/>
        <w:rPr>
          <w:rFonts w:ascii="Times New Roman" w:cs="Times New Roman" w:eastAsia="Times New Roman" w:hAnsi="Times New Roman"/>
          <w:sz w:val="15"/>
          <w:szCs w:val="15"/>
          <w:color w:val="auto"/>
        </w:rPr>
      </w:pPr>
    </w:p>
    <w:p>
      <w:pPr>
        <w:ind w:left="8" w:firstLine="1006"/>
        <w:spacing w:after="0" w:line="293" w:lineRule="auto"/>
        <w:tabs>
          <w:tab w:leader="none" w:pos="1239" w:val="left"/>
        </w:tabs>
        <w:numPr>
          <w:ilvl w:val="1"/>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required by law, nothing in this Section 1.11 shall obligate the Corporation or the Board to include in any proxy statement or other stockholder communication distributed on behalf of the Corporation or the Board information with respect to any proposal submitted by a stockholder.</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8"/>
          </w:cols>
          <w:pgMar w:left="312" w:top="252" w:right="319" w:bottom="1440" w:gutter="0" w:footer="0" w:header="0"/>
        </w:sectPr>
      </w:pPr>
    </w:p>
    <w:bookmarkStart w:id="360" w:name="page361"/>
    <w:bookmarkEnd w:id="360"/>
    <w:p>
      <w:pPr>
        <w:ind w:left="8" w:firstLine="1006"/>
        <w:spacing w:after="0" w:line="275" w:lineRule="auto"/>
        <w:tabs>
          <w:tab w:leader="none" w:pos="1230"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44" w:lineRule="exact"/>
        <w:rPr>
          <w:rFonts w:ascii="Times New Roman" w:cs="Times New Roman" w:eastAsia="Times New Roman" w:hAnsi="Times New Roman"/>
          <w:sz w:val="15"/>
          <w:szCs w:val="15"/>
          <w:color w:val="auto"/>
        </w:rPr>
      </w:pPr>
    </w:p>
    <w:p>
      <w:pPr>
        <w:ind w:left="1208" w:hanging="194"/>
        <w:spacing w:after="0"/>
        <w:tabs>
          <w:tab w:leader="none" w:pos="1208"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1.11, the terms “qualified representative of the stockholder” and “public disclosure” shall have the same meaning as in Section 1.10.</w:t>
      </w:r>
    </w:p>
    <w:p>
      <w:pPr>
        <w:spacing w:after="0" w:line="196" w:lineRule="exact"/>
        <w:rPr>
          <w:rFonts w:ascii="Times New Roman" w:cs="Times New Roman" w:eastAsia="Times New Roman" w:hAnsi="Times New Roman"/>
          <w:sz w:val="15"/>
          <w:szCs w:val="15"/>
          <w:color w:val="auto"/>
        </w:rPr>
      </w:pPr>
    </w:p>
    <w:p>
      <w:pPr>
        <w:ind w:left="8" w:firstLine="1006"/>
        <w:spacing w:after="0" w:line="262" w:lineRule="auto"/>
        <w:tabs>
          <w:tab w:leader="none" w:pos="1239" w:val="left"/>
        </w:tabs>
        <w:numPr>
          <w:ilvl w:val="0"/>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provisions of this Section 1.11, a stockholder shall also comply with all applicable requirements of the Exchange Act and the rules and regulations promulgated thereunder with respect to the matters set forth in this Section 1.11;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any references in these Bylaws to the Exchange Act or the rules and regulations promulgated thereunder are not intended to and shall not limit any requirements applicable to proposals as to any business to be considered pursuant to this Section 1.11 (including paragraph (a)(3) hereof), and compliance with paragraph (a)(3) of this Section 1.11 shall be the exclusive means for a stockholder to submit business (other than, as provided in the penultimate sentence of (b), business other than nominations brought properly under and in compliance with Rule 14a-8 of the Exchange Act, as may be amended from time to time). Nothing in this Section 1.11 shall be deemed to affect any rights of stockholders to request inclusion of proposals in the Corporation’s proxy statement pursuant to applicable rules and regulations promulgated under the Exchange Act.</w:t>
      </w:r>
    </w:p>
    <w:p>
      <w:pPr>
        <w:spacing w:after="0" w:line="15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 xml:space="preserve">1.12 </w:t>
      </w:r>
      <w:r>
        <w:rPr>
          <w:rFonts w:ascii="Times New Roman" w:cs="Times New Roman" w:eastAsia="Times New Roman" w:hAnsi="Times New Roman"/>
          <w:sz w:val="15"/>
          <w:szCs w:val="15"/>
          <w:b w:val="1"/>
          <w:bCs w:val="1"/>
          <w:color w:val="auto"/>
        </w:rPr>
        <w:t>Conduct of Meetings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left="8" w:right="40" w:firstLine="1006"/>
        <w:spacing w:after="0" w:line="268" w:lineRule="auto"/>
        <w:tabs>
          <w:tab w:leader="none" w:pos="1230" w:val="left"/>
        </w:tabs>
        <w:numPr>
          <w:ilvl w:val="1"/>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The Secretary shall act as secretary of the meeting, but in the Secretary’s absence the chairman of the meeting may appoint any person to act as secretary of the meeting.</w:t>
      </w:r>
    </w:p>
    <w:p>
      <w:pPr>
        <w:spacing w:after="0" w:line="151" w:lineRule="exact"/>
        <w:rPr>
          <w:rFonts w:ascii="Times New Roman" w:cs="Times New Roman" w:eastAsia="Times New Roman" w:hAnsi="Times New Roman"/>
          <w:sz w:val="15"/>
          <w:szCs w:val="15"/>
          <w:color w:val="auto"/>
        </w:rPr>
      </w:pPr>
    </w:p>
    <w:p>
      <w:pPr>
        <w:ind w:left="8" w:firstLine="1006"/>
        <w:spacing w:after="0" w:line="260" w:lineRule="auto"/>
        <w:tabs>
          <w:tab w:leader="none" w:pos="1239" w:val="left"/>
        </w:tabs>
        <w:numPr>
          <w:ilvl w:val="1"/>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w:t>
      </w:r>
    </w:p>
    <w:p>
      <w:pPr>
        <w:ind w:left="8" w:hanging="8"/>
        <w:spacing w:after="0" w:line="262" w:lineRule="auto"/>
        <w:tabs>
          <w:tab w:leader="none" w:pos="234"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or the chairman of the meeting, meetings of stockholders shall not be required to be held in accordance with the rules of parliamentary procedure.</w:t>
      </w:r>
    </w:p>
    <w:p>
      <w:pPr>
        <w:spacing w:after="0" w:line="154" w:lineRule="exact"/>
        <w:rPr>
          <w:rFonts w:ascii="Times New Roman" w:cs="Times New Roman" w:eastAsia="Times New Roman" w:hAnsi="Times New Roman"/>
          <w:sz w:val="15"/>
          <w:szCs w:val="15"/>
          <w:color w:val="auto"/>
        </w:rPr>
      </w:pPr>
    </w:p>
    <w:p>
      <w:pPr>
        <w:ind w:left="8" w:right="60" w:firstLine="1006"/>
        <w:spacing w:after="0" w:line="293" w:lineRule="auto"/>
        <w:tabs>
          <w:tab w:leader="none" w:pos="1230" w:val="left"/>
        </w:tabs>
        <w:numPr>
          <w:ilvl w:val="1"/>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chairman of the meeting shall announce at the meeting when the polls for each matter to be voted upon at the meeting are opened and closed. After the polls close, no ballots, proxies or votes or any revocations thereof or changes thereto may be accepted.</w:t>
      </w:r>
    </w:p>
    <w:p>
      <w:pPr>
        <w:spacing w:after="0" w:line="75"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168"/>
          </w:cols>
          <w:pgMar w:left="312" w:top="251" w:right="419" w:bottom="1440" w:gutter="0" w:footer="0" w:header="0"/>
        </w:sectPr>
      </w:pPr>
    </w:p>
    <w:bookmarkStart w:id="361" w:name="page362"/>
    <w:bookmarkEnd w:id="361"/>
    <w:p>
      <w:pPr>
        <w:ind w:firstLine="1006"/>
        <w:spacing w:after="0" w:line="262" w:lineRule="auto"/>
        <w:tabs>
          <w:tab w:leader="none" w:pos="1231"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advance of any meeting of stockholders, the Board, the Chairman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chairman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54" w:lineRule="exact"/>
        <w:rPr>
          <w:sz w:val="20"/>
          <w:szCs w:val="20"/>
          <w:color w:val="auto"/>
        </w:rPr>
      </w:pPr>
    </w:p>
    <w:p>
      <w:pPr>
        <w:ind w:firstLine="451"/>
        <w:spacing w:after="0" w:line="267"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b w:val="1"/>
          <w:bCs w:val="1"/>
          <w:color w:val="auto"/>
        </w:rPr>
        <w:t>Delivery to the Corporation</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Whenever this Article I requires one or more persons (including a record or beneficial owner of stock) to deliver a document or information to the Corporation or any officer, employee or agent thereof (including any notice, request, questionnaire, revocation, representation or other document or agreement), unless the Corporation elects otherwise and except as otherwise expressly provided in this Article I,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24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b w:val="1"/>
          <w:bCs w:val="1"/>
          <w:color w:val="auto"/>
        </w:rPr>
        <w:t>Article II</w:t>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78" w:lineRule="exact"/>
        <w:rPr>
          <w:sz w:val="20"/>
          <w:szCs w:val="20"/>
          <w:color w:val="auto"/>
        </w:rPr>
      </w:pPr>
    </w:p>
    <w:p>
      <w:pPr>
        <w:ind w:right="100" w:firstLine="451"/>
        <w:spacing w:after="0" w:line="298"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b w:val="1"/>
          <w:bCs w:val="1"/>
          <w:color w:val="auto"/>
        </w:rPr>
        <w:t>General Powers</w:t>
      </w:r>
      <w:r>
        <w:rPr>
          <w:rFonts w:ascii="Times New Roman" w:cs="Times New Roman" w:eastAsia="Times New Roman" w:hAnsi="Times New Roman"/>
          <w:sz w:val="15"/>
          <w:szCs w:val="15"/>
          <w:color w:val="auto"/>
        </w:rPr>
        <w:t>. Except as otherwise provided by the Certificate of Incorporation or the DGCL, the business and affairs of the Corporation shall be managed by or under the direction of the Board.</w:t>
      </w:r>
    </w:p>
    <w:p>
      <w:pPr>
        <w:spacing w:after="0" w:line="125" w:lineRule="exact"/>
        <w:rPr>
          <w:sz w:val="20"/>
          <w:szCs w:val="20"/>
          <w:color w:val="auto"/>
        </w:rPr>
      </w:pPr>
    </w:p>
    <w:p>
      <w:pPr>
        <w:ind w:right="180" w:firstLine="451"/>
        <w:spacing w:after="0" w:line="277"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b w:val="1"/>
          <w:bCs w:val="1"/>
          <w:color w:val="auto"/>
        </w:rPr>
        <w:t>Number, Election and Qualification</w:t>
      </w:r>
      <w:r>
        <w:rPr>
          <w:rFonts w:ascii="Times New Roman" w:cs="Times New Roman" w:eastAsia="Times New Roman" w:hAnsi="Times New Roman"/>
          <w:sz w:val="15"/>
          <w:szCs w:val="15"/>
          <w:color w:val="auto"/>
        </w:rPr>
        <w:t>. Subject to the special rights of the holders of one or more series of Preferred Stock to elect directors, the total number of directors constituting the Board shall be fixed from time to time by resolution of the majority of the Whole Board. Election of directors need not be by written ballot. Directors need not be stockholders of the Corporation.</w:t>
      </w:r>
    </w:p>
    <w:p>
      <w:pPr>
        <w:spacing w:after="0" w:line="141" w:lineRule="exact"/>
        <w:rPr>
          <w:sz w:val="20"/>
          <w:szCs w:val="20"/>
          <w:color w:val="auto"/>
        </w:rPr>
      </w:pPr>
    </w:p>
    <w:p>
      <w:pPr>
        <w:ind w:right="80" w:firstLine="451"/>
        <w:spacing w:after="0" w:line="265"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b w:val="1"/>
          <w:bCs w:val="1"/>
          <w:color w:val="auto"/>
        </w:rPr>
        <w:t>Chairman of the Board; Vice Chairman of the Board</w:t>
      </w:r>
      <w:r>
        <w:rPr>
          <w:rFonts w:ascii="Times New Roman" w:cs="Times New Roman" w:eastAsia="Times New Roman" w:hAnsi="Times New Roman"/>
          <w:sz w:val="15"/>
          <w:szCs w:val="15"/>
          <w:color w:val="auto"/>
        </w:rPr>
        <w:t>. The Board may appoint from its members a Chairman of the Board and a Vice Chairman of the Board, neither of whom need be an employee or officer of the Corporation. If the Board appoints a Chairman of the Board, such Chairman shall perform such duties and possess such powers as are assigned by the Board and, if the Chairman of the Board is also designated as the Corporation’s Chief Executive Officer, shall have the powers and duties of the Chief Executive Officer prescribed in Section 3.7 of these Bylaws. If the Board appoints a Vice Chairman of the Board, such Vice Chairman shall perform such duties and possess such powers as are assigned by the Board. Unless otherwise provided by the Board, the Chairman of the Board or, in the Chairman’s absence, the Vice Chairman of the Board, if any, shall preside at all meetings of the Board.</w:t>
      </w:r>
    </w:p>
    <w:p>
      <w:pPr>
        <w:spacing w:after="0" w:line="148" w:lineRule="exact"/>
        <w:rPr>
          <w:sz w:val="20"/>
          <w:szCs w:val="20"/>
          <w:color w:val="auto"/>
        </w:rPr>
      </w:pPr>
    </w:p>
    <w:p>
      <w:pPr>
        <w:ind w:right="100" w:firstLine="451"/>
        <w:spacing w:after="0" w:line="277"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b w:val="1"/>
          <w:bCs w:val="1"/>
          <w:color w:val="auto"/>
        </w:rPr>
        <w:t>Classes of Directors</w:t>
      </w:r>
      <w:r>
        <w:rPr>
          <w:rFonts w:ascii="Times New Roman" w:cs="Times New Roman" w:eastAsia="Times New Roman" w:hAnsi="Times New Roman"/>
          <w:sz w:val="15"/>
          <w:szCs w:val="15"/>
          <w:color w:val="auto"/>
        </w:rPr>
        <w:t>. Subject to the special rights of the holders of one or more series of Preferred Stock to elect directors, the Board shall be divided into three classes, designated: Class I, Class II and Class III. Each class shall consist, as nearly as may be possible, of one-third of the total number of directors constituting the entire Board. The Board is authorized to assign members of the Board already in office to Class I, Class II or Class III at the time such classification becomes effective. If the number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251" w:right="339" w:bottom="1440" w:gutter="0" w:footer="0" w:header="0"/>
        </w:sectPr>
      </w:pPr>
    </w:p>
    <w:bookmarkStart w:id="362" w:name="page363"/>
    <w:bookmarkEnd w:id="362"/>
    <w:p>
      <w:pPr>
        <w:ind w:right="20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shorten the term of any incumbent director or result in the removal of any such director.</w:t>
      </w:r>
    </w:p>
    <w:p>
      <w:pPr>
        <w:spacing w:after="0" w:line="141"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color w:val="auto"/>
        </w:rPr>
        <w:t xml:space="preserve">2.5 </w:t>
      </w:r>
      <w:r>
        <w:rPr>
          <w:rFonts w:ascii="Times New Roman" w:cs="Times New Roman" w:eastAsia="Times New Roman" w:hAnsi="Times New Roman"/>
          <w:sz w:val="15"/>
          <w:szCs w:val="15"/>
          <w:b w:val="1"/>
          <w:bCs w:val="1"/>
          <w:color w:val="auto"/>
        </w:rPr>
        <w:t>Terms of Office</w:t>
      </w:r>
      <w:r>
        <w:rPr>
          <w:rFonts w:ascii="Times New Roman" w:cs="Times New Roman" w:eastAsia="Times New Roman" w:hAnsi="Times New Roman"/>
          <w:sz w:val="15"/>
          <w:szCs w:val="15"/>
          <w:color w:val="auto"/>
        </w:rPr>
        <w:t xml:space="preserve">. Subject to the special rights of the holders of one or more series of Preferred Stock to elect directors, and except as set forth in the Certificate of Incorporation, each director shall serve for a term ending on the date of the third annual meeting of stockholders following the annual meeting of stockholders at which such director was elected;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term of each director shall continue until the election and qualification of his or her successor and be subject to his or her earlier death, disqualification, resignation or removal.</w:t>
      </w:r>
    </w:p>
    <w:p>
      <w:pPr>
        <w:spacing w:after="0" w:line="146" w:lineRule="exact"/>
        <w:rPr>
          <w:sz w:val="20"/>
          <w:szCs w:val="20"/>
          <w:color w:val="auto"/>
        </w:rPr>
      </w:pPr>
    </w:p>
    <w:p>
      <w:pPr>
        <w:jc w:val="both"/>
        <w:ind w:right="60" w:firstLine="451"/>
        <w:spacing w:after="0" w:line="277"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b w:val="1"/>
          <w:bCs w:val="1"/>
          <w:color w:val="auto"/>
        </w:rPr>
        <w:t>Quorum</w:t>
      </w:r>
      <w:r>
        <w:rPr>
          <w:rFonts w:ascii="Times New Roman" w:cs="Times New Roman" w:eastAsia="Times New Roman" w:hAnsi="Times New Roman"/>
          <w:sz w:val="15"/>
          <w:szCs w:val="15"/>
          <w:color w:val="auto"/>
        </w:rPr>
        <w:t>. The greater of (a) a majority of the directors at any time in office and (b) one-third of the number of directors fixed by the Board pursuant to Section 2.2 of these Bylaws shall be necessary and sufficient to constitute a quorum of the Board. If at any meeting of the Board there shall be less than a quorum, a majority of the directors present may adjourn the meeting from time to time without further notice other than announcement at the meeting, until a quorum shall be present.</w:t>
      </w:r>
    </w:p>
    <w:p>
      <w:pPr>
        <w:spacing w:after="0" w:line="141" w:lineRule="exact"/>
        <w:rPr>
          <w:sz w:val="20"/>
          <w:szCs w:val="20"/>
          <w:color w:val="auto"/>
        </w:rPr>
      </w:pPr>
    </w:p>
    <w:p>
      <w:pPr>
        <w:ind w:right="1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b w:val="1"/>
          <w:bCs w:val="1"/>
          <w:color w:val="auto"/>
        </w:rPr>
        <w:t>Action at Meeting</w:t>
      </w:r>
      <w:r>
        <w:rPr>
          <w:rFonts w:ascii="Times New Roman" w:cs="Times New Roman" w:eastAsia="Times New Roman" w:hAnsi="Times New Roman"/>
          <w:sz w:val="15"/>
          <w:szCs w:val="15"/>
          <w:color w:val="auto"/>
        </w:rPr>
        <w:t>. Every act or decision done or made by a majority of the directors present at a meeting duly held at which a quorum is present shall be regarded as the act of the Board, unless a greater number is required by law or by the Certificate of Incorporation or these Bylaws.</w:t>
      </w:r>
    </w:p>
    <w:p>
      <w:pPr>
        <w:spacing w:after="0" w:line="125" w:lineRule="exact"/>
        <w:rPr>
          <w:sz w:val="20"/>
          <w:szCs w:val="20"/>
          <w:color w:val="auto"/>
        </w:rPr>
      </w:pPr>
    </w:p>
    <w:p>
      <w:pPr>
        <w:ind w:right="1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2.8 </w:t>
      </w:r>
      <w:r>
        <w:rPr>
          <w:rFonts w:ascii="Times New Roman" w:cs="Times New Roman" w:eastAsia="Times New Roman" w:hAnsi="Times New Roman"/>
          <w:sz w:val="15"/>
          <w:szCs w:val="15"/>
          <w:b w:val="1"/>
          <w:bCs w:val="1"/>
          <w:color w:val="auto"/>
        </w:rPr>
        <w:t>Removal</w:t>
      </w:r>
      <w:r>
        <w:rPr>
          <w:rFonts w:ascii="Times New Roman" w:cs="Times New Roman" w:eastAsia="Times New Roman" w:hAnsi="Times New Roman"/>
          <w:sz w:val="15"/>
          <w:szCs w:val="15"/>
          <w:color w:val="auto"/>
        </w:rPr>
        <w:t>. Subject to the special rights of the holders of one or more series of Preferred Stock, directors of the Corporation may be removed only as expressly provided in the Certificate of Incorporation and applicable law.</w:t>
      </w:r>
    </w:p>
    <w:p>
      <w:pPr>
        <w:spacing w:after="0" w:line="125" w:lineRule="exact"/>
        <w:rPr>
          <w:sz w:val="20"/>
          <w:szCs w:val="20"/>
          <w:color w:val="auto"/>
        </w:rPr>
      </w:pPr>
    </w:p>
    <w:p>
      <w:pPr>
        <w:ind w:firstLine="451"/>
        <w:spacing w:after="0" w:line="267" w:lineRule="auto"/>
        <w:rPr>
          <w:sz w:val="20"/>
          <w:szCs w:val="20"/>
          <w:color w:val="auto"/>
        </w:rPr>
      </w:pPr>
      <w:r>
        <w:rPr>
          <w:rFonts w:ascii="Times New Roman" w:cs="Times New Roman" w:eastAsia="Times New Roman" w:hAnsi="Times New Roman"/>
          <w:sz w:val="15"/>
          <w:szCs w:val="15"/>
          <w:color w:val="auto"/>
        </w:rPr>
        <w:t xml:space="preserve">2.9 </w:t>
      </w:r>
      <w:r>
        <w:rPr>
          <w:rFonts w:ascii="Times New Roman" w:cs="Times New Roman" w:eastAsia="Times New Roman" w:hAnsi="Times New Roman"/>
          <w:sz w:val="15"/>
          <w:szCs w:val="15"/>
          <w:b w:val="1"/>
          <w:bCs w:val="1"/>
          <w:color w:val="auto"/>
        </w:rPr>
        <w:t>Vacancies</w:t>
      </w:r>
      <w:r>
        <w:rPr>
          <w:rFonts w:ascii="Times New Roman" w:cs="Times New Roman" w:eastAsia="Times New Roman" w:hAnsi="Times New Roman"/>
          <w:sz w:val="15"/>
          <w:szCs w:val="15"/>
          <w:color w:val="auto"/>
        </w:rPr>
        <w:t>. Subject to the special rights of the holders of one or more of Preferred Stock, and unless otherwise provided by the Certificate of Incorporation,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and shall not be filled by the stockholders. Any director elected to fill a vacancy not resulting from an increase in the number of directors shall hold office for the remaining term of his or her predecessor.</w:t>
      </w:r>
    </w:p>
    <w:p>
      <w:pPr>
        <w:spacing w:after="0" w:line="147" w:lineRule="exact"/>
        <w:rPr>
          <w:sz w:val="20"/>
          <w:szCs w:val="20"/>
          <w:color w:val="auto"/>
        </w:rPr>
      </w:pPr>
    </w:p>
    <w:p>
      <w:pPr>
        <w:ind w:right="420" w:firstLine="451"/>
        <w:spacing w:after="0" w:line="298" w:lineRule="auto"/>
        <w:rPr>
          <w:sz w:val="20"/>
          <w:szCs w:val="20"/>
          <w:color w:val="auto"/>
        </w:rPr>
      </w:pPr>
      <w:r>
        <w:rPr>
          <w:rFonts w:ascii="Times New Roman" w:cs="Times New Roman" w:eastAsia="Times New Roman" w:hAnsi="Times New Roman"/>
          <w:sz w:val="15"/>
          <w:szCs w:val="15"/>
          <w:color w:val="auto"/>
        </w:rPr>
        <w:t xml:space="preserve">2.10 </w:t>
      </w:r>
      <w:r>
        <w:rPr>
          <w:rFonts w:ascii="Times New Roman" w:cs="Times New Roman" w:eastAsia="Times New Roman" w:hAnsi="Times New Roman"/>
          <w:sz w:val="15"/>
          <w:szCs w:val="15"/>
          <w:b w:val="1"/>
          <w:bCs w:val="1"/>
          <w:color w:val="auto"/>
        </w:rPr>
        <w:t>Resignation</w:t>
      </w:r>
      <w:r>
        <w:rPr>
          <w:rFonts w:ascii="Times New Roman" w:cs="Times New Roman" w:eastAsia="Times New Roman" w:hAnsi="Times New Roman"/>
          <w:sz w:val="15"/>
          <w:szCs w:val="15"/>
          <w:color w:val="auto"/>
        </w:rPr>
        <w:t>. Any director may resign only by delivering a resignation in writing or by electronic transmission to the Chairman of the Board or the Chief Executive Officer. Such resignation shall be effective upon delivery unless it is specified to be effective at some later time or upon the happening of some later event.</w:t>
      </w:r>
    </w:p>
    <w:p>
      <w:pPr>
        <w:spacing w:after="0" w:line="125" w:lineRule="exact"/>
        <w:rPr>
          <w:sz w:val="20"/>
          <w:szCs w:val="20"/>
          <w:color w:val="auto"/>
        </w:rPr>
      </w:pPr>
    </w:p>
    <w:p>
      <w:pPr>
        <w:jc w:val="both"/>
        <w:ind w:firstLine="451"/>
        <w:spacing w:after="0" w:line="277" w:lineRule="auto"/>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b w:val="1"/>
          <w:bCs w:val="1"/>
          <w:color w:val="auto"/>
        </w:rPr>
        <w:t>Regular Meetings</w:t>
      </w:r>
      <w:r>
        <w:rPr>
          <w:rFonts w:ascii="Times New Roman" w:cs="Times New Roman" w:eastAsia="Times New Roman" w:hAnsi="Times New Roman"/>
          <w:sz w:val="15"/>
          <w:szCs w:val="15"/>
          <w:color w:val="auto"/>
        </w:rPr>
        <w:t xml:space="preserve">. Regular meetings of the Board may be held without notice at such time and place as shall be determined from time to time by the Board;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director who is absent when such a determination is made shall be given notice of the determination. A regular meeting of the Board may be held without notice immediately after and at the same place as the annual meeting of stockholders.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40"/>
          </w:cols>
          <w:pgMar w:left="320" w:top="252" w:right="339" w:bottom="1440" w:gutter="0" w:footer="0" w:header="0"/>
        </w:sectPr>
      </w:pPr>
    </w:p>
    <w:bookmarkStart w:id="363" w:name="page364"/>
    <w:bookmarkEnd w:id="363"/>
    <w:p>
      <w:pPr>
        <w:ind w:left="8" w:right="220" w:firstLine="451"/>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2.12 </w:t>
      </w:r>
      <w:r>
        <w:rPr>
          <w:rFonts w:ascii="Times New Roman" w:cs="Times New Roman" w:eastAsia="Times New Roman" w:hAnsi="Times New Roman"/>
          <w:sz w:val="15"/>
          <w:szCs w:val="15"/>
          <w:b w:val="1"/>
          <w:bCs w:val="1"/>
          <w:color w:val="auto"/>
        </w:rPr>
        <w:t>Special Meetings</w:t>
      </w:r>
      <w:r>
        <w:rPr>
          <w:rFonts w:ascii="Times New Roman" w:cs="Times New Roman" w:eastAsia="Times New Roman" w:hAnsi="Times New Roman"/>
          <w:sz w:val="15"/>
          <w:szCs w:val="15"/>
          <w:color w:val="auto"/>
        </w:rPr>
        <w:t>. Special meetings of the Board may be held at any time and place designated in a call by the Chairman of the Board, the Chief Executive Officer, the President, two or more directors, or by one director in the event that there is only a single director in office.</w:t>
      </w:r>
    </w:p>
    <w:p>
      <w:pPr>
        <w:spacing w:after="0" w:line="125" w:lineRule="exact"/>
        <w:rPr>
          <w:sz w:val="20"/>
          <w:szCs w:val="20"/>
          <w:color w:val="auto"/>
        </w:rPr>
      </w:pPr>
    </w:p>
    <w:p>
      <w:pPr>
        <w:ind w:left="8" w:firstLine="451"/>
        <w:spacing w:after="0" w:line="269" w:lineRule="auto"/>
        <w:rPr>
          <w:sz w:val="20"/>
          <w:szCs w:val="20"/>
          <w:color w:val="auto"/>
        </w:rPr>
      </w:pP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15"/>
          <w:szCs w:val="15"/>
          <w:b w:val="1"/>
          <w:bCs w:val="1"/>
          <w:color w:val="auto"/>
        </w:rPr>
        <w:t>Notice of Special Meetings</w:t>
      </w:r>
      <w:r>
        <w:rPr>
          <w:rFonts w:ascii="Times New Roman" w:cs="Times New Roman" w:eastAsia="Times New Roman" w:hAnsi="Times New Roman"/>
          <w:sz w:val="15"/>
          <w:szCs w:val="15"/>
          <w:color w:val="auto"/>
        </w:rPr>
        <w:t>. Notice of the date, place and time of any special meeting of the Board shall be given to each director by the Chairman of the Board, the Chief Executive Officer, the President, the Secretary or by the director(s) calling the meeting. Notice shall be duly given to each director (a) in person or by telephone at least twenty-four</w:t>
      </w:r>
    </w:p>
    <w:p>
      <w:pPr>
        <w:spacing w:after="0" w:line="1" w:lineRule="exact"/>
        <w:rPr>
          <w:sz w:val="20"/>
          <w:szCs w:val="20"/>
          <w:color w:val="auto"/>
        </w:rPr>
      </w:pPr>
    </w:p>
    <w:p>
      <w:pPr>
        <w:jc w:val="both"/>
        <w:ind w:left="8" w:right="120" w:hanging="8"/>
        <w:spacing w:after="0" w:line="262" w:lineRule="auto"/>
        <w:tabs>
          <w:tab w:leader="none" w:pos="302" w:val="left"/>
        </w:tabs>
        <w:numPr>
          <w:ilvl w:val="0"/>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hours in advance of the meeting, (b) by sending written notice by reputable overnight courier, telecopy, facsimile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home address at least seventy-two (72) hours in advance of the meeting. A notice or waiver of notice of a meeting of the Board need not specify the purposes of the meeting.</w:t>
      </w:r>
    </w:p>
    <w:p>
      <w:pPr>
        <w:spacing w:after="0" w:line="151" w:lineRule="exact"/>
        <w:rPr>
          <w:sz w:val="20"/>
          <w:szCs w:val="20"/>
          <w:color w:val="auto"/>
        </w:rPr>
      </w:pPr>
    </w:p>
    <w:p>
      <w:pPr>
        <w:ind w:left="8" w:right="80" w:firstLine="451"/>
        <w:spacing w:after="0" w:line="277" w:lineRule="auto"/>
        <w:rPr>
          <w:sz w:val="20"/>
          <w:szCs w:val="20"/>
          <w:color w:val="auto"/>
        </w:rPr>
      </w:pPr>
      <w:r>
        <w:rPr>
          <w:rFonts w:ascii="Times New Roman" w:cs="Times New Roman" w:eastAsia="Times New Roman" w:hAnsi="Times New Roman"/>
          <w:sz w:val="15"/>
          <w:szCs w:val="15"/>
          <w:color w:val="auto"/>
        </w:rPr>
        <w:t xml:space="preserve">2.14 </w:t>
      </w:r>
      <w:r>
        <w:rPr>
          <w:rFonts w:ascii="Times New Roman" w:cs="Times New Roman" w:eastAsia="Times New Roman" w:hAnsi="Times New Roman"/>
          <w:sz w:val="15"/>
          <w:szCs w:val="15"/>
          <w:b w:val="1"/>
          <w:bCs w:val="1"/>
          <w:color w:val="auto"/>
        </w:rPr>
        <w:t>Meetings by Conference Communications Equipment</w:t>
      </w:r>
      <w:r>
        <w:rPr>
          <w:rFonts w:ascii="Times New Roman" w:cs="Times New Roman" w:eastAsia="Times New Roman" w:hAnsi="Times New Roman"/>
          <w:sz w:val="15"/>
          <w:szCs w:val="15"/>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141" w:lineRule="exact"/>
        <w:rPr>
          <w:sz w:val="20"/>
          <w:szCs w:val="20"/>
          <w:color w:val="auto"/>
        </w:rPr>
      </w:pPr>
    </w:p>
    <w:p>
      <w:pPr>
        <w:ind w:left="8" w:right="20" w:firstLine="451"/>
        <w:spacing w:after="0" w:line="270" w:lineRule="auto"/>
        <w:rPr>
          <w:sz w:val="20"/>
          <w:szCs w:val="20"/>
          <w:color w:val="auto"/>
        </w:rPr>
      </w:pPr>
      <w:r>
        <w:rPr>
          <w:rFonts w:ascii="Times New Roman" w:cs="Times New Roman" w:eastAsia="Times New Roman" w:hAnsi="Times New Roman"/>
          <w:sz w:val="15"/>
          <w:szCs w:val="15"/>
          <w:color w:val="auto"/>
        </w:rPr>
        <w:t xml:space="preserve">2.15 </w:t>
      </w:r>
      <w:r>
        <w:rPr>
          <w:rFonts w:ascii="Times New Roman" w:cs="Times New Roman" w:eastAsia="Times New Roman" w:hAnsi="Times New Roman"/>
          <w:sz w:val="15"/>
          <w:szCs w:val="15"/>
          <w:b w:val="1"/>
          <w:bCs w:val="1"/>
          <w:color w:val="auto"/>
        </w:rPr>
        <w:t>Action by Consent</w:t>
      </w:r>
      <w:r>
        <w:rPr>
          <w:rFonts w:ascii="Times New Roman" w:cs="Times New Roman" w:eastAsia="Times New Roman" w:hAnsi="Times New Roman"/>
          <w:sz w:val="15"/>
          <w:szCs w:val="15"/>
          <w:color w:val="auto"/>
        </w:rPr>
        <w:t>. Any action required or permitted to be taken at any meeting of the Board or of any committee thereof may be taken without a meeting, if all members of the Board or committee, as the case may be, consent to the action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thereof. Such filing shall be in paper form if the minutes are maintained in paper form and shall be in electronic form if the minutes are maintained in electronic form.</w:t>
      </w:r>
    </w:p>
    <w:p>
      <w:pPr>
        <w:spacing w:after="0" w:line="146" w:lineRule="exact"/>
        <w:rPr>
          <w:sz w:val="20"/>
          <w:szCs w:val="20"/>
          <w:color w:val="auto"/>
        </w:rPr>
      </w:pPr>
    </w:p>
    <w:p>
      <w:pPr>
        <w:ind w:left="8" w:right="40" w:firstLine="451"/>
        <w:spacing w:after="0" w:line="260" w:lineRule="auto"/>
        <w:rPr>
          <w:sz w:val="20"/>
          <w:szCs w:val="20"/>
          <w:color w:val="auto"/>
        </w:rPr>
      </w:pPr>
      <w:r>
        <w:rPr>
          <w:rFonts w:ascii="Times New Roman" w:cs="Times New Roman" w:eastAsia="Times New Roman" w:hAnsi="Times New Roman"/>
          <w:sz w:val="15"/>
          <w:szCs w:val="15"/>
          <w:color w:val="auto"/>
        </w:rPr>
        <w:t xml:space="preserve">2.16 </w:t>
      </w:r>
      <w:r>
        <w:rPr>
          <w:rFonts w:ascii="Times New Roman" w:cs="Times New Roman" w:eastAsia="Times New Roman" w:hAnsi="Times New Roman"/>
          <w:sz w:val="15"/>
          <w:szCs w:val="15"/>
          <w:b w:val="1"/>
          <w:bCs w:val="1"/>
          <w:color w:val="auto"/>
        </w:rPr>
        <w:t>Committees</w:t>
      </w:r>
      <w:r>
        <w:rPr>
          <w:rFonts w:ascii="Times New Roman" w:cs="Times New Roman" w:eastAsia="Times New Roman" w:hAnsi="Times New Roman"/>
          <w:sz w:val="15"/>
          <w:szCs w:val="15"/>
          <w:color w:val="auto"/>
        </w:rPr>
        <w:t>. The Board may designate one or more committees, each committee to consist of one or more of the directors of the Corporation with such lawfully delegable powers and duties as the Board thereby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and subject to applicable law,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Each such committee shall keep minutes and make such reports as the Board may from time to time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Board. Except as otherwise provided in the Certificate of Incorporation, these Bylaws, or the resolution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8"/>
          </w:cols>
          <w:pgMar w:left="312" w:top="248" w:right="319" w:bottom="1440" w:gutter="0" w:footer="0" w:header="0"/>
        </w:sectPr>
      </w:pPr>
    </w:p>
    <w:bookmarkStart w:id="364" w:name="page365"/>
    <w:bookmarkEnd w:id="364"/>
    <w:p>
      <w:pPr>
        <w:ind w:right="240" w:firstLine="451"/>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2.17 </w:t>
      </w:r>
      <w:r>
        <w:rPr>
          <w:rFonts w:ascii="Times New Roman" w:cs="Times New Roman" w:eastAsia="Times New Roman" w:hAnsi="Times New Roman"/>
          <w:sz w:val="15"/>
          <w:szCs w:val="15"/>
          <w:b w:val="1"/>
          <w:bCs w:val="1"/>
          <w:color w:val="auto"/>
        </w:rPr>
        <w:t>Compensation of Directors</w:t>
      </w:r>
      <w:r>
        <w:rPr>
          <w:rFonts w:ascii="Times New Roman" w:cs="Times New Roman" w:eastAsia="Times New Roman" w:hAnsi="Times New Roman"/>
          <w:sz w:val="15"/>
          <w:szCs w:val="15"/>
          <w:color w:val="auto"/>
        </w:rPr>
        <w:t>. Directors may be paid such compensation for their services and such reimbursement for expenses of attendance at meetings as the Board may from time to time determine. No such payment shall preclude any director from serving the Corporation or any of its parent or subsidiary entities in any other capacity and receiving compensation for such service.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III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Officers</w:t>
      </w:r>
    </w:p>
    <w:p>
      <w:pPr>
        <w:spacing w:after="0" w:line="178" w:lineRule="exact"/>
        <w:rPr>
          <w:sz w:val="20"/>
          <w:szCs w:val="20"/>
          <w:color w:val="auto"/>
        </w:rPr>
      </w:pPr>
    </w:p>
    <w:p>
      <w:pPr>
        <w:ind w:firstLine="451"/>
        <w:spacing w:after="0" w:line="267"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b w:val="1"/>
          <w:bCs w:val="1"/>
          <w:color w:val="auto"/>
        </w:rPr>
        <w:t>Titles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Executive Officers</w:t>
      </w:r>
      <w:r>
        <w:rPr>
          <w:rFonts w:ascii="Times New Roman" w:cs="Times New Roman" w:eastAsia="Times New Roman" w:hAnsi="Times New Roman"/>
          <w:sz w:val="15"/>
          <w:szCs w:val="15"/>
          <w:color w:val="auto"/>
        </w:rPr>
        <w:t>” of the Corporation shall be such persons as are designated as such by the Board and shall include, but not be limited to, a Chief Executive Officer, a President and a Chief Financial Officer. Additional Executive Officers may be appointed by the Board from time to time. In addition to the Executive Officers of the Corporation described above, there may also be such “</w:t>
      </w:r>
      <w:r>
        <w:rPr>
          <w:rFonts w:ascii="Times New Roman" w:cs="Times New Roman" w:eastAsia="Times New Roman" w:hAnsi="Times New Roman"/>
          <w:sz w:val="15"/>
          <w:szCs w:val="15"/>
          <w:b w:val="1"/>
          <w:bCs w:val="1"/>
          <w:color w:val="auto"/>
        </w:rPr>
        <w:t>Non-Executive Officers</w:t>
      </w:r>
      <w:r>
        <w:rPr>
          <w:rFonts w:ascii="Times New Roman" w:cs="Times New Roman" w:eastAsia="Times New Roman" w:hAnsi="Times New Roman"/>
          <w:sz w:val="15"/>
          <w:szCs w:val="15"/>
          <w:color w:val="auto"/>
        </w:rPr>
        <w:t>” of the Corporation as may be designated and appointed from time to time by the Board or the Chief Executive Officer of the Corporation in accordance with the provisions of Section 3.2 of these Bylaws. In addition, the Secretary and Assistant Secretaries of the Corporation may be appointed by the Board from time to time.</w:t>
      </w:r>
    </w:p>
    <w:p>
      <w:pPr>
        <w:spacing w:after="0" w:line="147" w:lineRule="exact"/>
        <w:rPr>
          <w:sz w:val="20"/>
          <w:szCs w:val="20"/>
          <w:color w:val="auto"/>
        </w:rPr>
      </w:pPr>
    </w:p>
    <w:p>
      <w:pPr>
        <w:ind w:right="6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b w:val="1"/>
          <w:bCs w:val="1"/>
          <w:color w:val="auto"/>
        </w:rPr>
        <w:t>Appointment</w:t>
      </w:r>
      <w:r>
        <w:rPr>
          <w:rFonts w:ascii="Times New Roman" w:cs="Times New Roman" w:eastAsia="Times New Roman" w:hAnsi="Times New Roman"/>
          <w:sz w:val="15"/>
          <w:szCs w:val="15"/>
          <w:color w:val="auto"/>
        </w:rPr>
        <w:t>. The Executive Officers of the Corporation shall be chosen by the Board, subject to the rights, if any, of an Executive Officer under any contract of employment. Non-Executive Officers of the Corporation shall be chosen by the Board or the Chief Executive Officer of the Corporation.</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b w:val="1"/>
          <w:bCs w:val="1"/>
          <w:color w:val="auto"/>
        </w:rPr>
        <w:t>Qualification</w:t>
      </w:r>
      <w:r>
        <w:rPr>
          <w:rFonts w:ascii="Times New Roman" w:cs="Times New Roman" w:eastAsia="Times New Roman" w:hAnsi="Times New Roman"/>
          <w:sz w:val="15"/>
          <w:szCs w:val="15"/>
          <w:color w:val="auto"/>
        </w:rPr>
        <w:t>. No officer need be a stockholder. Any two or more offices may be held by the same person.</w:t>
      </w:r>
    </w:p>
    <w:p>
      <w:pPr>
        <w:spacing w:after="0" w:line="196" w:lineRule="exact"/>
        <w:rPr>
          <w:sz w:val="20"/>
          <w:szCs w:val="20"/>
          <w:color w:val="auto"/>
        </w:rPr>
      </w:pPr>
    </w:p>
    <w:p>
      <w:pPr>
        <w:ind w:right="260" w:firstLine="451"/>
        <w:spacing w:after="0" w:line="277"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b w:val="1"/>
          <w:bCs w:val="1"/>
          <w:color w:val="auto"/>
        </w:rPr>
        <w:t>Tenure</w:t>
      </w:r>
      <w:r>
        <w:rPr>
          <w:rFonts w:ascii="Times New Roman" w:cs="Times New Roman" w:eastAsia="Times New Roman" w:hAnsi="Times New Roman"/>
          <w:sz w:val="15"/>
          <w:szCs w:val="15"/>
          <w:color w:val="auto"/>
        </w:rPr>
        <w:t>. Except as otherwise provided by law, by the Certificate of Incorporation or by these Bylaws, each officer shall hold office until such officer’s successor is duly elected and qualified, unless a different term is specified in the resolution electing or appointing such officer, or until such officer’s earlier death, resignation, disqualification or removal.</w:t>
      </w:r>
    </w:p>
    <w:p>
      <w:pPr>
        <w:spacing w:after="0" w:line="141" w:lineRule="exact"/>
        <w:rPr>
          <w:sz w:val="20"/>
          <w:szCs w:val="20"/>
          <w:color w:val="auto"/>
        </w:rPr>
      </w:pPr>
    </w:p>
    <w:p>
      <w:pPr>
        <w:ind w:right="40" w:firstLine="451"/>
        <w:spacing w:after="0" w:line="267" w:lineRule="auto"/>
        <w:rPr>
          <w:sz w:val="20"/>
          <w:szCs w:val="20"/>
          <w:color w:val="auto"/>
        </w:rPr>
      </w:pPr>
      <w:r>
        <w:rPr>
          <w:rFonts w:ascii="Times New Roman" w:cs="Times New Roman" w:eastAsia="Times New Roman" w:hAnsi="Times New Roman"/>
          <w:sz w:val="15"/>
          <w:szCs w:val="15"/>
          <w:color w:val="auto"/>
        </w:rPr>
        <w:t xml:space="preserve">3.5 </w:t>
      </w:r>
      <w:r>
        <w:rPr>
          <w:rFonts w:ascii="Times New Roman" w:cs="Times New Roman" w:eastAsia="Times New Roman" w:hAnsi="Times New Roman"/>
          <w:sz w:val="15"/>
          <w:szCs w:val="15"/>
          <w:b w:val="1"/>
          <w:bCs w:val="1"/>
          <w:color w:val="auto"/>
        </w:rPr>
        <w:t>Removal; Resignation</w:t>
      </w:r>
      <w:r>
        <w:rPr>
          <w:rFonts w:ascii="Times New Roman" w:cs="Times New Roman" w:eastAsia="Times New Roman" w:hAnsi="Times New Roman"/>
          <w:sz w:val="15"/>
          <w:szCs w:val="15"/>
          <w:color w:val="auto"/>
        </w:rPr>
        <w:t>. Subject to the rights, if any, of an Executive Officer under any contract of employment, any Executive Officer may be removed, either with or without cause, at any time by the Board at any regular or special meeting of the Board. Any Non-Executive Officer may be removed, either with or without cause, at any time by the Chief Executive Officer of the Corporation or by the Executive Officer to whom such Non-Executive Officer reports. Any officer may resign only by delivering a resignation in writing or by electronic transmission to the Chief Executive Officer. Such resignation shall be effective upon receipt unless it is specified to be effective at some later time or upon the happening of some later event.</w:t>
      </w:r>
    </w:p>
    <w:p>
      <w:pPr>
        <w:spacing w:after="0" w:line="147" w:lineRule="exact"/>
        <w:rPr>
          <w:sz w:val="20"/>
          <w:szCs w:val="20"/>
          <w:color w:val="auto"/>
        </w:rPr>
      </w:pPr>
    </w:p>
    <w:p>
      <w:pPr>
        <w:ind w:right="460" w:firstLine="451"/>
        <w:spacing w:after="0" w:line="298"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b w:val="1"/>
          <w:bCs w:val="1"/>
          <w:color w:val="auto"/>
        </w:rPr>
        <w:t>Vacancies</w:t>
      </w:r>
      <w:r>
        <w:rPr>
          <w:rFonts w:ascii="Times New Roman" w:cs="Times New Roman" w:eastAsia="Times New Roman" w:hAnsi="Times New Roman"/>
          <w:sz w:val="15"/>
          <w:szCs w:val="15"/>
          <w:color w:val="auto"/>
        </w:rPr>
        <w:t>. The Board may fill any vacancy occurring in any office for any reason and may, in its discretion, leave unfilled, for such period as it may determine, any offices.</w:t>
      </w:r>
    </w:p>
    <w:p>
      <w:pPr>
        <w:spacing w:after="0" w:line="125" w:lineRule="exact"/>
        <w:rPr>
          <w:sz w:val="20"/>
          <w:szCs w:val="20"/>
          <w:color w:val="auto"/>
        </w:rPr>
      </w:pPr>
    </w:p>
    <w:p>
      <w:pPr>
        <w:ind w:right="140" w:firstLine="451"/>
        <w:spacing w:after="0" w:line="267" w:lineRule="auto"/>
        <w:rPr>
          <w:sz w:val="20"/>
          <w:szCs w:val="20"/>
          <w:color w:val="auto"/>
        </w:rPr>
      </w:pP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15"/>
          <w:szCs w:val="15"/>
          <w:b w:val="1"/>
          <w:bCs w:val="1"/>
          <w:color w:val="auto"/>
        </w:rPr>
        <w:t>President; Chief Executive Officer</w:t>
      </w:r>
      <w:r>
        <w:rPr>
          <w:rFonts w:ascii="Times New Roman" w:cs="Times New Roman" w:eastAsia="Times New Roman" w:hAnsi="Times New Roman"/>
          <w:sz w:val="15"/>
          <w:szCs w:val="15"/>
          <w:color w:val="auto"/>
        </w:rPr>
        <w:t>. Unless the Board has designated another person as the Corporation’s Chief Executive Officer, the President shall be the Chief Executive Officer of the Corporation. The Chief Executive Officer shall have general charge and supervision of the business of the Corporation subject to the direction of the Board, and shall perform all duties and have all powers that are commonly incident to the office of chief executive or that are delegated to such officer by the Board. The President shall perform such other duties and shall have such other powers as the Board or the Chief Executive Officer (if the President is not the Chief Executive Officer) may from time to time prescribe.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40"/>
          </w:cols>
          <w:pgMar w:left="320" w:top="247" w:right="339" w:bottom="1440" w:gutter="0" w:footer="0" w:header="0"/>
        </w:sectPr>
      </w:pPr>
    </w:p>
    <w:bookmarkStart w:id="365" w:name="page366"/>
    <w:bookmarkEnd w:id="365"/>
    <w:p>
      <w:pPr>
        <w:ind w:right="40" w:firstLine="451"/>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3.8 </w:t>
      </w:r>
      <w:r>
        <w:rPr>
          <w:rFonts w:ascii="Times New Roman" w:cs="Times New Roman" w:eastAsia="Times New Roman" w:hAnsi="Times New Roman"/>
          <w:sz w:val="15"/>
          <w:szCs w:val="15"/>
          <w:b w:val="1"/>
          <w:bCs w:val="1"/>
          <w:color w:val="auto"/>
        </w:rPr>
        <w:t>Chief Financial Officer</w:t>
      </w:r>
      <w:r>
        <w:rPr>
          <w:rFonts w:ascii="Times New Roman" w:cs="Times New Roman" w:eastAsia="Times New Roman" w:hAnsi="Times New Roman"/>
          <w:sz w:val="15"/>
          <w:szCs w:val="15"/>
          <w:color w:val="auto"/>
        </w:rPr>
        <w:t>. The Chief Financial Officer shall perform such duties and shall have such powers as may from time to time be assigned by the Board or the Chief Executive Officer. In addition, the Chief Financial Officer shall perform such duties and have such powers as are incident to the office, including without limitation the duty and power to keep and be responsible for all funds and securities of the Corporation, to deposit funds of the Corporation in depositories selected in accordance with these Bylaws, to disburse such funds as ordered by the Board, to make proper accounts of such funds, and to render as required by the Board statements of all such transactions and of the financial condition of the Corporation.</w:t>
      </w:r>
    </w:p>
    <w:p>
      <w:pPr>
        <w:spacing w:after="0" w:line="147" w:lineRule="exact"/>
        <w:rPr>
          <w:sz w:val="20"/>
          <w:szCs w:val="20"/>
          <w:color w:val="auto"/>
        </w:rPr>
      </w:pPr>
    </w:p>
    <w:p>
      <w:pPr>
        <w:ind w:right="80" w:firstLine="451"/>
        <w:spacing w:after="0" w:line="298"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b w:val="1"/>
          <w:bCs w:val="1"/>
          <w:color w:val="auto"/>
        </w:rPr>
        <w:t>Vice Presidents</w:t>
      </w:r>
      <w:r>
        <w:rPr>
          <w:rFonts w:ascii="Times New Roman" w:cs="Times New Roman" w:eastAsia="Times New Roman" w:hAnsi="Times New Roman"/>
          <w:sz w:val="15"/>
          <w:szCs w:val="15"/>
          <w:color w:val="auto"/>
        </w:rPr>
        <w:t>. Each Vice President shall perform such duties and possess such powers as the Board or the Chief Executive Officer may from time to time prescribe. The Board or the Chief Executive Officer may assign to any Vice President the title of Executive Vice President, Senior Vice President or any other title.</w:t>
      </w:r>
    </w:p>
    <w:p>
      <w:pPr>
        <w:spacing w:after="0" w:line="125" w:lineRule="exact"/>
        <w:rPr>
          <w:sz w:val="20"/>
          <w:szCs w:val="20"/>
          <w:color w:val="auto"/>
        </w:rPr>
      </w:pPr>
    </w:p>
    <w:p>
      <w:pPr>
        <w:ind w:right="80" w:firstLine="451"/>
        <w:spacing w:after="0" w:line="269" w:lineRule="auto"/>
        <w:rPr>
          <w:sz w:val="20"/>
          <w:szCs w:val="20"/>
          <w:color w:val="auto"/>
        </w:rPr>
      </w:pPr>
      <w:r>
        <w:rPr>
          <w:rFonts w:ascii="Times New Roman" w:cs="Times New Roman" w:eastAsia="Times New Roman" w:hAnsi="Times New Roman"/>
          <w:sz w:val="15"/>
          <w:szCs w:val="15"/>
          <w:color w:val="auto"/>
        </w:rPr>
        <w:t xml:space="preserve">3.10 </w:t>
      </w:r>
      <w:r>
        <w:rPr>
          <w:rFonts w:ascii="Times New Roman" w:cs="Times New Roman" w:eastAsia="Times New Roman" w:hAnsi="Times New Roman"/>
          <w:sz w:val="15"/>
          <w:szCs w:val="15"/>
          <w:b w:val="1"/>
          <w:bCs w:val="1"/>
          <w:color w:val="auto"/>
        </w:rPr>
        <w:t>Secretary and Assistant Secretaries</w:t>
      </w:r>
      <w:r>
        <w:rPr>
          <w:rFonts w:ascii="Times New Roman" w:cs="Times New Roman" w:eastAsia="Times New Roman" w:hAnsi="Times New Roman"/>
          <w:sz w:val="15"/>
          <w:szCs w:val="15"/>
          <w:color w:val="auto"/>
        </w:rPr>
        <w:t>. The Secretary shall perform such duties and shall have such powers as the Board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to attend all meetings of stockholders and the Board and keep a record of the proceedings, to maintain a stock ledger and prepare lists of stockholders and their addresses as required, to be custodian of corporate records and the corporate seal and to affix and attest to the same on documents.</w:t>
      </w: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Any Assistant Secretary shall perform such duties and possess such powers as the Board, the Chief Executive Officer or the Secretary may from time to time prescribe.</w:t>
      </w:r>
    </w:p>
    <w:p>
      <w:pPr>
        <w:spacing w:after="0" w:line="196" w:lineRule="exact"/>
        <w:rPr>
          <w:sz w:val="20"/>
          <w:szCs w:val="20"/>
          <w:color w:val="auto"/>
        </w:rPr>
      </w:pPr>
    </w:p>
    <w:p>
      <w:pPr>
        <w:ind w:firstLine="451"/>
        <w:spacing w:after="0" w:line="293" w:lineRule="auto"/>
        <w:rPr>
          <w:sz w:val="20"/>
          <w:szCs w:val="20"/>
          <w:color w:val="auto"/>
        </w:rPr>
      </w:pPr>
      <w:r>
        <w:rPr>
          <w:rFonts w:ascii="Times New Roman" w:cs="Times New Roman" w:eastAsia="Times New Roman" w:hAnsi="Times New Roman"/>
          <w:sz w:val="15"/>
          <w:szCs w:val="15"/>
          <w:color w:val="auto"/>
        </w:rPr>
        <w:t>In the absence of the Secretary or any Assistant Secretary at any meeting of stockholders or directors, the chairman of the meeting shall designate a temporary secretary to keep a record of the meeting.</w:t>
      </w:r>
    </w:p>
    <w:p>
      <w:pPr>
        <w:spacing w:after="0" w:line="128" w:lineRule="exact"/>
        <w:rPr>
          <w:sz w:val="20"/>
          <w:szCs w:val="20"/>
          <w:color w:val="auto"/>
        </w:rPr>
      </w:pPr>
    </w:p>
    <w:p>
      <w:pPr>
        <w:ind w:right="280" w:firstLine="451"/>
        <w:spacing w:after="0" w:line="298" w:lineRule="auto"/>
        <w:rPr>
          <w:sz w:val="20"/>
          <w:szCs w:val="20"/>
          <w:color w:val="auto"/>
        </w:rPr>
      </w:pPr>
      <w:r>
        <w:rPr>
          <w:rFonts w:ascii="Times New Roman" w:cs="Times New Roman" w:eastAsia="Times New Roman" w:hAnsi="Times New Roman"/>
          <w:sz w:val="15"/>
          <w:szCs w:val="15"/>
          <w:color w:val="auto"/>
        </w:rPr>
        <w:t xml:space="preserve">3.11 </w:t>
      </w:r>
      <w:r>
        <w:rPr>
          <w:rFonts w:ascii="Times New Roman" w:cs="Times New Roman" w:eastAsia="Times New Roman" w:hAnsi="Times New Roman"/>
          <w:sz w:val="15"/>
          <w:szCs w:val="15"/>
          <w:b w:val="1"/>
          <w:bCs w:val="1"/>
          <w:color w:val="auto"/>
        </w:rPr>
        <w:t>Salaries</w:t>
      </w:r>
      <w:r>
        <w:rPr>
          <w:rFonts w:ascii="Times New Roman" w:cs="Times New Roman" w:eastAsia="Times New Roman" w:hAnsi="Times New Roman"/>
          <w:sz w:val="15"/>
          <w:szCs w:val="15"/>
          <w:color w:val="auto"/>
        </w:rPr>
        <w:t>. Executive Officers of the Corporation shall be entitled to such salaries, compensation or reimbursement as shall be fixed or allowed from time to time by the Board or a committee thereof.</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3.12 </w:t>
      </w:r>
      <w:r>
        <w:rPr>
          <w:rFonts w:ascii="Times New Roman" w:cs="Times New Roman" w:eastAsia="Times New Roman" w:hAnsi="Times New Roman"/>
          <w:sz w:val="15"/>
          <w:szCs w:val="15"/>
          <w:b w:val="1"/>
          <w:bCs w:val="1"/>
          <w:color w:val="auto"/>
        </w:rPr>
        <w:t>Delegation of Authority</w:t>
      </w:r>
      <w:r>
        <w:rPr>
          <w:rFonts w:ascii="Times New Roman" w:cs="Times New Roman" w:eastAsia="Times New Roman" w:hAnsi="Times New Roman"/>
          <w:sz w:val="15"/>
          <w:szCs w:val="15"/>
          <w:color w:val="auto"/>
        </w:rPr>
        <w:t>. The Board may from time to time delegate the powers or duties of any officer to any other officer or agent, notwithstanding any provision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hereof.</w:t>
      </w:r>
    </w:p>
    <w:p>
      <w:pPr>
        <w:spacing w:after="0" w:line="178"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color w:val="auto"/>
        </w:rPr>
        <w:t xml:space="preserve">3.13 </w:t>
      </w:r>
      <w:r>
        <w:rPr>
          <w:rFonts w:ascii="Times New Roman" w:cs="Times New Roman" w:eastAsia="Times New Roman" w:hAnsi="Times New Roman"/>
          <w:sz w:val="15"/>
          <w:szCs w:val="15"/>
          <w:b w:val="1"/>
          <w:bCs w:val="1"/>
          <w:color w:val="auto"/>
        </w:rPr>
        <w:t>Execution of Contracts</w:t>
      </w:r>
      <w:r>
        <w:rPr>
          <w:rFonts w:ascii="Times New Roman" w:cs="Times New Roman" w:eastAsia="Times New Roman" w:hAnsi="Times New Roman"/>
          <w:sz w:val="15"/>
          <w:szCs w:val="15"/>
          <w:color w:val="auto"/>
        </w:rPr>
        <w:t>. Each Executive Officer and Non-Executive Officer of the Corporation may execute, affix the corporate seal and/or deliver, in the name and on behalf of the Corporation, deeds, mortgages, notes, bonds, contracts, agreements, powers of attorney, guarantees, settlements, releases, evidences of indebtedness, conveyances or any other document or instrument which (i) is authorized by the Board or (ii) is executed in accordance with policies adopted by the Board from time to time, except in each case where the execution, affixation of the corporate seal and/or delivery thereof shall be expressly and exclusively delegated by the Board to some other officer or agent of the Corporation.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0"/>
          </w:cols>
          <w:pgMar w:left="320" w:top="247" w:right="319" w:bottom="144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IV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Capital Stock</w:t>
      </w:r>
    </w:p>
    <w:p>
      <w:pPr>
        <w:spacing w:after="0" w:line="178" w:lineRule="exact"/>
        <w:rPr>
          <w:sz w:val="20"/>
          <w:szCs w:val="20"/>
          <w:color w:val="auto"/>
        </w:rPr>
      </w:pPr>
    </w:p>
    <w:p>
      <w:pPr>
        <w:jc w:val="both"/>
        <w:ind w:right="100" w:firstLine="451"/>
        <w:spacing w:after="0" w:line="277"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b w:val="1"/>
          <w:bCs w:val="1"/>
          <w:color w:val="auto"/>
        </w:rPr>
        <w:t>Issuance of Stock</w:t>
      </w:r>
      <w:r>
        <w:rPr>
          <w:rFonts w:ascii="Times New Roman" w:cs="Times New Roman" w:eastAsia="Times New Roman" w:hAnsi="Times New Roman"/>
          <w:sz w:val="15"/>
          <w:szCs w:val="15"/>
          <w:color w:val="auto"/>
        </w:rPr>
        <w:t>. Subject to the provisions of the Certificate of Incorporation and applicable law,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in such manner, for such lawful consideration and on such terms as the Board may determine.</w:t>
      </w:r>
    </w:p>
    <w:p>
      <w:pPr>
        <w:spacing w:after="0" w:line="141" w:lineRule="exact"/>
        <w:rPr>
          <w:sz w:val="20"/>
          <w:szCs w:val="20"/>
          <w:color w:val="auto"/>
        </w:rPr>
      </w:pPr>
    </w:p>
    <w:p>
      <w:pPr>
        <w:ind w:firstLine="451"/>
        <w:spacing w:after="0" w:line="262"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b w:val="1"/>
          <w:bCs w:val="1"/>
          <w:color w:val="auto"/>
        </w:rPr>
        <w:t>Stock Certificates; Uncertificated Shares</w:t>
      </w:r>
      <w:r>
        <w:rPr>
          <w:rFonts w:ascii="Times New Roman" w:cs="Times New Roman" w:eastAsia="Times New Roman" w:hAnsi="Times New Roman"/>
          <w:sz w:val="15"/>
          <w:szCs w:val="15"/>
          <w:color w:val="auto"/>
        </w:rPr>
        <w:t xml:space="preserve">. The shares of the Corporation shall be represented by certificates,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any two authorized officers of the Corporation (it being understood that each of the Chairman of the Board, the Vice Chairman of the Board, the Chief Executive Officer, the President, any Vice President, the Chief Financial Officer,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54" w:lineRule="exact"/>
        <w:rPr>
          <w:sz w:val="20"/>
          <w:szCs w:val="20"/>
          <w:color w:val="auto"/>
        </w:rPr>
      </w:pPr>
    </w:p>
    <w:p>
      <w:pPr>
        <w:ind w:right="100" w:firstLine="451"/>
        <w:spacing w:after="0" w:line="262"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b w:val="1"/>
          <w:bCs w:val="1"/>
          <w:color w:val="auto"/>
        </w:rPr>
        <w:t>Transfers</w:t>
      </w:r>
      <w:r>
        <w:rPr>
          <w:rFonts w:ascii="Times New Roman" w:cs="Times New Roman" w:eastAsia="Times New Roman" w:hAnsi="Times New Roman"/>
          <w:sz w:val="15"/>
          <w:szCs w:val="15"/>
          <w:color w:val="auto"/>
        </w:rPr>
        <w:t>. Shares of stock of the Corporation shall be transferable in the manner prescribed by law, the Certificate of Incorporation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54" w:lineRule="exact"/>
        <w:rPr>
          <w:sz w:val="20"/>
          <w:szCs w:val="20"/>
          <w:color w:val="auto"/>
        </w:rPr>
      </w:pPr>
    </w:p>
    <w:p>
      <w:pPr>
        <w:jc w:val="both"/>
        <w:ind w:right="120" w:firstLine="451"/>
        <w:spacing w:after="0" w:line="277"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b w:val="1"/>
          <w:bCs w:val="1"/>
          <w:color w:val="auto"/>
        </w:rPr>
        <w:t>Lost, Stolen or Destroyed Certificates</w:t>
      </w:r>
      <w:r>
        <w:rPr>
          <w:rFonts w:ascii="Times New Roman" w:cs="Times New Roman" w:eastAsia="Times New Roman" w:hAnsi="Times New Roman"/>
          <w:sz w:val="15"/>
          <w:szCs w:val="15"/>
          <w:color w:val="auto"/>
        </w:rPr>
        <w:t>. The Corporation may issue a new certificate or uncertificated shares in place of any previously issued certificate alleged to have been lost, stolen or destroyed, upon such terms and conditions as the Board may prescribe, including the presentation of reasonable evidence of such loss, theft or destruction and the giving of such indemnity and posting of such bond as the Board may require for the protection of the Corporation or any transfer agent or registrar.</w:t>
      </w:r>
    </w:p>
    <w:p>
      <w:pPr>
        <w:spacing w:after="0" w:line="141" w:lineRule="exact"/>
        <w:rPr>
          <w:sz w:val="20"/>
          <w:szCs w:val="20"/>
          <w:color w:val="auto"/>
        </w:rPr>
      </w:pPr>
    </w:p>
    <w:p>
      <w:pPr>
        <w:ind w:firstLine="451"/>
        <w:spacing w:after="0" w:line="277"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b w:val="1"/>
          <w:bCs w:val="1"/>
          <w:color w:val="auto"/>
        </w:rPr>
        <w:t>Record Date</w:t>
      </w:r>
      <w:r>
        <w:rPr>
          <w:rFonts w:ascii="Times New Roman" w:cs="Times New Roman" w:eastAsia="Times New Roman" w:hAnsi="Times New Roman"/>
          <w:sz w:val="15"/>
          <w:szCs w:val="15"/>
          <w:color w:val="auto"/>
        </w:rPr>
        <w:t>.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60"/>
          </w:cols>
          <w:pgMar w:left="320" w:top="248" w:right="319" w:bottom="1440" w:gutter="0" w:footer="0" w:header="0"/>
        </w:sectPr>
      </w:pPr>
    </w:p>
    <w:bookmarkStart w:id="367" w:name="page368"/>
    <w:bookmarkEnd w:id="367"/>
    <w:p>
      <w:pPr>
        <w:ind w:left="8"/>
        <w:spacing w:after="0" w:line="26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8" w:lineRule="exact"/>
        <w:rPr>
          <w:sz w:val="20"/>
          <w:szCs w:val="20"/>
          <w:color w:val="auto"/>
        </w:rPr>
      </w:pPr>
    </w:p>
    <w:p>
      <w:pPr>
        <w:ind w:left="8" w:right="60" w:firstLine="451"/>
        <w:spacing w:after="0" w:line="266" w:lineRule="auto"/>
        <w:rPr>
          <w:sz w:val="20"/>
          <w:szCs w:val="20"/>
          <w:color w:val="auto"/>
        </w:rPr>
      </w:pPr>
      <w:r>
        <w:rPr>
          <w:rFonts w:ascii="Times New Roman" w:cs="Times New Roman" w:eastAsia="Times New Roman" w:hAnsi="Times New Roman"/>
          <w:sz w:val="15"/>
          <w:szCs w:val="15"/>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w:t>
      </w:r>
    </w:p>
    <w:p>
      <w:pPr>
        <w:spacing w:after="0" w:line="1" w:lineRule="exact"/>
        <w:rPr>
          <w:sz w:val="20"/>
          <w:szCs w:val="20"/>
          <w:color w:val="auto"/>
        </w:rPr>
      </w:pPr>
    </w:p>
    <w:p>
      <w:pPr>
        <w:ind w:left="8" w:right="160" w:hanging="8"/>
        <w:spacing w:after="0" w:line="273" w:lineRule="auto"/>
        <w:tabs>
          <w:tab w:leader="none" w:pos="302"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prior to such action. If no such record date is fixed, the record date for determining stockholders for any such purpose shall be at the close of business on the day on which the Board adopts the resolution relating thereto.</w:t>
      </w:r>
    </w:p>
    <w:p>
      <w:pPr>
        <w:spacing w:after="0" w:line="14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b w:val="1"/>
          <w:bCs w:val="1"/>
          <w:color w:val="auto"/>
        </w:rPr>
        <w:t>Regulations</w:t>
      </w:r>
      <w:r>
        <w:rPr>
          <w:rFonts w:ascii="Times New Roman" w:cs="Times New Roman" w:eastAsia="Times New Roman" w:hAnsi="Times New Roman"/>
          <w:sz w:val="15"/>
          <w:szCs w:val="15"/>
          <w:color w:val="auto"/>
        </w:rPr>
        <w:t>. The issue and registration of shares of stock of the Corporation shall be governed by such other regulations as the Board may establish.</w:t>
      </w:r>
    </w:p>
    <w:p>
      <w:pPr>
        <w:spacing w:after="0" w:line="196" w:lineRule="exact"/>
        <w:rPr>
          <w:sz w:val="20"/>
          <w:szCs w:val="20"/>
          <w:color w:val="auto"/>
        </w:rPr>
      </w:pPr>
    </w:p>
    <w:p>
      <w:pPr>
        <w:ind w:left="8" w:right="360" w:firstLine="451"/>
        <w:spacing w:after="0" w:line="298"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b w:val="1"/>
          <w:bCs w:val="1"/>
          <w:color w:val="auto"/>
        </w:rPr>
        <w:t>Dividends</w:t>
      </w:r>
      <w:r>
        <w:rPr>
          <w:rFonts w:ascii="Times New Roman" w:cs="Times New Roman" w:eastAsia="Times New Roman" w:hAnsi="Times New Roman"/>
          <w:sz w:val="15"/>
          <w:szCs w:val="15"/>
          <w:color w:val="auto"/>
        </w:rPr>
        <w:t>. Dividends on the capital stock of the Corporation, subject to the provisions of the Certificate of Incorporation, if any, may be declared by the Board at any regular or special meeting, pursuant to law, and may be paid in cash, in property or in shares of capital stock.</w:t>
      </w:r>
    </w:p>
    <w:p>
      <w:pPr>
        <w:spacing w:after="0" w:line="30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Article V</w:t>
      </w:r>
    </w:p>
    <w:p>
      <w:pPr>
        <w:spacing w:after="0" w:line="3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General Provisions</w:t>
      </w:r>
    </w:p>
    <w:p>
      <w:pPr>
        <w:spacing w:after="0" w:line="178" w:lineRule="exact"/>
        <w:rPr>
          <w:sz w:val="20"/>
          <w:szCs w:val="20"/>
          <w:color w:val="auto"/>
        </w:rPr>
      </w:pPr>
    </w:p>
    <w:p>
      <w:pPr>
        <w:ind w:left="8" w:right="100" w:firstLine="451"/>
        <w:spacing w:after="0" w:line="298"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b w:val="1"/>
          <w:bCs w:val="1"/>
          <w:color w:val="auto"/>
        </w:rPr>
        <w:t>Fiscal Year</w:t>
      </w:r>
      <w:r>
        <w:rPr>
          <w:rFonts w:ascii="Times New Roman" w:cs="Times New Roman" w:eastAsia="Times New Roman" w:hAnsi="Times New Roman"/>
          <w:sz w:val="15"/>
          <w:szCs w:val="15"/>
          <w:color w:val="auto"/>
        </w:rPr>
        <w:t>. Except as from time to time otherwise designated by the Board, the fiscal year of the Corporation shall begin on the first day of January of each year and end on the last day of December in each year.</w:t>
      </w:r>
    </w:p>
    <w:p>
      <w:pPr>
        <w:spacing w:after="0" w:line="125"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b w:val="1"/>
          <w:bCs w:val="1"/>
          <w:color w:val="auto"/>
        </w:rPr>
        <w:t>Corporate Seal</w:t>
      </w:r>
      <w:r>
        <w:rPr>
          <w:rFonts w:ascii="Times New Roman" w:cs="Times New Roman" w:eastAsia="Times New Roman" w:hAnsi="Times New Roman"/>
          <w:sz w:val="15"/>
          <w:szCs w:val="15"/>
          <w:color w:val="auto"/>
        </w:rPr>
        <w:t>. The corporate seal shall be in such form as shall be approved by the Board.</w:t>
      </w:r>
    </w:p>
    <w:p>
      <w:pPr>
        <w:spacing w:after="0" w:line="196" w:lineRule="exact"/>
        <w:rPr>
          <w:sz w:val="20"/>
          <w:szCs w:val="20"/>
          <w:color w:val="auto"/>
        </w:rPr>
      </w:pPr>
    </w:p>
    <w:p>
      <w:pPr>
        <w:ind w:left="8" w:right="60" w:firstLine="451"/>
        <w:spacing w:after="0" w:line="267"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b w:val="1"/>
          <w:bCs w:val="1"/>
          <w:color w:val="auto"/>
        </w:rPr>
        <w:t>Waiver of Notice</w:t>
      </w:r>
      <w:r>
        <w:rPr>
          <w:rFonts w:ascii="Times New Roman" w:cs="Times New Roman" w:eastAsia="Times New Roman" w:hAnsi="Times New Roman"/>
          <w:sz w:val="15"/>
          <w:szCs w:val="15"/>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47" w:lineRule="exact"/>
        <w:rPr>
          <w:sz w:val="20"/>
          <w:szCs w:val="20"/>
          <w:color w:val="auto"/>
        </w:rPr>
      </w:pPr>
    </w:p>
    <w:p>
      <w:pPr>
        <w:ind w:left="8" w:right="60" w:firstLine="451"/>
        <w:spacing w:after="0" w:line="277" w:lineRule="auto"/>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15"/>
          <w:szCs w:val="15"/>
          <w:b w:val="1"/>
          <w:bCs w:val="1"/>
          <w:color w:val="auto"/>
        </w:rPr>
        <w:t>Voting of Securities</w:t>
      </w:r>
      <w:r>
        <w:rPr>
          <w:rFonts w:ascii="Times New Roman" w:cs="Times New Roman" w:eastAsia="Times New Roman" w:hAnsi="Times New Roman"/>
          <w:sz w:val="15"/>
          <w:szCs w:val="15"/>
          <w:color w:val="auto"/>
        </w:rPr>
        <w:t>. Except as the Board may otherwise designate, the Chief Executive Officer, the President or the Treasurer may waive notice, vote, consent, or appoint any person or persons to waive notice, vote or consent, on behalf of the Corporation, and act as, or appoint any person or persons to act as, proxy or attorney-in-fact for this Corporation (with or without power of substitution) with respect to, the securities of any other entity which may be held by this Corporation.</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8"/>
          </w:cols>
          <w:pgMar w:left="312" w:top="252" w:right="339" w:bottom="1440" w:gutter="0" w:footer="0" w:header="0"/>
        </w:sectPr>
      </w:pPr>
    </w:p>
    <w:bookmarkStart w:id="368" w:name="page369"/>
    <w:bookmarkEnd w:id="368"/>
    <w:p>
      <w:pPr>
        <w:ind w:right="640" w:firstLine="451"/>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5.5 </w:t>
      </w:r>
      <w:r>
        <w:rPr>
          <w:rFonts w:ascii="Times New Roman" w:cs="Times New Roman" w:eastAsia="Times New Roman" w:hAnsi="Times New Roman"/>
          <w:sz w:val="15"/>
          <w:szCs w:val="15"/>
          <w:b w:val="1"/>
          <w:bCs w:val="1"/>
          <w:color w:val="auto"/>
        </w:rPr>
        <w:t>Evidence of Authority</w:t>
      </w:r>
      <w:r>
        <w:rPr>
          <w:rFonts w:ascii="Times New Roman" w:cs="Times New Roman" w:eastAsia="Times New Roman" w:hAnsi="Times New Roman"/>
          <w:sz w:val="15"/>
          <w:szCs w:val="15"/>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25" w:lineRule="exact"/>
        <w:rPr>
          <w:sz w:val="20"/>
          <w:szCs w:val="20"/>
          <w:color w:val="auto"/>
        </w:rPr>
      </w:pPr>
    </w:p>
    <w:p>
      <w:pPr>
        <w:ind w:right="6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5.6 </w:t>
      </w:r>
      <w:r>
        <w:rPr>
          <w:rFonts w:ascii="Times New Roman" w:cs="Times New Roman" w:eastAsia="Times New Roman" w:hAnsi="Times New Roman"/>
          <w:sz w:val="15"/>
          <w:szCs w:val="15"/>
          <w:b w:val="1"/>
          <w:bCs w:val="1"/>
          <w:color w:val="auto"/>
        </w:rPr>
        <w:t>Certificate of Incorporation</w:t>
      </w:r>
      <w:r>
        <w:rPr>
          <w:rFonts w:ascii="Times New Roman" w:cs="Times New Roman" w:eastAsia="Times New Roman" w:hAnsi="Times New Roman"/>
          <w:sz w:val="15"/>
          <w:szCs w:val="15"/>
          <w:color w:val="auto"/>
        </w:rPr>
        <w:t>. All references in these Bylaws to the Certificate of Incorporation shall be deemed to refer to the Certificate of Incorporation of the Corporation, as amended and/or restated and in effect from time to time.</w:t>
      </w:r>
    </w:p>
    <w:p>
      <w:pPr>
        <w:spacing w:after="0" w:line="125" w:lineRule="exact"/>
        <w:rPr>
          <w:sz w:val="20"/>
          <w:szCs w:val="20"/>
          <w:color w:val="auto"/>
        </w:rPr>
      </w:pPr>
    </w:p>
    <w:p>
      <w:pPr>
        <w:ind w:right="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Any determination that any provision of these Bylaws is for any reason inapplicable, illegal or ineffective shall not affect or invalidate any other provision of these Bylaws.</w:t>
      </w:r>
    </w:p>
    <w:p>
      <w:pPr>
        <w:spacing w:after="0" w:line="125" w:lineRule="exact"/>
        <w:rPr>
          <w:sz w:val="20"/>
          <w:szCs w:val="20"/>
          <w:color w:val="auto"/>
        </w:rPr>
      </w:pPr>
    </w:p>
    <w:p>
      <w:pPr>
        <w:ind w:right="40" w:firstLine="451"/>
        <w:spacing w:after="0" w:line="298" w:lineRule="auto"/>
        <w:rPr>
          <w:sz w:val="20"/>
          <w:szCs w:val="20"/>
          <w:color w:val="auto"/>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15"/>
          <w:szCs w:val="15"/>
          <w:b w:val="1"/>
          <w:bCs w:val="1"/>
          <w:color w:val="auto"/>
        </w:rPr>
        <w:t>Pronouns</w:t>
      </w:r>
      <w:r>
        <w:rPr>
          <w:rFonts w:ascii="Times New Roman" w:cs="Times New Roman" w:eastAsia="Times New Roman" w:hAnsi="Times New Roman"/>
          <w:sz w:val="15"/>
          <w:szCs w:val="15"/>
          <w:color w:val="auto"/>
        </w:rPr>
        <w:t>. All pronouns used in these Bylaws shall be deemed to refer to the masculine, feminine or neuter, singular or plural, as the identity of the person or persons may require.</w:t>
      </w:r>
    </w:p>
    <w:p>
      <w:pPr>
        <w:spacing w:after="0" w:line="125" w:lineRule="exact"/>
        <w:rPr>
          <w:sz w:val="20"/>
          <w:szCs w:val="20"/>
          <w:color w:val="auto"/>
        </w:rPr>
      </w:pPr>
    </w:p>
    <w:p>
      <w:pPr>
        <w:ind w:right="80" w:firstLine="451"/>
        <w:spacing w:after="0" w:line="277" w:lineRule="auto"/>
        <w:rPr>
          <w:sz w:val="20"/>
          <w:szCs w:val="20"/>
          <w:color w:val="auto"/>
        </w:rPr>
      </w:pPr>
      <w:r>
        <w:rPr>
          <w:rFonts w:ascii="Times New Roman" w:cs="Times New Roman" w:eastAsia="Times New Roman" w:hAnsi="Times New Roman"/>
          <w:sz w:val="15"/>
          <w:szCs w:val="15"/>
          <w:color w:val="auto"/>
        </w:rPr>
        <w:t xml:space="preserve">5.9 </w:t>
      </w:r>
      <w:r>
        <w:rPr>
          <w:rFonts w:ascii="Times New Roman" w:cs="Times New Roman" w:eastAsia="Times New Roman" w:hAnsi="Times New Roman"/>
          <w:sz w:val="15"/>
          <w:szCs w:val="15"/>
          <w:b w:val="1"/>
          <w:bCs w:val="1"/>
          <w:color w:val="auto"/>
        </w:rPr>
        <w:t>Electronic Transmission</w:t>
      </w:r>
      <w:r>
        <w:rPr>
          <w:rFonts w:ascii="Times New Roman" w:cs="Times New Roman" w:eastAsia="Times New Roman" w:hAnsi="Times New Roman"/>
          <w:sz w:val="15"/>
          <w:szCs w:val="15"/>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VI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Amendments</w:t>
      </w:r>
    </w:p>
    <w:p>
      <w:pPr>
        <w:spacing w:after="0" w:line="182" w:lineRule="exact"/>
        <w:rPr>
          <w:sz w:val="20"/>
          <w:szCs w:val="20"/>
          <w:color w:val="auto"/>
        </w:rPr>
      </w:pPr>
    </w:p>
    <w:p>
      <w:pPr>
        <w:ind w:right="180" w:firstLine="451"/>
        <w:spacing w:after="0" w:line="293" w:lineRule="auto"/>
        <w:rPr>
          <w:sz w:val="20"/>
          <w:szCs w:val="20"/>
          <w:color w:val="auto"/>
        </w:rPr>
      </w:pPr>
      <w:r>
        <w:rPr>
          <w:rFonts w:ascii="Times New Roman" w:cs="Times New Roman" w:eastAsia="Times New Roman" w:hAnsi="Times New Roman"/>
          <w:sz w:val="15"/>
          <w:szCs w:val="15"/>
          <w:color w:val="auto"/>
        </w:rPr>
        <w:t>These Bylaws may be altered, amended or repealed, in whole or in part, or new Bylaws may be adopted by the Whole Board or by the stockholders as expressly provided in the Certificate of Incorporation.</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VII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Indemnification and Advancement</w:t>
      </w:r>
    </w:p>
    <w:p>
      <w:pPr>
        <w:spacing w:after="0" w:line="178" w:lineRule="exact"/>
        <w:rPr>
          <w:sz w:val="20"/>
          <w:szCs w:val="20"/>
          <w:color w:val="auto"/>
        </w:rPr>
      </w:pPr>
    </w:p>
    <w:p>
      <w:pPr>
        <w:ind w:firstLine="451"/>
        <w:spacing w:after="0" w:line="260"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b w:val="1"/>
          <w:bCs w:val="1"/>
          <w:color w:val="auto"/>
        </w:rPr>
        <w:t>Power to Indemnify in Actions, Suits or Proceedings other than Those by or in the Right of the Corporation</w:t>
      </w:r>
      <w:r>
        <w:rPr>
          <w:rFonts w:ascii="Times New Roman" w:cs="Times New Roman" w:eastAsia="Times New Roman" w:hAnsi="Times New Roman"/>
          <w:sz w:val="15"/>
          <w:szCs w:val="15"/>
          <w:color w:val="auto"/>
        </w:rPr>
        <w:t>. Subject to Section 7.3, the Corporation shall indemnify and hold harmless to the fullest extent permitted by applicable law as it presently exists or may hereafter be amended,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5"/>
          <w:szCs w:val="15"/>
          <w:b w:val="1"/>
          <w:bCs w:val="1"/>
          <w:color w:val="auto"/>
        </w:rPr>
        <w:t>Proceeding</w:t>
      </w:r>
      <w:r>
        <w:rPr>
          <w:rFonts w:ascii="Times New Roman" w:cs="Times New Roman" w:eastAsia="Times New Roman" w:hAnsi="Times New Roman"/>
          <w:sz w:val="15"/>
          <w:szCs w:val="15"/>
          <w:color w:val="auto"/>
        </w:rPr>
        <w:t>”) (other than an action by or in the right of the Corporation) by reason of the fact that such person is or was a director or Executive Officer of the Corporation, or, while a director or Executive Officer of the Corporation,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the defense or settlement of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or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20"/>
          </w:cols>
          <w:pgMar w:left="320" w:top="248" w:right="359" w:bottom="1440" w:gutter="0" w:footer="0" w:header="0"/>
        </w:sectPr>
      </w:pPr>
    </w:p>
    <w:bookmarkStart w:id="369" w:name="page370"/>
    <w:bookmarkEnd w:id="369"/>
    <w:p>
      <w:pPr>
        <w:ind w:firstLine="451"/>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7.2 </w:t>
      </w:r>
      <w:r>
        <w:rPr>
          <w:rFonts w:ascii="Times New Roman" w:cs="Times New Roman" w:eastAsia="Times New Roman" w:hAnsi="Times New Roman"/>
          <w:sz w:val="15"/>
          <w:szCs w:val="15"/>
          <w:b w:val="1"/>
          <w:bCs w:val="1"/>
          <w:color w:val="auto"/>
        </w:rPr>
        <w:t>Power to Indemnify in Actions, Suits or Proceedings by or in the Right of the Corporation</w:t>
      </w:r>
      <w:r>
        <w:rPr>
          <w:rFonts w:ascii="Times New Roman" w:cs="Times New Roman" w:eastAsia="Times New Roman" w:hAnsi="Times New Roman"/>
          <w:sz w:val="15"/>
          <w:szCs w:val="15"/>
          <w:color w:val="auto"/>
        </w:rPr>
        <w:t>. Subject to Section 7.3,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Executive Officer of the Corporation, or, while a director or Executive Officer of the Corporation,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56"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b w:val="1"/>
          <w:bCs w:val="1"/>
          <w:color w:val="auto"/>
        </w:rPr>
        <w:t>Authorization of Indemnification</w:t>
      </w:r>
      <w:r>
        <w:rPr>
          <w:rFonts w:ascii="Times New Roman" w:cs="Times New Roman" w:eastAsia="Times New Roman" w:hAnsi="Times New Roman"/>
          <w:sz w:val="15"/>
          <w:szCs w:val="15"/>
          <w:color w:val="auto"/>
        </w:rPr>
        <w:t>. Any indemnification under this Article VII (unless ordered by a court) shall be made by the Corporation only as authorized in the specific case upon a determination that indemnification of the director or Executive Officer is proper in the circumstances because such person has met the applicable standard of conduct set forth in Section 7.1 or Section 7.2, as the case may be. Such determination shall be made, with respect to a person who is a director or Executive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Executive Officers, by any person or persons having the authority to act on the matter on behalf of the Corporation. To the extent, however, that a present or former director or Executive Officer of the Corporation has been successful on the merits or otherwise in defense of any action, suit or proceeding set forth in Section 7.1 or Section 7.2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341"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 xml:space="preserve">7.4 </w:t>
      </w:r>
      <w:r>
        <w:rPr>
          <w:rFonts w:ascii="Times New Roman" w:cs="Times New Roman" w:eastAsia="Times New Roman" w:hAnsi="Times New Roman"/>
          <w:sz w:val="15"/>
          <w:szCs w:val="15"/>
          <w:b w:val="1"/>
          <w:bCs w:val="1"/>
          <w:color w:val="auto"/>
        </w:rPr>
        <w:t>Good Faith Defined</w:t>
      </w:r>
      <w:r>
        <w:rPr>
          <w:rFonts w:ascii="Times New Roman" w:cs="Times New Roman" w:eastAsia="Times New Roman" w:hAnsi="Times New Roman"/>
          <w:sz w:val="15"/>
          <w:szCs w:val="15"/>
          <w:color w:val="auto"/>
        </w:rPr>
        <w:t>. For purposes of any determination under Section 7.3,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good faith reliance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w:t>
      </w:r>
      <w:r>
        <w:rPr>
          <w:rFonts w:ascii="Times New Roman" w:cs="Times New Roman" w:eastAsia="Times New Roman" w:hAnsi="Times New Roman"/>
          <w:sz w:val="15"/>
          <w:szCs w:val="15"/>
          <w:b w:val="1"/>
          <w:bCs w:val="1"/>
          <w:color w:val="auto"/>
        </w:rPr>
        <w:t>another enterprise</w:t>
      </w:r>
      <w:r>
        <w:rPr>
          <w:rFonts w:ascii="Times New Roman" w:cs="Times New Roman" w:eastAsia="Times New Roman" w:hAnsi="Times New Roman"/>
          <w:sz w:val="15"/>
          <w:szCs w:val="15"/>
          <w:color w:val="auto"/>
        </w:rPr>
        <w:t>” as used in this Section 7.4 shall mean any other corporation or any partnership, joint venture, trust, employee benefit plan or other enterprise of which such person is or was serving at the request of the Corporation as a director, officer, employee or agent. The provisions of this Section 7.4 shall not be deemed to be exclusive or to limit in any way the circumstances in which a person may be deemed to have met the applicable standard of conduct set forth in Section 7.1 or 7.2, as the case may be.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20" w:top="248" w:right="339" w:bottom="1440" w:gutter="0" w:footer="0" w:header="0"/>
        </w:sectPr>
      </w:pPr>
    </w:p>
    <w:bookmarkStart w:id="370" w:name="page371"/>
    <w:bookmarkEnd w:id="370"/>
    <w:p>
      <w:pPr>
        <w:ind w:right="60" w:firstLine="451"/>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7.5 </w:t>
      </w:r>
      <w:r>
        <w:rPr>
          <w:rFonts w:ascii="Times New Roman" w:cs="Times New Roman" w:eastAsia="Times New Roman" w:hAnsi="Times New Roman"/>
          <w:sz w:val="15"/>
          <w:szCs w:val="15"/>
          <w:b w:val="1"/>
          <w:bCs w:val="1"/>
          <w:color w:val="auto"/>
        </w:rPr>
        <w:t>Right of Claimant to Bring Suit</w:t>
      </w:r>
      <w:r>
        <w:rPr>
          <w:rFonts w:ascii="Times New Roman" w:cs="Times New Roman" w:eastAsia="Times New Roman" w:hAnsi="Times New Roman"/>
          <w:sz w:val="15"/>
          <w:szCs w:val="15"/>
          <w:color w:val="auto"/>
        </w:rPr>
        <w:t>. Notwithstanding any contrary determination in the specific case under Section 7.3, and notwithstanding the absence of any determination thereunder, if a claim under Sections 7.1 or 7.2 of the Article VII is not paid in full by the Corporation within (i) ninety (90) days after a written claim for indemnification has been received by the Corporation, or (ii) thirty (30) days after a written claim for an advancement of expenses has been received by the Corporation, the claimant may at any time thereafter (but not before) bring suit against the Corporation in the Court of Chancery in the State of Delaware to recover the unpaid amount of the claim, together with interest thereon, or to obtain advancement of expenses, as applicable. It shall be a defense to any such action brought to enforce a right to indemnification (but not in an action brought to enforce a right to an advancement of expenses) that the claimant has not met the standards of conduct which make it permissible under the DGCL (or other applicable law) for the Corporation to indemnify the claimant for the amount claimed, but the burden of proving such defense shall be on the Corporation. Neither a contrary determination in the specific case under Section 7.3 nor the absence of any determination thereunder shall be a defense to such application or create a presumption that the claimant has not met any applicable standard of conduct. If successful, in whole or in part, the claimant shall also be entitled to be paid the expense of prosecuting such claim, including reasonable attorneys’ fees incurred in connection therewith, to the fullest extent permitted by applicable law.</w:t>
      </w:r>
    </w:p>
    <w:p>
      <w:pPr>
        <w:spacing w:after="0" w:line="153" w:lineRule="exact"/>
        <w:rPr>
          <w:sz w:val="20"/>
          <w:szCs w:val="20"/>
          <w:color w:val="auto"/>
        </w:rPr>
      </w:pPr>
    </w:p>
    <w:p>
      <w:pPr>
        <w:ind w:firstLine="451"/>
        <w:spacing w:after="0" w:line="270" w:lineRule="auto"/>
        <w:rPr>
          <w:sz w:val="20"/>
          <w:szCs w:val="20"/>
          <w:color w:val="auto"/>
        </w:rPr>
      </w:pPr>
      <w:r>
        <w:rPr>
          <w:rFonts w:ascii="Times New Roman" w:cs="Times New Roman" w:eastAsia="Times New Roman" w:hAnsi="Times New Roman"/>
          <w:sz w:val="15"/>
          <w:szCs w:val="15"/>
          <w:color w:val="auto"/>
        </w:rPr>
        <w:t xml:space="preserve">7.6 </w:t>
      </w:r>
      <w:r>
        <w:rPr>
          <w:rFonts w:ascii="Times New Roman" w:cs="Times New Roman" w:eastAsia="Times New Roman" w:hAnsi="Times New Roman"/>
          <w:sz w:val="15"/>
          <w:szCs w:val="15"/>
          <w:b w:val="1"/>
          <w:bCs w:val="1"/>
          <w:color w:val="auto"/>
        </w:rPr>
        <w:t>Expenses Payable in Advance</w:t>
      </w:r>
      <w:r>
        <w:rPr>
          <w:rFonts w:ascii="Times New Roman" w:cs="Times New Roman" w:eastAsia="Times New Roman" w:hAnsi="Times New Roman"/>
          <w:sz w:val="15"/>
          <w:szCs w:val="15"/>
          <w:color w:val="auto"/>
        </w:rPr>
        <w:t>. Expenses, including without limitation attorneys’ fees, incurred by a current or former director or Executive Officer in defending any civil, criminal, administrative or investigative action, suit or proceeding shall be paid by the Corporation in advance of the final disposition of such action, suit or proceeding upon receipt of an undertaking by or on behalf of such current or former director or Executive Officer to repay such amount if it shall ultimately be determined that such person is not entitled to be indemnified by the Corporation as authorized in this Article VII.</w:t>
      </w:r>
    </w:p>
    <w:p>
      <w:pPr>
        <w:spacing w:after="0" w:line="146" w:lineRule="exact"/>
        <w:rPr>
          <w:sz w:val="20"/>
          <w:szCs w:val="20"/>
          <w:color w:val="auto"/>
        </w:rPr>
      </w:pPr>
    </w:p>
    <w:p>
      <w:pPr>
        <w:ind w:right="20" w:firstLine="451"/>
        <w:spacing w:after="0" w:line="265" w:lineRule="auto"/>
        <w:rPr>
          <w:sz w:val="20"/>
          <w:szCs w:val="20"/>
          <w:color w:val="auto"/>
        </w:rPr>
      </w:pPr>
      <w:r>
        <w:rPr>
          <w:rFonts w:ascii="Times New Roman" w:cs="Times New Roman" w:eastAsia="Times New Roman" w:hAnsi="Times New Roman"/>
          <w:sz w:val="15"/>
          <w:szCs w:val="15"/>
          <w:color w:val="auto"/>
        </w:rPr>
        <w:t xml:space="preserve">7.7 </w:t>
      </w:r>
      <w:r>
        <w:rPr>
          <w:rFonts w:ascii="Times New Roman" w:cs="Times New Roman" w:eastAsia="Times New Roman" w:hAnsi="Times New Roman"/>
          <w:sz w:val="15"/>
          <w:szCs w:val="15"/>
          <w:b w:val="1"/>
          <w:bCs w:val="1"/>
          <w:color w:val="auto"/>
        </w:rPr>
        <w:t>Nonexclusivity of Indemnification and Advancement of Expenses</w:t>
      </w:r>
      <w:r>
        <w:rPr>
          <w:rFonts w:ascii="Times New Roman" w:cs="Times New Roman" w:eastAsia="Times New Roman" w:hAnsi="Times New Roman"/>
          <w:sz w:val="15"/>
          <w:szCs w:val="15"/>
          <w:color w:val="auto"/>
        </w:rPr>
        <w:t>. The rights to indemnification and advancement of expenses provided by or granted pursuant to this Article VII shall not be deemed exclusive of any other rights to which those seeking indemnification or advancement of expenses may be entitled under the Certificate of Incorporation, any agreement, vote of stockholders or disinterested directors or otherwise, both as to action in such person’s official capacity and as to action in another capacity while holding such office, it being the policy of the Corporation that, subject to Section 7.11, indemnification of the persons specified in Sections 7.1 and 7.2 shall be made to the fullest extent permitted by law. The provisions of this Article VII shall not be deemed to preclude the indemnification of any person who is not specified in Section 7.1 or 7.2 but whom the Corporation has the power or obligation to indemnify under the provisions of the DGCL, or otherwise.</w:t>
      </w:r>
    </w:p>
    <w:p>
      <w:pPr>
        <w:spacing w:after="0" w:line="148" w:lineRule="exact"/>
        <w:rPr>
          <w:sz w:val="20"/>
          <w:szCs w:val="20"/>
          <w:color w:val="auto"/>
        </w:rPr>
      </w:pPr>
    </w:p>
    <w:p>
      <w:pPr>
        <w:ind w:right="160" w:firstLine="451"/>
        <w:spacing w:after="0" w:line="270" w:lineRule="auto"/>
        <w:rPr>
          <w:sz w:val="20"/>
          <w:szCs w:val="20"/>
          <w:color w:val="auto"/>
        </w:rPr>
      </w:pPr>
      <w:r>
        <w:rPr>
          <w:rFonts w:ascii="Times New Roman" w:cs="Times New Roman" w:eastAsia="Times New Roman" w:hAnsi="Times New Roman"/>
          <w:sz w:val="15"/>
          <w:szCs w:val="15"/>
          <w:color w:val="auto"/>
        </w:rPr>
        <w:t xml:space="preserve">7.8 </w:t>
      </w:r>
      <w:r>
        <w:rPr>
          <w:rFonts w:ascii="Times New Roman" w:cs="Times New Roman" w:eastAsia="Times New Roman" w:hAnsi="Times New Roman"/>
          <w:sz w:val="15"/>
          <w:szCs w:val="15"/>
          <w:b w:val="1"/>
          <w:bCs w:val="1"/>
          <w:color w:val="auto"/>
        </w:rPr>
        <w:t>Insurance</w:t>
      </w:r>
      <w:r>
        <w:rPr>
          <w:rFonts w:ascii="Times New Roman" w:cs="Times New Roman" w:eastAsia="Times New Roman" w:hAnsi="Times New Roman"/>
          <w:sz w:val="15"/>
          <w:szCs w:val="15"/>
          <w:color w:val="auto"/>
        </w:rPr>
        <w:t>. The Corporation may purchase and maintain insurance on behalf of any person who is or was a director, Executive Officer, employee or agent of the Corporation, or is or was serving at the request of the Corporation as a director, Executive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w:t>
      </w:r>
    </w:p>
    <w:p>
      <w:pPr>
        <w:spacing w:after="0" w:line="146" w:lineRule="exact"/>
        <w:rPr>
          <w:sz w:val="20"/>
          <w:szCs w:val="20"/>
          <w:color w:val="auto"/>
        </w:rPr>
      </w:pPr>
    </w:p>
    <w:p>
      <w:pPr>
        <w:ind w:right="80" w:firstLine="451"/>
        <w:spacing w:after="0" w:line="277" w:lineRule="auto"/>
        <w:rPr>
          <w:sz w:val="20"/>
          <w:szCs w:val="20"/>
          <w:color w:val="auto"/>
        </w:rPr>
      </w:pPr>
      <w:r>
        <w:rPr>
          <w:rFonts w:ascii="Times New Roman" w:cs="Times New Roman" w:eastAsia="Times New Roman" w:hAnsi="Times New Roman"/>
          <w:sz w:val="15"/>
          <w:szCs w:val="15"/>
          <w:color w:val="auto"/>
        </w:rPr>
        <w:t xml:space="preserve">7.9 </w:t>
      </w:r>
      <w:r>
        <w:rPr>
          <w:rFonts w:ascii="Times New Roman" w:cs="Times New Roman" w:eastAsia="Times New Roman" w:hAnsi="Times New Roman"/>
          <w:sz w:val="15"/>
          <w:szCs w:val="15"/>
          <w:b w:val="1"/>
          <w:bCs w:val="1"/>
          <w:color w:val="auto"/>
        </w:rPr>
        <w:t>Certain Definitions</w:t>
      </w:r>
      <w:r>
        <w:rPr>
          <w:rFonts w:ascii="Times New Roman" w:cs="Times New Roman" w:eastAsia="Times New Roman" w:hAnsi="Times New Roman"/>
          <w:sz w:val="15"/>
          <w:szCs w:val="15"/>
          <w:color w:val="auto"/>
        </w:rPr>
        <w:t>.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40"/>
          </w:cols>
          <w:pgMar w:left="320" w:top="248" w:right="339" w:bottom="1440" w:gutter="0" w:footer="0" w:header="0"/>
        </w:sectPr>
      </w:pPr>
    </w:p>
    <w:bookmarkStart w:id="371" w:name="page372"/>
    <w:bookmarkEnd w:id="371"/>
    <w:p>
      <w:pPr>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is or was serving at the request of such constituent corporation as a director, officer, employee or agent of another corporation, partnership, joint venture, trust, employee benefit plan or other enterprise, shall stand in the same position under the provisions of this Article VII with respect to the resulting or surviving corporation as such person would have with respect to such constituent corporation if its separate existence had continued. For purposes of this Article VII, references to “fines” shall include any excise taxes assessed on a person with respect of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Any reference to an officer of the Corporation in this Article VII shall be deemed to refer exclusively to the Executive Officers, Non-Executive Officers, the Secretary and any Assistant Secretary, and any other officer appointed as such pursuant to and in accordance with Article III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340" w:lineRule="exact"/>
        <w:rPr>
          <w:sz w:val="20"/>
          <w:szCs w:val="20"/>
          <w:color w:val="auto"/>
        </w:rPr>
      </w:pPr>
    </w:p>
    <w:p>
      <w:pPr>
        <w:jc w:val="both"/>
        <w:ind w:right="240" w:firstLine="451"/>
        <w:spacing w:after="0" w:line="277" w:lineRule="auto"/>
        <w:rPr>
          <w:sz w:val="20"/>
          <w:szCs w:val="20"/>
          <w:color w:val="auto"/>
        </w:rPr>
      </w:pPr>
      <w:r>
        <w:rPr>
          <w:rFonts w:ascii="Times New Roman" w:cs="Times New Roman" w:eastAsia="Times New Roman" w:hAnsi="Times New Roman"/>
          <w:sz w:val="15"/>
          <w:szCs w:val="15"/>
          <w:color w:val="auto"/>
        </w:rPr>
        <w:t xml:space="preserve">7.10 </w:t>
      </w:r>
      <w:r>
        <w:rPr>
          <w:rFonts w:ascii="Times New Roman" w:cs="Times New Roman" w:eastAsia="Times New Roman" w:hAnsi="Times New Roman"/>
          <w:sz w:val="15"/>
          <w:szCs w:val="15"/>
          <w:b w:val="1"/>
          <w:bCs w:val="1"/>
          <w:color w:val="auto"/>
        </w:rPr>
        <w:t>Survival of Indemnification and Advancement of Expenses</w:t>
      </w:r>
      <w:r>
        <w:rPr>
          <w:rFonts w:ascii="Times New Roman" w:cs="Times New Roman" w:eastAsia="Times New Roman" w:hAnsi="Times New Roman"/>
          <w:sz w:val="15"/>
          <w:szCs w:val="15"/>
          <w:color w:val="auto"/>
        </w:rPr>
        <w:t>. The indemnification and advancement of expenses provided by, or granted pursuant to, this Article VII shall, unless otherwise provided when authorized or ratified, continue as to a person who has ceased to be a director or Executive Officer and shall inure to the benefit of the heirs, executors and administrators of such a person.</w:t>
      </w:r>
    </w:p>
    <w:p>
      <w:pPr>
        <w:spacing w:after="0" w:line="141" w:lineRule="exact"/>
        <w:rPr>
          <w:sz w:val="20"/>
          <w:szCs w:val="20"/>
          <w:color w:val="auto"/>
        </w:rPr>
      </w:pPr>
    </w:p>
    <w:p>
      <w:pPr>
        <w:ind w:right="80" w:firstLine="451"/>
        <w:spacing w:after="0" w:line="277" w:lineRule="auto"/>
        <w:rPr>
          <w:sz w:val="20"/>
          <w:szCs w:val="20"/>
          <w:color w:val="auto"/>
        </w:rPr>
      </w:pPr>
      <w:r>
        <w:rPr>
          <w:rFonts w:ascii="Times New Roman" w:cs="Times New Roman" w:eastAsia="Times New Roman" w:hAnsi="Times New Roman"/>
          <w:sz w:val="15"/>
          <w:szCs w:val="15"/>
          <w:color w:val="auto"/>
        </w:rPr>
        <w:t xml:space="preserve">7.11 </w:t>
      </w:r>
      <w:r>
        <w:rPr>
          <w:rFonts w:ascii="Times New Roman" w:cs="Times New Roman" w:eastAsia="Times New Roman" w:hAnsi="Times New Roman"/>
          <w:sz w:val="15"/>
          <w:szCs w:val="15"/>
          <w:b w:val="1"/>
          <w:bCs w:val="1"/>
          <w:color w:val="auto"/>
        </w:rPr>
        <w:t>Limitation on Indemnification</w:t>
      </w:r>
      <w:r>
        <w:rPr>
          <w:rFonts w:ascii="Times New Roman" w:cs="Times New Roman" w:eastAsia="Times New Roman" w:hAnsi="Times New Roman"/>
          <w:sz w:val="15"/>
          <w:szCs w:val="15"/>
          <w:color w:val="auto"/>
        </w:rPr>
        <w:t>. Notwithstanding anything contained in this Article VII to the contrary, except for proceedings to enforce rights to indemnification (which shall be governed by Section 7.5), the Corporation shall not be obligated to indemnify any director, officer, employee or agent in connection with an action, suit or proceeding (or part thereof):</w:t>
      </w:r>
    </w:p>
    <w:p>
      <w:pPr>
        <w:spacing w:after="0" w:line="52" w:lineRule="exact"/>
        <w:rPr>
          <w:sz w:val="20"/>
          <w:szCs w:val="20"/>
          <w:color w:val="auto"/>
        </w:rPr>
      </w:pPr>
    </w:p>
    <w:p>
      <w:pPr>
        <w:ind w:right="100" w:firstLine="1006"/>
        <w:spacing w:after="0" w:line="293" w:lineRule="auto"/>
        <w:tabs>
          <w:tab w:leader="none" w:pos="1223"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which payment has actually been made to or on behalf of such person under any statute, insurance policy, indemnity provision, vote or otherwise, except with respect to any excess beyond the amount paid;</w:t>
      </w:r>
    </w:p>
    <w:p>
      <w:pPr>
        <w:spacing w:after="0" w:line="132" w:lineRule="exact"/>
        <w:rPr>
          <w:rFonts w:ascii="Times New Roman" w:cs="Times New Roman" w:eastAsia="Times New Roman" w:hAnsi="Times New Roman"/>
          <w:sz w:val="15"/>
          <w:szCs w:val="15"/>
          <w:color w:val="auto"/>
        </w:rPr>
      </w:pPr>
    </w:p>
    <w:p>
      <w:pPr>
        <w:ind w:right="560" w:firstLine="1006"/>
        <w:spacing w:after="0" w:line="293" w:lineRule="auto"/>
        <w:tabs>
          <w:tab w:leader="none" w:pos="1231"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32" w:lineRule="exact"/>
        <w:rPr>
          <w:rFonts w:ascii="Times New Roman" w:cs="Times New Roman" w:eastAsia="Times New Roman" w:hAnsi="Times New Roman"/>
          <w:sz w:val="15"/>
          <w:szCs w:val="15"/>
          <w:color w:val="auto"/>
        </w:rPr>
      </w:pPr>
    </w:p>
    <w:p>
      <w:pPr>
        <w:ind w:firstLine="1006"/>
        <w:spacing w:after="0" w:line="275" w:lineRule="auto"/>
        <w:tabs>
          <w:tab w:leader="none" w:pos="1223"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40"/>
          </w:cols>
          <w:pgMar w:left="320" w:top="252" w:right="339" w:bottom="1440" w:gutter="0" w:footer="0" w:header="0"/>
        </w:sectPr>
      </w:pPr>
    </w:p>
    <w:bookmarkStart w:id="372" w:name="page373"/>
    <w:bookmarkEnd w:id="372"/>
    <w:p>
      <w:pPr>
        <w:ind w:right="20"/>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Sarbanes-Oxley Act of 2002 (the “</w:t>
      </w:r>
      <w:r>
        <w:rPr>
          <w:rFonts w:ascii="Times New Roman" w:cs="Times New Roman" w:eastAsia="Times New Roman" w:hAnsi="Times New Roman"/>
          <w:sz w:val="15"/>
          <w:szCs w:val="15"/>
          <w:b w:val="1"/>
          <w:bCs w:val="1"/>
          <w:color w:val="auto"/>
        </w:rPr>
        <w:t>Sarbanes-Oxley Act</w:t>
      </w:r>
      <w:r>
        <w:rPr>
          <w:rFonts w:ascii="Times New Roman" w:cs="Times New Roman" w:eastAsia="Times New Roman" w:hAnsi="Times New Roman"/>
          <w:sz w:val="15"/>
          <w:szCs w:val="15"/>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29" w:lineRule="exact"/>
        <w:rPr>
          <w:sz w:val="20"/>
          <w:szCs w:val="20"/>
          <w:color w:val="auto"/>
        </w:rPr>
      </w:pPr>
    </w:p>
    <w:p>
      <w:pPr>
        <w:ind w:right="100" w:firstLine="1006"/>
        <w:spacing w:after="0" w:line="268" w:lineRule="auto"/>
        <w:tabs>
          <w:tab w:leader="none" w:pos="1231"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initiated by such person, including any action, suit or proceeding (or part thereof) initiated by such person against the Corporation or its directors, officers, employees, agents or other indemnitees, unless (i) the Board authorized the action, suit or proceeding (or relevant part thereof) prior to its initiation, (ii) the Corporation provides the indemnification, in its sole discretion, pursuant to the powers vested in the Corporation under applicable law, (iii) otherwise required to be made under Section 7.5 or (iv) otherwise required by applicable law; or</w:t>
      </w:r>
    </w:p>
    <w:p>
      <w:pPr>
        <w:spacing w:after="0" w:line="151"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prohibited by applicable law.</w:t>
      </w:r>
    </w:p>
    <w:p>
      <w:pPr>
        <w:spacing w:after="0" w:line="192" w:lineRule="exact"/>
        <w:rPr>
          <w:sz w:val="20"/>
          <w:szCs w:val="20"/>
          <w:color w:val="auto"/>
        </w:rPr>
      </w:pPr>
    </w:p>
    <w:p>
      <w:pPr>
        <w:ind w:firstLine="451"/>
        <w:spacing w:after="0" w:line="277" w:lineRule="auto"/>
        <w:rPr>
          <w:sz w:val="20"/>
          <w:szCs w:val="20"/>
          <w:color w:val="auto"/>
        </w:rPr>
      </w:pPr>
      <w:r>
        <w:rPr>
          <w:rFonts w:ascii="Times New Roman" w:cs="Times New Roman" w:eastAsia="Times New Roman" w:hAnsi="Times New Roman"/>
          <w:sz w:val="15"/>
          <w:szCs w:val="15"/>
          <w:color w:val="auto"/>
        </w:rPr>
        <w:t xml:space="preserve">7.12 </w:t>
      </w:r>
      <w:r>
        <w:rPr>
          <w:rFonts w:ascii="Times New Roman" w:cs="Times New Roman" w:eastAsia="Times New Roman" w:hAnsi="Times New Roman"/>
          <w:sz w:val="15"/>
          <w:szCs w:val="15"/>
          <w:b w:val="1"/>
          <w:bCs w:val="1"/>
          <w:color w:val="auto"/>
        </w:rPr>
        <w:t>Contract Rights</w:t>
      </w:r>
      <w:r>
        <w:rPr>
          <w:rFonts w:ascii="Times New Roman" w:cs="Times New Roman" w:eastAsia="Times New Roman" w:hAnsi="Times New Roman"/>
          <w:sz w:val="15"/>
          <w:szCs w:val="15"/>
          <w:color w:val="auto"/>
        </w:rPr>
        <w:t>. The obligations of the Corporation under this Article VII to indemnify, and advance expenses to, a person who is or was a director or Executive Officer of the Corporation shall be considered a contract between the Corporation and such person, and no modification or repeal of any provision of this Article VII shall affect, to the detriment of such person, such obligations of the Corporation in connection with a claim based on any act or failure to act occurring before such modification or repeal.</w:t>
      </w:r>
    </w:p>
    <w:p>
      <w:pPr>
        <w:spacing w:after="0" w:line="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00"/>
          </w:cols>
          <w:pgMar w:left="320" w:top="248" w:right="379" w:bottom="1440" w:gutter="0" w:footer="0" w:header="0"/>
        </w:sectPr>
      </w:pPr>
    </w:p>
    <w:bookmarkStart w:id="373" w:name="page374"/>
    <w:bookmarkEnd w:id="373"/>
    <w:p>
      <w:pPr>
        <w:ind w:left="9420"/>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151130</wp:posOffset>
            </wp:positionV>
            <wp:extent cx="7205980" cy="4356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205980" cy="435610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374" w:name="page375"/>
    <w:bookmarkEnd w:id="374"/>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67245" cy="2159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989330</wp:posOffset>
            </wp:positionV>
            <wp:extent cx="715264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715264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TARSUS PHARMACEUTICALS, INC</w:t>
      </w:r>
    </w:p>
    <w:p>
      <w:pPr>
        <w:spacing w:after="0" w:line="8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2"/>
          <w:szCs w:val="12"/>
          <w:color w:val="auto"/>
        </w:rPr>
        <w:t>THE COMPANY WILL FURNISH WITHOUT CHARGE TO EACH SHAREHOLDER WHO SO REQUESTS, A SUMMARY OF THE POWERS, DESIGNATIONS, PREFERENCES AND RELATIVE, PARTICIPATING, OPTIONAL OR OTHER SPECIAL RIGHTS OF EACH CLASS OF STOCK OF THE COMPANY AND THE QUALIFICATIONS, LIMITATIONS OR RESTRICTIONS OF SUCH PREFERENCES AND RIGHTS, AND THE VARIATIONS IN RIGHTS, PREFERENCES AND LIMITATIONS DETERMINED FOR EACH SERIES, WHICH ARE FIXED BY THE CERTIFICATE OF INCORPORATION OF THE COMPANY, AS AMENDED, AND THE RESOLUTIONS OF THE BOARD OF DIRECTORS OF THE COMPANY, AND THE AUTHORITY OF THE BOARD OF DIRECTORS TO DETERMINE VARIATIONS FOR FUTURE SERIES. SUCH REQUEST MAY BE MADE TO THE OFFICE OF THE SECRETARY OF THE COMPANY OR TO THE TRANSFER AGENT. THE BOARD OF DIRECTORS MAY REQUIRE THE OWNER OF A LOST OR DESTROYED STOCK CERTIFICATE, OR HIS LEGAL REPRESENTATIVES, TO GIVE THE COMPANY A BOND TO INDEMNIFY IT AND ITS TRANSFER AGENTS AND REGISTRARS AGAINST ANY CLAIM THAT MAY BE MADE AGAINST THEM ON ACCOUNT OF THE ALLEGED LOSS OR DESTRUCTION OF ANY SUCH CERTIFICATE.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abbreviations, when used in the inscription on the face of this certificate, shall be construed as though they were written out in full according to applicable laws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59625" cy="10979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59625" cy="109791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104" w:lineRule="exact"/>
        <w:rPr>
          <w:sz w:val="20"/>
          <w:szCs w:val="20"/>
          <w:color w:val="auto"/>
        </w:rPr>
      </w:pPr>
    </w:p>
    <w:p>
      <w:pPr>
        <w:ind w:left="340"/>
        <w:spacing w:after="0"/>
        <w:tabs>
          <w:tab w:leader="none" w:pos="1220" w:val="left"/>
          <w:tab w:leader="none" w:pos="3980" w:val="left"/>
        </w:tabs>
        <w:rPr>
          <w:sz w:val="20"/>
          <w:szCs w:val="20"/>
          <w:color w:val="auto"/>
        </w:rPr>
      </w:pPr>
      <w:r>
        <w:rPr>
          <w:rFonts w:ascii="Times New Roman" w:cs="Times New Roman" w:eastAsia="Times New Roman" w:hAnsi="Times New Roman"/>
          <w:sz w:val="12"/>
          <w:szCs w:val="12"/>
          <w:color w:val="auto"/>
        </w:rPr>
        <w:t>TEN COM</w:t>
      </w:r>
      <w:r>
        <w:rPr>
          <w:sz w:val="20"/>
          <w:szCs w:val="20"/>
          <w:color w:val="auto"/>
        </w:rPr>
        <w:tab/>
      </w:r>
      <w:r>
        <w:rPr>
          <w:rFonts w:ascii="Times New Roman" w:cs="Times New Roman" w:eastAsia="Times New Roman" w:hAnsi="Times New Roman"/>
          <w:sz w:val="12"/>
          <w:szCs w:val="12"/>
          <w:color w:val="auto"/>
        </w:rPr>
        <w:t>- as tenants in common</w:t>
      </w:r>
      <w:r>
        <w:rPr>
          <w:sz w:val="20"/>
          <w:szCs w:val="20"/>
          <w:color w:val="auto"/>
        </w:rPr>
        <w:tab/>
      </w:r>
      <w:r>
        <w:rPr>
          <w:rFonts w:ascii="Times New Roman" w:cs="Times New Roman" w:eastAsia="Times New Roman" w:hAnsi="Times New Roman"/>
          <w:sz w:val="11"/>
          <w:szCs w:val="11"/>
          <w:color w:val="auto"/>
        </w:rPr>
        <w:t>UNIF GIFT MIN ACT -</w:t>
      </w:r>
    </w:p>
    <w:p>
      <w:pPr>
        <w:spacing w:after="0" w:line="139" w:lineRule="exact"/>
        <w:rPr>
          <w:sz w:val="20"/>
          <w:szCs w:val="20"/>
          <w:color w:val="auto"/>
        </w:rPr>
      </w:pPr>
    </w:p>
    <w:p>
      <w:pPr>
        <w:ind w:left="340"/>
        <w:spacing w:after="0"/>
        <w:tabs>
          <w:tab w:leader="none" w:pos="1220" w:val="left"/>
        </w:tabs>
        <w:rPr>
          <w:sz w:val="20"/>
          <w:szCs w:val="20"/>
          <w:color w:val="auto"/>
        </w:rPr>
      </w:pPr>
      <w:r>
        <w:rPr>
          <w:rFonts w:ascii="Times New Roman" w:cs="Times New Roman" w:eastAsia="Times New Roman" w:hAnsi="Times New Roman"/>
          <w:sz w:val="12"/>
          <w:szCs w:val="12"/>
          <w:color w:val="auto"/>
        </w:rPr>
        <w:t>TEN ENT</w:t>
      </w:r>
      <w:r>
        <w:rPr>
          <w:sz w:val="20"/>
          <w:szCs w:val="20"/>
          <w:color w:val="auto"/>
        </w:rPr>
        <w:tab/>
      </w:r>
      <w:r>
        <w:rPr>
          <w:rFonts w:ascii="Times New Roman" w:cs="Times New Roman" w:eastAsia="Times New Roman" w:hAnsi="Times New Roman"/>
          <w:sz w:val="12"/>
          <w:szCs w:val="12"/>
          <w:color w:val="auto"/>
        </w:rPr>
        <w:t>- as tenants by the entireties</w:t>
      </w:r>
    </w:p>
    <w:p>
      <w:pPr>
        <w:spacing w:after="0" w:line="139" w:lineRule="exact"/>
        <w:rPr>
          <w:sz w:val="20"/>
          <w:szCs w:val="20"/>
          <w:color w:val="auto"/>
        </w:rPr>
      </w:pPr>
    </w:p>
    <w:p>
      <w:pPr>
        <w:ind w:left="340"/>
        <w:spacing w:after="0"/>
        <w:tabs>
          <w:tab w:leader="none" w:pos="1340" w:val="left"/>
          <w:tab w:leader="none" w:pos="4120" w:val="left"/>
        </w:tabs>
        <w:rPr>
          <w:sz w:val="20"/>
          <w:szCs w:val="20"/>
          <w:color w:val="auto"/>
        </w:rPr>
      </w:pPr>
      <w:r>
        <w:rPr>
          <w:rFonts w:ascii="Times New Roman" w:cs="Times New Roman" w:eastAsia="Times New Roman" w:hAnsi="Times New Roman"/>
          <w:sz w:val="12"/>
          <w:szCs w:val="12"/>
          <w:color w:val="auto"/>
        </w:rPr>
        <w:t>JT TEN</w:t>
      </w:r>
      <w:r>
        <w:rPr>
          <w:sz w:val="20"/>
          <w:szCs w:val="20"/>
          <w:color w:val="auto"/>
        </w:rPr>
        <w:tab/>
      </w:r>
      <w:r>
        <w:rPr>
          <w:rFonts w:ascii="Times New Roman" w:cs="Times New Roman" w:eastAsia="Times New Roman" w:hAnsi="Times New Roman"/>
          <w:sz w:val="12"/>
          <w:szCs w:val="12"/>
          <w:color w:val="auto"/>
        </w:rPr>
        <w:t>- as joint tenants with right of survivorship and not</w:t>
      </w:r>
      <w:r>
        <w:rPr>
          <w:sz w:val="20"/>
          <w:szCs w:val="20"/>
          <w:color w:val="auto"/>
        </w:rPr>
        <w:tab/>
      </w:r>
      <w:r>
        <w:rPr>
          <w:rFonts w:ascii="Times New Roman" w:cs="Times New Roman" w:eastAsia="Times New Roman" w:hAnsi="Times New Roman"/>
          <w:sz w:val="12"/>
          <w:szCs w:val="12"/>
          <w:color w:val="auto"/>
        </w:rPr>
        <w:t>UNIF TRF MIN ACT -</w:t>
      </w:r>
    </w:p>
    <w:p>
      <w:pPr>
        <w:spacing w:after="0" w:line="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as tenants in common</w:t>
      </w: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Additional abbreviations may also be used though not in the above list.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Custodian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40" w:type="dxa"/>
            <w:vAlign w:val="bottom"/>
            <w:tcBorders>
              <w:top w:val="single" w:sz="8" w:color="auto"/>
            </w:tcBorders>
            <w:gridSpan w:val="2"/>
          </w:tcPr>
          <w:p>
            <w:pPr>
              <w:ind w:left="440"/>
              <w:spacing w:after="0" w:line="110" w:lineRule="exact"/>
              <w:rPr>
                <w:sz w:val="20"/>
                <w:szCs w:val="20"/>
                <w:color w:val="auto"/>
              </w:rPr>
            </w:pPr>
            <w:r>
              <w:rPr>
                <w:rFonts w:ascii="Times New Roman" w:cs="Times New Roman" w:eastAsia="Times New Roman" w:hAnsi="Times New Roman"/>
                <w:sz w:val="12"/>
                <w:szCs w:val="12"/>
                <w:color w:val="auto"/>
              </w:rPr>
              <w:t>(Cust)</w:t>
            </w:r>
          </w:p>
        </w:tc>
        <w:tc>
          <w:tcPr>
            <w:tcW w:w="880" w:type="dxa"/>
            <w:vAlign w:val="bottom"/>
            <w:gridSpan w:val="2"/>
          </w:tcPr>
          <w:p>
            <w:pPr>
              <w:spacing w:after="0"/>
              <w:rPr>
                <w:sz w:val="9"/>
                <w:szCs w:val="9"/>
                <w:color w:val="auto"/>
              </w:rPr>
            </w:pPr>
          </w:p>
        </w:tc>
        <w:tc>
          <w:tcPr>
            <w:tcW w:w="1040" w:type="dxa"/>
            <w:vAlign w:val="bottom"/>
            <w:tcBorders>
              <w:top w:val="single" w:sz="8" w:color="auto"/>
            </w:tcBorders>
            <w:gridSpan w:val="2"/>
          </w:tcPr>
          <w:p>
            <w:pPr>
              <w:spacing w:after="0"/>
              <w:rPr>
                <w:sz w:val="9"/>
                <w:szCs w:val="9"/>
                <w:color w:val="auto"/>
              </w:rPr>
            </w:pPr>
          </w:p>
        </w:tc>
        <w:tc>
          <w:tcPr>
            <w:tcW w:w="1640" w:type="dxa"/>
            <w:vAlign w:val="bottom"/>
            <w:tcBorders>
              <w:top w:val="single" w:sz="8" w:color="auto"/>
            </w:tcBorders>
            <w:gridSpan w:val="2"/>
          </w:tcPr>
          <w:p>
            <w:pPr>
              <w:jc w:val="center"/>
              <w:ind w:right="999"/>
              <w:spacing w:after="0" w:line="110" w:lineRule="exact"/>
              <w:rPr>
                <w:sz w:val="20"/>
                <w:szCs w:val="20"/>
                <w:color w:val="auto"/>
              </w:rPr>
            </w:pPr>
            <w:r>
              <w:rPr>
                <w:rFonts w:ascii="Times New Roman" w:cs="Times New Roman" w:eastAsia="Times New Roman" w:hAnsi="Times New Roman"/>
                <w:sz w:val="12"/>
                <w:szCs w:val="12"/>
                <w:color w:val="auto"/>
                <w:w w:val="99"/>
              </w:rPr>
              <w:t>(Minor)</w:t>
            </w: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4"/>
          </w:tcPr>
          <w:p>
            <w:pPr>
              <w:ind w:left="680"/>
              <w:spacing w:after="0"/>
              <w:rPr>
                <w:sz w:val="20"/>
                <w:szCs w:val="20"/>
                <w:color w:val="auto"/>
              </w:rPr>
            </w:pPr>
            <w:r>
              <w:rPr>
                <w:rFonts w:ascii="Times New Roman" w:cs="Times New Roman" w:eastAsia="Times New Roman" w:hAnsi="Times New Roman"/>
                <w:sz w:val="12"/>
                <w:szCs w:val="12"/>
                <w:color w:val="auto"/>
              </w:rPr>
              <w:t>under Uniform Gifts to Minors Act</w:t>
            </w:r>
          </w:p>
        </w:tc>
        <w:tc>
          <w:tcPr>
            <w:tcW w:w="104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auto"/>
              </w:rPr>
              <w:t>Custodian (until age</w:t>
            </w:r>
          </w:p>
        </w:tc>
        <w:tc>
          <w:tcPr>
            <w:tcW w:w="100" w:type="dxa"/>
            <w:vAlign w:val="bottom"/>
          </w:tcPr>
          <w:p>
            <w:pPr>
              <w:spacing w:after="0"/>
              <w:rPr>
                <w:sz w:val="10"/>
                <w:szCs w:val="10"/>
                <w:color w:val="auto"/>
              </w:rPr>
            </w:pPr>
          </w:p>
        </w:tc>
        <w:tc>
          <w:tcPr>
            <w:tcW w:w="1540" w:type="dxa"/>
            <w:vAlign w:val="bottom"/>
          </w:tcPr>
          <w:p>
            <w:pPr>
              <w:jc w:val="center"/>
              <w:ind w:right="1099"/>
              <w:spacing w:after="0" w:line="115" w:lineRule="exact"/>
              <w:rPr>
                <w:sz w:val="20"/>
                <w:szCs w:val="20"/>
                <w:color w:val="auto"/>
              </w:rPr>
            </w:pPr>
            <w:r>
              <w:rPr>
                <w:rFonts w:ascii="Times New Roman" w:cs="Times New Roman" w:eastAsia="Times New Roman" w:hAnsi="Times New Roman"/>
                <w:sz w:val="12"/>
                <w:szCs w:val="12"/>
                <w:color w:val="auto"/>
              </w:rPr>
              <w:t>(State)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840" w:type="dxa"/>
            <w:vAlign w:val="bottom"/>
            <w:gridSpan w:val="4"/>
          </w:tcPr>
          <w:p>
            <w:pPr>
              <w:jc w:val="right"/>
              <w:spacing w:after="0" w:line="13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8"/>
        </w:trPr>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14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gridSpan w:val="5"/>
          </w:tcPr>
          <w:p>
            <w:pPr>
              <w:ind w:left="760"/>
              <w:spacing w:after="0"/>
              <w:rPr>
                <w:sz w:val="20"/>
                <w:szCs w:val="20"/>
                <w:color w:val="auto"/>
              </w:rPr>
            </w:pPr>
            <w:r>
              <w:rPr>
                <w:rFonts w:ascii="Times New Roman" w:cs="Times New Roman" w:eastAsia="Times New Roman" w:hAnsi="Times New Roman"/>
                <w:sz w:val="12"/>
                <w:szCs w:val="12"/>
                <w:color w:val="auto"/>
              </w:rPr>
              <w:t>(Cust)</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under Uniform Transfers to Minors Act</w:t>
            </w: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(Minor)</w:t>
            </w:r>
          </w:p>
        </w:tc>
        <w:tc>
          <w:tcPr>
            <w:tcW w:w="214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(State)</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ectPr>
          <w:pgSz w:w="11900" w:h="16838" w:orient="portrait"/>
          <w:cols w:equalWidth="0" w:num="2">
            <w:col w:w="5300" w:space="40"/>
            <w:col w:w="5920"/>
          </w:cols>
          <w:pgMar w:left="320" w:top="1440" w:right="319"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12"/>
          <w:szCs w:val="12"/>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5715</wp:posOffset>
            </wp:positionV>
            <wp:extent cx="3528695" cy="2413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3528695" cy="241300"/>
                    </a:xfrm>
                    <a:prstGeom prst="rect">
                      <a:avLst/>
                    </a:prstGeom>
                    <a:noFill/>
                  </pic:spPr>
                </pic:pic>
              </a:graphicData>
            </a:graphic>
          </wp:anchor>
        </w:drawing>
      </w:r>
    </w:p>
    <w:p>
      <w:pPr>
        <w:spacing w:after="0" w:line="84"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2"/>
          <w:szCs w:val="12"/>
          <w:color w:val="auto"/>
        </w:rPr>
        <w:t>For value received,</w:t>
      </w:r>
      <w:r>
        <w:rPr>
          <w:sz w:val="20"/>
          <w:szCs w:val="20"/>
          <w:color w:val="auto"/>
        </w:rPr>
        <w:tab/>
      </w:r>
      <w:r>
        <w:rPr>
          <w:rFonts w:ascii="Times New Roman" w:cs="Times New Roman" w:eastAsia="Times New Roman" w:hAnsi="Times New Roman"/>
          <w:sz w:val="12"/>
          <w:szCs w:val="12"/>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5264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-1270</wp:posOffset>
            </wp:positionV>
            <wp:extent cx="78041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780415"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5264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379095</wp:posOffset>
            </wp:positionV>
            <wp:extent cx="715264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72782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672782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common stock represented by the within Certificate, and do hereby irrevocably constitute and appoint</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72782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672782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transfer the said stock on the books of the within-named Company with full power of substitution in the premises.</w:t>
      </w:r>
    </w:p>
    <w:p>
      <w:pPr>
        <w:sectPr>
          <w:pgSz w:w="11900" w:h="16838" w:orient="portrait"/>
          <w:cols w:equalWidth="0" w:num="1">
            <w:col w:w="11260"/>
          </w:cols>
          <w:pgMar w:left="320" w:top="1440" w:right="31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4520" w:type="dxa"/>
            <w:vAlign w:val="bottom"/>
            <w:tcBorders>
              <w:bottom w:val="single" w:sz="8" w:color="auto"/>
            </w:tcBorders>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600" w:type="dxa"/>
            <w:vAlign w:val="bottom"/>
            <w:tcBorders>
              <w:bottom w:val="single" w:sz="8" w:color="auto"/>
            </w:tcBorders>
          </w:tcPr>
          <w:p>
            <w:pPr>
              <w:spacing w:after="0"/>
              <w:rPr>
                <w:sz w:val="12"/>
                <w:szCs w:val="12"/>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358013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3580130" cy="762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wp:posOffset>
            </wp:positionV>
            <wp:extent cx="358013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3580130" cy="7620"/>
                    </a:xfrm>
                    <a:prstGeom prst="rect">
                      <a:avLst/>
                    </a:prstGeom>
                    <a:noFill/>
                  </pic:spPr>
                </pic:pic>
              </a:graphicData>
            </a:graphic>
          </wp:anchor>
        </w:drawing>
      </w:r>
    </w:p>
    <w:p>
      <w:pPr>
        <w:spacing w:after="0" w:line="2" w:lineRule="exact"/>
        <w:rPr>
          <w:sz w:val="20"/>
          <w:szCs w:val="20"/>
          <w:color w:val="auto"/>
        </w:rPr>
      </w:pPr>
    </w:p>
    <w:p>
      <w:pPr>
        <w:ind w:left="1200" w:hanging="405"/>
        <w:spacing w:after="0" w:line="241" w:lineRule="auto"/>
        <w:rPr>
          <w:sz w:val="20"/>
          <w:szCs w:val="20"/>
          <w:color w:val="auto"/>
        </w:rPr>
      </w:pPr>
      <w:r>
        <w:rPr>
          <w:rFonts w:ascii="Times New Roman" w:cs="Times New Roman" w:eastAsia="Times New Roman" w:hAnsi="Times New Roman"/>
          <w:sz w:val="12"/>
          <w:szCs w:val="12"/>
          <w:color w:val="auto"/>
        </w:rPr>
        <w:t>Notice: 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b w:val="1"/>
          <w:bCs w:val="1"/>
          <w:color w:val="auto"/>
        </w:rPr>
        <w:t>Signature(s) Guaranteed: Medallion Guarantee 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-80645</wp:posOffset>
            </wp:positionV>
            <wp:extent cx="2927985" cy="9518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2927985" cy="951865"/>
                    </a:xfrm>
                    <a:prstGeom prst="rect">
                      <a:avLst/>
                    </a:prstGeom>
                    <a:noFill/>
                  </pic:spPr>
                </pic:pic>
              </a:graphicData>
            </a:graphic>
          </wp:anchor>
        </w:drawing>
      </w:r>
    </w:p>
    <w:p>
      <w:pPr>
        <w:ind w:right="240"/>
        <w:spacing w:after="0" w:line="228" w:lineRule="auto"/>
        <w:rPr>
          <w:sz w:val="20"/>
          <w:szCs w:val="20"/>
          <w:color w:val="auto"/>
        </w:rPr>
      </w:pPr>
      <w:r>
        <w:rPr>
          <w:rFonts w:ascii="Times New Roman" w:cs="Times New Roman" w:eastAsia="Times New Roman" w:hAnsi="Times New Roman"/>
          <w:sz w:val="12"/>
          <w:szCs w:val="12"/>
          <w:color w:val="auto"/>
        </w:rPr>
        <w:t>THE SIGNATURE(S) SHOULD BE GUARANTEED BY AN ELIGIBLE GUARANTOR INSTITUTION (Banks, Stockbrokers, Savings and Loan Associations and Credit Unions) WITH MEMBERSHIP IN AN APPROVED SIGNATURE GUARANTEE MEDALLION PROGRAM, PURSUANT TO S.E.C. RULE 17Ad-15.</w:t>
      </w:r>
    </w:p>
    <w:p>
      <w:pPr>
        <w:sectPr>
          <w:pgSz w:w="11900" w:h="16838" w:orient="portrait"/>
          <w:cols w:equalWidth="0" w:num="2">
            <w:col w:w="6420" w:space="340"/>
            <w:col w:w="4500"/>
          </w:cols>
          <w:pgMar w:left="320" w:top="1440" w:right="319" w:bottom="1440" w:gutter="0" w:footer="0" w:header="0"/>
          <w:type w:val="continuous"/>
        </w:sectPr>
      </w:pPr>
    </w:p>
    <w:bookmarkStart w:id="375" w:name="page376"/>
    <w:bookmarkEnd w:id="37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-73025</wp:posOffset>
            </wp:positionV>
            <wp:extent cx="644525" cy="5854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644525" cy="585470"/>
                    </a:xfrm>
                    <a:prstGeom prst="rect">
                      <a:avLst/>
                    </a:prstGeom>
                    <a:noFill/>
                  </pic:spPr>
                </pic:pic>
              </a:graphicData>
            </a:graphic>
          </wp:anchor>
        </w:drawing>
      </w:r>
    </w:p>
    <w:p>
      <w:pPr>
        <w:spacing w:after="0" w:line="75" w:lineRule="exact"/>
        <w:rPr>
          <w:sz w:val="20"/>
          <w:szCs w:val="20"/>
          <w:color w:val="auto"/>
        </w:rPr>
      </w:pPr>
    </w:p>
    <w:p>
      <w:pPr>
        <w:ind w:right="900"/>
        <w:spacing w:after="0" w:line="257" w:lineRule="auto"/>
        <w:rPr>
          <w:sz w:val="20"/>
          <w:szCs w:val="20"/>
          <w:color w:val="auto"/>
        </w:rPr>
      </w:pPr>
      <w:r>
        <w:rPr>
          <w:rFonts w:ascii="Times New Roman" w:cs="Times New Roman" w:eastAsia="Times New Roman" w:hAnsi="Times New Roman"/>
          <w:sz w:val="12"/>
          <w:szCs w:val="12"/>
          <w:color w:val="auto"/>
        </w:rPr>
        <w:t>THIS IS WATERMARKED PAPER, DO NOT ACCEPT WITHOUT NOTING WATERMARK. HOLD TO LIGHT TO VERIFY WATERMARK.</w:t>
      </w:r>
    </w:p>
    <w:p>
      <w:pPr>
        <w:spacing w:after="0" w:line="20" w:lineRule="exact"/>
        <w:rPr>
          <w:sz w:val="20"/>
          <w:szCs w:val="20"/>
          <w:color w:val="auto"/>
        </w:rPr>
      </w:pPr>
      <w:r>
        <w:rPr>
          <w:sz w:val="20"/>
          <w:szCs w:val="20"/>
          <w:color w:val="auto"/>
        </w:rPr>
        <w:br w:type="column"/>
      </w:r>
    </w:p>
    <w:p>
      <w:pPr>
        <w:ind w:right="40"/>
        <w:spacing w:after="0" w:line="230" w:lineRule="auto"/>
        <w:rPr>
          <w:sz w:val="20"/>
          <w:szCs w:val="20"/>
          <w:color w:val="auto"/>
        </w:rPr>
      </w:pPr>
      <w:r>
        <w:rPr>
          <w:rFonts w:ascii="Times New Roman" w:cs="Times New Roman" w:eastAsia="Times New Roman" w:hAnsi="Times New Roman"/>
          <w:sz w:val="12"/>
          <w:szCs w:val="12"/>
          <w:color w:val="auto"/>
        </w:rPr>
        <w:t>The IRS requires that the named transfer agent (“we”) report the cost basis of certain shares or units acquired after January 1, 2011. If your shares or units are covered by the legislation, and you requested to sell or transfer the shares or units using a specific cost basis calculation method, then we have processed as you requested. If you did not specify a cost basis calculation method, then we have defaulted to the first in, first out (FIFO) method. Please consult your tax advisor if you need additional information about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-395605</wp:posOffset>
            </wp:positionV>
            <wp:extent cx="234315" cy="8420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234315" cy="842010"/>
                    </a:xfrm>
                    <a:prstGeom prst="rect">
                      <a:avLst/>
                    </a:prstGeom>
                    <a:noFill/>
                  </pic:spPr>
                </pic:pic>
              </a:graphicData>
            </a:graphic>
          </wp:anchor>
        </w:drawing>
      </w:r>
    </w:p>
    <w:p>
      <w:pPr>
        <w:spacing w:after="0" w:line="4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2"/>
          <w:szCs w:val="12"/>
          <w:b w:val="1"/>
          <w:bCs w:val="1"/>
          <w:color w:val="auto"/>
        </w:rPr>
        <w:t>If you do not keep in contact with the issuer or do not have any activity in your account for the time period specified by state law, your property may become subject to state unclaimed property laws and transferred to the appropriate state.</w:t>
      </w:r>
    </w:p>
    <w:p>
      <w:pPr>
        <w:sectPr>
          <w:pgSz w:w="11900" w:h="16838" w:orient="portrait"/>
          <w:cols w:equalWidth="0" w:num="2">
            <w:col w:w="4800" w:space="720"/>
            <w:col w:w="5100"/>
          </w:cols>
          <w:pgMar w:left="320" w:top="224" w:right="95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5"/>
          <w:szCs w:val="15"/>
          <w:b w:val="1"/>
          <w:bCs w:val="1"/>
          <w:color w:val="auto"/>
        </w:rPr>
        <w:t>Exhibit 4.2</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AMENDED AND RESTATED</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INVESTORS’ RIGHTS AGREEMENT</w:t>
      </w:r>
    </w:p>
    <w:p>
      <w:pPr>
        <w:spacing w:after="0" w:line="17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September 24, 2020</w:t>
      </w:r>
    </w:p>
    <w:p>
      <w:pPr>
        <w:sectPr>
          <w:pgSz w:w="11900" w:h="16838" w:orient="portrait"/>
          <w:cols w:equalWidth="0" w:num="1">
            <w:col w:w="10140"/>
          </w:cols>
          <w:pgMar w:left="1440" w:top="121" w:right="31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20" w:type="dxa"/>
            <w:vAlign w:val="bottom"/>
          </w:tcPr>
          <w:p>
            <w:pPr>
              <w:ind w:left="39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500" w:type="dxa"/>
            <w:vAlign w:val="bottom"/>
          </w:tcPr>
          <w:p>
            <w:pPr>
              <w:spacing w:after="0"/>
              <w:rPr>
                <w:sz w:val="17"/>
                <w:szCs w:val="17"/>
                <w:color w:val="auto"/>
              </w:rPr>
            </w:pPr>
          </w:p>
        </w:tc>
      </w:tr>
      <w:tr>
        <w:trPr>
          <w:trHeight w:val="320"/>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99"/>
        </w:trPr>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0"/>
              </w:rPr>
              <w:t>1.</w:t>
            </w:r>
          </w:p>
        </w:tc>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62"/>
        </w:trPr>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0"/>
              </w:rPr>
              <w:t>2.</w:t>
            </w:r>
          </w:p>
        </w:tc>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Registration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Request for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Company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2.3</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Form S-3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2.4</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Obligations of the Company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2.5</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Information from Holder</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2.6</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Expenses of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2.7</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Delay of Registration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2.8</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Indemnification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2.9</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Reports Under the 1934 Act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2.10</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Assignment of Registration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Limitations on Subsequent Registration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“Market Stand-Off”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2.13</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Restrictions on Transfer</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199"/>
        </w:trPr>
        <w:tc>
          <w:tcPr>
            <w:tcW w:w="320" w:type="dxa"/>
            <w:vAlign w:val="bottom"/>
          </w:tcPr>
          <w:p>
            <w:pPr>
              <w:spacing w:after="0"/>
              <w:rPr>
                <w:sz w:val="17"/>
                <w:szCs w:val="17"/>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2.14</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Termination of Registration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62"/>
        </w:trPr>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0"/>
              </w:rPr>
              <w:t>3.</w:t>
            </w:r>
          </w:p>
        </w:tc>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Covenants of the Company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Delivery of Financial Statements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Inspection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3.3</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Observer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3.4</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Termination of Information and Inspection Covenants and Observer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3.5</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Right of First Offer</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3.6</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Proprietary Information and Inventions Agreements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3.7</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Employee Agreements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3.8</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Indemnification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3.9</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Qualified Small Business Stock</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3.10</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Confidentiality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Matters Requiring Director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3.13</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FCPA</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9"/>
        </w:trPr>
        <w:tc>
          <w:tcPr>
            <w:tcW w:w="320" w:type="dxa"/>
            <w:vAlign w:val="bottom"/>
          </w:tcPr>
          <w:p>
            <w:pPr>
              <w:spacing w:after="0"/>
              <w:rPr>
                <w:sz w:val="17"/>
                <w:szCs w:val="17"/>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3.15</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Termination of Certain Covenants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62"/>
        </w:trPr>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70"/>
              </w:rPr>
              <w:t>4.</w:t>
            </w:r>
          </w:p>
        </w:tc>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Miscellaneous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Successors and Assigns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Governing Law</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4.3</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Counterparts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4.4</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Titles and Subtitles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4.5</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4.6</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4.7</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Entire Agreement; Amendments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4.8</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Severability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4.9</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Aggregation of Stock</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4.10</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Additional Investors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4"/>
        </w:trPr>
        <w:tc>
          <w:tcPr>
            <w:tcW w:w="32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4.11</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Dispute Resolution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99"/>
        </w:trPr>
        <w:tc>
          <w:tcPr>
            <w:tcW w:w="320" w:type="dxa"/>
            <w:vAlign w:val="bottom"/>
          </w:tcPr>
          <w:p>
            <w:pPr>
              <w:spacing w:after="0"/>
              <w:rPr>
                <w:sz w:val="17"/>
                <w:szCs w:val="17"/>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4.12</w:t>
            </w:r>
          </w:p>
        </w:tc>
        <w:tc>
          <w:tcPr>
            <w:tcW w:w="78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on Prior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00"/>
          </w:cols>
          <w:pgMar w:left="320" w:top="248" w:right="37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SCHEDULE A Schedule of Investors</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139"/>
          </w:cols>
          <w:pgMar w:left="320" w:top="252" w:right="1440" w:bottom="1440" w:gutter="0" w:footer="0" w:header="0"/>
        </w:sectPr>
      </w:pPr>
    </w:p>
    <w:bookmarkStart w:id="379" w:name="page380"/>
    <w:bookmarkEnd w:id="379"/>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AMENDED AND RESTATED</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INVESTORS’ RIGHTS AGREEMENT</w:t>
      </w:r>
    </w:p>
    <w:p>
      <w:pPr>
        <w:spacing w:after="0" w:line="178" w:lineRule="exact"/>
        <w:rPr>
          <w:sz w:val="20"/>
          <w:szCs w:val="20"/>
          <w:color w:val="auto"/>
        </w:rPr>
      </w:pPr>
    </w:p>
    <w:p>
      <w:pPr>
        <w:ind w:right="220" w:firstLine="451"/>
        <w:spacing w:after="0" w:line="277" w:lineRule="auto"/>
        <w:rPr>
          <w:sz w:val="20"/>
          <w:szCs w:val="20"/>
          <w:color w:val="auto"/>
        </w:rPr>
      </w:pPr>
      <w:r>
        <w:rPr>
          <w:rFonts w:ascii="Times New Roman" w:cs="Times New Roman" w:eastAsia="Times New Roman" w:hAnsi="Times New Roman"/>
          <w:sz w:val="15"/>
          <w:szCs w:val="15"/>
          <w:color w:val="auto"/>
        </w:rPr>
        <w:t>This AMENDED AND RESTATED INVESTORS’ RIGHTS AGREEMENT (the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made as of the 24</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day of September, 2020, by and among </w:t>
      </w:r>
      <w:r>
        <w:rPr>
          <w:rFonts w:ascii="Times New Roman" w:cs="Times New Roman" w:eastAsia="Times New Roman" w:hAnsi="Times New Roman"/>
          <w:sz w:val="15"/>
          <w:szCs w:val="15"/>
          <w:b w:val="1"/>
          <w:bCs w:val="1"/>
          <w:color w:val="auto"/>
        </w:rPr>
        <w:t>TARSUS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PHARMACEUTICALS, INC.</w:t>
      </w:r>
      <w:r>
        <w:rPr>
          <w:rFonts w:ascii="Times New Roman" w:cs="Times New Roman" w:eastAsia="Times New Roman" w:hAnsi="Times New Roman"/>
          <w:sz w:val="15"/>
          <w:szCs w:val="15"/>
          <w:color w:val="auto"/>
        </w:rPr>
        <w:t>,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the investors listed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hereto, each of which is herein referred to as an “</w:t>
      </w:r>
      <w:r>
        <w:rPr>
          <w:rFonts w:ascii="Times New Roman" w:cs="Times New Roman" w:eastAsia="Times New Roman" w:hAnsi="Times New Roman"/>
          <w:sz w:val="15"/>
          <w:szCs w:val="15"/>
          <w:u w:val="single" w:color="auto"/>
          <w:color w:val="auto"/>
        </w:rPr>
        <w:t>Investor</w:t>
      </w:r>
      <w:r>
        <w:rPr>
          <w:rFonts w:ascii="Times New Roman" w:cs="Times New Roman" w:eastAsia="Times New Roman" w:hAnsi="Times New Roman"/>
          <w:sz w:val="15"/>
          <w:szCs w:val="15"/>
          <w:color w:val="auto"/>
        </w:rPr>
        <w: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collectively as the “</w:t>
      </w:r>
      <w:r>
        <w:rPr>
          <w:rFonts w:ascii="Times New Roman" w:cs="Times New Roman" w:eastAsia="Times New Roman" w:hAnsi="Times New Roman"/>
          <w:sz w:val="15"/>
          <w:szCs w:val="15"/>
          <w:u w:val="single" w:color="auto"/>
          <w:color w:val="auto"/>
        </w:rPr>
        <w:t>Investors</w:t>
      </w:r>
      <w:r>
        <w:rPr>
          <w:rFonts w:ascii="Times New Roman" w:cs="Times New Roman" w:eastAsia="Times New Roman" w:hAnsi="Times New Roman"/>
          <w:sz w:val="15"/>
          <w:szCs w:val="15"/>
          <w:color w:val="auto"/>
        </w:rPr>
        <w:t>.”</w:t>
      </w: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96" w:lineRule="exact"/>
        <w:rPr>
          <w:sz w:val="20"/>
          <w:szCs w:val="20"/>
          <w:color w:val="auto"/>
        </w:rPr>
      </w:pPr>
    </w:p>
    <w:p>
      <w:pPr>
        <w:ind w:right="40" w:firstLine="451"/>
        <w:spacing w:after="0" w:line="269"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certain of the Investors (the “</w:t>
      </w:r>
      <w:r>
        <w:rPr>
          <w:rFonts w:ascii="Times New Roman" w:cs="Times New Roman" w:eastAsia="Times New Roman" w:hAnsi="Times New Roman"/>
          <w:sz w:val="15"/>
          <w:szCs w:val="15"/>
          <w:u w:val="single" w:color="auto"/>
          <w:color w:val="auto"/>
        </w:rPr>
        <w:t>Existing Investors</w:t>
      </w:r>
      <w:r>
        <w:rPr>
          <w:rFonts w:ascii="Times New Roman" w:cs="Times New Roman" w:eastAsia="Times New Roman" w:hAnsi="Times New Roman"/>
          <w:sz w:val="15"/>
          <w:szCs w:val="15"/>
          <w:color w:val="auto"/>
        </w:rPr>
        <w:t>”) hold shares of the Company’s Series A Preferred Stock, par value $0.0001, par value $0.0001 per share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Series A Preferred Stock</w:t>
      </w:r>
      <w:r>
        <w:rPr>
          <w:rFonts w:ascii="Times New Roman" w:cs="Times New Roman" w:eastAsia="Times New Roman" w:hAnsi="Times New Roman"/>
          <w:sz w:val="15"/>
          <w:szCs w:val="15"/>
          <w:color w:val="auto"/>
        </w:rPr>
        <w:t>”), Series B Preferred Stock, par value $0.0001 per share (the “</w:t>
      </w:r>
      <w:r>
        <w:rPr>
          <w:rFonts w:ascii="Times New Roman" w:cs="Times New Roman" w:eastAsia="Times New Roman" w:hAnsi="Times New Roman"/>
          <w:sz w:val="15"/>
          <w:szCs w:val="15"/>
          <w:u w:val="single" w:color="auto"/>
          <w:color w:val="auto"/>
        </w:rPr>
        <w:t>Series B Preferred Stock</w:t>
      </w:r>
      <w:r>
        <w:rPr>
          <w:rFonts w:ascii="Times New Roman" w:cs="Times New Roman" w:eastAsia="Times New Roman" w:hAnsi="Times New Roman"/>
          <w:sz w:val="15"/>
          <w:szCs w:val="15"/>
          <w:color w:val="auto"/>
        </w:rPr>
        <w:t>”), and/or shares of Common Stock issued upon conversion thereof and possess registration rights, information rights, rights of first offer and other rights pursuant to that certain Amended and Restated Investors’ Rights Agreement dated as of December 13, 2019 by and among the Company, certain holders of Common Stock, par value $0.0001 per share (the “</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and such Existing Investors (the “</w:t>
      </w:r>
      <w:r>
        <w:rPr>
          <w:rFonts w:ascii="Times New Roman" w:cs="Times New Roman" w:eastAsia="Times New Roman" w:hAnsi="Times New Roman"/>
          <w:sz w:val="15"/>
          <w:szCs w:val="15"/>
          <w:u w:val="single" w:color="auto"/>
          <w:color w:val="auto"/>
        </w:rPr>
        <w:t>Prior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w:t>
      </w:r>
    </w:p>
    <w:p>
      <w:pPr>
        <w:spacing w:after="0" w:line="333" w:lineRule="exact"/>
        <w:rPr>
          <w:sz w:val="20"/>
          <w:szCs w:val="20"/>
          <w:color w:val="auto"/>
        </w:rPr>
      </w:pPr>
    </w:p>
    <w:p>
      <w:pPr>
        <w:ind w:right="2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Prior Agreement may be amended, and any provision therein waived, with the consent of the Company, and the holders of a majority of the outstanding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Registrable Securities (as such term is defined in the Prior Agreement);</w:t>
      </w:r>
    </w:p>
    <w:p>
      <w:pPr>
        <w:spacing w:after="0" w:line="125" w:lineRule="exact"/>
        <w:rPr>
          <w:sz w:val="20"/>
          <w:szCs w:val="20"/>
          <w:color w:val="auto"/>
        </w:rPr>
      </w:pPr>
    </w:p>
    <w:p>
      <w:pPr>
        <w:ind w:right="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the Existing Investors as holders of a majority of the outstanding Registrable Securities (as such term is defined in the Prior Agreement) of the Company desire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amend and restate the Prior Agreement and to accept the rights created pursuant hereto in lieu of the rights granted to them under the Prior Agreement; and</w:t>
      </w:r>
    </w:p>
    <w:p>
      <w:pPr>
        <w:spacing w:after="0" w:line="125" w:lineRule="exact"/>
        <w:rPr>
          <w:sz w:val="20"/>
          <w:szCs w:val="20"/>
          <w:color w:val="auto"/>
        </w:rPr>
      </w:pPr>
    </w:p>
    <w:p>
      <w:pPr>
        <w:ind w:right="2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certain Investors are parties to that certain Series C Preferred Stock Purchase Agreement of even date herewith by and among the Company and certain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Investors (as the same may be amended and/or restated from time to time, the “</w:t>
      </w:r>
      <w:r>
        <w:rPr>
          <w:rFonts w:ascii="Times New Roman" w:cs="Times New Roman" w:eastAsia="Times New Roman" w:hAnsi="Times New Roman"/>
          <w:sz w:val="15"/>
          <w:szCs w:val="15"/>
          <w:u w:val="single" w:color="auto"/>
          <w:color w:val="auto"/>
        </w:rPr>
        <w:t>Series C Agreement</w:t>
      </w:r>
      <w:r>
        <w:rPr>
          <w:rFonts w:ascii="Times New Roman" w:cs="Times New Roman" w:eastAsia="Times New Roman" w:hAnsi="Times New Roman"/>
          <w:sz w:val="15"/>
          <w:szCs w:val="15"/>
          <w:color w:val="auto"/>
        </w:rPr>
        <w:t>”), which provides that as a condition to the closing of the sale of the Series C Preferred Stock, par value $0.0001 per share (the “</w:t>
      </w:r>
      <w:r>
        <w:rPr>
          <w:rFonts w:ascii="Times New Roman" w:cs="Times New Roman" w:eastAsia="Times New Roman" w:hAnsi="Times New Roman"/>
          <w:sz w:val="15"/>
          <w:szCs w:val="15"/>
          <w:u w:val="single" w:color="auto"/>
          <w:color w:val="auto"/>
        </w:rPr>
        <w:t>Series C Preferred Stock</w:t>
      </w:r>
      <w:r>
        <w:rPr>
          <w:rFonts w:ascii="Times New Roman" w:cs="Times New Roman" w:eastAsia="Times New Roman" w:hAnsi="Times New Roman"/>
          <w:sz w:val="15"/>
          <w:szCs w:val="15"/>
          <w:color w:val="auto"/>
        </w:rPr>
        <w:t>” and collectively with the Series A Preferred Stock and the Series B Preferred Stock, the “</w:t>
      </w:r>
      <w:r>
        <w:rPr>
          <w:rFonts w:ascii="Times New Roman" w:cs="Times New Roman" w:eastAsia="Times New Roman" w:hAnsi="Times New Roman"/>
          <w:sz w:val="15"/>
          <w:szCs w:val="15"/>
          <w:u w:val="single" w:color="auto"/>
          <w:color w:val="auto"/>
        </w:rPr>
        <w:t>Preferred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Stock</w:t>
      </w:r>
      <w:r>
        <w:rPr>
          <w:rFonts w:ascii="Times New Roman" w:cs="Times New Roman" w:eastAsia="Times New Roman" w:hAnsi="Times New Roman"/>
          <w:sz w:val="15"/>
          <w:szCs w:val="15"/>
          <w:color w:val="auto"/>
        </w:rPr>
        <w:t>”), this Agreement must be executed and delivered by such Investors, Existing Investors holding a majority of the outstanding Registrable Securities (as such term is defined in the Prior Agreement) of the Company and the Company.</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THE PARTIES HEREBY AGREE AS FOLLOWS:</w:t>
      </w:r>
    </w:p>
    <w:p>
      <w:pPr>
        <w:spacing w:after="0" w:line="200" w:lineRule="exact"/>
        <w:rPr>
          <w:sz w:val="20"/>
          <w:szCs w:val="20"/>
          <w:color w:val="auto"/>
        </w:rPr>
      </w:pPr>
    </w:p>
    <w:p>
      <w:pPr>
        <w:ind w:left="600" w:hanging="157"/>
        <w:spacing w:after="0"/>
        <w:tabs>
          <w:tab w:leader="none" w:pos="600"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purposes of this Agreement:</w:t>
      </w:r>
    </w:p>
    <w:p>
      <w:pPr>
        <w:spacing w:after="0" w:line="196" w:lineRule="exact"/>
        <w:rPr>
          <w:rFonts w:ascii="Times New Roman" w:cs="Times New Roman" w:eastAsia="Times New Roman" w:hAnsi="Times New Roman"/>
          <w:sz w:val="15"/>
          <w:szCs w:val="15"/>
          <w:color w:val="auto"/>
        </w:rPr>
      </w:pPr>
    </w:p>
    <w:p>
      <w:pPr>
        <w:ind w:left="1660" w:hanging="204"/>
        <w:spacing w:after="0"/>
        <w:tabs>
          <w:tab w:leader="none" w:pos="1660" w:val="left"/>
        </w:tabs>
        <w:numPr>
          <w:ilvl w:val="1"/>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means the Securities Act of 1933, as amended, and the rules and regulations promulgated thereunder.</w:t>
      </w:r>
    </w:p>
    <w:p>
      <w:pPr>
        <w:spacing w:after="0" w:line="196" w:lineRule="exact"/>
        <w:rPr>
          <w:rFonts w:ascii="Times New Roman" w:cs="Times New Roman" w:eastAsia="Times New Roman" w:hAnsi="Times New Roman"/>
          <w:sz w:val="15"/>
          <w:szCs w:val="15"/>
          <w:color w:val="auto"/>
        </w:rPr>
      </w:pPr>
    </w:p>
    <w:p>
      <w:pPr>
        <w:ind w:firstLine="1456"/>
        <w:spacing w:after="0" w:line="268" w:lineRule="auto"/>
        <w:tabs>
          <w:tab w:leader="none" w:pos="1682" w:val="left"/>
        </w:tabs>
        <w:numPr>
          <w:ilvl w:val="1"/>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means, with respect to any Person, (i) any other Person who or which, directly or indirectly, controls, is controlled by, or is under common control with such specified Person, including, without limitation, any general partner, officer, director or manager of such Person and (ii) any other Person, venture capital fund, investment fund or registered investment company now or hereafter existing that is controlled by one or more general partners, managing members or investment adviser of, or shares the same management company or investment adviser with, such specified Person.</w:t>
      </w:r>
    </w:p>
    <w:p>
      <w:pPr>
        <w:sectPr>
          <w:pgSz w:w="11900" w:h="16838" w:orient="portrait"/>
          <w:cols w:equalWidth="0" w:num="1">
            <w:col w:w="11140"/>
          </w:cols>
          <w:pgMar w:left="320" w:top="248" w:right="439" w:bottom="1440" w:gutter="0" w:footer="0" w:header="0"/>
        </w:sectPr>
      </w:pPr>
    </w:p>
    <w:bookmarkStart w:id="380" w:name="page381"/>
    <w:bookmarkEnd w:id="380"/>
    <w:p>
      <w:pPr>
        <w:ind w:left="1660" w:hanging="204"/>
        <w:spacing w:after="0"/>
        <w:tabs>
          <w:tab w:leader="none" w:pos="166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term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means the Company’s Board of Directors, as constituted from time to time.</w:t>
      </w:r>
    </w:p>
    <w:p>
      <w:pPr>
        <w:spacing w:after="0" w:line="196" w:lineRule="exact"/>
        <w:rPr>
          <w:rFonts w:ascii="Times New Roman" w:cs="Times New Roman" w:eastAsia="Times New Roman" w:hAnsi="Times New Roman"/>
          <w:sz w:val="15"/>
          <w:szCs w:val="15"/>
          <w:color w:val="auto"/>
        </w:rPr>
      </w:pPr>
    </w:p>
    <w:p>
      <w:pPr>
        <w:ind w:firstLine="1456"/>
        <w:spacing w:after="0" w:line="268" w:lineRule="auto"/>
        <w:tabs>
          <w:tab w:leader="none" w:pos="168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Excluded Registration</w:t>
      </w:r>
      <w:r>
        <w:rPr>
          <w:rFonts w:ascii="Times New Roman" w:cs="Times New Roman" w:eastAsia="Times New Roman" w:hAnsi="Times New Roman"/>
          <w:sz w:val="15"/>
          <w:szCs w:val="15"/>
          <w:color w:val="auto"/>
        </w:rPr>
        <w:t>” means (i) a registration relating solely to the sale of securities of participants in a Company stock plan, (ii) a registration relating to a corporate reorganization or transaction under Rule 145 of the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51" w:lineRule="exact"/>
        <w:rPr>
          <w:rFonts w:ascii="Times New Roman" w:cs="Times New Roman" w:eastAsia="Times New Roman" w:hAnsi="Times New Roman"/>
          <w:sz w:val="15"/>
          <w:szCs w:val="15"/>
          <w:color w:val="auto"/>
        </w:rPr>
      </w:pPr>
    </w:p>
    <w:p>
      <w:pPr>
        <w:ind w:right="240" w:firstLine="1456"/>
        <w:spacing w:after="0" w:line="293" w:lineRule="auto"/>
        <w:tabs>
          <w:tab w:leader="none" w:pos="1673"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Family Member</w:t>
      </w:r>
      <w:r>
        <w:rPr>
          <w:rFonts w:ascii="Times New Roman" w:cs="Times New Roman" w:eastAsia="Times New Roman" w:hAnsi="Times New Roman"/>
          <w:sz w:val="15"/>
          <w:szCs w:val="15"/>
          <w:color w:val="auto"/>
        </w:rPr>
        <w:t>” means a spouse, child, stepchild, grandchild, parent, stepparent, grandparent, spouse, sibling, mother-in-law, father-in-law, son-in-law, daughter-in-law, brother-in-law, or sister-in-law, including, adoptive relationships, of a natural person referred to herein.</w:t>
      </w:r>
    </w:p>
    <w:p>
      <w:pPr>
        <w:spacing w:after="0" w:line="132" w:lineRule="exact"/>
        <w:rPr>
          <w:rFonts w:ascii="Times New Roman" w:cs="Times New Roman" w:eastAsia="Times New Roman" w:hAnsi="Times New Roman"/>
          <w:sz w:val="15"/>
          <w:szCs w:val="15"/>
          <w:color w:val="auto"/>
        </w:rPr>
      </w:pPr>
    </w:p>
    <w:p>
      <w:pPr>
        <w:ind w:right="260" w:firstLine="1456"/>
        <w:spacing w:after="0" w:line="293" w:lineRule="auto"/>
        <w:tabs>
          <w:tab w:leader="none" w:pos="1656"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Form S-3</w:t>
      </w:r>
      <w:r>
        <w:rPr>
          <w:rFonts w:ascii="Times New Roman" w:cs="Times New Roman" w:eastAsia="Times New Roman" w:hAnsi="Times New Roman"/>
          <w:sz w:val="15"/>
          <w:szCs w:val="15"/>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32"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Free Writing Prospectus</w:t>
      </w:r>
      <w:r>
        <w:rPr>
          <w:rFonts w:ascii="Times New Roman" w:cs="Times New Roman" w:eastAsia="Times New Roman" w:hAnsi="Times New Roman"/>
          <w:sz w:val="15"/>
          <w:szCs w:val="15"/>
          <w:color w:val="auto"/>
        </w:rPr>
        <w:t>” means a free-writing prospectus, as defined in Rule 405.</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xml:space="preserve">” means any Person owning or having the right to acquire Registrable Securities or any assignee thereof in accordance with </w:t>
      </w:r>
      <w:r>
        <w:rPr>
          <w:rFonts w:ascii="Times New Roman" w:cs="Times New Roman" w:eastAsia="Times New Roman" w:hAnsi="Times New Roman"/>
          <w:sz w:val="15"/>
          <w:szCs w:val="15"/>
          <w:u w:val="single" w:color="auto"/>
          <w:color w:val="auto"/>
        </w:rPr>
        <w:t>Section 2.10</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this Agreement.</w:t>
      </w:r>
    </w:p>
    <w:p>
      <w:pPr>
        <w:spacing w:after="0" w:line="181"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Initial Offering</w:t>
      </w:r>
      <w:r>
        <w:rPr>
          <w:rFonts w:ascii="Times New Roman" w:cs="Times New Roman" w:eastAsia="Times New Roman" w:hAnsi="Times New Roman"/>
          <w:sz w:val="15"/>
          <w:szCs w:val="15"/>
          <w:color w:val="auto"/>
        </w:rPr>
        <w:t>” means the Company’s first underwritten public offering of its Common Stock under the Act.</w:t>
      </w:r>
    </w:p>
    <w:p>
      <w:pPr>
        <w:spacing w:after="0" w:line="196"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1934 Act</w:t>
      </w:r>
      <w:r>
        <w:rPr>
          <w:rFonts w:ascii="Times New Roman" w:cs="Times New Roman" w:eastAsia="Times New Roman" w:hAnsi="Times New Roman"/>
          <w:sz w:val="15"/>
          <w:szCs w:val="15"/>
          <w:color w:val="auto"/>
        </w:rPr>
        <w:t>” means the Securities Exchange Act of 1934, as amended, and the rules and regulations promulgated thereunder.</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shall mean any individual, corporation, partnership, trust, limited liability company, association or other entity.</w:t>
      </w:r>
    </w:p>
    <w:p>
      <w:pPr>
        <w:spacing w:after="0" w:line="196" w:lineRule="exact"/>
        <w:rPr>
          <w:rFonts w:ascii="Times New Roman" w:cs="Times New Roman" w:eastAsia="Times New Roman" w:hAnsi="Times New Roman"/>
          <w:sz w:val="15"/>
          <w:szCs w:val="15"/>
          <w:color w:val="auto"/>
        </w:rPr>
      </w:pPr>
    </w:p>
    <w:p>
      <w:pPr>
        <w:ind w:right="100" w:firstLine="1456"/>
        <w:spacing w:after="0" w:line="293" w:lineRule="auto"/>
        <w:tabs>
          <w:tab w:leader="none" w:pos="1648"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w:t>
      </w:r>
      <w:r>
        <w:rPr>
          <w:rFonts w:ascii="Times New Roman" w:cs="Times New Roman" w:eastAsia="Times New Roman" w:hAnsi="Times New Roman"/>
          <w:sz w:val="15"/>
          <w:szCs w:val="15"/>
          <w:u w:val="single" w:color="auto"/>
          <w:color w:val="auto"/>
        </w:rPr>
        <w:t>register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registered</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u w:val="single" w:color="auto"/>
          <w:color w:val="auto"/>
        </w:rPr>
        <w:t>registration</w:t>
      </w:r>
      <w:r>
        <w:rPr>
          <w:rFonts w:ascii="Times New Roman" w:cs="Times New Roman" w:eastAsia="Times New Roman" w:hAnsi="Times New Roman"/>
          <w:sz w:val="15"/>
          <w:szCs w:val="15"/>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32" w:lineRule="exact"/>
        <w:rPr>
          <w:rFonts w:ascii="Times New Roman" w:cs="Times New Roman" w:eastAsia="Times New Roman" w:hAnsi="Times New Roman"/>
          <w:sz w:val="15"/>
          <w:szCs w:val="15"/>
          <w:color w:val="auto"/>
        </w:rPr>
      </w:pPr>
    </w:p>
    <w:p>
      <w:pPr>
        <w:ind w:right="40" w:firstLine="1456"/>
        <w:spacing w:after="0" w:line="265" w:lineRule="auto"/>
        <w:tabs>
          <w:tab w:leader="none" w:pos="1724"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Registrable Securities</w:t>
      </w:r>
      <w:r>
        <w:rPr>
          <w:rFonts w:ascii="Times New Roman" w:cs="Times New Roman" w:eastAsia="Times New Roman" w:hAnsi="Times New Roman"/>
          <w:sz w:val="15"/>
          <w:szCs w:val="15"/>
          <w:color w:val="auto"/>
        </w:rPr>
        <w:t xml:space="preserve">” means (i) the Common Stock issuable or issued upon conversion of the Preferred Stock; and (ii) any Common Stock of the Company issued as (or issuable upon the conversion and/or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of this Agreement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00"/>
          </w:cols>
          <w:pgMar w:left="320" w:top="252" w:right="379" w:bottom="1440" w:gutter="0" w:footer="0" w:header="0"/>
        </w:sectPr>
      </w:pPr>
    </w:p>
    <w:bookmarkStart w:id="381" w:name="page382"/>
    <w:bookmarkEnd w:id="381"/>
    <w:p>
      <w:pPr>
        <w:ind w:left="1468"/>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(n) The term “</w:t>
      </w:r>
      <w:r>
        <w:rPr>
          <w:rFonts w:ascii="Times New Roman" w:cs="Times New Roman" w:eastAsia="Times New Roman" w:hAnsi="Times New Roman"/>
          <w:sz w:val="15"/>
          <w:szCs w:val="15"/>
          <w:u w:val="single" w:color="auto"/>
          <w:color w:val="auto"/>
        </w:rPr>
        <w:t>Restated Certificate</w:t>
      </w:r>
      <w:r>
        <w:rPr>
          <w:rFonts w:ascii="Times New Roman" w:cs="Times New Roman" w:eastAsia="Times New Roman" w:hAnsi="Times New Roman"/>
          <w:sz w:val="15"/>
          <w:szCs w:val="15"/>
          <w:color w:val="auto"/>
        </w:rPr>
        <w:t>” shall mean the Company’s Amended and Restated Certificate of Incorporation, as amended and/or restated from time to</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time.</w:t>
      </w:r>
    </w:p>
    <w:p>
      <w:pPr>
        <w:spacing w:after="0" w:line="182" w:lineRule="exact"/>
        <w:rPr>
          <w:sz w:val="20"/>
          <w:szCs w:val="20"/>
          <w:color w:val="auto"/>
        </w:rPr>
      </w:pPr>
    </w:p>
    <w:p>
      <w:pPr>
        <w:ind w:left="1688" w:hanging="224"/>
        <w:spacing w:after="0"/>
        <w:tabs>
          <w:tab w:leader="none" w:pos="1688" w:val="left"/>
        </w:tabs>
        <w:numPr>
          <w:ilvl w:val="2"/>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Restricted Securities</w:t>
      </w:r>
      <w:r>
        <w:rPr>
          <w:rFonts w:ascii="Times New Roman" w:cs="Times New Roman" w:eastAsia="Times New Roman" w:hAnsi="Times New Roman"/>
          <w:sz w:val="15"/>
          <w:szCs w:val="15"/>
          <w:color w:val="auto"/>
        </w:rPr>
        <w:t xml:space="preserve">” shall mean the securities of the Company required to be notated with the legend set forth in </w:t>
      </w:r>
      <w:r>
        <w:rPr>
          <w:rFonts w:ascii="Times New Roman" w:cs="Times New Roman" w:eastAsia="Times New Roman" w:hAnsi="Times New Roman"/>
          <w:sz w:val="15"/>
          <w:szCs w:val="15"/>
          <w:u w:val="single" w:color="auto"/>
          <w:color w:val="auto"/>
        </w:rPr>
        <w:t>Subsection 2.13(b)</w:t>
      </w:r>
      <w:r>
        <w:rPr>
          <w:rFonts w:ascii="Times New Roman" w:cs="Times New Roman" w:eastAsia="Times New Roman" w:hAnsi="Times New Roman"/>
          <w:sz w:val="15"/>
          <w:szCs w:val="15"/>
          <w:color w:val="auto"/>
        </w:rPr>
        <w:t xml:space="preserve"> hereof.</w:t>
      </w:r>
    </w:p>
    <w:p>
      <w:pPr>
        <w:spacing w:after="0" w:line="196" w:lineRule="exact"/>
        <w:rPr>
          <w:rFonts w:ascii="Times New Roman" w:cs="Times New Roman" w:eastAsia="Times New Roman" w:hAnsi="Times New Roman"/>
          <w:sz w:val="15"/>
          <w:szCs w:val="15"/>
          <w:color w:val="auto"/>
        </w:rPr>
      </w:pPr>
    </w:p>
    <w:p>
      <w:pPr>
        <w:ind w:left="8" w:firstLine="1456"/>
        <w:spacing w:after="0" w:line="293" w:lineRule="auto"/>
        <w:tabs>
          <w:tab w:leader="none" w:pos="1690" w:val="left"/>
        </w:tabs>
        <w:numPr>
          <w:ilvl w:val="2"/>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Right of First Refusal and Co-Sale Agreement</w:t>
      </w:r>
      <w:r>
        <w:rPr>
          <w:rFonts w:ascii="Times New Roman" w:cs="Times New Roman" w:eastAsia="Times New Roman" w:hAnsi="Times New Roman"/>
          <w:sz w:val="15"/>
          <w:szCs w:val="15"/>
          <w:color w:val="auto"/>
        </w:rPr>
        <w:t>” shall mean that certain Amended and Restated Right of First Refusal and Co-Sale Agreement by and among the Company, Common Holders listed therein and the Investors of even date herewith, as the same may be amended and/or restated from time to time.</w:t>
      </w:r>
    </w:p>
    <w:p>
      <w:pPr>
        <w:spacing w:after="0" w:line="132" w:lineRule="exact"/>
        <w:rPr>
          <w:rFonts w:ascii="Times New Roman" w:cs="Times New Roman" w:eastAsia="Times New Roman" w:hAnsi="Times New Roman"/>
          <w:sz w:val="15"/>
          <w:szCs w:val="15"/>
          <w:color w:val="auto"/>
        </w:rPr>
      </w:pPr>
    </w:p>
    <w:p>
      <w:pPr>
        <w:ind w:left="1688" w:hanging="224"/>
        <w:spacing w:after="0"/>
        <w:tabs>
          <w:tab w:leader="none" w:pos="1688" w:val="left"/>
        </w:tabs>
        <w:numPr>
          <w:ilvl w:val="2"/>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RTW</w:t>
      </w:r>
      <w:r>
        <w:rPr>
          <w:rFonts w:ascii="Times New Roman" w:cs="Times New Roman" w:eastAsia="Times New Roman" w:hAnsi="Times New Roman"/>
          <w:sz w:val="15"/>
          <w:szCs w:val="15"/>
          <w:color w:val="auto"/>
        </w:rPr>
        <w:t>” means RTW Investments, LP and its affiliated funds.</w:t>
      </w:r>
    </w:p>
    <w:p>
      <w:pPr>
        <w:spacing w:after="0" w:line="196" w:lineRule="exact"/>
        <w:rPr>
          <w:rFonts w:ascii="Times New Roman" w:cs="Times New Roman" w:eastAsia="Times New Roman" w:hAnsi="Times New Roman"/>
          <w:sz w:val="15"/>
          <w:szCs w:val="15"/>
          <w:color w:val="auto"/>
        </w:rPr>
      </w:pPr>
    </w:p>
    <w:p>
      <w:pPr>
        <w:ind w:left="1648" w:hanging="184"/>
        <w:spacing w:after="0"/>
        <w:tabs>
          <w:tab w:leader="none" w:pos="1648" w:val="left"/>
        </w:tabs>
        <w:numPr>
          <w:ilvl w:val="2"/>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Rule 144</w:t>
      </w:r>
      <w:r>
        <w:rPr>
          <w:rFonts w:ascii="Times New Roman" w:cs="Times New Roman" w:eastAsia="Times New Roman" w:hAnsi="Times New Roman"/>
          <w:sz w:val="15"/>
          <w:szCs w:val="15"/>
          <w:color w:val="auto"/>
        </w:rPr>
        <w:t>” shall mean Rule 144 under the Act.</w:t>
      </w:r>
    </w:p>
    <w:p>
      <w:pPr>
        <w:spacing w:after="0" w:line="196" w:lineRule="exact"/>
        <w:rPr>
          <w:rFonts w:ascii="Times New Roman" w:cs="Times New Roman" w:eastAsia="Times New Roman" w:hAnsi="Times New Roman"/>
          <w:sz w:val="15"/>
          <w:szCs w:val="15"/>
          <w:color w:val="auto"/>
        </w:rPr>
      </w:pPr>
    </w:p>
    <w:p>
      <w:pPr>
        <w:ind w:left="1668" w:hanging="204"/>
        <w:spacing w:after="0"/>
        <w:tabs>
          <w:tab w:leader="none" w:pos="1668" w:val="left"/>
        </w:tabs>
        <w:numPr>
          <w:ilvl w:val="2"/>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Rule 144(b)(1)(i)</w:t>
      </w:r>
      <w:r>
        <w:rPr>
          <w:rFonts w:ascii="Times New Roman" w:cs="Times New Roman" w:eastAsia="Times New Roman" w:hAnsi="Times New Roman"/>
          <w:sz w:val="15"/>
          <w:szCs w:val="15"/>
          <w:color w:val="auto"/>
        </w:rPr>
        <w:t>” shall mean subsection (b)(1)(i) of Rule 144 under the Act as it applies to Persons who have held shares for more than one</w:t>
      </w:r>
    </w:p>
    <w:p>
      <w:pPr>
        <w:spacing w:after="0" w:line="26" w:lineRule="exact"/>
        <w:rPr>
          <w:rFonts w:ascii="Times New Roman" w:cs="Times New Roman" w:eastAsia="Times New Roman" w:hAnsi="Times New Roman"/>
          <w:sz w:val="15"/>
          <w:szCs w:val="15"/>
          <w:color w:val="auto"/>
        </w:rPr>
      </w:pPr>
    </w:p>
    <w:p>
      <w:pPr>
        <w:ind w:left="208" w:hanging="208"/>
        <w:spacing w:after="0"/>
        <w:tabs>
          <w:tab w:leader="none" w:pos="208"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year.</w:t>
      </w:r>
    </w:p>
    <w:p>
      <w:pPr>
        <w:spacing w:after="0" w:line="181" w:lineRule="exact"/>
        <w:rPr>
          <w:rFonts w:ascii="Times New Roman" w:cs="Times New Roman" w:eastAsia="Times New Roman" w:hAnsi="Times New Roman"/>
          <w:sz w:val="15"/>
          <w:szCs w:val="15"/>
          <w:color w:val="auto"/>
        </w:rPr>
      </w:pPr>
    </w:p>
    <w:p>
      <w:pPr>
        <w:ind w:left="1648" w:hanging="184"/>
        <w:spacing w:after="0"/>
        <w:tabs>
          <w:tab w:leader="none" w:pos="1648" w:val="left"/>
        </w:tabs>
        <w:numPr>
          <w:ilvl w:val="2"/>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Rule 405</w:t>
      </w:r>
      <w:r>
        <w:rPr>
          <w:rFonts w:ascii="Times New Roman" w:cs="Times New Roman" w:eastAsia="Times New Roman" w:hAnsi="Times New Roman"/>
          <w:sz w:val="15"/>
          <w:szCs w:val="15"/>
          <w:color w:val="auto"/>
        </w:rPr>
        <w:t>” shall mean Rule 405 under the Act.</w:t>
      </w:r>
    </w:p>
    <w:p>
      <w:pPr>
        <w:spacing w:after="0" w:line="196" w:lineRule="exact"/>
        <w:rPr>
          <w:rFonts w:ascii="Times New Roman" w:cs="Times New Roman" w:eastAsia="Times New Roman" w:hAnsi="Times New Roman"/>
          <w:sz w:val="15"/>
          <w:szCs w:val="15"/>
          <w:color w:val="auto"/>
        </w:rPr>
      </w:pPr>
    </w:p>
    <w:p>
      <w:pPr>
        <w:ind w:left="1688" w:hanging="224"/>
        <w:spacing w:after="0"/>
        <w:tabs>
          <w:tab w:leader="none" w:pos="1688" w:val="left"/>
        </w:tabs>
        <w:numPr>
          <w:ilvl w:val="2"/>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shall mean the Securities and Exchange Commission.</w:t>
      </w:r>
    </w:p>
    <w:p>
      <w:pPr>
        <w:spacing w:after="0" w:line="196" w:lineRule="exact"/>
        <w:rPr>
          <w:rFonts w:ascii="Times New Roman" w:cs="Times New Roman" w:eastAsia="Times New Roman" w:hAnsi="Times New Roman"/>
          <w:sz w:val="15"/>
          <w:szCs w:val="15"/>
          <w:color w:val="auto"/>
        </w:rPr>
      </w:pPr>
    </w:p>
    <w:p>
      <w:pPr>
        <w:ind w:left="1688" w:hanging="224"/>
        <w:spacing w:after="0"/>
        <w:tabs>
          <w:tab w:leader="none" w:pos="1688" w:val="left"/>
        </w:tabs>
        <w:numPr>
          <w:ilvl w:val="2"/>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Preferred Directors</w:t>
      </w:r>
      <w:r>
        <w:rPr>
          <w:rFonts w:ascii="Times New Roman" w:cs="Times New Roman" w:eastAsia="Times New Roman" w:hAnsi="Times New Roman"/>
          <w:sz w:val="15"/>
          <w:szCs w:val="15"/>
          <w:color w:val="auto"/>
        </w:rPr>
        <w:t>” shall have the meaning ascribed to such term as set forth in the Restated Certificate.</w:t>
      </w:r>
    </w:p>
    <w:p>
      <w:pPr>
        <w:spacing w:after="0" w:line="196" w:lineRule="exact"/>
        <w:rPr>
          <w:rFonts w:ascii="Times New Roman" w:cs="Times New Roman" w:eastAsia="Times New Roman" w:hAnsi="Times New Roman"/>
          <w:sz w:val="15"/>
          <w:szCs w:val="15"/>
          <w:color w:val="auto"/>
        </w:rPr>
      </w:pPr>
    </w:p>
    <w:p>
      <w:pPr>
        <w:ind w:left="8" w:right="280" w:firstLine="1456"/>
        <w:spacing w:after="0" w:line="293" w:lineRule="auto"/>
        <w:tabs>
          <w:tab w:leader="none" w:pos="1724" w:val="left"/>
        </w:tabs>
        <w:numPr>
          <w:ilvl w:val="2"/>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shall mean that certain Amended and Restated Voting Agreement by and among the Company, Common Holders listed therein and the Investors of even date herewith, as the same may be amended and/or restated from time to time.</w:t>
      </w:r>
    </w:p>
    <w:p>
      <w:pPr>
        <w:spacing w:after="0" w:line="132" w:lineRule="exact"/>
        <w:rPr>
          <w:rFonts w:ascii="Times New Roman" w:cs="Times New Roman" w:eastAsia="Times New Roman" w:hAnsi="Times New Roman"/>
          <w:sz w:val="15"/>
          <w:szCs w:val="15"/>
          <w:color w:val="auto"/>
        </w:rPr>
      </w:pPr>
    </w:p>
    <w:p>
      <w:pPr>
        <w:ind w:left="608" w:hanging="157"/>
        <w:spacing w:after="0"/>
        <w:tabs>
          <w:tab w:leader="none" w:pos="608" w:val="left"/>
        </w:tabs>
        <w:numPr>
          <w:ilvl w:val="1"/>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RIGHTS</w:t>
      </w:r>
      <w:r>
        <w:rPr>
          <w:rFonts w:ascii="Times New Roman" w:cs="Times New Roman" w:eastAsia="Times New Roman" w:hAnsi="Times New Roman"/>
          <w:sz w:val="15"/>
          <w:szCs w:val="15"/>
          <w:color w:val="auto"/>
        </w:rPr>
        <w:t>. The Company covenants and agrees as follows:</w:t>
      </w:r>
    </w:p>
    <w:p>
      <w:pPr>
        <w:spacing w:after="0" w:line="196"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Request for Registration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firstLine="1456"/>
        <w:spacing w:after="0" w:line="264" w:lineRule="auto"/>
        <w:tabs>
          <w:tab w:leader="none" w:pos="1681"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the conditions of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if the Company shall receive at any time after six (6) months after the effective date of the Initial Offering, a written request from the Holders of at least thirty percent (30%) of the Registrable Securities then outstanding (for purposes of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Initiating Holders</w:t>
      </w:r>
      <w:r>
        <w:rPr>
          <w:rFonts w:ascii="Times New Roman" w:cs="Times New Roman" w:eastAsia="Times New Roman" w:hAnsi="Times New Roman"/>
          <w:sz w:val="15"/>
          <w:szCs w:val="15"/>
          <w:color w:val="auto"/>
        </w:rPr>
        <w:t xml:space="preserve">”) that the Company file a registration statement under the Act covering the registration of Registrable Securities with an anticipated aggregate offering price of at least $20,000,000, then the Company shall, within twenty (20) days of the receipt thereof, give written notice of such request to all Holders, and subject to the limitations of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use its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w:t>
      </w:r>
      <w:r>
        <w:rPr>
          <w:rFonts w:ascii="Times New Roman" w:cs="Times New Roman" w:eastAsia="Times New Roman" w:hAnsi="Times New Roman"/>
          <w:sz w:val="15"/>
          <w:szCs w:val="15"/>
          <w:u w:val="single" w:color="auto"/>
          <w:color w:val="auto"/>
        </w:rPr>
        <w:t>Section 2.1(a)</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ind w:left="8" w:right="60" w:firstLine="1456"/>
        <w:spacing w:after="0" w:line="275" w:lineRule="auto"/>
        <w:tabs>
          <w:tab w:leader="none" w:pos="1690"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Initiating Holders intend to distribute the Registrable Securities covered by their request by means of an underwriting, they shall so advise the Company as a part of their request made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and the Company shall include such information in the written notice referred to in </w:t>
      </w:r>
      <w:r>
        <w:rPr>
          <w:rFonts w:ascii="Times New Roman" w:cs="Times New Roman" w:eastAsia="Times New Roman" w:hAnsi="Times New Roman"/>
          <w:sz w:val="15"/>
          <w:szCs w:val="15"/>
          <w:u w:val="single" w:color="auto"/>
          <w:color w:val="auto"/>
        </w:rPr>
        <w:t>Section 2.1(a)</w:t>
      </w:r>
      <w:r>
        <w:rPr>
          <w:rFonts w:ascii="Times New Roman" w:cs="Times New Roman" w:eastAsia="Times New Roman" w:hAnsi="Times New Roman"/>
          <w:sz w:val="15"/>
          <w:szCs w:val="15"/>
          <w:color w:val="auto"/>
        </w:rPr>
        <w:t>. In such event the right of any Holder to include its Registrable</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8"/>
          </w:cols>
          <w:pgMar w:left="312" w:top="252" w:right="359" w:bottom="1440" w:gutter="0" w:footer="0" w:header="0"/>
        </w:sectPr>
      </w:pPr>
    </w:p>
    <w:bookmarkStart w:id="382" w:name="page383"/>
    <w:bookmarkEnd w:id="382"/>
    <w:p>
      <w:pPr>
        <w:jc w:val="both"/>
        <w:ind w:left="8" w:right="6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then held by all Initiating Holders).</w:t>
      </w:r>
    </w:p>
    <w:p>
      <w:pPr>
        <w:spacing w:after="0" w:line="2" w:lineRule="exact"/>
        <w:rPr>
          <w:sz w:val="20"/>
          <w:szCs w:val="20"/>
          <w:color w:val="auto"/>
        </w:rPr>
      </w:pPr>
    </w:p>
    <w:p>
      <w:pPr>
        <w:ind w:left="8" w:right="80"/>
        <w:spacing w:after="0" w:line="259" w:lineRule="auto"/>
        <w:rPr>
          <w:sz w:val="20"/>
          <w:szCs w:val="20"/>
          <w:color w:val="auto"/>
        </w:rPr>
      </w:pPr>
      <w:r>
        <w:rPr>
          <w:rFonts w:ascii="Times New Roman" w:cs="Times New Roman" w:eastAsia="Times New Roman" w:hAnsi="Times New Roman"/>
          <w:sz w:val="15"/>
          <w:szCs w:val="15"/>
          <w:color w:val="auto"/>
        </w:rPr>
        <w:t xml:space="preserve">Notwithstanding any other provision of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 To facilitate the allocation of shares in accordance with the above provisions, the Company or the underwriters may round the number of shares allocated to any Holder to the nearest one hundred (100) shares.</w:t>
      </w:r>
    </w:p>
    <w:p>
      <w:pPr>
        <w:spacing w:after="0" w:line="160" w:lineRule="exact"/>
        <w:rPr>
          <w:sz w:val="20"/>
          <w:szCs w:val="20"/>
          <w:color w:val="auto"/>
        </w:rPr>
      </w:pPr>
    </w:p>
    <w:p>
      <w:pPr>
        <w:ind w:left="1668" w:hanging="204"/>
        <w:spacing w:after="0"/>
        <w:tabs>
          <w:tab w:leader="none" w:pos="1668"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foregoing, the Company shall not be required to effect a registration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left="8" w:right="600" w:firstLine="2020"/>
        <w:spacing w:after="0" w:line="293" w:lineRule="auto"/>
        <w:tabs>
          <w:tab w:leader="none" w:pos="2219" w:val="left"/>
        </w:tabs>
        <w:numPr>
          <w:ilvl w:val="2"/>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132" w:lineRule="exact"/>
        <w:rPr>
          <w:rFonts w:ascii="Times New Roman" w:cs="Times New Roman" w:eastAsia="Times New Roman" w:hAnsi="Times New Roman"/>
          <w:sz w:val="15"/>
          <w:szCs w:val="15"/>
          <w:color w:val="auto"/>
        </w:rPr>
      </w:pPr>
    </w:p>
    <w:p>
      <w:pPr>
        <w:ind w:left="2248" w:hanging="220"/>
        <w:spacing w:after="0"/>
        <w:tabs>
          <w:tab w:leader="none" w:pos="2248" w:val="left"/>
        </w:tabs>
        <w:numPr>
          <w:ilvl w:val="2"/>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after the Company has effected two (2) registrations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and such registrations have been declared or ordered effective; or</w:t>
      </w:r>
    </w:p>
    <w:p>
      <w:pPr>
        <w:spacing w:after="0" w:line="196" w:lineRule="exact"/>
        <w:rPr>
          <w:rFonts w:ascii="Times New Roman" w:cs="Times New Roman" w:eastAsia="Times New Roman" w:hAnsi="Times New Roman"/>
          <w:sz w:val="15"/>
          <w:szCs w:val="15"/>
          <w:color w:val="auto"/>
        </w:rPr>
      </w:pPr>
    </w:p>
    <w:p>
      <w:pPr>
        <w:jc w:val="both"/>
        <w:ind w:left="8" w:right="20" w:firstLine="2020"/>
        <w:spacing w:after="0" w:line="275" w:lineRule="auto"/>
        <w:tabs>
          <w:tab w:leader="none" w:pos="2304" w:val="left"/>
        </w:tabs>
        <w:numPr>
          <w:ilvl w:val="2"/>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during the period starting with the date sixty (60) days prior to the Company’s good faith estimate of the date of the filing of and ending on a date one hundred eighty (180) days following the effective date of a Company-initiated registration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below, provided that the Company is actively employing in good faith its commercially reasonable efforts to cause such registration statement to become effective; or</w:t>
      </w:r>
    </w:p>
    <w:p>
      <w:pPr>
        <w:spacing w:after="0" w:line="144" w:lineRule="exact"/>
        <w:rPr>
          <w:rFonts w:ascii="Times New Roman" w:cs="Times New Roman" w:eastAsia="Times New Roman" w:hAnsi="Times New Roman"/>
          <w:sz w:val="15"/>
          <w:szCs w:val="15"/>
          <w:color w:val="auto"/>
        </w:rPr>
      </w:pPr>
    </w:p>
    <w:p>
      <w:pPr>
        <w:ind w:left="2288" w:hanging="260"/>
        <w:spacing w:after="0"/>
        <w:tabs>
          <w:tab w:leader="none" w:pos="2288" w:val="left"/>
        </w:tabs>
        <w:numPr>
          <w:ilvl w:val="2"/>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Initiating Holders propose to dispose of Registrable Securities that may be registered on Form S-3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hereof; or</w:t>
      </w:r>
    </w:p>
    <w:p>
      <w:pPr>
        <w:spacing w:after="0" w:line="196" w:lineRule="exact"/>
        <w:rPr>
          <w:rFonts w:ascii="Times New Roman" w:cs="Times New Roman" w:eastAsia="Times New Roman" w:hAnsi="Times New Roman"/>
          <w:sz w:val="15"/>
          <w:szCs w:val="15"/>
          <w:color w:val="auto"/>
        </w:rPr>
      </w:pPr>
    </w:p>
    <w:p>
      <w:pPr>
        <w:ind w:left="8" w:right="60" w:firstLine="2020"/>
        <w:spacing w:after="0" w:line="263" w:lineRule="auto"/>
        <w:tabs>
          <w:tab w:leader="none" w:pos="2253" w:val="left"/>
        </w:tabs>
        <w:numPr>
          <w:ilvl w:val="2"/>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Company shall furnish to Holders requesting a registration statement pursuant to this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a certificate signed by the Company’s Chief Executive Officer or Chairman of the Board stating that in the good faith judgment of the Board, it would be seriously detrimental to the Company and its stockholders for such registration statement to be effected or remain effective at such time, in which event the Company shall have the right to defer such filing for a period of not more than ninety</w:t>
      </w:r>
    </w:p>
    <w:p>
      <w:pPr>
        <w:ind w:left="288" w:hanging="288"/>
        <w:spacing w:after="0"/>
        <w:tabs>
          <w:tab w:leader="none" w:pos="288"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receipt of the request of the Initiating Holders; provided that such right shall be exercised by the Company not more than once in any twelve (12) month period.</w:t>
      </w:r>
    </w:p>
    <w:p>
      <w:pPr>
        <w:spacing w:after="0" w:line="18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Company Registration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780" w:firstLine="1456"/>
        <w:spacing w:after="0" w:line="293" w:lineRule="auto"/>
        <w:tabs>
          <w:tab w:leader="none" w:pos="1681"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8"/>
          </w:cols>
          <w:pgMar w:left="312" w:top="252" w:right="319" w:bottom="1440" w:gutter="0" w:footer="0" w:header="0"/>
        </w:sectPr>
      </w:pPr>
    </w:p>
    <w:bookmarkStart w:id="383" w:name="page384"/>
    <w:bookmarkEnd w:id="383"/>
    <w:p>
      <w:pPr>
        <w:ind w:right="8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securities solely for cash (other than (i) a registration relating to a demand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or (ii) an Excluded Registration), the Company shall, at such time, promptly give each Holder written notice of such registration. Upon the written request of each Holder given within twenty (20) days after mailing of such notice by the Company in accordance with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of this Agreement, the Company shall, subject to the provisions of </w:t>
      </w:r>
      <w:r>
        <w:rPr>
          <w:rFonts w:ascii="Times New Roman" w:cs="Times New Roman" w:eastAsia="Times New Roman" w:hAnsi="Times New Roman"/>
          <w:sz w:val="15"/>
          <w:szCs w:val="15"/>
          <w:u w:val="single" w:color="auto"/>
          <w:color w:val="auto"/>
        </w:rPr>
        <w:t>Section 2.2(c)</w:t>
      </w:r>
      <w:r>
        <w:rPr>
          <w:rFonts w:ascii="Times New Roman" w:cs="Times New Roman" w:eastAsia="Times New Roman" w:hAnsi="Times New Roman"/>
          <w:sz w:val="15"/>
          <w:szCs w:val="15"/>
          <w:color w:val="auto"/>
        </w:rPr>
        <w:t xml:space="preserve"> of this Agreement, use its commercially reasonable efforts to cause to be registered under the Act all of the Registrable Securities that each such Holder requests to be registered.</w:t>
      </w:r>
    </w:p>
    <w:p>
      <w:pPr>
        <w:spacing w:after="0" w:line="152" w:lineRule="exact"/>
        <w:rPr>
          <w:sz w:val="20"/>
          <w:szCs w:val="20"/>
          <w:color w:val="auto"/>
        </w:rPr>
      </w:pPr>
    </w:p>
    <w:p>
      <w:pPr>
        <w:ind w:firstLine="1456"/>
        <w:spacing w:after="0" w:line="275" w:lineRule="auto"/>
        <w:tabs>
          <w:tab w:leader="none" w:pos="1682"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Right to Terminate Registration</w:t>
      </w:r>
      <w:r>
        <w:rPr>
          <w:rFonts w:ascii="Times New Roman" w:cs="Times New Roman" w:eastAsia="Times New Roman" w:hAnsi="Times New Roman"/>
          <w:sz w:val="15"/>
          <w:szCs w:val="15"/>
          <w:color w:val="auto"/>
        </w:rPr>
        <w:t xml:space="preserve">. The Company shall have the right to terminate or withdraw any registration initiated by it under this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prior to the effectiveness of such registration whether or not any Holder has elected to include securities in such registration. The expenses of such withdrawn registration shall be borne by the Company in accordance with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xml:space="preserve"> hereof.</w:t>
      </w:r>
    </w:p>
    <w:p>
      <w:pPr>
        <w:spacing w:after="0" w:line="144" w:lineRule="exact"/>
        <w:rPr>
          <w:rFonts w:ascii="Times New Roman" w:cs="Times New Roman" w:eastAsia="Times New Roman" w:hAnsi="Times New Roman"/>
          <w:sz w:val="15"/>
          <w:szCs w:val="15"/>
          <w:color w:val="auto"/>
        </w:rPr>
      </w:pPr>
    </w:p>
    <w:p>
      <w:pPr>
        <w:ind w:firstLine="1456"/>
        <w:spacing w:after="0" w:line="258" w:lineRule="auto"/>
        <w:tabs>
          <w:tab w:leader="none" w:pos="1673"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Underwriting Requirements</w:t>
      </w:r>
      <w:r>
        <w:rPr>
          <w:rFonts w:ascii="Times New Roman" w:cs="Times New Roman" w:eastAsia="Times New Roman" w:hAnsi="Times New Roman"/>
          <w:sz w:val="15"/>
          <w:szCs w:val="15"/>
          <w:color w:val="auto"/>
        </w:rPr>
        <w:t xml:space="preserve">. In connection with any offering involving an underwriting of shares of the Company’s capital stock, the Company shall not be required under this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(i) any Registrable Securities be excluded from such offering unless all other stockholders’ securities have been first excluded from the offering and (ii) the amount of securities of the selling Holders included in the offering be reduced below twenty percent (20%)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 To facilitate the allocation of shares in accordance with the above provisions, the Company or the underwriters may round the number of shares allocated to any Holder to the nearest one hundred (100) shares.</w:t>
      </w:r>
    </w:p>
    <w:p>
      <w:pPr>
        <w:spacing w:after="0" w:line="167" w:lineRule="exact"/>
        <w:rPr>
          <w:sz w:val="20"/>
          <w:szCs w:val="20"/>
          <w:color w:val="auto"/>
        </w:rPr>
      </w:pPr>
    </w:p>
    <w:p>
      <w:pPr>
        <w:ind w:right="20" w:firstLine="1014"/>
        <w:spacing w:after="0" w:line="275"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Form S-3 Registration</w:t>
      </w:r>
      <w:r>
        <w:rPr>
          <w:rFonts w:ascii="Times New Roman" w:cs="Times New Roman" w:eastAsia="Times New Roman" w:hAnsi="Times New Roman"/>
          <w:sz w:val="15"/>
          <w:szCs w:val="15"/>
          <w:color w:val="auto"/>
        </w:rPr>
        <w:t xml:space="preserve">. In case the Company shall receive from the Holders of at least twenty five percent (25%) of the Registrable Securities (for purposes of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S-3 Initiating Holders</w:t>
      </w:r>
      <w:r>
        <w:rPr>
          <w:rFonts w:ascii="Times New Roman" w:cs="Times New Roman" w:eastAsia="Times New Roman" w:hAnsi="Times New Roman"/>
          <w:sz w:val="15"/>
          <w:szCs w:val="15"/>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252" w:right="339" w:bottom="1440" w:gutter="0" w:footer="0" w:header="0"/>
        </w:sectPr>
      </w:pPr>
    </w:p>
    <w:bookmarkStart w:id="384" w:name="page385"/>
    <w:bookmarkEnd w:id="384"/>
    <w:p>
      <w:pPr>
        <w:ind w:left="1660" w:hanging="204"/>
        <w:spacing w:after="0"/>
        <w:tabs>
          <w:tab w:leader="none" w:pos="166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promptly give written notice of the proposed registration, and any related qualification or compliance, to all other Holders; and</w:t>
      </w:r>
    </w:p>
    <w:p>
      <w:pPr>
        <w:spacing w:after="0" w:line="196" w:lineRule="exact"/>
        <w:rPr>
          <w:rFonts w:ascii="Times New Roman" w:cs="Times New Roman" w:eastAsia="Times New Roman" w:hAnsi="Times New Roman"/>
          <w:sz w:val="15"/>
          <w:szCs w:val="15"/>
          <w:color w:val="auto"/>
        </w:rPr>
      </w:pPr>
    </w:p>
    <w:p>
      <w:pPr>
        <w:ind w:right="160" w:firstLine="1456"/>
        <w:spacing w:after="0" w:line="268" w:lineRule="auto"/>
        <w:tabs>
          <w:tab w:leader="none" w:pos="1682"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Company shall not be obligated to effect any such registration, qualification or compliance, pursuant to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ind w:left="2200" w:hanging="180"/>
        <w:spacing w:after="0"/>
        <w:tabs>
          <w:tab w:leader="none" w:pos="2200"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Form S-3 is not available for such offering by the Holders;</w:t>
      </w:r>
    </w:p>
    <w:p>
      <w:pPr>
        <w:spacing w:after="0" w:line="196" w:lineRule="exact"/>
        <w:rPr>
          <w:rFonts w:ascii="Times New Roman" w:cs="Times New Roman" w:eastAsia="Times New Roman" w:hAnsi="Times New Roman"/>
          <w:sz w:val="15"/>
          <w:szCs w:val="15"/>
          <w:color w:val="auto"/>
        </w:rPr>
      </w:pPr>
    </w:p>
    <w:p>
      <w:pPr>
        <w:ind w:right="680" w:firstLine="2020"/>
        <w:spacing w:after="0" w:line="293" w:lineRule="auto"/>
        <w:tabs>
          <w:tab w:leader="none" w:pos="2254"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$10,000,000;</w:t>
      </w:r>
    </w:p>
    <w:p>
      <w:pPr>
        <w:spacing w:after="0" w:line="132" w:lineRule="exact"/>
        <w:rPr>
          <w:rFonts w:ascii="Times New Roman" w:cs="Times New Roman" w:eastAsia="Times New Roman" w:hAnsi="Times New Roman"/>
          <w:sz w:val="15"/>
          <w:szCs w:val="15"/>
          <w:color w:val="auto"/>
        </w:rPr>
      </w:pPr>
    </w:p>
    <w:p>
      <w:pPr>
        <w:jc w:val="both"/>
        <w:ind w:right="20" w:firstLine="2020"/>
        <w:spacing w:after="0" w:line="268" w:lineRule="auto"/>
        <w:tabs>
          <w:tab w:leader="none" w:pos="2296"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Company shall furnish to all Holders requesting a registration statement pursuant to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provided that such right shall be exercised by the Company not more than once in any twelve (12) month period;</w:t>
      </w:r>
    </w:p>
    <w:p>
      <w:pPr>
        <w:spacing w:after="0" w:line="151" w:lineRule="exact"/>
        <w:rPr>
          <w:rFonts w:ascii="Times New Roman" w:cs="Times New Roman" w:eastAsia="Times New Roman" w:hAnsi="Times New Roman"/>
          <w:sz w:val="15"/>
          <w:szCs w:val="15"/>
          <w:color w:val="auto"/>
        </w:rPr>
      </w:pPr>
    </w:p>
    <w:p>
      <w:pPr>
        <w:ind w:left="2280" w:hanging="260"/>
        <w:spacing w:after="0"/>
        <w:tabs>
          <w:tab w:leader="none" w:pos="2280"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has, within the twelve (12) month period preceding the date of such request, already effected two (2) registrations on Form S-3</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pursuant to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right="420" w:firstLine="2020"/>
        <w:spacing w:after="0" w:line="293" w:lineRule="auto"/>
        <w:tabs>
          <w:tab w:leader="none" w:pos="2245"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particular jurisdiction in which the Company would be required to qualify to do business or to execute a general consent to service of process in effecting such registration, qualification or compliance;</w:t>
      </w:r>
    </w:p>
    <w:p>
      <w:pPr>
        <w:spacing w:after="0" w:line="132" w:lineRule="exact"/>
        <w:rPr>
          <w:rFonts w:ascii="Times New Roman" w:cs="Times New Roman" w:eastAsia="Times New Roman" w:hAnsi="Times New Roman"/>
          <w:sz w:val="15"/>
          <w:szCs w:val="15"/>
          <w:color w:val="auto"/>
        </w:rPr>
      </w:pPr>
    </w:p>
    <w:p>
      <w:pPr>
        <w:ind w:firstLine="2020"/>
        <w:spacing w:after="0" w:line="272" w:lineRule="auto"/>
        <w:tabs>
          <w:tab w:leader="none" w:pos="2288"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within thirty (30) days of receipt of the request of such S-3 Initiating Holders, gives notice of its bona fide intention to effect the filing of a registration statement with the SEC within one hundred twenty (120) days of receipt of such request (other than a registration specified in clause (i), (ii) or (iv) of the definition of Excluded Registration), provided that the Company is actively employing in good faith its commercially reasonable efforts to cause such registration statement to become effective; or</w:t>
      </w:r>
    </w:p>
    <w:p>
      <w:pPr>
        <w:spacing w:after="0" w:line="335" w:lineRule="exact"/>
        <w:rPr>
          <w:rFonts w:ascii="Times New Roman" w:cs="Times New Roman" w:eastAsia="Times New Roman" w:hAnsi="Times New Roman"/>
          <w:sz w:val="15"/>
          <w:szCs w:val="15"/>
          <w:color w:val="auto"/>
        </w:rPr>
      </w:pPr>
    </w:p>
    <w:p>
      <w:pPr>
        <w:jc w:val="both"/>
        <w:ind w:right="260" w:firstLine="2020"/>
        <w:spacing w:after="0" w:line="275" w:lineRule="auto"/>
        <w:tabs>
          <w:tab w:leader="none" w:pos="2330" w:val="left"/>
        </w:tabs>
        <w:numPr>
          <w:ilvl w:val="1"/>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during the period starting with the date thirty (30) days prior to the Company’s good faith estimate of the date of the filing of and ending on a date ninety (90) days following the effective date of a Company-initiated registration subject to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of this Agreement, provided that the Company is actively employing in good faith its commercially reasonable efforts to cause such registration statement to become effective.</w:t>
      </w:r>
    </w:p>
    <w:p>
      <w:pPr>
        <w:spacing w:after="0" w:line="144" w:lineRule="exact"/>
        <w:rPr>
          <w:rFonts w:ascii="Times New Roman" w:cs="Times New Roman" w:eastAsia="Times New Roman" w:hAnsi="Times New Roman"/>
          <w:sz w:val="15"/>
          <w:szCs w:val="15"/>
          <w:color w:val="auto"/>
        </w:rPr>
      </w:pPr>
    </w:p>
    <w:p>
      <w:pPr>
        <w:ind w:right="40" w:firstLine="1456"/>
        <w:spacing w:after="0" w:line="275" w:lineRule="auto"/>
        <w:tabs>
          <w:tab w:leader="none" w:pos="1673"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S-3 Initiating Holders intend to distribute the Registrable Securities covered by their request by means of an underwriting, they shall so advise the Company as a part of their request made pursuant to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and the Company shall include such information in the written notice referred to in </w:t>
      </w:r>
      <w:r>
        <w:rPr>
          <w:rFonts w:ascii="Times New Roman" w:cs="Times New Roman" w:eastAsia="Times New Roman" w:hAnsi="Times New Roman"/>
          <w:sz w:val="15"/>
          <w:szCs w:val="15"/>
          <w:u w:val="single" w:color="auto"/>
          <w:color w:val="auto"/>
        </w:rPr>
        <w:t>Section 2.3(a)</w:t>
      </w:r>
      <w:r>
        <w:rPr>
          <w:rFonts w:ascii="Times New Roman" w:cs="Times New Roman" w:eastAsia="Times New Roman" w:hAnsi="Times New Roman"/>
          <w:sz w:val="15"/>
          <w:szCs w:val="15"/>
          <w:color w:val="auto"/>
        </w:rPr>
        <w:t xml:space="preserve">. The provisions of </w:t>
      </w:r>
      <w:r>
        <w:rPr>
          <w:rFonts w:ascii="Times New Roman" w:cs="Times New Roman" w:eastAsia="Times New Roman" w:hAnsi="Times New Roman"/>
          <w:sz w:val="15"/>
          <w:szCs w:val="15"/>
          <w:u w:val="single" w:color="auto"/>
          <w:color w:val="auto"/>
        </w:rPr>
        <w:t>Section 2.1(b)</w:t>
      </w:r>
      <w:r>
        <w:rPr>
          <w:rFonts w:ascii="Times New Roman" w:cs="Times New Roman" w:eastAsia="Times New Roman" w:hAnsi="Times New Roman"/>
          <w:sz w:val="15"/>
          <w:szCs w:val="15"/>
          <w:color w:val="auto"/>
        </w:rPr>
        <w:t xml:space="preserve"> of this Agreement shall be applicable to such request (with the substitution of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for references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252" w:right="319" w:bottom="1440" w:gutter="0" w:footer="0" w:header="0"/>
        </w:sectPr>
      </w:pPr>
    </w:p>
    <w:bookmarkStart w:id="385" w:name="page386"/>
    <w:bookmarkEnd w:id="385"/>
    <w:p>
      <w:pPr>
        <w:ind w:firstLine="1456"/>
        <w:spacing w:after="0" w:line="275" w:lineRule="auto"/>
        <w:tabs>
          <w:tab w:leader="none" w:pos="1682"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shall not be counted as requests for registration effected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w:t>
      </w:r>
    </w:p>
    <w:p>
      <w:pPr>
        <w:spacing w:after="0" w:line="145" w:lineRule="exact"/>
        <w:rPr>
          <w:sz w:val="20"/>
          <w:szCs w:val="20"/>
          <w:color w:val="auto"/>
        </w:rPr>
      </w:pPr>
    </w:p>
    <w:p>
      <w:pPr>
        <w:ind w:right="10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u w:val="single" w:color="auto"/>
          <w:color w:val="auto"/>
        </w:rPr>
        <w:t>Obligations of the Company</w:t>
      </w:r>
      <w:r>
        <w:rPr>
          <w:rFonts w:ascii="Times New Roman" w:cs="Times New Roman" w:eastAsia="Times New Roman" w:hAnsi="Times New Roman"/>
          <w:sz w:val="15"/>
          <w:szCs w:val="15"/>
          <w:color w:val="auto"/>
        </w:rPr>
        <w:t xml:space="preserve">. Whenever required under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to effect the registration of any Registrable Securities, the Company shall, as expeditiously as reasonably possible:</w:t>
      </w:r>
    </w:p>
    <w:p>
      <w:pPr>
        <w:spacing w:after="0" w:line="132" w:lineRule="exact"/>
        <w:rPr>
          <w:sz w:val="20"/>
          <w:szCs w:val="20"/>
          <w:color w:val="auto"/>
        </w:rPr>
      </w:pPr>
    </w:p>
    <w:p>
      <w:pPr>
        <w:ind w:right="60" w:firstLine="1456"/>
        <w:spacing w:after="0" w:line="275" w:lineRule="auto"/>
        <w:tabs>
          <w:tab w:leader="none" w:pos="1673"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applicable registration statement has been completed;</w:t>
      </w:r>
    </w:p>
    <w:p>
      <w:pPr>
        <w:spacing w:after="0" w:line="144" w:lineRule="exact"/>
        <w:rPr>
          <w:rFonts w:ascii="Times New Roman" w:cs="Times New Roman" w:eastAsia="Times New Roman" w:hAnsi="Times New Roman"/>
          <w:sz w:val="15"/>
          <w:szCs w:val="15"/>
          <w:color w:val="auto"/>
        </w:rPr>
      </w:pPr>
    </w:p>
    <w:p>
      <w:pPr>
        <w:ind w:right="680" w:firstLine="1456"/>
        <w:spacing w:after="0" w:line="293" w:lineRule="auto"/>
        <w:tabs>
          <w:tab w:leader="none" w:pos="1682"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32" w:lineRule="exact"/>
        <w:rPr>
          <w:rFonts w:ascii="Times New Roman" w:cs="Times New Roman" w:eastAsia="Times New Roman" w:hAnsi="Times New Roman"/>
          <w:sz w:val="15"/>
          <w:szCs w:val="15"/>
          <w:color w:val="auto"/>
        </w:rPr>
      </w:pPr>
    </w:p>
    <w:p>
      <w:pPr>
        <w:ind w:right="100" w:firstLine="1456"/>
        <w:spacing w:after="0" w:line="293" w:lineRule="auto"/>
        <w:tabs>
          <w:tab w:leader="none" w:pos="1673"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32" w:lineRule="exact"/>
        <w:rPr>
          <w:rFonts w:ascii="Times New Roman" w:cs="Times New Roman" w:eastAsia="Times New Roman" w:hAnsi="Times New Roman"/>
          <w:sz w:val="15"/>
          <w:szCs w:val="15"/>
          <w:color w:val="auto"/>
        </w:rPr>
      </w:pPr>
    </w:p>
    <w:p>
      <w:pPr>
        <w:jc w:val="both"/>
        <w:ind w:right="20" w:firstLine="1456"/>
        <w:spacing w:after="0" w:line="275" w:lineRule="auto"/>
        <w:tabs>
          <w:tab w:leader="none" w:pos="1682"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w:t>
      </w:r>
    </w:p>
    <w:p>
      <w:pPr>
        <w:spacing w:after="0" w:line="144" w:lineRule="exact"/>
        <w:rPr>
          <w:rFonts w:ascii="Times New Roman" w:cs="Times New Roman" w:eastAsia="Times New Roman" w:hAnsi="Times New Roman"/>
          <w:sz w:val="15"/>
          <w:szCs w:val="15"/>
          <w:color w:val="auto"/>
        </w:rPr>
      </w:pPr>
    </w:p>
    <w:p>
      <w:pPr>
        <w:ind w:firstLine="1456"/>
        <w:spacing w:after="0" w:line="293" w:lineRule="auto"/>
        <w:tabs>
          <w:tab w:leader="none" w:pos="1673"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underwritten public offering, enter into and perform its obligations under an underwriting agreement, in usual and customary form, with the managing underwriter of such offering;</w:t>
      </w:r>
    </w:p>
    <w:p>
      <w:pPr>
        <w:spacing w:after="0" w:line="132" w:lineRule="exact"/>
        <w:rPr>
          <w:rFonts w:ascii="Times New Roman" w:cs="Times New Roman" w:eastAsia="Times New Roman" w:hAnsi="Times New Roman"/>
          <w:sz w:val="15"/>
          <w:szCs w:val="15"/>
          <w:color w:val="auto"/>
        </w:rPr>
      </w:pPr>
    </w:p>
    <w:p>
      <w:pPr>
        <w:ind w:firstLine="1456"/>
        <w:spacing w:after="0" w:line="262" w:lineRule="auto"/>
        <w:tabs>
          <w:tab w:leader="none" w:pos="1656"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20"/>
          </w:cols>
          <w:pgMar w:left="320" w:top="252" w:right="359" w:bottom="1440" w:gutter="0" w:footer="0" w:header="0"/>
        </w:sectPr>
      </w:pPr>
    </w:p>
    <w:bookmarkStart w:id="386" w:name="page387"/>
    <w:bookmarkEnd w:id="386"/>
    <w:p>
      <w:pPr>
        <w:ind w:right="440" w:firstLine="1456"/>
        <w:spacing w:after="0" w:line="293" w:lineRule="auto"/>
        <w:tabs>
          <w:tab w:leader="none" w:pos="1682"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cause all such Registrable Securities registered pursuant to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to be listed on a national exchange or trading system and on each securities exchange and trading system on which similar securities issued by the Company are then listed; and</w:t>
      </w:r>
    </w:p>
    <w:p>
      <w:pPr>
        <w:spacing w:after="0" w:line="132" w:lineRule="exact"/>
        <w:rPr>
          <w:rFonts w:ascii="Times New Roman" w:cs="Times New Roman" w:eastAsia="Times New Roman" w:hAnsi="Times New Roman"/>
          <w:sz w:val="15"/>
          <w:szCs w:val="15"/>
          <w:color w:val="auto"/>
        </w:rPr>
      </w:pPr>
    </w:p>
    <w:p>
      <w:pPr>
        <w:ind w:right="360" w:firstLine="1456"/>
        <w:spacing w:after="0" w:line="293" w:lineRule="auto"/>
        <w:tabs>
          <w:tab w:leader="none" w:pos="1682"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32" w:lineRule="exact"/>
        <w:rPr>
          <w:sz w:val="20"/>
          <w:szCs w:val="20"/>
          <w:color w:val="auto"/>
        </w:rPr>
      </w:pPr>
    </w:p>
    <w:p>
      <w:pPr>
        <w:ind w:right="220" w:firstLine="451"/>
        <w:spacing w:after="0" w:line="275" w:lineRule="auto"/>
        <w:rPr>
          <w:sz w:val="20"/>
          <w:szCs w:val="20"/>
          <w:color w:val="auto"/>
        </w:rPr>
      </w:pPr>
      <w:r>
        <w:rPr>
          <w:rFonts w:ascii="Times New Roman" w:cs="Times New Roman" w:eastAsia="Times New Roman" w:hAnsi="Times New Roman"/>
          <w:sz w:val="15"/>
          <w:szCs w:val="15"/>
          <w:color w:val="auto"/>
        </w:rPr>
        <w:t xml:space="preserve">Notwithstanding the provisions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w:t>
      </w:r>
    </w:p>
    <w:p>
      <w:pPr>
        <w:spacing w:after="0" w:line="145" w:lineRule="exact"/>
        <w:rPr>
          <w:sz w:val="20"/>
          <w:szCs w:val="20"/>
          <w:color w:val="auto"/>
        </w:rPr>
      </w:pPr>
    </w:p>
    <w:p>
      <w:pPr>
        <w:ind w:right="460" w:firstLine="2020"/>
        <w:spacing w:after="0" w:line="293" w:lineRule="auto"/>
        <w:tabs>
          <w:tab w:leader="none" w:pos="2211"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materially impede, delay or interfere with any material pending or proposed financing, acquisition, corporate reorganization or other similar transaction involving the Company for which the Board has authorized negotiations;</w:t>
      </w:r>
    </w:p>
    <w:p>
      <w:pPr>
        <w:spacing w:after="0" w:line="132" w:lineRule="exact"/>
        <w:rPr>
          <w:rFonts w:ascii="Times New Roman" w:cs="Times New Roman" w:eastAsia="Times New Roman" w:hAnsi="Times New Roman"/>
          <w:sz w:val="15"/>
          <w:szCs w:val="15"/>
          <w:color w:val="auto"/>
        </w:rPr>
      </w:pPr>
    </w:p>
    <w:p>
      <w:pPr>
        <w:ind w:left="2240" w:hanging="220"/>
        <w:spacing w:after="0"/>
        <w:tabs>
          <w:tab w:leader="none" w:pos="2240"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materially and adversely impair the consummation of any pending or proposed material offering or sale of any class of securities by the Company;</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w:t>
      </w:r>
    </w:p>
    <w:p>
      <w:pPr>
        <w:spacing w:after="0" w:line="181" w:lineRule="exact"/>
        <w:rPr>
          <w:rFonts w:ascii="Times New Roman" w:cs="Times New Roman" w:eastAsia="Times New Roman" w:hAnsi="Times New Roman"/>
          <w:sz w:val="15"/>
          <w:szCs w:val="15"/>
          <w:color w:val="auto"/>
        </w:rPr>
      </w:pPr>
    </w:p>
    <w:p>
      <w:pPr>
        <w:ind w:right="40" w:firstLine="2020"/>
        <w:spacing w:after="0" w:line="275" w:lineRule="auto"/>
        <w:tabs>
          <w:tab w:leader="none" w:pos="2296"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require disclosure of material nonpublic information that, if disclosed at such time, would be materially harmful to the interests of the Company and its stockholders;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during any such period all executive officers and directors of the Company are also prohibited from selling securities of the Company (or any security of any of the Company’s subsidiaries or affiliates).</w:t>
      </w:r>
    </w:p>
    <w:p>
      <w:pPr>
        <w:spacing w:after="0" w:line="145" w:lineRule="exact"/>
        <w:rPr>
          <w:sz w:val="20"/>
          <w:szCs w:val="20"/>
          <w:color w:val="auto"/>
        </w:rPr>
      </w:pPr>
    </w:p>
    <w:p>
      <w:pPr>
        <w:ind w:right="120" w:firstLine="451"/>
        <w:spacing w:after="0" w:line="293" w:lineRule="auto"/>
        <w:rPr>
          <w:sz w:val="20"/>
          <w:szCs w:val="20"/>
          <w:color w:val="auto"/>
        </w:rPr>
      </w:pPr>
      <w:r>
        <w:rPr>
          <w:rFonts w:ascii="Times New Roman" w:cs="Times New Roman" w:eastAsia="Times New Roman" w:hAnsi="Times New Roman"/>
          <w:sz w:val="15"/>
          <w:szCs w:val="15"/>
          <w:color w:val="auto"/>
        </w:rPr>
        <w:t xml:space="preserve">In the event of the suspension of effectiveness of any registration statement pursuant to this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the applicable time period during which such registration statement is to remain effective shall be extended by that number of days equal to the number of days the effectiveness of such registration statement was suspended.</w:t>
      </w:r>
    </w:p>
    <w:p>
      <w:pPr>
        <w:spacing w:after="0" w:line="132" w:lineRule="exact"/>
        <w:rPr>
          <w:sz w:val="20"/>
          <w:szCs w:val="20"/>
          <w:color w:val="auto"/>
        </w:rPr>
      </w:pPr>
    </w:p>
    <w:p>
      <w:pPr>
        <w:ind w:right="300" w:firstLine="1014"/>
        <w:spacing w:after="0" w:line="275" w:lineRule="auto"/>
        <w:rPr>
          <w:sz w:val="20"/>
          <w:szCs w:val="20"/>
          <w:color w:val="auto"/>
        </w:rPr>
      </w:pPr>
      <w:r>
        <w:rPr>
          <w:rFonts w:ascii="Times New Roman" w:cs="Times New Roman" w:eastAsia="Times New Roman" w:hAnsi="Times New Roman"/>
          <w:sz w:val="15"/>
          <w:szCs w:val="15"/>
          <w:color w:val="auto"/>
        </w:rPr>
        <w:t xml:space="preserve">2.5 </w:t>
      </w:r>
      <w:r>
        <w:rPr>
          <w:rFonts w:ascii="Times New Roman" w:cs="Times New Roman" w:eastAsia="Times New Roman" w:hAnsi="Times New Roman"/>
          <w:sz w:val="15"/>
          <w:szCs w:val="15"/>
          <w:u w:val="single" w:color="auto"/>
          <w:color w:val="auto"/>
        </w:rPr>
        <w:t>Information from Holder</w:t>
      </w:r>
      <w:r>
        <w:rPr>
          <w:rFonts w:ascii="Times New Roman" w:cs="Times New Roman" w:eastAsia="Times New Roman" w:hAnsi="Times New Roman"/>
          <w:sz w:val="15"/>
          <w:szCs w:val="15"/>
          <w:color w:val="auto"/>
        </w:rPr>
        <w:t xml:space="preserve">. It shall be a condition precedent to the obligations of the Company to take any action pursuant to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45" w:lineRule="exact"/>
        <w:rPr>
          <w:sz w:val="20"/>
          <w:szCs w:val="20"/>
          <w:color w:val="auto"/>
        </w:rPr>
      </w:pPr>
    </w:p>
    <w:p>
      <w:pPr>
        <w:ind w:right="20" w:firstLine="1014"/>
        <w:spacing w:after="0" w:line="261"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u w:val="single" w:color="auto"/>
          <w:color w:val="auto"/>
        </w:rPr>
        <w:t>Expenses of Registration</w:t>
      </w:r>
      <w:r>
        <w:rPr>
          <w:rFonts w:ascii="Times New Roman" w:cs="Times New Roman" w:eastAsia="Times New Roman" w:hAnsi="Times New Roman"/>
          <w:sz w:val="15"/>
          <w:szCs w:val="15"/>
          <w:color w:val="auto"/>
        </w:rPr>
        <w:t xml:space="preserve">. All expenses other than underwriting discounts and commissions incurred in connection with registrations, filings or qualifications pursuant to </w:t>
      </w:r>
      <w:r>
        <w:rPr>
          <w:rFonts w:ascii="Times New Roman" w:cs="Times New Roman" w:eastAsia="Times New Roman" w:hAnsi="Times New Roman"/>
          <w:sz w:val="15"/>
          <w:szCs w:val="15"/>
          <w:u w:val="single" w:color="auto"/>
          <w:color w:val="auto"/>
        </w:rPr>
        <w:t>Sections 2.1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2.2</w:t>
      </w:r>
      <w:r>
        <w:rPr>
          <w:rFonts w:ascii="Times New Roman" w:cs="Times New Roman" w:eastAsia="Times New Roman" w:hAnsi="Times New Roman"/>
          <w:sz w:val="15"/>
          <w:szCs w:val="15"/>
          <w:color w:val="auto"/>
        </w:rPr>
        <w:t xml:space="preserve"> of this Agreement, including, without limitation, all registration, filing and qualification fees, printers’ and accounting fees, fees and disbursements of counsel for the Company and the reasonable fees and disbursements of one counsel for the selling Holders (not to exceed $50,000) shall be borne by the Company. Notwithstanding the foregoing, the Company shall not be required to pay for any expenses of any registration proceeding begun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the Holders of a majority of the Registrable Securities agree to forfeit their right to one demand registration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if at the time of such withdrawal, the Holders have learned of a material adverse change in the condition, business or prospects of the Company from that known to the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0"/>
          </w:cols>
          <w:pgMar w:left="320" w:top="252" w:right="319" w:bottom="1440" w:gutter="0" w:footer="0" w:header="0"/>
        </w:sectPr>
      </w:pPr>
    </w:p>
    <w:bookmarkStart w:id="387" w:name="page388"/>
    <w:bookmarkEnd w:id="387"/>
    <w:p>
      <w:pPr>
        <w:ind w:left="8" w:right="20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Holders at the time of their request and have withdrawn the request with reasonable promptness following disclosure by the Company of such material adverse change, then the Holders shall not be required to pay any of such expenses and shall retain their rights pursuant to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Agreement. All expenses incurred in connection with a registration requested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of this Agreement, including, without limitation, all registration, filing, qualification, printer’s and accounting fees and the reasonable fees and disbursements of counsel for the selling Holder or Holders and counsel for the Company, shall be borne pro rata by the Holder or Holders participating in such registration effected pursuant to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of this Agreement.</w:t>
      </w:r>
    </w:p>
    <w:p>
      <w:pPr>
        <w:spacing w:after="0" w:line="154" w:lineRule="exact"/>
        <w:rPr>
          <w:sz w:val="20"/>
          <w:szCs w:val="20"/>
          <w:color w:val="auto"/>
        </w:rPr>
      </w:pPr>
    </w:p>
    <w:p>
      <w:pPr>
        <w:ind w:left="8" w:right="22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u w:val="single" w:color="auto"/>
          <w:color w:val="auto"/>
        </w:rPr>
        <w:t>Delay of Registration</w:t>
      </w:r>
      <w:r>
        <w:rPr>
          <w:rFonts w:ascii="Times New Roman" w:cs="Times New Roman" w:eastAsia="Times New Roman" w:hAnsi="Times New Roman"/>
          <w:sz w:val="15"/>
          <w:szCs w:val="15"/>
          <w:color w:val="auto"/>
        </w:rPr>
        <w:t xml:space="preserve">. No Holder shall have any right to obtain or seek an injunction restraining or otherwise delaying any such registration as the result of any controversy that might arise with respect to the interpretation or implementation of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2.8 </w:t>
      </w: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 xml:space="preserve">. In the event any Registrable Securities are included in a registration statement under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firstLine="1456"/>
        <w:spacing w:after="0" w:line="260" w:lineRule="auto"/>
        <w:tabs>
          <w:tab w:leader="none" w:pos="1681" w:val="left"/>
        </w:tabs>
        <w:numPr>
          <w:ilvl w:val="1"/>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 w:cs="Times New Roman" w:eastAsia="Times New Roman" w:hAnsi="Times New Roman"/>
          <w:sz w:val="15"/>
          <w:szCs w:val="15"/>
          <w:u w:val="single" w:color="auto"/>
          <w:color w:val="auto"/>
        </w:rPr>
        <w:t>Violation</w:t>
      </w:r>
      <w:r>
        <w:rPr>
          <w:rFonts w:ascii="Times New Roman" w:cs="Times New Roman" w:eastAsia="Times New Roman" w:hAnsi="Times New Roman"/>
          <w:sz w:val="15"/>
          <w:szCs w:val="15"/>
          <w:color w:val="auto"/>
        </w:rPr>
        <w:t>”):</w:t>
      </w:r>
    </w:p>
    <w:p>
      <w:pPr>
        <w:spacing w:after="0" w:line="2" w:lineRule="exact"/>
        <w:rPr>
          <w:rFonts w:ascii="Times New Roman" w:cs="Times New Roman" w:eastAsia="Times New Roman" w:hAnsi="Times New Roman"/>
          <w:sz w:val="15"/>
          <w:szCs w:val="15"/>
          <w:color w:val="auto"/>
        </w:rPr>
      </w:pPr>
    </w:p>
    <w:p>
      <w:pPr>
        <w:ind w:left="8" w:hanging="8"/>
        <w:spacing w:after="0" w:line="258" w:lineRule="auto"/>
        <w:tabs>
          <w:tab w:leader="none" w:pos="191"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untrue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action or proceeding as such expenses are incurred;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indemnity agreement contained in this </w:t>
      </w:r>
      <w:r>
        <w:rPr>
          <w:rFonts w:ascii="Times New Roman" w:cs="Times New Roman" w:eastAsia="Times New Roman" w:hAnsi="Times New Roman"/>
          <w:sz w:val="15"/>
          <w:szCs w:val="15"/>
          <w:u w:val="single" w:color="auto"/>
          <w:color w:val="auto"/>
        </w:rPr>
        <w:t>Section 2.8(a)</w:t>
      </w:r>
      <w:r>
        <w:rPr>
          <w:rFonts w:ascii="Times New Roman" w:cs="Times New Roman" w:eastAsia="Times New Roman" w:hAnsi="Times New Roman"/>
          <w:sz w:val="15"/>
          <w:szCs w:val="15"/>
          <w:color w:val="auto"/>
        </w:rPr>
        <w:t xml:space="preserve">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59" w:lineRule="exact"/>
        <w:rPr>
          <w:rFonts w:ascii="Times New Roman" w:cs="Times New Roman" w:eastAsia="Times New Roman" w:hAnsi="Times New Roman"/>
          <w:sz w:val="15"/>
          <w:szCs w:val="15"/>
          <w:color w:val="auto"/>
        </w:rPr>
      </w:pPr>
    </w:p>
    <w:p>
      <w:pPr>
        <w:ind w:left="8" w:right="80" w:firstLine="1456"/>
        <w:spacing w:after="0" w:line="268" w:lineRule="auto"/>
        <w:tabs>
          <w:tab w:leader="none" w:pos="1690"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w:t>
      </w:r>
    </w:p>
    <w:p>
      <w:pPr>
        <w:spacing w:after="0" w:line="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8"/>
          </w:cols>
          <w:pgMar w:left="312" w:top="252" w:right="339" w:bottom="1440" w:gutter="0" w:footer="0" w:header="0"/>
        </w:sectPr>
      </w:pPr>
    </w:p>
    <w:bookmarkStart w:id="388" w:name="page389"/>
    <w:bookmarkEnd w:id="388"/>
    <w:p>
      <w:pPr>
        <w:ind w:right="2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for any legal or other expenses reasonably incurred by such Person in connection with investigating or defending any such loss, claim, damage, liability, action or proceeding as such expenses are incurred;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indemnity agreement contained in this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shall not apply to amounts paid in settlement of any such loss, claim, damage, liability, action or proceeding if such settlement is effected without the consent of the Holder (which consent shall not be unreasonably withheld), and provided that in no event shall any indemnity under this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exceed the net proceeds from the offering received by such Holder, except in the case of fraud or willful misconduct by such Holder.</w:t>
      </w:r>
    </w:p>
    <w:p>
      <w:pPr>
        <w:spacing w:after="0" w:line="159" w:lineRule="exact"/>
        <w:rPr>
          <w:sz w:val="20"/>
          <w:szCs w:val="20"/>
          <w:color w:val="auto"/>
        </w:rPr>
      </w:pPr>
    </w:p>
    <w:p>
      <w:pPr>
        <w:ind w:firstLine="1456"/>
        <w:spacing w:after="0" w:line="260" w:lineRule="auto"/>
        <w:tabs>
          <w:tab w:leader="none" w:pos="1673"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Promptly after receipt by an indemnified party under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of notice of the commencement of any action or proceeding (including any governmental action or proceeding) for which a party may be entitled to indemnification, such indemnified party will, if a claim in respect thereof is to be made against any indemnifying party under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or proceeding, if prejudicial to its ability to defend such action or proceeding, shall relieve such indemnifying party of any liability to the indemnified party under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to the extent of such prejudice, but the omission to so deliver written notice to the indemnifying party will not relieve such indemnifying party of any liability that it may have to any indemnified party otherwise than under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w:t>
      </w:r>
    </w:p>
    <w:p>
      <w:pPr>
        <w:spacing w:after="0" w:line="344" w:lineRule="exact"/>
        <w:rPr>
          <w:rFonts w:ascii="Times New Roman" w:cs="Times New Roman" w:eastAsia="Times New Roman" w:hAnsi="Times New Roman"/>
          <w:sz w:val="15"/>
          <w:szCs w:val="15"/>
          <w:color w:val="auto"/>
        </w:rPr>
      </w:pPr>
    </w:p>
    <w:p>
      <w:pPr>
        <w:ind w:right="80" w:firstLine="1456"/>
        <w:spacing w:after="0" w:line="260" w:lineRule="auto"/>
        <w:tabs>
          <w:tab w:leader="none" w:pos="1682"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indemnification provided for in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 no contribution by any Holder, when combined with any amounts paid by such Holder pursuant to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xml:space="preserve">,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provided further that in no event shall a Holder’s liability pursuant to this </w:t>
      </w:r>
      <w:r>
        <w:rPr>
          <w:rFonts w:ascii="Times New Roman" w:cs="Times New Roman" w:eastAsia="Times New Roman" w:hAnsi="Times New Roman"/>
          <w:sz w:val="15"/>
          <w:szCs w:val="15"/>
          <w:u w:val="single" w:color="auto"/>
          <w:color w:val="auto"/>
        </w:rPr>
        <w:t>Section 2.8(d)</w:t>
      </w:r>
      <w:r>
        <w:rPr>
          <w:rFonts w:ascii="Times New Roman" w:cs="Times New Roman" w:eastAsia="Times New Roman" w:hAnsi="Times New Roman"/>
          <w:sz w:val="15"/>
          <w:szCs w:val="15"/>
          <w:color w:val="auto"/>
        </w:rPr>
        <w:t xml:space="preserve">, when combined with the amounts paid or payable by such Holder pursuant to </w:t>
      </w:r>
      <w:r>
        <w:rPr>
          <w:rFonts w:ascii="Times New Roman" w:cs="Times New Roman" w:eastAsia="Times New Roman" w:hAnsi="Times New Roman"/>
          <w:sz w:val="15"/>
          <w:szCs w:val="15"/>
          <w:u w:val="single" w:color="auto"/>
          <w:color w:val="auto"/>
        </w:rPr>
        <w:t>Section 2.8(b)</w:t>
      </w:r>
      <w:r>
        <w:rPr>
          <w:rFonts w:ascii="Times New Roman" w:cs="Times New Roman" w:eastAsia="Times New Roman" w:hAnsi="Times New Roman"/>
          <w:sz w:val="15"/>
          <w:szCs w:val="15"/>
          <w:color w:val="auto"/>
        </w:rPr>
        <w:t>, exceed the net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60"/>
          </w:cols>
          <w:pgMar w:left="320" w:top="252" w:right="319" w:bottom="1440" w:gutter="0" w:footer="0" w:header="0"/>
        </w:sectPr>
      </w:pPr>
    </w:p>
    <w:bookmarkStart w:id="389" w:name="page390"/>
    <w:bookmarkEnd w:id="389"/>
    <w:p>
      <w:pPr>
        <w:ind w:right="60" w:firstLine="1456"/>
        <w:spacing w:after="0" w:line="293" w:lineRule="auto"/>
        <w:tabs>
          <w:tab w:leader="none" w:pos="1673"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2" w:lineRule="exact"/>
        <w:rPr>
          <w:rFonts w:ascii="Times New Roman" w:cs="Times New Roman" w:eastAsia="Times New Roman" w:hAnsi="Times New Roman"/>
          <w:sz w:val="15"/>
          <w:szCs w:val="15"/>
          <w:color w:val="auto"/>
        </w:rPr>
      </w:pPr>
    </w:p>
    <w:p>
      <w:pPr>
        <w:ind w:right="100" w:firstLine="1456"/>
        <w:spacing w:after="0" w:line="293" w:lineRule="auto"/>
        <w:tabs>
          <w:tab w:leader="none" w:pos="1656"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obligations of the Company and Holders under this </w:t>
      </w:r>
      <w:r>
        <w:rPr>
          <w:rFonts w:ascii="Times New Roman" w:cs="Times New Roman" w:eastAsia="Times New Roman" w:hAnsi="Times New Roman"/>
          <w:sz w:val="15"/>
          <w:szCs w:val="15"/>
          <w:u w:val="single" w:color="auto"/>
          <w:color w:val="auto"/>
        </w:rPr>
        <w:t>Section 2.8</w:t>
      </w:r>
      <w:r>
        <w:rPr>
          <w:rFonts w:ascii="Times New Roman" w:cs="Times New Roman" w:eastAsia="Times New Roman" w:hAnsi="Times New Roman"/>
          <w:sz w:val="15"/>
          <w:szCs w:val="15"/>
          <w:color w:val="auto"/>
        </w:rPr>
        <w:t xml:space="preserve"> shall survive the completion of any offering of Registrable Securities in a registration statement under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and otherwise.</w:t>
      </w:r>
    </w:p>
    <w:p>
      <w:pPr>
        <w:spacing w:after="0" w:line="132" w:lineRule="exact"/>
        <w:rPr>
          <w:sz w:val="20"/>
          <w:szCs w:val="20"/>
          <w:color w:val="auto"/>
        </w:rPr>
      </w:pPr>
    </w:p>
    <w:p>
      <w:pPr>
        <w:ind w:right="4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2.9 </w:t>
      </w:r>
      <w:r>
        <w:rPr>
          <w:rFonts w:ascii="Times New Roman" w:cs="Times New Roman" w:eastAsia="Times New Roman" w:hAnsi="Times New Roman"/>
          <w:sz w:val="15"/>
          <w:szCs w:val="15"/>
          <w:u w:val="single" w:color="auto"/>
          <w:color w:val="auto"/>
        </w:rPr>
        <w:t>Reports Under the 1934 Act</w:t>
      </w:r>
      <w:r>
        <w:rPr>
          <w:rFonts w:ascii="Times New Roman" w:cs="Times New Roman" w:eastAsia="Times New Roman" w:hAnsi="Times New Roman"/>
          <w:sz w:val="15"/>
          <w:szCs w:val="15"/>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make and keep public information available, as those terms are understood and defined in Rule 144, at all times after the effective date of the Initial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Offering;</w:t>
      </w:r>
    </w:p>
    <w:p>
      <w:pPr>
        <w:spacing w:after="0" w:line="182" w:lineRule="exact"/>
        <w:rPr>
          <w:sz w:val="20"/>
          <w:szCs w:val="20"/>
          <w:color w:val="auto"/>
        </w:rPr>
      </w:pPr>
    </w:p>
    <w:p>
      <w:pPr>
        <w:ind w:left="1680" w:hanging="224"/>
        <w:spacing w:after="0"/>
        <w:tabs>
          <w:tab w:leader="none" w:pos="168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with the SEC in a timely manner all reports and other documents required of the Company under the Act and the 1934 Act; and</w:t>
      </w:r>
    </w:p>
    <w:p>
      <w:pPr>
        <w:spacing w:after="0" w:line="196" w:lineRule="exact"/>
        <w:rPr>
          <w:rFonts w:ascii="Times New Roman" w:cs="Times New Roman" w:eastAsia="Times New Roman" w:hAnsi="Times New Roman"/>
          <w:sz w:val="15"/>
          <w:szCs w:val="15"/>
          <w:color w:val="auto"/>
        </w:rPr>
      </w:pPr>
    </w:p>
    <w:p>
      <w:pPr>
        <w:ind w:right="60" w:firstLine="1456"/>
        <w:spacing w:after="0" w:line="264" w:lineRule="auto"/>
        <w:tabs>
          <w:tab w:leader="none" w:pos="1673"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53" w:lineRule="exact"/>
        <w:rPr>
          <w:sz w:val="20"/>
          <w:szCs w:val="20"/>
          <w:color w:val="auto"/>
        </w:rPr>
      </w:pPr>
    </w:p>
    <w:p>
      <w:pPr>
        <w:ind w:firstLine="1014"/>
        <w:spacing w:after="0" w:line="261" w:lineRule="auto"/>
        <w:rPr>
          <w:sz w:val="20"/>
          <w:szCs w:val="20"/>
          <w:color w:val="auto"/>
        </w:rPr>
      </w:pPr>
      <w:r>
        <w:rPr>
          <w:rFonts w:ascii="Times New Roman" w:cs="Times New Roman" w:eastAsia="Times New Roman" w:hAnsi="Times New Roman"/>
          <w:sz w:val="15"/>
          <w:szCs w:val="15"/>
          <w:color w:val="auto"/>
        </w:rPr>
        <w:t xml:space="preserve">2.10 </w:t>
      </w:r>
      <w:r>
        <w:rPr>
          <w:rFonts w:ascii="Times New Roman" w:cs="Times New Roman" w:eastAsia="Times New Roman" w:hAnsi="Times New Roman"/>
          <w:sz w:val="15"/>
          <w:szCs w:val="15"/>
          <w:u w:val="single" w:color="auto"/>
          <w:color w:val="auto"/>
        </w:rPr>
        <w:t>Assignment of Registration Rights</w:t>
      </w:r>
      <w:r>
        <w:rPr>
          <w:rFonts w:ascii="Times New Roman" w:cs="Times New Roman" w:eastAsia="Times New Roman" w:hAnsi="Times New Roman"/>
          <w:sz w:val="15"/>
          <w:szCs w:val="15"/>
          <w:color w:val="auto"/>
        </w:rPr>
        <w:t xml:space="preserve">. The rights to cause the Company to register Registrable Securities pursuant to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may be assigned (but only with all related obligations) by a Holder to a transferee or assignee of such securities that (a) is an Affiliate, subsidiary, parent, partner, limited partner, retired partner, member or stockholder of a Holder, (b) is a Holder’s Family Member or trust for the benefit of an individual Holder or any of such Holder’s Family Members, or (c) after such assignment or transfer, holds at least 160,000 shares of Registrable Securities (appropriately adjusted for any stock split, dividend, combination or other recapitalization),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of this Agreement; and (iii) such assignment shall be effective only if immediately following such transfer the further disposition of such securities by the transferee or assignee is restricted under the Act.</w:t>
      </w:r>
    </w:p>
    <w:p>
      <w:pPr>
        <w:spacing w:after="0" w:line="159" w:lineRule="exact"/>
        <w:rPr>
          <w:sz w:val="20"/>
          <w:szCs w:val="20"/>
          <w:color w:val="auto"/>
        </w:rPr>
      </w:pPr>
    </w:p>
    <w:p>
      <w:pPr>
        <w:ind w:right="40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2.11 </w:t>
      </w:r>
      <w:r>
        <w:rPr>
          <w:rFonts w:ascii="Times New Roman" w:cs="Times New Roman" w:eastAsia="Times New Roman" w:hAnsi="Times New Roman"/>
          <w:sz w:val="15"/>
          <w:szCs w:val="15"/>
          <w:u w:val="single" w:color="auto"/>
          <w:color w:val="auto"/>
        </w:rPr>
        <w:t>Limitations on Subsequent Registration Rights</w:t>
      </w:r>
      <w:r>
        <w:rPr>
          <w:rFonts w:ascii="Times New Roman" w:cs="Times New Roman" w:eastAsia="Times New Roman" w:hAnsi="Times New Roman"/>
          <w:sz w:val="15"/>
          <w:szCs w:val="15"/>
          <w:color w:val="auto"/>
        </w:rPr>
        <w:t>. From and after the date of this Agreement, the Company shall not, without the prior written consent of the Holders holding a majority of the Registrable Securities then held by all Holders, enter into any agreement with any holder or</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180"/>
          </w:cols>
          <w:pgMar w:left="320" w:top="252" w:right="399" w:bottom="1440" w:gutter="0" w:footer="0" w:header="0"/>
        </w:sectPr>
      </w:pPr>
    </w:p>
    <w:bookmarkStart w:id="390" w:name="page391"/>
    <w:bookmarkEnd w:id="390"/>
    <w:p>
      <w:pPr>
        <w:jc w:val="both"/>
        <w:ind w:left="8" w:right="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prospective holder of any securities of the Company that would allow such holder or prospective holder (a) to include any of such securities in any registration filed under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2.3</w:t>
      </w:r>
      <w:r>
        <w:rPr>
          <w:rFonts w:ascii="Times New Roman" w:cs="Times New Roman" w:eastAsia="Times New Roman" w:hAnsi="Times New Roman"/>
          <w:sz w:val="15"/>
          <w:szCs w:val="15"/>
          <w:color w:val="auto"/>
        </w:rPr>
        <w:t xml:space="preserve">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provided that this limitation shall not apply to any additional Investor who becomes a party to this Agreement in accordance with </w:t>
      </w:r>
      <w:r>
        <w:rPr>
          <w:rFonts w:ascii="Times New Roman" w:cs="Times New Roman" w:eastAsia="Times New Roman" w:hAnsi="Times New Roman"/>
          <w:sz w:val="15"/>
          <w:szCs w:val="15"/>
          <w:u w:val="single" w:color="auto"/>
          <w:color w:val="auto"/>
        </w:rPr>
        <w:t>Subsection 4.10</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2.12 </w:t>
      </w:r>
      <w:r>
        <w:rPr>
          <w:rFonts w:ascii="Times New Roman" w:cs="Times New Roman" w:eastAsia="Times New Roman" w:hAnsi="Times New Roman"/>
          <w:sz w:val="15"/>
          <w:szCs w:val="15"/>
          <w:u w:val="single" w:color="auto"/>
          <w:color w:val="auto"/>
        </w:rPr>
        <w:t>“Market Stand-Off” Agreement</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80" w:firstLine="1456"/>
        <w:spacing w:after="0" w:line="266" w:lineRule="auto"/>
        <w:tabs>
          <w:tab w:leader="none" w:pos="1681" w:val="left"/>
        </w:tabs>
        <w:numPr>
          <w:ilvl w:val="1"/>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Holder hereby agrees that it will not, without the prior written consent of the managing underwriter, during the period commencing on the date of the final prospectus relating to the Initial Offering and ending on the date specified by the Company and the managing underwriter, such period not to exceed one hundred eighty (180):</w:t>
      </w:r>
    </w:p>
    <w:p>
      <w:pPr>
        <w:spacing w:after="0" w:line="1" w:lineRule="exact"/>
        <w:rPr>
          <w:rFonts w:ascii="Times New Roman" w:cs="Times New Roman" w:eastAsia="Times New Roman" w:hAnsi="Times New Roman"/>
          <w:sz w:val="15"/>
          <w:szCs w:val="15"/>
          <w:color w:val="auto"/>
        </w:rPr>
      </w:pPr>
    </w:p>
    <w:p>
      <w:pPr>
        <w:ind w:left="8" w:hanging="8"/>
        <w:spacing w:after="0" w:line="258" w:lineRule="auto"/>
        <w:tabs>
          <w:tab w:leader="none" w:pos="191"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such Initial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(i) shall apply only to the Initial Offering, (ii) shall not apply to (A) the sale of any shares to an underwriter pursuant to an underwriting agreement, or (B) the transfer of any shares to any trust for the direct or indirect benefit of a Holder or any Family Member of such Holder, provided that the trustee of the trust agrees to be bound in writing by the restrictions set forth herein, and provided, further, that any such transfer shall not involve a disposition for value, and (iii) shall only be applicable to the Holders if all officers, directors and greater than one percent (1%) stockholders of the Company enter into similar agreements. Notwithstanding the foregoing, the Company and the managing underwriter may extend the market stand-off period specified above solely to the extent necessary to accommodate regulatory restrictions on (1) the publication or other distribution of research reports, and (2) analyst recommendations and opinions, including, without limitation, the restrictions, if any, contained in FINRA Rule 2241 or any successor provisions or amendments thereto. Any discretionary waiver or termination of the restrictions of any or all of such agreements by the Company or the underwriters shall apply to all Holders subject to such agreements pro rata based on the number of shares subject to such agreements, after giving effect to relative rights of priority in regards to “cut-backs” as set forth in this Agreement.</w:t>
      </w:r>
    </w:p>
    <w:p>
      <w:pPr>
        <w:spacing w:after="0" w:line="157" w:lineRule="exact"/>
        <w:rPr>
          <w:rFonts w:ascii="Times New Roman" w:cs="Times New Roman" w:eastAsia="Times New Roman" w:hAnsi="Times New Roman"/>
          <w:sz w:val="15"/>
          <w:szCs w:val="15"/>
          <w:color w:val="auto"/>
        </w:rPr>
      </w:pPr>
    </w:p>
    <w:p>
      <w:pPr>
        <w:ind w:left="8" w:right="220" w:firstLine="1456"/>
        <w:spacing w:after="0" w:line="265" w:lineRule="auto"/>
        <w:tabs>
          <w:tab w:leader="none" w:pos="1690" w:val="left"/>
        </w:tabs>
        <w:numPr>
          <w:ilvl w:val="1"/>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underwriters in connection with the Initial Offering are intended third-party beneficiaries of this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and shall have the right, power and authority to enforce the provisions hereof as though they were a party hereto. Each Holder further agrees to execute such agreements as may be reasonably requested by the underwriters in the Initial Offering that are consistent with this </w:t>
      </w:r>
      <w:r>
        <w:rPr>
          <w:rFonts w:ascii="Times New Roman" w:cs="Times New Roman" w:eastAsia="Times New Roman" w:hAnsi="Times New Roman"/>
          <w:sz w:val="15"/>
          <w:szCs w:val="15"/>
          <w:u w:val="single" w:color="auto"/>
          <w:color w:val="auto"/>
        </w:rPr>
        <w:t>Section 2.12</w:t>
      </w:r>
      <w:r>
        <w:rPr>
          <w:rFonts w:ascii="Times New Roman" w:cs="Times New Roman" w:eastAsia="Times New Roman" w:hAnsi="Times New Roman"/>
          <w:sz w:val="15"/>
          <w:szCs w:val="15"/>
          <w:color w:val="auto"/>
        </w:rPr>
        <w:t xml:space="preserve"> or that are necessary to give further effect thereto. In order to enforce the foregoing covenant, the Company may impose stop-transfer instructions with respect to the Registrable Securities of each Holder (and the shares or securities of every other Person subject to the foregoing restriction) until the end of such period.</w:t>
      </w:r>
    </w:p>
    <w:p>
      <w:pPr>
        <w:spacing w:after="0" w:line="154" w:lineRule="exact"/>
        <w:rPr>
          <w:rFonts w:ascii="Times New Roman" w:cs="Times New Roman" w:eastAsia="Times New Roman" w:hAnsi="Times New Roman"/>
          <w:sz w:val="15"/>
          <w:szCs w:val="15"/>
          <w:color w:val="auto"/>
        </w:rPr>
      </w:pPr>
    </w:p>
    <w:p>
      <w:pPr>
        <w:ind w:left="8" w:right="80" w:firstLine="1456"/>
        <w:spacing w:after="0" w:line="275" w:lineRule="auto"/>
        <w:tabs>
          <w:tab w:leader="none" w:pos="1681" w:val="left"/>
        </w:tabs>
        <w:numPr>
          <w:ilvl w:val="1"/>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use its commercially reasonable efforts to cause (i) all officers and directors that hold shares of the Company’s capital stock and (ii) all greater than one percent (1%) stockholders of the Company, in each case ((i) and (ii)) to enter into agreements containing a one hundred and eighty (180)-day lockup period in connection with the Initial Offering, plus an additional period as specified in </w:t>
      </w:r>
      <w:r>
        <w:rPr>
          <w:rFonts w:ascii="Times New Roman" w:cs="Times New Roman" w:eastAsia="Times New Roman" w:hAnsi="Times New Roman"/>
          <w:sz w:val="15"/>
          <w:szCs w:val="15"/>
          <w:u w:val="single" w:color="auto"/>
          <w:color w:val="auto"/>
        </w:rPr>
        <w:t>Section 2.12(a)</w:t>
      </w:r>
      <w:r>
        <w:rPr>
          <w:rFonts w:ascii="Times New Roman" w:cs="Times New Roman" w:eastAsia="Times New Roman" w:hAnsi="Times New Roman"/>
          <w:sz w:val="15"/>
          <w:szCs w:val="15"/>
          <w:color w:val="auto"/>
        </w:rPr>
        <w:t>.</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8"/>
          </w:cols>
          <w:pgMar w:left="312" w:top="252" w:right="319" w:bottom="1440" w:gutter="0" w:footer="0" w:header="0"/>
        </w:sectPr>
      </w:pPr>
    </w:p>
    <w:bookmarkStart w:id="391" w:name="page392"/>
    <w:bookmarkEnd w:id="391"/>
    <w:p>
      <w:pPr>
        <w:ind w:left="9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2.13 </w:t>
      </w:r>
      <w:r>
        <w:rPr>
          <w:rFonts w:ascii="Times New Roman" w:cs="Times New Roman" w:eastAsia="Times New Roman" w:hAnsi="Times New Roman"/>
          <w:sz w:val="15"/>
          <w:szCs w:val="15"/>
          <w:u w:val="single" w:color="auto"/>
          <w:color w:val="auto"/>
        </w:rPr>
        <w:t>Restrictions on Transfer</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0" w:right="40" w:firstLine="1456"/>
        <w:spacing w:after="0" w:line="268" w:lineRule="auto"/>
        <w:tabs>
          <w:tab w:leader="none" w:pos="1633"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pursuant to the conditions specified in this Agreement, which conditions are intended to ensure compliance with the provisions of the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51" w:lineRule="exact"/>
        <w:rPr>
          <w:rFonts w:ascii="Times New Roman" w:cs="Times New Roman" w:eastAsia="Times New Roman" w:hAnsi="Times New Roman"/>
          <w:sz w:val="15"/>
          <w:szCs w:val="15"/>
          <w:color w:val="auto"/>
        </w:rPr>
      </w:pPr>
    </w:p>
    <w:p>
      <w:pPr>
        <w:jc w:val="both"/>
        <w:ind w:left="-40" w:right="60" w:firstLine="1456"/>
        <w:spacing w:after="0" w:line="275" w:lineRule="auto"/>
        <w:tabs>
          <w:tab w:leader="none" w:pos="1642"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5"/>
          <w:szCs w:val="15"/>
          <w:u w:val="single" w:color="auto"/>
          <w:color w:val="auto"/>
        </w:rPr>
        <w:t>Subsection 2.13(c)</w:t>
      </w:r>
      <w:r>
        <w:rPr>
          <w:rFonts w:ascii="Times New Roman" w:cs="Times New Roman" w:eastAsia="Times New Roman" w:hAnsi="Times New Roman"/>
          <w:sz w:val="15"/>
          <w:szCs w:val="15"/>
          <w:color w:val="auto"/>
        </w:rPr>
        <w:t>) be notated with legends substantially in the following form:</w:t>
      </w:r>
    </w:p>
    <w:p>
      <w:pPr>
        <w:spacing w:after="0" w:line="53" w:lineRule="exact"/>
        <w:rPr>
          <w:sz w:val="20"/>
          <w:szCs w:val="20"/>
          <w:color w:val="auto"/>
        </w:rPr>
      </w:pPr>
    </w:p>
    <w:p>
      <w:pPr>
        <w:ind w:left="400"/>
        <w:spacing w:after="0" w:line="265" w:lineRule="auto"/>
        <w:rPr>
          <w:sz w:val="20"/>
          <w:szCs w:val="20"/>
          <w:color w:val="auto"/>
        </w:rPr>
      </w:pPr>
      <w:r>
        <w:rPr>
          <w:rFonts w:ascii="Times New Roman" w:cs="Times New Roman" w:eastAsia="Times New Roman" w:hAnsi="Times New Roman"/>
          <w:sz w:val="15"/>
          <w:szCs w:val="15"/>
          <w:color w:val="auto"/>
        </w:rPr>
        <w:t>“THE SECURITIES REPRESENTED HEREBY HAVE NOT BEEN REGISTERED UNDER THE SECURITIES ACT OF 1933, AS AMENDED. SUCH SECURITIES MAY NOT BE SOLD, OFFERED FOR SALE, PLEDGED, HYPOTHECATED OR OTHERWISE TRANSFERRED IN THE ABSENCE OF A REGISTRATION STATEMENT IN EFFECT WITH RESPECT TO THE SECURITIES UNDER SUCH ACT OR AN OPINION OF COUNSEL SATISFACTORY TO THE COMPANY THAT SUCH REGISTRATION IS NOT REQUIRED PURSUANT TO A VALID EXEMPTION FROM THE REGISTRATION AND PROSPECTUS DELIVERY REQUIREMENTS OF SUCH ACT.”</w:t>
      </w:r>
    </w:p>
    <w:p>
      <w:pPr>
        <w:spacing w:after="0" w:line="62" w:lineRule="exact"/>
        <w:rPr>
          <w:sz w:val="20"/>
          <w:szCs w:val="20"/>
          <w:color w:val="auto"/>
        </w:rPr>
      </w:pPr>
    </w:p>
    <w:p>
      <w:pPr>
        <w:ind w:left="400" w:right="680"/>
        <w:spacing w:after="0" w:line="293" w:lineRule="auto"/>
        <w:rPr>
          <w:sz w:val="20"/>
          <w:szCs w:val="20"/>
          <w:color w:val="auto"/>
        </w:rPr>
      </w:pPr>
      <w:r>
        <w:rPr>
          <w:rFonts w:ascii="Times New Roman" w:cs="Times New Roman" w:eastAsia="Times New Roman" w:hAnsi="Times New Roman"/>
          <w:sz w:val="15"/>
          <w:szCs w:val="15"/>
          <w:color w:val="auto"/>
        </w:rPr>
        <w:t>“THE SECURITIES REPRESENTED HEREBY MAY BE TRANSFERRED ONLY IN ACCORDANCE WITH THE TERMS OF AN INVESTORS’ RIGHTS AGREEMENT BETWEEN THE COMPANY AND THE STOCKHOLDER, A COPY OF WHICH IS ON FILE WITH THE SECRETARY OF THE COMPANY.”</w:t>
      </w:r>
    </w:p>
    <w:p>
      <w:pPr>
        <w:spacing w:after="0" w:line="132" w:lineRule="exact"/>
        <w:rPr>
          <w:sz w:val="20"/>
          <w:szCs w:val="20"/>
          <w:color w:val="auto"/>
        </w:rPr>
      </w:pPr>
    </w:p>
    <w:p>
      <w:pPr>
        <w:ind w:left="-40" w:firstLine="1456"/>
        <w:spacing w:after="0" w:line="259" w:lineRule="auto"/>
        <w:tabs>
          <w:tab w:leader="none" w:pos="1633"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5"/>
          <w:szCs w:val="15"/>
          <w:u w:val="single" w:color="auto"/>
          <w:color w:val="auto"/>
        </w:rPr>
        <w:t>Section 2.13</w:t>
      </w:r>
      <w:r>
        <w:rPr>
          <w:rFonts w:ascii="Times New Roman" w:cs="Times New Roman" w:eastAsia="Times New Roman" w:hAnsi="Times New Roman"/>
          <w:sz w:val="15"/>
          <w:szCs w:val="15"/>
          <w:color w:val="auto"/>
        </w:rPr>
        <w:t>. Before any proposed sale, pledge or transfer of any Restricted Securities, unless there is in effect a registration statement under the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Each certificate, instrument or book entry representing the Restricted Securities transferred as above provided shall be notated with, except if such transfer is made pursuant to SEC Rule 144, the appropriate restrictive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180"/>
          </w:cols>
          <w:pgMar w:left="360" w:top="252" w:right="359" w:bottom="1440" w:gutter="0" w:footer="0" w:header="0"/>
        </w:sectPr>
      </w:pPr>
    </w:p>
    <w:bookmarkStart w:id="392" w:name="page393"/>
    <w:bookmarkEnd w:id="392"/>
    <w:p>
      <w:pPr>
        <w:ind w:left="8" w:right="40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legend set forth in </w:t>
      </w:r>
      <w:r>
        <w:rPr>
          <w:rFonts w:ascii="Times New Roman" w:cs="Times New Roman" w:eastAsia="Times New Roman" w:hAnsi="Times New Roman"/>
          <w:sz w:val="15"/>
          <w:szCs w:val="15"/>
          <w:u w:val="single" w:color="auto"/>
          <w:color w:val="auto"/>
        </w:rPr>
        <w:t>Subsection 2.13(b)</w:t>
      </w:r>
      <w:r>
        <w:rPr>
          <w:rFonts w:ascii="Times New Roman" w:cs="Times New Roman" w:eastAsia="Times New Roman" w:hAnsi="Times New Roman"/>
          <w:sz w:val="15"/>
          <w:szCs w:val="15"/>
          <w:color w:val="auto"/>
        </w:rPr>
        <w:t>, except that such certificate, instrument or book entry shall not be notated with such restrictive legend if, in the opinion of counsel for such Holder and the Company, such legend is not required in order to establish compliance with any provisions of the Act.</w:t>
      </w:r>
    </w:p>
    <w:p>
      <w:pPr>
        <w:spacing w:after="0" w:line="13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2.14 </w:t>
      </w:r>
      <w:r>
        <w:rPr>
          <w:rFonts w:ascii="Times New Roman" w:cs="Times New Roman" w:eastAsia="Times New Roman" w:hAnsi="Times New Roman"/>
          <w:sz w:val="15"/>
          <w:szCs w:val="15"/>
          <w:u w:val="single" w:color="auto"/>
          <w:color w:val="auto"/>
        </w:rPr>
        <w:t>Termination of Registration Rights</w:t>
      </w:r>
      <w:r>
        <w:rPr>
          <w:rFonts w:ascii="Times New Roman" w:cs="Times New Roman" w:eastAsia="Times New Roman" w:hAnsi="Times New Roman"/>
          <w:sz w:val="15"/>
          <w:szCs w:val="15"/>
          <w:color w:val="auto"/>
        </w:rPr>
        <w:t xml:space="preserve">. No Holder shall be entitled to exercise any right provided for in this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(a) after five (5) years following the</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consummation of the Initial Offering, (b) as to any Holder, such earlier time after the Initial Offering at which such Holder (i) can sell all shares held by it in compliance with</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Rule 144(b)(1)(i) or (ii) holds one percent (1%) or less of the Company’s outstanding Common Stock and, in each case of clause (i) and (ii) above, all Registrable Securities held by</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such Holder (together with any Affiliate of the Holder with whom such Holder must aggregate its sales under Rule 144) can be sold without limitation during any three (3)-month</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period without registration in compliance with Rule 144 or (c) after the consummation of a Liquidation Event, as that term is defined in the Restated Certificate.</w:t>
      </w:r>
    </w:p>
    <w:p>
      <w:pPr>
        <w:spacing w:after="0" w:line="182" w:lineRule="exact"/>
        <w:rPr>
          <w:sz w:val="20"/>
          <w:szCs w:val="20"/>
          <w:color w:val="auto"/>
        </w:rPr>
      </w:pPr>
    </w:p>
    <w:p>
      <w:pPr>
        <w:ind w:left="608" w:hanging="157"/>
        <w:spacing w:after="0"/>
        <w:tabs>
          <w:tab w:leader="none" w:pos="608"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COVENANTS OF THE COMPANY</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Delivery of Financial Statements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1668" w:hanging="204"/>
        <w:spacing w:after="0"/>
        <w:tabs>
          <w:tab w:leader="none" w:pos="1668" w:val="left"/>
        </w:tabs>
        <w:numPr>
          <w:ilvl w:val="1"/>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upon request, deliver to each Investor (or transferee of an Investor) that holds at least (i) 9,615,384 shares of Series A Preferred Stock</w:t>
      </w:r>
    </w:p>
    <w:p>
      <w:pPr>
        <w:spacing w:after="0" w:line="26" w:lineRule="exact"/>
        <w:rPr>
          <w:rFonts w:ascii="Times New Roman" w:cs="Times New Roman" w:eastAsia="Times New Roman" w:hAnsi="Times New Roman"/>
          <w:sz w:val="15"/>
          <w:szCs w:val="15"/>
          <w:color w:val="auto"/>
        </w:rPr>
      </w:pPr>
    </w:p>
    <w:p>
      <w:pPr>
        <w:ind w:left="8" w:right="300" w:hanging="8"/>
        <w:spacing w:after="0" w:line="273" w:lineRule="auto"/>
        <w:tabs>
          <w:tab w:leader="none" w:pos="234"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2,065,433 shares of Series B Preferred Stock or (iii) 5,305,322 shares of Series C Preferred Stock (each, as appropriately adjusted for any stock split, dividend, combination or other recapitalization) (a “</w:t>
      </w:r>
      <w:r>
        <w:rPr>
          <w:rFonts w:ascii="Times New Roman" w:cs="Times New Roman" w:eastAsia="Times New Roman" w:hAnsi="Times New Roman"/>
          <w:sz w:val="15"/>
          <w:szCs w:val="15"/>
          <w:u w:val="single" w:color="auto"/>
          <w:color w:val="auto"/>
        </w:rPr>
        <w:t>Major Investor</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left="8" w:firstLine="2020"/>
        <w:spacing w:after="0" w:line="268" w:lineRule="auto"/>
        <w:tabs>
          <w:tab w:leader="none" w:pos="2219" w:val="left"/>
        </w:tabs>
        <w:numPr>
          <w:ilvl w:val="2"/>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but in any event within ninety (90) days after the end of each fiscal year of the Company, an unaudited income statement for such fiscal year, an unaudited balance sheet of the Company and statement of stockholders’ equity as of the end of such year, and an unaudited statement of cash flows for such year, such year-end financial reports to be in reasonable detail, prepared in accordance with United States generally accepted accounting principles (“</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(except that such financial statements may be subject to normal year-end audit adjustments);</w:t>
      </w:r>
    </w:p>
    <w:p>
      <w:pPr>
        <w:spacing w:after="0" w:line="151" w:lineRule="exact"/>
        <w:rPr>
          <w:rFonts w:ascii="Times New Roman" w:cs="Times New Roman" w:eastAsia="Times New Roman" w:hAnsi="Times New Roman"/>
          <w:sz w:val="15"/>
          <w:szCs w:val="15"/>
          <w:color w:val="auto"/>
        </w:rPr>
      </w:pPr>
    </w:p>
    <w:p>
      <w:pPr>
        <w:ind w:left="8" w:right="80" w:firstLine="2020"/>
        <w:spacing w:after="0" w:line="260" w:lineRule="auto"/>
        <w:tabs>
          <w:tab w:leader="none" w:pos="2261" w:val="left"/>
        </w:tabs>
        <w:numPr>
          <w:ilvl w:val="2"/>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but in any event within one hundred twenty (120) days after the end of each fiscal year of the Company, starting at the end of the Company’s 2020 fiscal year, an income statement for such fiscal year, a balance sheet of the Company and statement of stockholders’ equity as of the end of such year, and a statement of cash flows for such year, such year-end financial reports to be in reasonable detail, prepared in accordance with GAAP, in form and substance approved by the Board, all such financial statements audited and certified by independent registered public accountants approved by the Board, along with, upon the request of any Major Investor, an explanation of any material difference between the amounts reported in the unaudited financial statements for such fiscal year delivered to such Major Investor pursuant to</w:t>
      </w:r>
    </w:p>
    <w:p>
      <w:pPr>
        <w:spacing w:after="0" w:line="2"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3.1(a)(i)</w:t>
      </w:r>
      <w:r>
        <w:rPr>
          <w:rFonts w:ascii="Times New Roman" w:cs="Times New Roman" w:eastAsia="Times New Roman" w:hAnsi="Times New Roman"/>
          <w:sz w:val="15"/>
          <w:szCs w:val="15"/>
          <w:color w:val="auto"/>
        </w:rPr>
        <w:t xml:space="preserve"> and the audited financial statements for such fiscal year delivered to such Major Investor pursuant to this </w:t>
      </w:r>
      <w:r>
        <w:rPr>
          <w:rFonts w:ascii="Times New Roman" w:cs="Times New Roman" w:eastAsia="Times New Roman" w:hAnsi="Times New Roman"/>
          <w:sz w:val="15"/>
          <w:szCs w:val="15"/>
          <w:u w:val="single" w:color="auto"/>
          <w:color w:val="auto"/>
        </w:rPr>
        <w:t>Section 3.1(a)(ii)</w:t>
      </w:r>
      <w:r>
        <w:rPr>
          <w:rFonts w:ascii="Times New Roman" w:cs="Times New Roman" w:eastAsia="Times New Roman" w:hAnsi="Times New Roman"/>
          <w:sz w:val="15"/>
          <w:szCs w:val="15"/>
          <w:color w:val="auto"/>
        </w:rPr>
        <w:t>;</w:t>
      </w:r>
    </w:p>
    <w:p>
      <w:pPr>
        <w:spacing w:after="0" w:line="181" w:lineRule="exact"/>
        <w:rPr>
          <w:rFonts w:ascii="Times New Roman" w:cs="Times New Roman" w:eastAsia="Times New Roman" w:hAnsi="Times New Roman"/>
          <w:sz w:val="15"/>
          <w:szCs w:val="15"/>
          <w:color w:val="auto"/>
        </w:rPr>
      </w:pPr>
    </w:p>
    <w:p>
      <w:pPr>
        <w:ind w:left="8" w:right="220" w:firstLine="2020"/>
        <w:spacing w:after="0" w:line="268" w:lineRule="auto"/>
        <w:tabs>
          <w:tab w:leader="none" w:pos="2304" w:val="left"/>
        </w:tabs>
        <w:numPr>
          <w:ilvl w:val="2"/>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soon as practicable, but in any event within forty-five (45) days after the end of each of the first three (3) quarters of each fiscal year of the Company, an unaudited income statement and statement of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w:t>
      </w:r>
    </w:p>
    <w:p>
      <w:pPr>
        <w:spacing w:after="0" w:line="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8"/>
          </w:cols>
          <w:pgMar w:left="312" w:top="252" w:right="319" w:bottom="1440" w:gutter="0" w:footer="0" w:header="0"/>
        </w:sectPr>
      </w:pPr>
    </w:p>
    <w:bookmarkStart w:id="393" w:name="page394"/>
    <w:bookmarkEnd w:id="393"/>
    <w:p>
      <w:pPr>
        <w:ind w:right="80" w:firstLine="2020"/>
        <w:spacing w:after="0" w:line="275" w:lineRule="auto"/>
        <w:tabs>
          <w:tab w:leader="none" w:pos="2288"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within thirty (30) days of the end of each month, an unaudited income statement for such month, and an unaudited balance sheet as of the end of such month, all prepared in accordance with GAAP (except that such financial statements may (A) be subject to normal year-end audit adjustments and (B) not contain all notes thereto that may be required in accordance with GAAP); and</w:t>
      </w:r>
    </w:p>
    <w:p>
      <w:pPr>
        <w:spacing w:after="0" w:line="144" w:lineRule="exact"/>
        <w:rPr>
          <w:rFonts w:ascii="Times New Roman" w:cs="Times New Roman" w:eastAsia="Times New Roman" w:hAnsi="Times New Roman"/>
          <w:sz w:val="15"/>
          <w:szCs w:val="15"/>
          <w:color w:val="auto"/>
        </w:rPr>
      </w:pPr>
    </w:p>
    <w:p>
      <w:pPr>
        <w:ind w:firstLine="2020"/>
        <w:spacing w:after="0" w:line="268" w:lineRule="auto"/>
        <w:tabs>
          <w:tab w:leader="none" w:pos="2245"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other information relating to the financial condition, business or corporate affairs of the Company as the Major Investor may from time to time reasonably request;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Company shall not be obligated under this subsection (iv) or any other subsection of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to provide information that (A) it deems in good faith to be a trade secret or similar confidential information or (B) the disclosure of which would adversely affect the attorney-client privilege between the Company and its counsel.</w:t>
      </w:r>
    </w:p>
    <w:p>
      <w:pPr>
        <w:spacing w:after="0" w:line="152" w:lineRule="exact"/>
        <w:rPr>
          <w:sz w:val="20"/>
          <w:szCs w:val="20"/>
          <w:color w:val="auto"/>
        </w:rPr>
      </w:pPr>
    </w:p>
    <w:p>
      <w:pPr>
        <w:ind w:firstLine="1456"/>
        <w:spacing w:after="0" w:line="264" w:lineRule="auto"/>
        <w:tabs>
          <w:tab w:leader="none" w:pos="1682"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Notwithstanding anything else in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to the contrary, the Company may cease providing the information set forth in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shall be reinstated at such time as the Company is no longer actively employing its commercially reasonable efforts to cause such registration statement to become effective.</w:t>
      </w:r>
    </w:p>
    <w:p>
      <w:pPr>
        <w:spacing w:after="0" w:line="153" w:lineRule="exact"/>
        <w:rPr>
          <w:sz w:val="20"/>
          <w:szCs w:val="20"/>
          <w:color w:val="auto"/>
        </w:rPr>
      </w:pPr>
    </w:p>
    <w:p>
      <w:pPr>
        <w:ind w:right="40" w:firstLine="1014"/>
        <w:spacing w:after="0" w:line="268"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u w:val="single" w:color="auto"/>
          <w:color w:val="auto"/>
        </w:rPr>
        <w:t>Inspection</w:t>
      </w:r>
      <w:r>
        <w:rPr>
          <w:rFonts w:ascii="Times New Roman" w:cs="Times New Roman" w:eastAsia="Times New Roman" w:hAnsi="Times New Roman"/>
          <w:sz w:val="15"/>
          <w:szCs w:val="15"/>
          <w:color w:val="auto"/>
        </w:rPr>
        <w:t xml:space="preserve">.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Company shall not be obligated pursuant to this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to provide access to any information that (a) it deems in good faith to be a trade secret or similar confidential information or (b) the disclosure of which would adversely affect the attorney-client privilege between the Company and its counsel.</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u w:val="single" w:color="auto"/>
          <w:color w:val="auto"/>
        </w:rPr>
        <w:t>Observer Rights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right="160" w:firstLine="1456"/>
        <w:spacing w:after="0" w:line="264" w:lineRule="auto"/>
        <w:tabs>
          <w:tab w:leader="none" w:pos="1673"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long as Vivo Capital Fund IX, L.P. or its Affiliates (“</w:t>
      </w:r>
      <w:r>
        <w:rPr>
          <w:rFonts w:ascii="Times New Roman" w:cs="Times New Roman" w:eastAsia="Times New Roman" w:hAnsi="Times New Roman"/>
          <w:sz w:val="15"/>
          <w:szCs w:val="15"/>
          <w:u w:val="single" w:color="auto"/>
          <w:color w:val="auto"/>
        </w:rPr>
        <w:t>Vivo Capital</w:t>
      </w:r>
      <w:r>
        <w:rPr>
          <w:rFonts w:ascii="Times New Roman" w:cs="Times New Roman" w:eastAsia="Times New Roman" w:hAnsi="Times New Roman"/>
          <w:sz w:val="15"/>
          <w:szCs w:val="15"/>
          <w:color w:val="auto"/>
        </w:rPr>
        <w:t xml:space="preserve">”) hold any shares of Series B Preferred Stock or Series C Preferred Stock, the Company shall invite a representative of Vivo Capital to attend all non-executive session meetings of the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such representative shall agree to hold in confidence and trust and to act in a fiduciary manner with respect to all information so provided;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152" w:lineRule="exact"/>
        <w:rPr>
          <w:rFonts w:ascii="Times New Roman" w:cs="Times New Roman" w:eastAsia="Times New Roman" w:hAnsi="Times New Roman"/>
          <w:sz w:val="15"/>
          <w:szCs w:val="15"/>
          <w:color w:val="auto"/>
        </w:rPr>
      </w:pPr>
    </w:p>
    <w:p>
      <w:pPr>
        <w:ind w:right="20" w:firstLine="1456"/>
        <w:spacing w:after="0" w:line="264" w:lineRule="auto"/>
        <w:tabs>
          <w:tab w:leader="none" w:pos="1682"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long as Frazier Life Sciences IX, L.P. or its Affiliates (“</w:t>
      </w:r>
      <w:r>
        <w:rPr>
          <w:rFonts w:ascii="Times New Roman" w:cs="Times New Roman" w:eastAsia="Times New Roman" w:hAnsi="Times New Roman"/>
          <w:sz w:val="15"/>
          <w:szCs w:val="15"/>
          <w:u w:val="single" w:color="auto"/>
          <w:color w:val="auto"/>
        </w:rPr>
        <w:t>Frazier</w:t>
      </w:r>
      <w:r>
        <w:rPr>
          <w:rFonts w:ascii="Times New Roman" w:cs="Times New Roman" w:eastAsia="Times New Roman" w:hAnsi="Times New Roman"/>
          <w:sz w:val="15"/>
          <w:szCs w:val="15"/>
          <w:color w:val="auto"/>
        </w:rPr>
        <w:t xml:space="preserve">”) hold any shares of Series B Preferred Stock or Series C Preferred Stock, the Company shall invite a representative of Frazier to attend all non-executive session meetings of the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such representative shall agree to hold in confidence and trust and to act in a fiduciary manner with respect to all information so provided;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40"/>
          </w:cols>
          <w:pgMar w:left="320" w:top="252" w:right="339" w:bottom="1440" w:gutter="0" w:footer="0" w:header="0"/>
        </w:sectPr>
      </w:pPr>
    </w:p>
    <w:bookmarkStart w:id="394" w:name="page395"/>
    <w:bookmarkEnd w:id="394"/>
    <w:p>
      <w:pPr>
        <w:ind w:left="8" w:right="20" w:firstLine="1456"/>
        <w:spacing w:after="0" w:line="265" w:lineRule="auto"/>
        <w:tabs>
          <w:tab w:leader="none" w:pos="1681"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As long as RTW holds any shares of Series C Preferred Stock, the Company shall invite a representative of RTW to attend all non-executive session meetings of the Board in a nonvoting observer capacity and, in this respect, shall give such representative copies of all notices, minutes, consents, and other materials that it provides to its directors at the same time and in the same manner as provided to such directors;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such representative shall agree to hold in confidence and trust and to act in a fiduciary manner with respect to all information so provided; and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w:t>
      </w:r>
    </w:p>
    <w:p>
      <w:pPr>
        <w:spacing w:after="0" w:line="339" w:lineRule="exact"/>
        <w:rPr>
          <w:sz w:val="20"/>
          <w:szCs w:val="20"/>
          <w:color w:val="auto"/>
        </w:rPr>
      </w:pPr>
    </w:p>
    <w:p>
      <w:pPr>
        <w:ind w:left="8" w:right="20" w:firstLine="101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Termination of Information and Inspection Covenants and Observer Rights</w:t>
      </w:r>
      <w:r>
        <w:rPr>
          <w:rFonts w:ascii="Times New Roman" w:cs="Times New Roman" w:eastAsia="Times New Roman" w:hAnsi="Times New Roman"/>
          <w:sz w:val="15"/>
          <w:szCs w:val="15"/>
          <w:color w:val="auto"/>
        </w:rPr>
        <w:t xml:space="preserve">. The covenants set forth in </w:t>
      </w:r>
      <w:r>
        <w:rPr>
          <w:rFonts w:ascii="Times New Roman" w:cs="Times New Roman" w:eastAsia="Times New Roman" w:hAnsi="Times New Roman"/>
          <w:sz w:val="15"/>
          <w:szCs w:val="15"/>
          <w:u w:val="single" w:color="auto"/>
          <w:color w:val="auto"/>
        </w:rPr>
        <w:t>Sections 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3.3</w:t>
      </w:r>
      <w:r>
        <w:rPr>
          <w:rFonts w:ascii="Times New Roman" w:cs="Times New Roman" w:eastAsia="Times New Roman" w:hAnsi="Times New Roman"/>
          <w:sz w:val="15"/>
          <w:szCs w:val="15"/>
          <w:color w:val="auto"/>
        </w:rPr>
        <w:t xml:space="preserve"> shall terminate and be of no further force or effect upon the earlier to occur of (a) the consummation of the sale of securities pursuant to a registration statement under the Act in connection with the firm commitment underwritten offering of its securities to the general public, (b) when the Company first becomes subject to the periodic reporting requirements of Sections 12(g) or 15(d) of the 1934 Act, whichever event shall first occur and (c) the consummation of a Liquidation Event, as that term is defined in the Restated Certificate.</w:t>
      </w:r>
    </w:p>
    <w:p>
      <w:pPr>
        <w:spacing w:after="0" w:line="152" w:lineRule="exact"/>
        <w:rPr>
          <w:sz w:val="20"/>
          <w:szCs w:val="20"/>
          <w:color w:val="auto"/>
        </w:rPr>
      </w:pPr>
    </w:p>
    <w:p>
      <w:pPr>
        <w:ind w:left="8" w:firstLine="1014"/>
        <w:spacing w:after="0" w:line="265" w:lineRule="auto"/>
        <w:rPr>
          <w:sz w:val="20"/>
          <w:szCs w:val="20"/>
          <w:color w:val="auto"/>
        </w:rPr>
      </w:pPr>
      <w:r>
        <w:rPr>
          <w:rFonts w:ascii="Times New Roman" w:cs="Times New Roman" w:eastAsia="Times New Roman" w:hAnsi="Times New Roman"/>
          <w:sz w:val="15"/>
          <w:szCs w:val="15"/>
          <w:color w:val="auto"/>
        </w:rPr>
        <w:t xml:space="preserve">3.5 </w:t>
      </w:r>
      <w:r>
        <w:rPr>
          <w:rFonts w:ascii="Times New Roman" w:cs="Times New Roman" w:eastAsia="Times New Roman" w:hAnsi="Times New Roman"/>
          <w:sz w:val="15"/>
          <w:szCs w:val="15"/>
          <w:u w:val="single" w:color="auto"/>
          <w:color w:val="auto"/>
        </w:rPr>
        <w:t>Right of First Offer</w:t>
      </w:r>
      <w:r>
        <w:rPr>
          <w:rFonts w:ascii="Times New Roman" w:cs="Times New Roman" w:eastAsia="Times New Roman" w:hAnsi="Times New Roman"/>
          <w:sz w:val="15"/>
          <w:szCs w:val="15"/>
          <w:color w:val="auto"/>
        </w:rPr>
        <w:t xml:space="preserve">. Subject to the terms and conditions specified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and applicable securities laws, the Company hereby grants to each Major Investor a right of first offer with respect to future sales by the Company of its Shares (as hereinafter defined). For purposes of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the term “</w:t>
      </w:r>
      <w:r>
        <w:rPr>
          <w:rFonts w:ascii="Times New Roman" w:cs="Times New Roman" w:eastAsia="Times New Roman" w:hAnsi="Times New Roman"/>
          <w:sz w:val="15"/>
          <w:szCs w:val="15"/>
          <w:u w:val="single" w:color="auto"/>
          <w:color w:val="auto"/>
        </w:rPr>
        <w:t>Major Investor</w:t>
      </w:r>
      <w:r>
        <w:rPr>
          <w:rFonts w:ascii="Times New Roman" w:cs="Times New Roman" w:eastAsia="Times New Roman" w:hAnsi="Times New Roman"/>
          <w:sz w:val="15"/>
          <w:szCs w:val="15"/>
          <w:color w:val="auto"/>
        </w:rPr>
        <w:t>” includes any Affiliates of a Major Investor. A Major Investor shall be entitled to apportion the right of first offer hereby granted it among itself and its partners and Affiliates in such proportions as it deems appropriate; provided that each such party and Affiliate agrees to enter into this Agreement and each of the Voting Agreement and Right of First Refusal and Co-Sale Agreement, as an investor under each such agreement.</w:t>
      </w:r>
    </w:p>
    <w:p>
      <w:pPr>
        <w:spacing w:after="0" w:line="15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Each time the Company proposes to offer any shares of, or securities convertible into or exchangeable or exercisable for any shares of, its capital stock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the</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Company shall first make an offering of such Shares to each Major Investor in accordance with the following provisions:</w:t>
      </w:r>
    </w:p>
    <w:p>
      <w:pPr>
        <w:spacing w:after="0" w:line="182" w:lineRule="exact"/>
        <w:rPr>
          <w:sz w:val="20"/>
          <w:szCs w:val="20"/>
          <w:color w:val="auto"/>
        </w:rPr>
      </w:pPr>
    </w:p>
    <w:p>
      <w:pPr>
        <w:ind w:left="1668" w:hanging="204"/>
        <w:spacing w:after="0"/>
        <w:tabs>
          <w:tab w:leader="none" w:pos="1668" w:val="left"/>
        </w:tabs>
        <w:numPr>
          <w:ilvl w:val="1"/>
          <w:numId w:val="3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deliver a notice in accordance with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to the Major Investors stating (i) its bona fide intention to offer such Shares,</w:t>
      </w:r>
    </w:p>
    <w:p>
      <w:pPr>
        <w:spacing w:after="0" w:line="26" w:lineRule="exact"/>
        <w:rPr>
          <w:rFonts w:ascii="Times New Roman" w:cs="Times New Roman" w:eastAsia="Times New Roman" w:hAnsi="Times New Roman"/>
          <w:sz w:val="15"/>
          <w:szCs w:val="15"/>
          <w:color w:val="auto"/>
        </w:rPr>
      </w:pPr>
    </w:p>
    <w:p>
      <w:pPr>
        <w:ind w:left="228" w:hanging="228"/>
        <w:spacing w:after="0"/>
        <w:tabs>
          <w:tab w:leader="none" w:pos="228" w:val="left"/>
        </w:tabs>
        <w:numPr>
          <w:ilvl w:val="0"/>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such Shares to be offered and (iii) the price and terms upon which it proposes to offer such Shares.</w:t>
      </w:r>
    </w:p>
    <w:p>
      <w:pPr>
        <w:spacing w:after="0" w:line="181" w:lineRule="exact"/>
        <w:rPr>
          <w:rFonts w:ascii="Times New Roman" w:cs="Times New Roman" w:eastAsia="Times New Roman" w:hAnsi="Times New Roman"/>
          <w:sz w:val="15"/>
          <w:szCs w:val="15"/>
          <w:color w:val="auto"/>
        </w:rPr>
      </w:pPr>
    </w:p>
    <w:p>
      <w:pPr>
        <w:ind w:left="8" w:right="20" w:firstLine="1456"/>
        <w:spacing w:after="0" w:line="261" w:lineRule="auto"/>
        <w:tabs>
          <w:tab w:leader="none" w:pos="1690" w:val="left"/>
        </w:tabs>
        <w:numPr>
          <w:ilvl w:val="1"/>
          <w:numId w:val="3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Registrable Securities issued and held by such Major Investor (assuming full conversion, exercise and/or exchange of all convertible, exercisable and/or exchangeable securities then outstanding) bears to the total number of shares of Common Stock of the Company then outstanding (assuming full conversion, exercise and/or exchange of all convertible, exercisable and/or exchangeable securities then outstanding). At the expiration of such twenty (20) calendar day period, the Company shall promptly, in writing, notify each Major Investor that elects to purchase all the shares available to it (a “</w:t>
      </w:r>
      <w:r>
        <w:rPr>
          <w:rFonts w:ascii="Times New Roman" w:cs="Times New Roman" w:eastAsia="Times New Roman" w:hAnsi="Times New Roman"/>
          <w:sz w:val="15"/>
          <w:szCs w:val="15"/>
          <w:u w:val="single" w:color="auto"/>
          <w:color w:val="auto"/>
        </w:rPr>
        <w:t>Fully-Exercising Investor</w:t>
      </w:r>
      <w:r>
        <w:rPr>
          <w:rFonts w:ascii="Times New Roman" w:cs="Times New Roman" w:eastAsia="Times New Roman" w:hAnsi="Times New Roman"/>
          <w:sz w:val="15"/>
          <w:szCs w:val="15"/>
          <w:color w:val="auto"/>
        </w:rPr>
        <w:t>”) of any other Major Investor’s failure to do likewise. During the ten (10) calendar day period commencing after the Company has given such notice to the Fully-Exercising Investors, each Fully-Exercising Investor may elect to purchase that portion of the Shares for which Major Investors were entitled to subscribe, but which were not subscribed for by the Major Investors, that</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8"/>
          </w:cols>
          <w:pgMar w:left="312" w:top="252" w:right="339" w:bottom="1440" w:gutter="0" w:footer="0" w:header="0"/>
        </w:sectPr>
      </w:pPr>
    </w:p>
    <w:bookmarkStart w:id="395" w:name="page396"/>
    <w:bookmarkEnd w:id="395"/>
    <w:p>
      <w:pPr>
        <w:ind w:left="8" w:right="16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is equal to the proportion that the number of shares of Registrable Securities issued and held by such Fully-Exercising Investor bears to the total number of shares of Common Stock issued and held, or issuable upon conversion of the Preferred Stock then held, by all Fully-Exercising Investors who wish to purchase some of the unsubscribed shares.</w:t>
      </w:r>
    </w:p>
    <w:p>
      <w:pPr>
        <w:spacing w:after="0" w:line="132" w:lineRule="exact"/>
        <w:rPr>
          <w:sz w:val="20"/>
          <w:szCs w:val="20"/>
          <w:color w:val="auto"/>
        </w:rPr>
      </w:pPr>
    </w:p>
    <w:p>
      <w:pPr>
        <w:ind w:left="8" w:right="40" w:firstLine="1464"/>
        <w:spacing w:after="0" w:line="265" w:lineRule="auto"/>
        <w:rPr>
          <w:sz w:val="20"/>
          <w:szCs w:val="20"/>
          <w:color w:val="auto"/>
        </w:rPr>
      </w:pPr>
      <w:r>
        <w:rPr>
          <w:rFonts w:ascii="Times New Roman" w:cs="Times New Roman" w:eastAsia="Times New Roman" w:hAnsi="Times New Roman"/>
          <w:sz w:val="15"/>
          <w:szCs w:val="15"/>
          <w:color w:val="auto"/>
        </w:rPr>
        <w:t xml:space="preserve">(c) If all Shares that Major Investors are entitled to obtain pursuant to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this Agreement are not elected to be obtained as provided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this Agreement, the Company may, during the ninety (90) day period following the expiration of the period provided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this Agreement,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ninety (90) days of the execution thereof, the right provided hereunder shall be deemed to be revived and such Shares shall not be offered unless first reoffered to the Major Investors in accordance herewith.</w:t>
      </w:r>
    </w:p>
    <w:p>
      <w:pPr>
        <w:spacing w:after="0" w:line="154" w:lineRule="exact"/>
        <w:rPr>
          <w:sz w:val="20"/>
          <w:szCs w:val="20"/>
          <w:color w:val="auto"/>
        </w:rPr>
      </w:pPr>
    </w:p>
    <w:p>
      <w:pPr>
        <w:ind w:left="8" w:right="40" w:firstLine="1456"/>
        <w:spacing w:after="0" w:line="260" w:lineRule="auto"/>
        <w:tabs>
          <w:tab w:leader="none" w:pos="1690" w:val="left"/>
        </w:tabs>
        <w:numPr>
          <w:ilvl w:val="1"/>
          <w:numId w:val="3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 of first offer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shall not be applicable to (i) the issuance of any securities that are excluded from the definition of “Additional Stock,” as such term is defined in the Restated Certificate (ii) the issuance and sale of Series C Preferred Stock pursuant to the Series C Agreement or (iii) the issuance of securities that are specifically deemed not to be subject to the right of first offer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by the written consent or affirmative vote of the Major Investors holding a majority of the Registrable Securities then held by all Major Investors. In addition to the foregoing, the right of first offer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shall not be applicable with respect to any Major Investor in any subsequent offering of Shares if (i) at the time of such offering, the Major Investor is not an “accredited investor,” as that term is then defined in Rule 501(a) of the Act and</w:t>
      </w:r>
    </w:p>
    <w:p>
      <w:pPr>
        <w:spacing w:after="0" w:line="2" w:lineRule="exact"/>
        <w:rPr>
          <w:rFonts w:ascii="Times New Roman" w:cs="Times New Roman" w:eastAsia="Times New Roman" w:hAnsi="Times New Roman"/>
          <w:sz w:val="15"/>
          <w:szCs w:val="15"/>
          <w:color w:val="auto"/>
        </w:rPr>
      </w:pPr>
    </w:p>
    <w:p>
      <w:pPr>
        <w:ind w:left="228" w:hanging="228"/>
        <w:spacing w:after="0"/>
        <w:tabs>
          <w:tab w:leader="none" w:pos="228" w:val="left"/>
        </w:tabs>
        <w:numPr>
          <w:ilvl w:val="0"/>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offering of Shares is otherwise being offered only to accredited investors.</w:t>
      </w:r>
    </w:p>
    <w:p>
      <w:pPr>
        <w:spacing w:after="0" w:line="181" w:lineRule="exact"/>
        <w:rPr>
          <w:rFonts w:ascii="Times New Roman" w:cs="Times New Roman" w:eastAsia="Times New Roman" w:hAnsi="Times New Roman"/>
          <w:sz w:val="15"/>
          <w:szCs w:val="15"/>
          <w:color w:val="auto"/>
        </w:rPr>
      </w:pPr>
    </w:p>
    <w:p>
      <w:pPr>
        <w:ind w:left="8" w:right="40" w:firstLine="1456"/>
        <w:spacing w:after="0" w:line="293" w:lineRule="auto"/>
        <w:tabs>
          <w:tab w:leader="none" w:pos="1681"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rights provided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may not be assigned or transferred by any Major Investor;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 Major Investor that is a venture capital fund may assign or transfer such rights to its Affiliates.</w:t>
      </w:r>
    </w:p>
    <w:p>
      <w:pPr>
        <w:spacing w:after="0" w:line="132" w:lineRule="exact"/>
        <w:rPr>
          <w:rFonts w:ascii="Times New Roman" w:cs="Times New Roman" w:eastAsia="Times New Roman" w:hAnsi="Times New Roman"/>
          <w:sz w:val="15"/>
          <w:szCs w:val="15"/>
          <w:color w:val="auto"/>
        </w:rPr>
      </w:pPr>
    </w:p>
    <w:p>
      <w:pPr>
        <w:ind w:left="8" w:right="40" w:firstLine="1456"/>
        <w:spacing w:after="0" w:line="275" w:lineRule="auto"/>
        <w:tabs>
          <w:tab w:leader="none" w:pos="1664"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covenants set forth in this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shall terminate and be of no further force or effect upon the consummation of (i) the Initial Offering (other than a registration statement relating either to the sale of securities to employees of the Company pursuant to its stock option, stock purchase or similar plan or a SEC Rule 145 transaction) or (ii) a Liquidation Event, as that term is defined in the Restated Certificate.</w:t>
      </w:r>
    </w:p>
    <w:p>
      <w:pPr>
        <w:spacing w:after="0" w:line="145" w:lineRule="exact"/>
        <w:rPr>
          <w:sz w:val="20"/>
          <w:szCs w:val="20"/>
          <w:color w:val="auto"/>
        </w:rPr>
      </w:pPr>
    </w:p>
    <w:p>
      <w:pPr>
        <w:ind w:left="8" w:firstLine="1014"/>
        <w:spacing w:after="0" w:line="275"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u w:val="single" w:color="auto"/>
          <w:color w:val="auto"/>
        </w:rPr>
        <w:t>Proprietary Information and Inventions Agreements</w:t>
      </w:r>
      <w:r>
        <w:rPr>
          <w:rFonts w:ascii="Times New Roman" w:cs="Times New Roman" w:eastAsia="Times New Roman" w:hAnsi="Times New Roman"/>
          <w:sz w:val="15"/>
          <w:szCs w:val="15"/>
          <w:color w:val="auto"/>
        </w:rPr>
        <w:t>. The Company shall require all employees and consultants with access to confidential information to execute and deliver a Proprietary Information and Inventions Agreement in substantially the form approved by the Board or a consulting agreement containing substantially similar proprietary rights assignment and confidentiality provisions.</w:t>
      </w:r>
    </w:p>
    <w:p>
      <w:pPr>
        <w:spacing w:after="0" w:line="145"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15"/>
          <w:szCs w:val="15"/>
          <w:u w:val="single" w:color="auto"/>
          <w:color w:val="auto"/>
        </w:rPr>
        <w:t>Employee Agreements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80" w:firstLine="1456"/>
        <w:spacing w:after="0" w:line="265" w:lineRule="auto"/>
        <w:tabs>
          <w:tab w:leader="none" w:pos="1681"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approved by the Board,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 (12) months of continued employment or services, and the remaining shares vesting in equal monthly installments over the following thirty six (36) months thereafter and (b) a one hundred and eighty (180)-day lockup period in connection with the Initial Offering, plus an additional period as specified in </w:t>
      </w:r>
      <w:r>
        <w:rPr>
          <w:rFonts w:ascii="Times New Roman" w:cs="Times New Roman" w:eastAsia="Times New Roman" w:hAnsi="Times New Roman"/>
          <w:sz w:val="15"/>
          <w:szCs w:val="15"/>
          <w:u w:val="single" w:color="auto"/>
          <w:color w:val="auto"/>
        </w:rPr>
        <w:t>Section 2.12(a)</w:t>
      </w:r>
      <w:r>
        <w:rPr>
          <w:rFonts w:ascii="Times New Roman" w:cs="Times New Roman" w:eastAsia="Times New Roman" w:hAnsi="Times New Roman"/>
          <w:sz w:val="15"/>
          <w:szCs w:val="15"/>
          <w:color w:val="auto"/>
        </w:rPr>
        <w:t>. The Company shall retain a right of first refusal on transfers until the Initial Offering and the right to repurchase unvested shares at cost.</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68"/>
          </w:cols>
          <w:pgMar w:left="312" w:top="252" w:right="319" w:bottom="1440" w:gutter="0" w:footer="0" w:header="0"/>
        </w:sectPr>
      </w:pPr>
    </w:p>
    <w:bookmarkStart w:id="396" w:name="page397"/>
    <w:bookmarkEnd w:id="396"/>
    <w:p>
      <w:pPr>
        <w:ind w:firstLine="1014"/>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3.8 </w:t>
      </w:r>
      <w:r>
        <w:rPr>
          <w:rFonts w:ascii="Times New Roman" w:cs="Times New Roman" w:eastAsia="Times New Roman" w:hAnsi="Times New Roman"/>
          <w:sz w:val="15"/>
          <w:szCs w:val="15"/>
          <w:u w:val="single" w:color="auto"/>
          <w:color w:val="auto"/>
        </w:rPr>
        <w:t>Indemnification Matters</w:t>
      </w:r>
      <w:r>
        <w:rPr>
          <w:rFonts w:ascii="Times New Roman" w:cs="Times New Roman" w:eastAsia="Times New Roman" w:hAnsi="Times New Roman"/>
          <w:sz w:val="15"/>
          <w:szCs w:val="15"/>
          <w:color w:val="auto"/>
        </w:rPr>
        <w:t>. The Company hereby acknowledges that one (1) or more of the directors nominated to serve on the Board by the Investors (each a “</w:t>
      </w:r>
      <w:r>
        <w:rPr>
          <w:rFonts w:ascii="Times New Roman" w:cs="Times New Roman" w:eastAsia="Times New Roman" w:hAnsi="Times New Roman"/>
          <w:sz w:val="15"/>
          <w:szCs w:val="15"/>
          <w:u w:val="single" w:color="auto"/>
          <w:color w:val="auto"/>
        </w:rPr>
        <w:t>Fund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Director</w:t>
      </w:r>
      <w:r>
        <w:rPr>
          <w:rFonts w:ascii="Times New Roman" w:cs="Times New Roman" w:eastAsia="Times New Roman" w:hAnsi="Times New Roman"/>
          <w:sz w:val="15"/>
          <w:szCs w:val="15"/>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5"/>
          <w:szCs w:val="15"/>
          <w:u w:val="single" w:color="auto"/>
          <w:color w:val="auto"/>
        </w:rPr>
        <w:t>Fund Indemnitors</w:t>
      </w:r>
      <w:r>
        <w:rPr>
          <w:rFonts w:ascii="Times New Roman" w:cs="Times New Roman" w:eastAsia="Times New Roman" w:hAnsi="Times New Roman"/>
          <w:sz w:val="15"/>
          <w:szCs w:val="15"/>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58" w:lineRule="exact"/>
        <w:rPr>
          <w:sz w:val="20"/>
          <w:szCs w:val="20"/>
          <w:color w:val="auto"/>
        </w:rPr>
      </w:pPr>
    </w:p>
    <w:p>
      <w:pPr>
        <w:ind w:right="20" w:firstLine="1014"/>
        <w:spacing w:after="0" w:line="261"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u w:val="single" w:color="auto"/>
          <w:color w:val="auto"/>
        </w:rPr>
        <w:t>Qualified Small Business Stock</w:t>
      </w:r>
      <w:r>
        <w:rPr>
          <w:rFonts w:ascii="Times New Roman" w:cs="Times New Roman" w:eastAsia="Times New Roman" w:hAnsi="Times New Roman"/>
          <w:sz w:val="15"/>
          <w:szCs w:val="15"/>
          <w:color w:val="auto"/>
        </w:rPr>
        <w:t>. The Company shall use commercially reasonable efforts to cause the shares of Series A Preferred Stock and Series B Preferred Stock, as well as any shares into which such shares are converted, within the meaning of Section 1202(f) of the Internal Revenue Code (the “</w:t>
      </w: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xml:space="preserve">”), to constitute “qualified small business stock” as defined in Section 1202(c) of the Code;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such requirement shall not be applicable if the Board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w:t>
      </w:r>
    </w:p>
    <w:p>
      <w:pPr>
        <w:spacing w:after="0" w:line="156" w:lineRule="exact"/>
        <w:rPr>
          <w:sz w:val="20"/>
          <w:szCs w:val="20"/>
          <w:color w:val="auto"/>
        </w:rPr>
      </w:pPr>
    </w:p>
    <w:p>
      <w:pPr>
        <w:ind w:firstLine="1014"/>
        <w:spacing w:after="0" w:line="262" w:lineRule="auto"/>
        <w:rPr>
          <w:sz w:val="20"/>
          <w:szCs w:val="20"/>
          <w:color w:val="auto"/>
        </w:rPr>
      </w:pPr>
      <w:r>
        <w:rPr>
          <w:rFonts w:ascii="Times New Roman" w:cs="Times New Roman" w:eastAsia="Times New Roman" w:hAnsi="Times New Roman"/>
          <w:sz w:val="15"/>
          <w:szCs w:val="15"/>
          <w:color w:val="auto"/>
        </w:rPr>
        <w:t xml:space="preserve">3.10 </w:t>
      </w:r>
      <w:r>
        <w:rPr>
          <w:rFonts w:ascii="Times New Roman" w:cs="Times New Roman" w:eastAsia="Times New Roman" w:hAnsi="Times New Roman"/>
          <w:sz w:val="15"/>
          <w:szCs w:val="15"/>
          <w:u w:val="single" w:color="auto"/>
          <w:color w:val="auto"/>
        </w:rPr>
        <w:t>Confidentiality</w:t>
      </w:r>
      <w:r>
        <w:rPr>
          <w:rFonts w:ascii="Times New Roman" w:cs="Times New Roman" w:eastAsia="Times New Roman" w:hAnsi="Times New Roman"/>
          <w:sz w:val="15"/>
          <w:szCs w:val="15"/>
          <w:color w:val="auto"/>
        </w:rPr>
        <w:t xml:space="preserve">. Each Investor agrees, severally and not jointly, that such Investor (a) will keep confidential, (b) will not disclose, divulge or use for any purpose (other than to monitor its investment in the Company) and (c) will protect to the same degree as it protects its own confidential information any confidential information obtained from the Company pursuant to the terms of this Agreement (including, without limitation, notice of the Company’s intention to file a registration statement), unless such confidential information (i) is known or becomes known to the public in general (other than as a result of a breach of this </w:t>
      </w:r>
      <w:r>
        <w:rPr>
          <w:rFonts w:ascii="Times New Roman" w:cs="Times New Roman" w:eastAsia="Times New Roman" w:hAnsi="Times New Roman"/>
          <w:sz w:val="15"/>
          <w:szCs w:val="15"/>
          <w:u w:val="single" w:color="auto"/>
          <w:color w:val="auto"/>
        </w:rPr>
        <w:t>Subsection 3.10</w:t>
      </w:r>
      <w:r>
        <w:rPr>
          <w:rFonts w:ascii="Times New Roman" w:cs="Times New Roman" w:eastAsia="Times New Roman" w:hAnsi="Times New Roman"/>
          <w:sz w:val="15"/>
          <w:szCs w:val="15"/>
          <w:color w:val="auto"/>
        </w:rPr>
        <w:t xml:space="preserve">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an Investor may disclose confidential information (A) to its attorneys, accountants, consultants and other professionals to the extent necessary to obtain their services in connection with monitoring its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20" w:top="252" w:right="339" w:bottom="1440" w:gutter="0" w:footer="0" w:header="0"/>
        </w:sectPr>
      </w:pPr>
    </w:p>
    <w:bookmarkStart w:id="397" w:name="page398"/>
    <w:bookmarkEnd w:id="397"/>
    <w:p>
      <w:pPr>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investment in the Company, provided that such Persons are under a contractual or legal obligation to preserve the confidentiality of such information; (B) to any prospective purchaser of any Registrable Securities from such Investor, if such prospective purchaser agrees to be bound by the provisions of this </w:t>
      </w:r>
      <w:r>
        <w:rPr>
          <w:rFonts w:ascii="Times New Roman" w:cs="Times New Roman" w:eastAsia="Times New Roman" w:hAnsi="Times New Roman"/>
          <w:sz w:val="15"/>
          <w:szCs w:val="15"/>
          <w:u w:val="single" w:color="auto"/>
          <w:color w:val="auto"/>
        </w:rPr>
        <w:t>Subsection 3.10</w:t>
      </w:r>
      <w:r>
        <w:rPr>
          <w:rFonts w:ascii="Times New Roman" w:cs="Times New Roman" w:eastAsia="Times New Roman" w:hAnsi="Times New Roman"/>
          <w:sz w:val="15"/>
          <w:szCs w:val="15"/>
          <w:color w:val="auto"/>
        </w:rPr>
        <w:t>; (C) to any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(D) as may otherwise be required by law, provided that the Investor promptly notifies the Company of such disclosure and takes reasonable steps to minimize the extent of any such required disclosure.</w:t>
      </w:r>
    </w:p>
    <w:p>
      <w:pPr>
        <w:spacing w:after="0" w:line="154" w:lineRule="exact"/>
        <w:rPr>
          <w:sz w:val="20"/>
          <w:szCs w:val="20"/>
          <w:color w:val="auto"/>
        </w:rPr>
      </w:pPr>
    </w:p>
    <w:p>
      <w:pPr>
        <w:ind w:right="10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3.11 </w:t>
      </w:r>
      <w:r>
        <w:rPr>
          <w:rFonts w:ascii="Times New Roman" w:cs="Times New Roman" w:eastAsia="Times New Roman" w:hAnsi="Times New Roman"/>
          <w:sz w:val="15"/>
          <w:szCs w:val="15"/>
          <w:u w:val="single" w:color="auto"/>
          <w:color w:val="auto"/>
        </w:rPr>
        <w:t>Matters Requiring Director Approval</w:t>
      </w:r>
      <w:r>
        <w:rPr>
          <w:rFonts w:ascii="Times New Roman" w:cs="Times New Roman" w:eastAsia="Times New Roman" w:hAnsi="Times New Roman"/>
          <w:sz w:val="15"/>
          <w:szCs w:val="15"/>
          <w:color w:val="auto"/>
        </w:rPr>
        <w:t>. So long as the holders of Preferred Stock are entitled to elect the Preferred Directors, the Company hereby covenants and agrees with each of the Investors that it shall not, without approval of the Board, which approval must include the affirmative vote of at least two of the Preferred Directors:</w:t>
      </w:r>
    </w:p>
    <w:p>
      <w:pPr>
        <w:spacing w:after="0" w:line="132" w:lineRule="exact"/>
        <w:rPr>
          <w:sz w:val="20"/>
          <w:szCs w:val="20"/>
          <w:color w:val="auto"/>
        </w:rPr>
      </w:pPr>
    </w:p>
    <w:p>
      <w:pPr>
        <w:ind w:right="200" w:firstLine="1456"/>
        <w:spacing w:after="0" w:line="293" w:lineRule="auto"/>
        <w:tabs>
          <w:tab w:leader="none" w:pos="1673"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 or advance to, or own any stock or other securities of, any subsidiary or other corporation, partnership, or other entity unless it is wholly-owned (either directly or through one or more other subsidiaries) by the Company;</w:t>
      </w:r>
    </w:p>
    <w:p>
      <w:pPr>
        <w:spacing w:after="0" w:line="132" w:lineRule="exact"/>
        <w:rPr>
          <w:rFonts w:ascii="Times New Roman" w:cs="Times New Roman" w:eastAsia="Times New Roman" w:hAnsi="Times New Roman"/>
          <w:sz w:val="15"/>
          <w:szCs w:val="15"/>
          <w:color w:val="auto"/>
        </w:rPr>
      </w:pPr>
    </w:p>
    <w:p>
      <w:pPr>
        <w:ind w:right="80" w:firstLine="1456"/>
        <w:spacing w:after="0" w:line="293" w:lineRule="auto"/>
        <w:tabs>
          <w:tab w:leader="none" w:pos="1682"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 or advance to any person, including, any employee or director, except advances and similar expenditures in the ordinary course of business or under the terms of an employee stock or option plan approved by the Board;</w:t>
      </w:r>
    </w:p>
    <w:p>
      <w:pPr>
        <w:spacing w:after="0" w:line="132" w:lineRule="exact"/>
        <w:rPr>
          <w:rFonts w:ascii="Times New Roman" w:cs="Times New Roman" w:eastAsia="Times New Roman" w:hAnsi="Times New Roman"/>
          <w:sz w:val="15"/>
          <w:szCs w:val="15"/>
          <w:color w:val="auto"/>
        </w:rPr>
      </w:pPr>
    </w:p>
    <w:p>
      <w:pPr>
        <w:ind w:left="1660" w:hanging="204"/>
        <w:spacing w:after="0"/>
        <w:tabs>
          <w:tab w:leader="none" w:pos="166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guarantee, any indebtedness except for trade accounts of the Company or any subsidiary arising in the ordinary course of business;</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investment inconsistent with any investment policy approved by the Board;</w:t>
      </w:r>
    </w:p>
    <w:p>
      <w:pPr>
        <w:spacing w:after="0" w:line="196" w:lineRule="exact"/>
        <w:rPr>
          <w:rFonts w:ascii="Times New Roman" w:cs="Times New Roman" w:eastAsia="Times New Roman" w:hAnsi="Times New Roman"/>
          <w:sz w:val="15"/>
          <w:szCs w:val="15"/>
          <w:color w:val="auto"/>
        </w:rPr>
      </w:pPr>
    </w:p>
    <w:p>
      <w:pPr>
        <w:ind w:right="260" w:firstLine="1456"/>
        <w:spacing w:after="0" w:line="293" w:lineRule="auto"/>
        <w:tabs>
          <w:tab w:leader="none" w:pos="1673"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any aggregate indebtedness for borrowed money in excess of $250,000 that is not already included in a budget approved by the Board, other than trade credit incurred in the ordinary course of business;</w:t>
      </w:r>
    </w:p>
    <w:p>
      <w:pPr>
        <w:spacing w:after="0" w:line="132"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hire, terminate, or change the compensation of the executive officers, including approving any option grants or stock awards to executive officers;</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principal business of the Company, enter new lines of business, or exit the current line of business;</w:t>
      </w:r>
    </w:p>
    <w:p>
      <w:pPr>
        <w:spacing w:after="0" w:line="196" w:lineRule="exact"/>
        <w:rPr>
          <w:rFonts w:ascii="Times New Roman" w:cs="Times New Roman" w:eastAsia="Times New Roman" w:hAnsi="Times New Roman"/>
          <w:sz w:val="15"/>
          <w:szCs w:val="15"/>
          <w:color w:val="auto"/>
        </w:rPr>
      </w:pPr>
    </w:p>
    <w:p>
      <w:pPr>
        <w:ind w:left="1680" w:hanging="224"/>
        <w:spacing w:after="0"/>
        <w:tabs>
          <w:tab w:leader="none" w:pos="168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assign, license, pledge, or encumber material technology or intellectual property, other than licenses granted in the ordinary course of business;</w:t>
      </w:r>
    </w:p>
    <w:p>
      <w:pPr>
        <w:spacing w:after="0" w:line="196" w:lineRule="exact"/>
        <w:rPr>
          <w:rFonts w:ascii="Times New Roman" w:cs="Times New Roman" w:eastAsia="Times New Roman" w:hAnsi="Times New Roman"/>
          <w:sz w:val="15"/>
          <w:szCs w:val="15"/>
          <w:color w:val="auto"/>
        </w:rPr>
      </w:pPr>
    </w:p>
    <w:p>
      <w:pPr>
        <w:ind w:left="1640" w:hanging="184"/>
        <w:spacing w:after="0"/>
        <w:tabs>
          <w:tab w:leader="none" w:pos="1640"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corporate strategic relationship involving the payment, contribution, or assignment by the Company or to the Company of money or assets</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greater than $250,000; or</w:t>
      </w:r>
    </w:p>
    <w:p>
      <w:pPr>
        <w:spacing w:after="0" w:line="181" w:lineRule="exact"/>
        <w:rPr>
          <w:rFonts w:ascii="Times New Roman" w:cs="Times New Roman" w:eastAsia="Times New Roman" w:hAnsi="Times New Roman"/>
          <w:sz w:val="15"/>
          <w:szCs w:val="15"/>
          <w:color w:val="auto"/>
        </w:rPr>
      </w:pPr>
    </w:p>
    <w:p>
      <w:pPr>
        <w:ind w:right="20" w:firstLine="1456"/>
        <w:spacing w:after="0" w:line="275" w:lineRule="auto"/>
        <w:tabs>
          <w:tab w:leader="none" w:pos="1648"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otherwise enter into or be a party to any transaction with Bobak Azamian, Douglas Michael Ackermann, Jr., Bill Link, any “affiliate” or any “associate” (as defined in Rule 12b-2 promulgated under the Exchange Act) of any such person, except for transactions contemplated by this Agreement, the Series C Agreement, and the Voting Agreement (including, without limitation, any transaction approved in accordance with the drag-along provision set forth in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thereof).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20"/>
          </w:cols>
          <w:pgMar w:left="320" w:top="252" w:right="359" w:bottom="1440" w:gutter="0" w:footer="0" w:header="0"/>
        </w:sectPr>
      </w:pPr>
    </w:p>
    <w:bookmarkStart w:id="398" w:name="page399"/>
    <w:bookmarkEnd w:id="398"/>
    <w:p>
      <w:pPr>
        <w:ind w:right="60" w:firstLine="1014"/>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3.12 </w:t>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xml:space="preserve">. As of the date hereof the Company has obtained from financially sound and reputable insurers Directors and Officers liability insurance in an amount and on terms and conditions satisfactory to the Board, and will use commercially reasonable efforts to cause such insurance policy to be maintained until such time as the Board determines that such insurance should be discontinued. Notwithstanding any other provision of this </w:t>
      </w:r>
      <w:r>
        <w:rPr>
          <w:rFonts w:ascii="Times New Roman" w:cs="Times New Roman" w:eastAsia="Times New Roman" w:hAnsi="Times New Roman"/>
          <w:sz w:val="15"/>
          <w:szCs w:val="15"/>
          <w:u w:val="single" w:color="auto"/>
          <w:color w:val="auto"/>
        </w:rPr>
        <w:t>Section 3.12</w:t>
      </w:r>
      <w:r>
        <w:rPr>
          <w:rFonts w:ascii="Times New Roman" w:cs="Times New Roman" w:eastAsia="Times New Roman" w:hAnsi="Times New Roman"/>
          <w:sz w:val="15"/>
          <w:szCs w:val="15"/>
          <w:color w:val="auto"/>
        </w:rPr>
        <w:t xml:space="preserve"> to the contrary, for so long as a Preferred Director is serving on the Board, the Company shall not cease to maintain a Directors and Officers liability insurance policy in an amount of at least three (3) million dollars unless approved by at least two of the Preferred Directors, and the Company shall annually, within one hundred twenty (120) days after the end of each fiscal year of the Company, deliver to the Major Investors a certification that such a Directors and Officers liability insurance policy remains in effect.</w:t>
      </w:r>
    </w:p>
    <w:p>
      <w:pPr>
        <w:spacing w:after="0" w:line="153" w:lineRule="exact"/>
        <w:rPr>
          <w:sz w:val="20"/>
          <w:szCs w:val="20"/>
          <w:color w:val="auto"/>
        </w:rPr>
      </w:pPr>
    </w:p>
    <w:p>
      <w:pPr>
        <w:ind w:right="20" w:firstLine="1014"/>
        <w:spacing w:after="0" w:line="259" w:lineRule="auto"/>
        <w:rPr>
          <w:sz w:val="20"/>
          <w:szCs w:val="20"/>
          <w:color w:val="auto"/>
        </w:rPr>
      </w:pPr>
      <w:r>
        <w:rPr>
          <w:rFonts w:ascii="Times New Roman" w:cs="Times New Roman" w:eastAsia="Times New Roman" w:hAnsi="Times New Roman"/>
          <w:sz w:val="15"/>
          <w:szCs w:val="15"/>
          <w:color w:val="auto"/>
        </w:rPr>
        <w:t xml:space="preserve">3.13 </w:t>
      </w:r>
      <w:r>
        <w:rPr>
          <w:rFonts w:ascii="Times New Roman" w:cs="Times New Roman" w:eastAsia="Times New Roman" w:hAnsi="Times New Roman"/>
          <w:sz w:val="15"/>
          <w:szCs w:val="15"/>
          <w:u w:val="single" w:color="auto"/>
          <w:color w:val="auto"/>
        </w:rPr>
        <w:t>FCPA</w:t>
      </w:r>
      <w:r>
        <w:rPr>
          <w:rFonts w:ascii="Times New Roman" w:cs="Times New Roman" w:eastAsia="Times New Roman" w:hAnsi="Times New Roman"/>
          <w:sz w:val="15"/>
          <w:szCs w:val="15"/>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 w:cs="Times New Roman" w:eastAsia="Times New Roman" w:hAnsi="Times New Roman"/>
          <w:sz w:val="15"/>
          <w:szCs w:val="15"/>
          <w:u w:val="single" w:color="auto"/>
          <w:color w:val="auto"/>
        </w:rPr>
        <w:t>FCPA</w:t>
      </w:r>
      <w:r>
        <w:rPr>
          <w:rFonts w:ascii="Times New Roman" w:cs="Times New Roman" w:eastAsia="Times New Roman" w:hAnsi="Times New Roman"/>
          <w:sz w:val="15"/>
          <w:szCs w:val="15"/>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64" w:lineRule="exact"/>
        <w:rPr>
          <w:sz w:val="20"/>
          <w:szCs w:val="20"/>
          <w:color w:val="auto"/>
        </w:rPr>
      </w:pPr>
    </w:p>
    <w:p>
      <w:pPr>
        <w:ind w:firstLine="1014"/>
        <w:spacing w:after="0" w:line="260" w:lineRule="auto"/>
        <w:rPr>
          <w:sz w:val="20"/>
          <w:szCs w:val="20"/>
          <w:color w:val="auto"/>
        </w:rPr>
      </w:pPr>
      <w:r>
        <w:rPr>
          <w:rFonts w:ascii="Times New Roman" w:cs="Times New Roman" w:eastAsia="Times New Roman" w:hAnsi="Times New Roman"/>
          <w:sz w:val="15"/>
          <w:szCs w:val="15"/>
          <w:color w:val="auto"/>
        </w:rPr>
        <w:t xml:space="preserve">3.14 </w:t>
      </w:r>
      <w:r>
        <w:rPr>
          <w:rFonts w:ascii="Times New Roman" w:cs="Times New Roman" w:eastAsia="Times New Roman" w:hAnsi="Times New Roman"/>
          <w:sz w:val="15"/>
          <w:szCs w:val="15"/>
          <w:u w:val="single" w:color="auto"/>
          <w:color w:val="auto"/>
        </w:rPr>
        <w:t>Right to Conduct Activities</w:t>
      </w:r>
      <w:r>
        <w:rPr>
          <w:rFonts w:ascii="Times New Roman" w:cs="Times New Roman" w:eastAsia="Times New Roman" w:hAnsi="Times New Roman"/>
          <w:sz w:val="15"/>
          <w:szCs w:val="15"/>
          <w:color w:val="auto"/>
        </w:rPr>
        <w:t>. The Company hereby agrees and acknowledges that Vivo Capital, Frazier, RTW, Aperture Venture Partners V, L.P. (collectively with its Affiliates “</w:t>
      </w:r>
      <w:r>
        <w:rPr>
          <w:rFonts w:ascii="Times New Roman" w:cs="Times New Roman" w:eastAsia="Times New Roman" w:hAnsi="Times New Roman"/>
          <w:sz w:val="15"/>
          <w:szCs w:val="15"/>
          <w:u w:val="single" w:color="auto"/>
          <w:color w:val="auto"/>
        </w:rPr>
        <w:t>Aperture</w:t>
      </w:r>
      <w:r>
        <w:rPr>
          <w:rFonts w:ascii="Times New Roman" w:cs="Times New Roman" w:eastAsia="Times New Roman" w:hAnsi="Times New Roman"/>
          <w:sz w:val="15"/>
          <w:szCs w:val="15"/>
          <w:color w:val="auto"/>
        </w:rPr>
        <w:t>”), Flying L Partners LLC (collectively with its Affiliates “</w:t>
      </w:r>
      <w:r>
        <w:rPr>
          <w:rFonts w:ascii="Times New Roman" w:cs="Times New Roman" w:eastAsia="Times New Roman" w:hAnsi="Times New Roman"/>
          <w:sz w:val="15"/>
          <w:szCs w:val="15"/>
          <w:u w:val="single" w:color="auto"/>
          <w:color w:val="auto"/>
        </w:rPr>
        <w:t>Flying L</w:t>
      </w:r>
      <w:r>
        <w:rPr>
          <w:rFonts w:ascii="Times New Roman" w:cs="Times New Roman" w:eastAsia="Times New Roman" w:hAnsi="Times New Roman"/>
          <w:sz w:val="15"/>
          <w:szCs w:val="15"/>
          <w:color w:val="auto"/>
        </w:rPr>
        <w:t>”), Visionary Ventures Management, LLC (collectively with its Affiliates “</w:t>
      </w:r>
      <w:r>
        <w:rPr>
          <w:rFonts w:ascii="Times New Roman" w:cs="Times New Roman" w:eastAsia="Times New Roman" w:hAnsi="Times New Roman"/>
          <w:sz w:val="15"/>
          <w:szCs w:val="15"/>
          <w:u w:val="single" w:color="auto"/>
          <w:color w:val="auto"/>
        </w:rPr>
        <w:t>Visionary</w:t>
      </w:r>
      <w:r>
        <w:rPr>
          <w:rFonts w:ascii="Times New Roman" w:cs="Times New Roman" w:eastAsia="Times New Roman" w:hAnsi="Times New Roman"/>
          <w:sz w:val="15"/>
          <w:szCs w:val="15"/>
          <w:color w:val="auto"/>
        </w:rPr>
        <w:t xml:space="preserve">”) are professional investment organizations, and as such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Vivo Capital, Frazier, RTW, Aperture, Flying L, and Visionary shall not be liable to the Company for any claim arising out of, or based upon, (i) the investment by Vivo Capital, Frazier, RTW, Aperture, Flying L, or Visionary in any entity competitive with the Company, or (ii) actions taken by any partner, officer, employee or other representative of Vivo Capital, Frazier, RTW, Aperture, Flying L, or Visionary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40"/>
          </w:cols>
          <w:pgMar w:left="320" w:top="252" w:right="339" w:bottom="1440" w:gutter="0" w:footer="0" w:header="0"/>
        </w:sectPr>
      </w:pPr>
    </w:p>
    <w:bookmarkStart w:id="399" w:name="page400"/>
    <w:bookmarkEnd w:id="399"/>
    <w:p>
      <w:pPr>
        <w:ind w:left="8" w:right="480" w:firstLine="1014"/>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3.15 </w:t>
      </w:r>
      <w:r>
        <w:rPr>
          <w:rFonts w:ascii="Times New Roman" w:cs="Times New Roman" w:eastAsia="Times New Roman" w:hAnsi="Times New Roman"/>
          <w:sz w:val="15"/>
          <w:szCs w:val="15"/>
          <w:u w:val="single" w:color="auto"/>
          <w:color w:val="auto"/>
        </w:rPr>
        <w:t>Termination of Certain Covenants</w:t>
      </w:r>
      <w:r>
        <w:rPr>
          <w:rFonts w:ascii="Times New Roman" w:cs="Times New Roman" w:eastAsia="Times New Roman" w:hAnsi="Times New Roman"/>
          <w:sz w:val="15"/>
          <w:szCs w:val="15"/>
          <w:color w:val="auto"/>
        </w:rPr>
        <w:t xml:space="preserve">. The covenants set forth in </w:t>
      </w:r>
      <w:r>
        <w:rPr>
          <w:rFonts w:ascii="Times New Roman" w:cs="Times New Roman" w:eastAsia="Times New Roman" w:hAnsi="Times New Roman"/>
          <w:sz w:val="15"/>
          <w:szCs w:val="15"/>
          <w:u w:val="single" w:color="auto"/>
          <w:color w:val="auto"/>
        </w:rPr>
        <w:t>Sections 3.5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3.7</w:t>
      </w:r>
      <w:r>
        <w:rPr>
          <w:rFonts w:ascii="Times New Roman" w:cs="Times New Roman" w:eastAsia="Times New Roman" w:hAnsi="Times New Roman"/>
          <w:sz w:val="15"/>
          <w:szCs w:val="15"/>
          <w:color w:val="auto"/>
        </w:rPr>
        <w:t>, 3.11, and 3.12 shall terminate and be of no further force or effect upon the consummation of (a) the Initial Offering or (b) a Liquidation Event, as that term is defined in the Restated Certificate.</w:t>
      </w:r>
    </w:p>
    <w:p>
      <w:pPr>
        <w:spacing w:after="0" w:line="132" w:lineRule="exact"/>
        <w:rPr>
          <w:sz w:val="20"/>
          <w:szCs w:val="20"/>
          <w:color w:val="auto"/>
        </w:rPr>
      </w:pPr>
    </w:p>
    <w:p>
      <w:pPr>
        <w:ind w:left="608" w:hanging="157"/>
        <w:spacing w:after="0"/>
        <w:tabs>
          <w:tab w:leader="none" w:pos="608"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40" w:firstLine="1014"/>
        <w:spacing w:after="0" w:line="268"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Except as otherwise provided herein, the terms and conditions of this Agreement shall inure to the benefit of and be binding upon the respective successors and assigns of the parties (including, without limitation, permitted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2" w:lineRule="exact"/>
        <w:rPr>
          <w:sz w:val="20"/>
          <w:szCs w:val="20"/>
          <w:color w:val="auto"/>
        </w:rPr>
      </w:pPr>
    </w:p>
    <w:p>
      <w:pPr>
        <w:ind w:left="8" w:right="6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by and construed under the laws of the State of Delaware as applied to agreements among Delaware residents entered into and to be performed entirely within Delaware.</w:t>
      </w:r>
    </w:p>
    <w:p>
      <w:pPr>
        <w:spacing w:after="0" w:line="132" w:lineRule="exact"/>
        <w:rPr>
          <w:sz w:val="20"/>
          <w:szCs w:val="20"/>
          <w:color w:val="auto"/>
        </w:rPr>
      </w:pPr>
    </w:p>
    <w:p>
      <w:pPr>
        <w:ind w:left="8" w:right="100" w:firstLine="1014"/>
        <w:spacing w:after="0" w:line="275"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by electronic signature and in two (2) or more counterparts, each of which shall be deemed an original, but all of which together shall constitute one (1) and the same instrument. Counterparts may be delivered by facsimile, electronic mail (including pdf) or other transmission method, and any counterpart so delivered shall be deemed to have been duly and validly delivered and be valid and effective for all purposes.</w:t>
      </w:r>
    </w:p>
    <w:p>
      <w:pPr>
        <w:spacing w:after="0" w:line="145"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Titles and Subtitles</w:t>
      </w:r>
      <w:r>
        <w:rPr>
          <w:rFonts w:ascii="Times New Roman" w:cs="Times New Roman" w:eastAsia="Times New Roman" w:hAnsi="Times New Roman"/>
          <w:sz w:val="15"/>
          <w:szCs w:val="15"/>
          <w:color w:val="auto"/>
        </w:rPr>
        <w:t>. The titles and subtitles used in this Agreement are used for convenience only and are not to be considered in construing or interpreting this</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Agreement.</w:t>
      </w:r>
    </w:p>
    <w:p>
      <w:pPr>
        <w:spacing w:after="0" w:line="182" w:lineRule="exact"/>
        <w:rPr>
          <w:sz w:val="20"/>
          <w:szCs w:val="20"/>
          <w:color w:val="auto"/>
        </w:rPr>
      </w:pPr>
    </w:p>
    <w:p>
      <w:pPr>
        <w:ind w:left="8" w:firstLine="1014"/>
        <w:spacing w:after="0" w:line="266"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given or made pursuant hereto shall be in writing and shall be deemed effectively given: (a) upon personal delivery to the party to be notified, (b) when sent by confirmed electronic mail or facsimile if sent during normal business hours of the recipient; if not, then on the next business day, (c) five</w:t>
      </w:r>
    </w:p>
    <w:p>
      <w:pPr>
        <w:spacing w:after="0" w:line="1" w:lineRule="exact"/>
        <w:rPr>
          <w:sz w:val="20"/>
          <w:szCs w:val="20"/>
          <w:color w:val="auto"/>
        </w:rPr>
      </w:pPr>
    </w:p>
    <w:p>
      <w:pPr>
        <w:ind w:left="8" w:right="40" w:hanging="8"/>
        <w:spacing w:after="0" w:line="264" w:lineRule="auto"/>
        <w:tabs>
          <w:tab w:leader="none" w:pos="225"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left="8" w:right="36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Expenses</w:t>
      </w:r>
      <w:r>
        <w:rPr>
          <w:rFonts w:ascii="Times New Roman" w:cs="Times New Roman" w:eastAsia="Times New Roman" w:hAnsi="Times New Roman"/>
          <w:sz w:val="15"/>
          <w:szCs w:val="15"/>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32" w:lineRule="exact"/>
        <w:rPr>
          <w:sz w:val="20"/>
          <w:szCs w:val="20"/>
          <w:color w:val="auto"/>
        </w:rPr>
      </w:pPr>
    </w:p>
    <w:p>
      <w:pPr>
        <w:ind w:left="8" w:right="40" w:firstLine="1014"/>
        <w:spacing w:after="0" w:line="262"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u w:val="single" w:color="auto"/>
          <w:color w:val="auto"/>
        </w:rPr>
        <w:t>Entire Agreement; Amendments</w:t>
      </w:r>
      <w:r>
        <w:rPr>
          <w:rFonts w:ascii="Times New Roman" w:cs="Times New Roman" w:eastAsia="Times New Roman" w:hAnsi="Times New Roman"/>
          <w:sz w:val="15"/>
          <w:szCs w:val="15"/>
          <w:color w:val="auto"/>
        </w:rPr>
        <w:t xml:space="preserve">. This Agreement (including the Exhibits hereto, if any) constitutes the full and entire understanding and agreement among the parties with regard to the subjects hereof and thereof. Any term of this Agreement (other than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may be amended and the observance of any term of this Agreement may be waived (either generally or in a particular instance and either retroactively or prospectively) only with the written consent of the Company and the Investors holding a majority of the Registrable Securities. The provisions of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and this third sentence of this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may be amended or waived (either generally or in a particular instance and either retroactively or prospectively) only with the written consent of the Company and the Major Investors holding a majority of the Registrable Securities then held by all of the Major Investors. The provisions of </w:t>
      </w:r>
      <w:r>
        <w:rPr>
          <w:rFonts w:ascii="Times New Roman" w:cs="Times New Roman" w:eastAsia="Times New Roman" w:hAnsi="Times New Roman"/>
          <w:sz w:val="15"/>
          <w:szCs w:val="15"/>
          <w:u w:val="single" w:color="auto"/>
          <w:color w:val="auto"/>
        </w:rPr>
        <w:t>Section 3.3(a)</w:t>
      </w:r>
      <w:r>
        <w:rPr>
          <w:rFonts w:ascii="Times New Roman" w:cs="Times New Roman" w:eastAsia="Times New Roman" w:hAnsi="Times New Roman"/>
          <w:sz w:val="15"/>
          <w:szCs w:val="15"/>
          <w:color w:val="auto"/>
        </w:rPr>
        <w:t xml:space="preserve"> and this fourth sentence of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may be amended or waived (either generally or in a particular instance</w:t>
      </w:r>
    </w:p>
    <w:p>
      <w:pPr>
        <w:spacing w:after="0" w:line="1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48"/>
          </w:cols>
          <w:pgMar w:left="312" w:top="252" w:right="339" w:bottom="1440" w:gutter="0" w:footer="0" w:header="0"/>
        </w:sectPr>
      </w:pPr>
    </w:p>
    <w:bookmarkStart w:id="400" w:name="page401"/>
    <w:bookmarkEnd w:id="400"/>
    <w:p>
      <w:pPr>
        <w:ind w:right="6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and either retroactively or prospectively) only with the written consent of Vivo Capital. The provisions of </w:t>
      </w:r>
      <w:r>
        <w:rPr>
          <w:rFonts w:ascii="Times New Roman" w:cs="Times New Roman" w:eastAsia="Times New Roman" w:hAnsi="Times New Roman"/>
          <w:sz w:val="15"/>
          <w:szCs w:val="15"/>
          <w:u w:val="single" w:color="auto"/>
          <w:color w:val="auto"/>
        </w:rPr>
        <w:t>Section 3.3(b)</w:t>
      </w:r>
      <w:r>
        <w:rPr>
          <w:rFonts w:ascii="Times New Roman" w:cs="Times New Roman" w:eastAsia="Times New Roman" w:hAnsi="Times New Roman"/>
          <w:sz w:val="15"/>
          <w:szCs w:val="15"/>
          <w:color w:val="auto"/>
        </w:rPr>
        <w:t xml:space="preserve"> and this fifth sentence of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may be amended or waived (either generally or in a particular instance and either retroactively or prospectively) only with the written consent of Frazier. The provisions of </w:t>
      </w:r>
      <w:r>
        <w:rPr>
          <w:rFonts w:ascii="Times New Roman" w:cs="Times New Roman" w:eastAsia="Times New Roman" w:hAnsi="Times New Roman"/>
          <w:sz w:val="15"/>
          <w:szCs w:val="15"/>
          <w:u w:val="single" w:color="auto"/>
          <w:color w:val="auto"/>
        </w:rPr>
        <w:t>Section 3.3(c)</w:t>
      </w:r>
      <w:r>
        <w:rPr>
          <w:rFonts w:ascii="Times New Roman" w:cs="Times New Roman" w:eastAsia="Times New Roman" w:hAnsi="Times New Roman"/>
          <w:sz w:val="15"/>
          <w:szCs w:val="15"/>
          <w:color w:val="auto"/>
        </w:rPr>
        <w:t xml:space="preserve"> and this sixth sentence of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may be amended or waived (either generally or in a particular instance and either retroactively or prospectively) only with the written consent of RTW.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Any amendment or waiver effected in accordance with this paragraph shall be binding upon each holder of any Registrable Securities, each future holder of all such Registrable Securities and the Company.</w:t>
      </w:r>
    </w:p>
    <w:p>
      <w:pPr>
        <w:spacing w:after="0" w:line="159" w:lineRule="exact"/>
        <w:rPr>
          <w:sz w:val="20"/>
          <w:szCs w:val="20"/>
          <w:color w:val="auto"/>
        </w:rPr>
      </w:pPr>
    </w:p>
    <w:p>
      <w:pPr>
        <w:ind w:right="20" w:firstLine="1014"/>
        <w:spacing w:after="0" w:line="275" w:lineRule="auto"/>
        <w:rPr>
          <w:sz w:val="20"/>
          <w:szCs w:val="20"/>
          <w:color w:val="auto"/>
        </w:rPr>
      </w:pPr>
      <w:r>
        <w:rPr>
          <w:rFonts w:ascii="Times New Roman" w:cs="Times New Roman" w:eastAsia="Times New Roman" w:hAnsi="Times New Roman"/>
          <w:sz w:val="15"/>
          <w:szCs w:val="15"/>
          <w:color w:val="auto"/>
        </w:rPr>
        <w:t xml:space="preserve">4.8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45" w:lineRule="exact"/>
        <w:rPr>
          <w:sz w:val="20"/>
          <w:szCs w:val="20"/>
          <w:color w:val="auto"/>
        </w:rPr>
      </w:pPr>
    </w:p>
    <w:p>
      <w:pPr>
        <w:ind w:right="140" w:firstLine="1014"/>
        <w:spacing w:after="0" w:line="275" w:lineRule="auto"/>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15"/>
          <w:szCs w:val="15"/>
          <w:u w:val="single" w:color="auto"/>
          <w:color w:val="auto"/>
        </w:rPr>
        <w:t>Aggregation of Stock</w:t>
      </w:r>
      <w:r>
        <w:rPr>
          <w:rFonts w:ascii="Times New Roman" w:cs="Times New Roman" w:eastAsia="Times New Roman" w:hAnsi="Times New Roman"/>
          <w:sz w:val="15"/>
          <w:szCs w:val="15"/>
          <w:color w:val="auto"/>
        </w:rPr>
        <w:t>. All shares of Registrable Securities held or acquired by affiliated entities (including, without limitation, affiliated venture capital funds or venture capital funds under common investment management) or Persons shall be aggregated together for the purpose of determining the availability of any rights under this Agreement.</w:t>
      </w:r>
    </w:p>
    <w:p>
      <w:pPr>
        <w:spacing w:after="0" w:line="145" w:lineRule="exact"/>
        <w:rPr>
          <w:sz w:val="20"/>
          <w:szCs w:val="20"/>
          <w:color w:val="auto"/>
        </w:rPr>
      </w:pPr>
    </w:p>
    <w:p>
      <w:pPr>
        <w:ind w:right="80" w:firstLine="1014"/>
        <w:spacing w:after="0" w:line="265"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u w:val="single" w:color="auto"/>
          <w:color w:val="auto"/>
        </w:rPr>
        <w:t>Additional Investors</w:t>
      </w:r>
      <w:r>
        <w:rPr>
          <w:rFonts w:ascii="Times New Roman" w:cs="Times New Roman" w:eastAsia="Times New Roman" w:hAnsi="Times New Roman"/>
          <w:sz w:val="15"/>
          <w:szCs w:val="15"/>
          <w:color w:val="auto"/>
        </w:rPr>
        <w:t>. Notwithstanding anything to the contrary contained herein, if the Company issues additional shares of the Company’s Series C Preferred Stock after the date hereof, whether pursuant to Section 1.3 of the Purchase Agreement or otherwise, any purchaser of such shares of Series C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54" w:lineRule="exact"/>
        <w:rPr>
          <w:sz w:val="20"/>
          <w:szCs w:val="20"/>
          <w:color w:val="auto"/>
        </w:rPr>
      </w:pPr>
    </w:p>
    <w:p>
      <w:pPr>
        <w:ind w:firstLine="1014"/>
        <w:spacing w:after="0" w:line="262"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Dispute Resolution</w:t>
      </w:r>
      <w:r>
        <w:rPr>
          <w:rFonts w:ascii="Times New Roman" w:cs="Times New Roman" w:eastAsia="Times New Roman" w:hAnsi="Times New Roman"/>
          <w:sz w:val="15"/>
          <w:szCs w:val="15"/>
          <w:color w:val="auto"/>
        </w:rPr>
        <w:t>. The parties (a) hereby irrevocably and unconditionally submit to the jurisdiction of the state courts of California and to the jurisdiction of the United States District Court for the Southern District of California, Southern Division, for the purpose of any suit, action or other proceeding arising out of or based upon this Agreement, (b) agree not to commence any suit, action or other proceeding arising out of or based upon this Agreement except in the state courts of California or the United States District Court for the Southern District of California, Southern Division, and (c) hereby waive, and agree not to assert, by way of motion, as a defense, or otherwise, in any such suit, action or proceeding, any claim that it is not subject personally to the jurisdiction of the foregoing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58" w:lineRule="exact"/>
        <w:rPr>
          <w:sz w:val="20"/>
          <w:szCs w:val="20"/>
          <w:color w:val="auto"/>
        </w:rPr>
      </w:pPr>
    </w:p>
    <w:p>
      <w:pPr>
        <w:jc w:val="both"/>
        <w:ind w:right="20" w:firstLine="1464"/>
        <w:spacing w:after="0" w:line="275" w:lineRule="auto"/>
        <w:rPr>
          <w:sz w:val="20"/>
          <w:szCs w:val="20"/>
          <w:color w:val="auto"/>
        </w:rPr>
      </w:pPr>
      <w:r>
        <w:rPr>
          <w:rFonts w:ascii="Times New Roman" w:cs="Times New Roman" w:eastAsia="Times New Roman" w:hAnsi="Times New Roman"/>
          <w:sz w:val="15"/>
          <w:szCs w:val="15"/>
          <w:u w:val="single" w:color="auto"/>
          <w:color w:val="auto"/>
        </w:rPr>
        <w:t>WAIVER OF JURY TRIAL</w:t>
      </w:r>
      <w:r>
        <w:rPr>
          <w:rFonts w:ascii="Times New Roman" w:cs="Times New Roman" w:eastAsia="Times New Roman" w:hAnsi="Times New Roman"/>
          <w:sz w:val="15"/>
          <w:szCs w:val="15"/>
          <w:color w:val="auto"/>
        </w:rPr>
        <w:t>: TO THE FULLEST EXTENT PERMITTED BY APPLICABLE LAW, EACH PARTY HEREBY WAIVES ITS RIGHTS TO A JURY TRIAL OF ANY CLAIM OR CAUSE OF ACTION BASED UPON OR ARISING OUT OF THIS AGREEMENT OR THE SUBJECT MATTER HEREOF. THE SCOPE OF THIS WAIVER IS INTENDED TO BE ALL-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20"/>
          </w:cols>
          <w:pgMar w:left="320" w:top="252" w:right="359" w:bottom="1440" w:gutter="0" w:footer="0" w:header="0"/>
        </w:sectPr>
      </w:pPr>
    </w:p>
    <w:bookmarkStart w:id="401" w:name="page402"/>
    <w:bookmarkEnd w:id="401"/>
    <w:p>
      <w:pPr>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ENCOMPASSING OF ANY AND ALL DISPUTES THAT MAY BE FILED IN ANY COURT AND THAT RELATE TO THE SUBJECT MATTER 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TO THE FULLEST EXTENT PERMITTED BY APPLICABLE LAW FOLLOWING CONSULTATION WITH LEGAL COUNSEL.</w:t>
      </w:r>
    </w:p>
    <w:p>
      <w:pPr>
        <w:spacing w:after="0" w:line="153" w:lineRule="exact"/>
        <w:rPr>
          <w:sz w:val="20"/>
          <w:szCs w:val="20"/>
          <w:color w:val="auto"/>
        </w:rPr>
      </w:pPr>
    </w:p>
    <w:p>
      <w:pPr>
        <w:ind w:right="160" w:firstLine="1014"/>
        <w:spacing w:after="0" w:line="293" w:lineRule="auto"/>
        <w:rPr>
          <w:sz w:val="20"/>
          <w:szCs w:val="20"/>
          <w:color w:val="auto"/>
        </w:rPr>
      </w:pPr>
      <w:r>
        <w:rPr>
          <w:rFonts w:ascii="Times New Roman" w:cs="Times New Roman" w:eastAsia="Times New Roman" w:hAnsi="Times New Roman"/>
          <w:sz w:val="15"/>
          <w:szCs w:val="15"/>
          <w:color w:val="auto"/>
        </w:rPr>
        <w:t xml:space="preserve">4.12 </w:t>
      </w:r>
      <w:r>
        <w:rPr>
          <w:rFonts w:ascii="Times New Roman" w:cs="Times New Roman" w:eastAsia="Times New Roman" w:hAnsi="Times New Roman"/>
          <w:sz w:val="15"/>
          <w:szCs w:val="15"/>
          <w:u w:val="single" w:color="auto"/>
          <w:color w:val="auto"/>
        </w:rPr>
        <w:t>Effect on Prior Agreement</w:t>
      </w:r>
      <w:r>
        <w:rPr>
          <w:rFonts w:ascii="Times New Roman" w:cs="Times New Roman" w:eastAsia="Times New Roman" w:hAnsi="Times New Roman"/>
          <w:sz w:val="15"/>
          <w:szCs w:val="15"/>
          <w:color w:val="auto"/>
        </w:rPr>
        <w:t>. Upon the effectiveness of this Agreement, the Prior Agreement shall be amended and restated in its entirety by this Agreement and shall be of no further force or effect.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40"/>
          </w:cols>
          <w:pgMar w:left="320" w:top="252" w:right="33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196"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Bobak Azmian</w:t>
            </w:r>
          </w:p>
        </w:tc>
      </w:tr>
      <w:tr>
        <w:trPr>
          <w:trHeight w:val="162"/>
        </w:trPr>
        <w:tc>
          <w:tcPr>
            <w:tcW w:w="700" w:type="dxa"/>
            <w:vAlign w:val="bottom"/>
          </w:tcPr>
          <w:p>
            <w:pPr>
              <w:spacing w:after="0"/>
              <w:rPr>
                <w:sz w:val="14"/>
                <w:szCs w:val="14"/>
                <w:color w:val="auto"/>
              </w:rPr>
            </w:pPr>
          </w:p>
        </w:tc>
        <w:tc>
          <w:tcPr>
            <w:tcW w:w="7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Bobak Azamian</w:t>
            </w:r>
          </w:p>
        </w:tc>
      </w:tr>
      <w:tr>
        <w:trPr>
          <w:trHeight w:val="199"/>
        </w:trPr>
        <w:tc>
          <w:tcPr>
            <w:tcW w:w="7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15440 Laguna Canyon Road, Suite 160</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Irvine, CA 92618</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INVESTOR:</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RTW MASTER FUND, LTD.</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Roderick Wong</w:t>
            </w:r>
          </w:p>
        </w:tc>
      </w:tr>
      <w:tr>
        <w:trPr>
          <w:trHeight w:val="162"/>
        </w:trPr>
        <w:tc>
          <w:tcPr>
            <w:tcW w:w="700" w:type="dxa"/>
            <w:vAlign w:val="bottom"/>
          </w:tcPr>
          <w:p>
            <w:pPr>
              <w:spacing w:after="0"/>
              <w:rPr>
                <w:sz w:val="14"/>
                <w:szCs w:val="14"/>
                <w:color w:val="auto"/>
              </w:rPr>
            </w:pPr>
          </w:p>
        </w:tc>
        <w:tc>
          <w:tcPr>
            <w:tcW w:w="7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Roderick Wong, M.D.</w:t>
            </w:r>
          </w:p>
        </w:tc>
      </w:tr>
      <w:tr>
        <w:trPr>
          <w:trHeight w:val="199"/>
        </w:trPr>
        <w:tc>
          <w:tcPr>
            <w:tcW w:w="7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Director</w:t>
            </w:r>
          </w:p>
        </w:tc>
      </w:tr>
      <w:tr>
        <w:trPr>
          <w:trHeight w:val="37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 RTW Investments, LP</w:t>
            </w:r>
          </w:p>
        </w:tc>
      </w:tr>
      <w:tr>
        <w:trPr>
          <w:trHeight w:val="185"/>
        </w:trPr>
        <w:tc>
          <w:tcPr>
            <w:tcW w:w="700" w:type="dxa"/>
            <w:vAlign w:val="bottom"/>
          </w:tcPr>
          <w:p>
            <w:pPr>
              <w:spacing w:after="0"/>
              <w:rPr>
                <w:sz w:val="16"/>
                <w:szCs w:val="16"/>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40 10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Ave., Floor 7</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New York, NY 10014</w:t>
            </w:r>
          </w:p>
        </w:tc>
      </w:tr>
    </w:tbl>
    <w:p>
      <w:pPr>
        <w:spacing w:after="0" w:line="201"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RTW INNOVATION MASTER FUND, LTD.</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Roderick Wong</w:t>
            </w:r>
          </w:p>
        </w:tc>
      </w:tr>
      <w:tr>
        <w:trPr>
          <w:trHeight w:val="162"/>
        </w:trPr>
        <w:tc>
          <w:tcPr>
            <w:tcW w:w="700" w:type="dxa"/>
            <w:vAlign w:val="bottom"/>
          </w:tcPr>
          <w:p>
            <w:pPr>
              <w:spacing w:after="0"/>
              <w:rPr>
                <w:sz w:val="14"/>
                <w:szCs w:val="14"/>
                <w:color w:val="auto"/>
              </w:rPr>
            </w:pPr>
          </w:p>
        </w:tc>
        <w:tc>
          <w:tcPr>
            <w:tcW w:w="7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Roderick Wong, M.D.</w:t>
            </w:r>
          </w:p>
        </w:tc>
      </w:tr>
      <w:tr>
        <w:trPr>
          <w:trHeight w:val="199"/>
        </w:trPr>
        <w:tc>
          <w:tcPr>
            <w:tcW w:w="7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Director</w:t>
            </w:r>
          </w:p>
        </w:tc>
      </w:tr>
      <w:tr>
        <w:trPr>
          <w:trHeight w:val="37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 RTW Investments, LP</w:t>
            </w:r>
          </w:p>
        </w:tc>
      </w:tr>
      <w:tr>
        <w:trPr>
          <w:trHeight w:val="185"/>
        </w:trPr>
        <w:tc>
          <w:tcPr>
            <w:tcW w:w="700" w:type="dxa"/>
            <w:vAlign w:val="bottom"/>
          </w:tcPr>
          <w:p>
            <w:pPr>
              <w:spacing w:after="0"/>
              <w:rPr>
                <w:sz w:val="16"/>
                <w:szCs w:val="16"/>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40 10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Ave., Floor 7</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New York, NY 10014</w:t>
            </w:r>
          </w:p>
        </w:tc>
      </w:tr>
    </w:tbl>
    <w:p>
      <w:pPr>
        <w:spacing w:after="0" w:line="304"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RTW VENTURE FUND LIMITED</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By: RTW Investments, LP, its Investment Manager</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Roderick Wong</w:t>
            </w:r>
          </w:p>
        </w:tc>
      </w:tr>
      <w:tr>
        <w:trPr>
          <w:trHeight w:val="162"/>
        </w:trPr>
        <w:tc>
          <w:tcPr>
            <w:tcW w:w="700" w:type="dxa"/>
            <w:vAlign w:val="bottom"/>
          </w:tcPr>
          <w:p>
            <w:pPr>
              <w:spacing w:after="0"/>
              <w:rPr>
                <w:sz w:val="14"/>
                <w:szCs w:val="14"/>
                <w:color w:val="auto"/>
              </w:rPr>
            </w:pPr>
          </w:p>
        </w:tc>
        <w:tc>
          <w:tcPr>
            <w:tcW w:w="720" w:type="dxa"/>
            <w:vAlign w:val="bottom"/>
          </w:tcPr>
          <w:p>
            <w:pPr>
              <w:ind w:left="180"/>
              <w:spacing w:after="0" w:line="161" w:lineRule="exact"/>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line="161" w:lineRule="exact"/>
              <w:rPr>
                <w:sz w:val="20"/>
                <w:szCs w:val="20"/>
                <w:color w:val="auto"/>
              </w:rPr>
            </w:pPr>
            <w:r>
              <w:rPr>
                <w:rFonts w:ascii="Times New Roman" w:cs="Times New Roman" w:eastAsia="Times New Roman" w:hAnsi="Times New Roman"/>
                <w:sz w:val="15"/>
                <w:szCs w:val="15"/>
                <w:color w:val="auto"/>
              </w:rPr>
              <w:t>Roderick Wong, M.D.</w:t>
            </w:r>
          </w:p>
        </w:tc>
      </w:tr>
      <w:tr>
        <w:trPr>
          <w:trHeight w:val="199"/>
        </w:trPr>
        <w:tc>
          <w:tcPr>
            <w:tcW w:w="7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Partner</w:t>
            </w:r>
          </w:p>
        </w:tc>
      </w:tr>
      <w:tr>
        <w:trPr>
          <w:trHeight w:val="377"/>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 RTW Investments, LP</w:t>
            </w:r>
          </w:p>
        </w:tc>
      </w:tr>
      <w:tr>
        <w:trPr>
          <w:trHeight w:val="185"/>
        </w:trPr>
        <w:tc>
          <w:tcPr>
            <w:tcW w:w="700" w:type="dxa"/>
            <w:vAlign w:val="bottom"/>
          </w:tcPr>
          <w:p>
            <w:pPr>
              <w:spacing w:after="0"/>
              <w:rPr>
                <w:sz w:val="16"/>
                <w:szCs w:val="16"/>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40 10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Ave., Floor 7</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New York, NY 10014</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ORMORANT</w:t>
            </w:r>
            <w:r>
              <w:rPr>
                <w:rFonts w:ascii="Times New Roman" w:cs="Times New Roman" w:eastAsia="Times New Roman" w:hAnsi="Times New Roman"/>
                <w:sz w:val="15"/>
                <w:szCs w:val="15"/>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M</w:t>
            </w:r>
            <w:r>
              <w:rPr>
                <w:rFonts w:ascii="Times New Roman" w:cs="Times New Roman" w:eastAsia="Times New Roman" w:hAnsi="Times New Roman"/>
                <w:sz w:val="12"/>
                <w:szCs w:val="12"/>
                <w:b w:val="1"/>
                <w:bCs w:val="1"/>
                <w:color w:val="auto"/>
              </w:rPr>
              <w:t>ASTER</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5"/>
                <w:szCs w:val="15"/>
                <w:b w:val="1"/>
                <w:bCs w:val="1"/>
                <w:color w:val="auto"/>
              </w:rPr>
              <w:t>, LP</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By: Cormorant Global Healthcare GP, LLC</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Bibua Chen</w:t>
            </w:r>
          </w:p>
        </w:tc>
      </w:tr>
      <w:tr>
        <w:trPr>
          <w:trHeight w:val="257"/>
        </w:trPr>
        <w:tc>
          <w:tcPr>
            <w:tcW w:w="70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Bihua Chen</w:t>
            </w:r>
          </w:p>
        </w:tc>
      </w:tr>
      <w:tr>
        <w:trPr>
          <w:trHeight w:val="277"/>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Member of the GP</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200 Clarendon Street, 52</w:t>
            </w:r>
            <w:r>
              <w:rPr>
                <w:rFonts w:ascii="Times New Roman" w:cs="Times New Roman" w:eastAsia="Times New Roman" w:hAnsi="Times New Roman"/>
                <w:sz w:val="13"/>
                <w:szCs w:val="13"/>
                <w:color w:val="auto"/>
              </w:rPr>
              <w:t>nd</w:t>
            </w:r>
            <w:r>
              <w:rPr>
                <w:rFonts w:ascii="Times New Roman" w:cs="Times New Roman" w:eastAsia="Times New Roman" w:hAnsi="Times New Roman"/>
                <w:sz w:val="15"/>
                <w:szCs w:val="15"/>
                <w:color w:val="auto"/>
              </w:rPr>
              <w:t xml:space="preserve"> Floor</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Boston, MA 02116</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ORMORANT</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RIVATE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5"/>
                <w:szCs w:val="15"/>
                <w:b w:val="1"/>
                <w:bCs w:val="1"/>
                <w:color w:val="auto"/>
              </w:rPr>
              <w:t xml:space="preserve"> II, LP</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By: Cormorant Private Healthcare GP II, LLC</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Bibua Chen</w:t>
            </w:r>
          </w:p>
        </w:tc>
      </w:tr>
      <w:tr>
        <w:trPr>
          <w:trHeight w:val="257"/>
        </w:trPr>
        <w:tc>
          <w:tcPr>
            <w:tcW w:w="70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Bihua Chen</w:t>
            </w:r>
          </w:p>
        </w:tc>
      </w:tr>
      <w:tr>
        <w:trPr>
          <w:trHeight w:val="277"/>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Member of the GP</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200 Clarendon Street, 52</w:t>
            </w:r>
            <w:r>
              <w:rPr>
                <w:rFonts w:ascii="Times New Roman" w:cs="Times New Roman" w:eastAsia="Times New Roman" w:hAnsi="Times New Roman"/>
                <w:sz w:val="13"/>
                <w:szCs w:val="13"/>
                <w:color w:val="auto"/>
              </w:rPr>
              <w:t>nd</w:t>
            </w:r>
            <w:r>
              <w:rPr>
                <w:rFonts w:ascii="Times New Roman" w:cs="Times New Roman" w:eastAsia="Times New Roman" w:hAnsi="Times New Roman"/>
                <w:sz w:val="15"/>
                <w:szCs w:val="15"/>
                <w:color w:val="auto"/>
              </w:rPr>
              <w:t xml:space="preserve"> Floor Boston,</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 02116</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ORMORANT</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RIVATE</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5"/>
                <w:szCs w:val="15"/>
                <w:b w:val="1"/>
                <w:bCs w:val="1"/>
                <w:color w:val="auto"/>
              </w:rPr>
              <w:t xml:space="preserve"> III, LP</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By: Cormorant Private Healthcare GP III, LLC</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Bibua Chen</w:t>
            </w:r>
          </w:p>
        </w:tc>
      </w:tr>
      <w:tr>
        <w:trPr>
          <w:trHeight w:val="257"/>
        </w:trPr>
        <w:tc>
          <w:tcPr>
            <w:tcW w:w="70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Bihua Chen</w:t>
            </w:r>
          </w:p>
        </w:tc>
      </w:tr>
      <w:tr>
        <w:trPr>
          <w:trHeight w:val="277"/>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Member of the GP</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200 Clarendon Street, 52</w:t>
            </w:r>
            <w:r>
              <w:rPr>
                <w:rFonts w:ascii="Times New Roman" w:cs="Times New Roman" w:eastAsia="Times New Roman" w:hAnsi="Times New Roman"/>
                <w:sz w:val="13"/>
                <w:szCs w:val="13"/>
                <w:color w:val="auto"/>
              </w:rPr>
              <w:t>nd</w:t>
            </w:r>
            <w:r>
              <w:rPr>
                <w:rFonts w:ascii="Times New Roman" w:cs="Times New Roman" w:eastAsia="Times New Roman" w:hAnsi="Times New Roman"/>
                <w:sz w:val="15"/>
                <w:szCs w:val="15"/>
                <w:color w:val="auto"/>
              </w:rPr>
              <w:t xml:space="preserve"> Floor Boston,</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MA 02116</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INVESTOR:</w:t>
            </w:r>
          </w:p>
        </w:tc>
      </w:tr>
      <w:tr>
        <w:trPr>
          <w:trHeight w:val="369"/>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CRMA SPV, L.P.</w:t>
            </w:r>
          </w:p>
        </w:tc>
      </w:tr>
      <w:tr>
        <w:trPr>
          <w:trHeight w:val="354"/>
        </w:trPr>
        <w:tc>
          <w:tcPr>
            <w:tcW w:w="700" w:type="dxa"/>
            <w:vAlign w:val="bottom"/>
          </w:tcPr>
          <w:p>
            <w:pPr>
              <w:spacing w:after="0"/>
              <w:rPr>
                <w:sz w:val="24"/>
                <w:szCs w:val="24"/>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By: Cormorant Asset Management, LLC</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Its: Attorney-In-Fact</w:t>
            </w:r>
          </w:p>
        </w:tc>
      </w:tr>
      <w:tr>
        <w:trPr>
          <w:trHeight w:val="381"/>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Bibua Chen</w:t>
            </w:r>
          </w:p>
        </w:tc>
      </w:tr>
      <w:tr>
        <w:trPr>
          <w:trHeight w:val="257"/>
        </w:trPr>
        <w:tc>
          <w:tcPr>
            <w:tcW w:w="70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Bihua Chen</w:t>
            </w:r>
          </w:p>
        </w:tc>
      </w:tr>
      <w:tr>
        <w:trPr>
          <w:trHeight w:val="277"/>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Member</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PO Box 309, Ugland House</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Grand Cayman; KY1-1104 Cayman Islands</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tbl>
      <w:tblPr>
        <w:tblLayout w:type="fixed"/>
        <w:tblInd w:w="544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2"/>
                <w:szCs w:val="12"/>
                <w:b w:val="1"/>
                <w:bCs w:val="1"/>
                <w:color w:val="auto"/>
              </w:rPr>
              <w:t>ERCEPTIVE</w:t>
            </w:r>
            <w:r>
              <w:rPr>
                <w:rFonts w:ascii="Times New Roman" w:cs="Times New Roman" w:eastAsia="Times New Roman" w:hAnsi="Times New Roman"/>
                <w:sz w:val="15"/>
                <w:szCs w:val="15"/>
                <w:b w:val="1"/>
                <w:bCs w:val="1"/>
                <w:color w:val="auto"/>
              </w:rPr>
              <w:t xml:space="preserve"> L</w:t>
            </w:r>
            <w:r>
              <w:rPr>
                <w:rFonts w:ascii="Times New Roman" w:cs="Times New Roman" w:eastAsia="Times New Roman" w:hAnsi="Times New Roman"/>
                <w:sz w:val="12"/>
                <w:szCs w:val="12"/>
                <w:b w:val="1"/>
                <w:bCs w:val="1"/>
                <w:color w:val="auto"/>
              </w:rPr>
              <w:t>IFE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5"/>
                <w:szCs w:val="15"/>
                <w:b w:val="1"/>
                <w:bCs w:val="1"/>
                <w:color w:val="auto"/>
              </w:rPr>
              <w:t xml:space="preserve"> M</w:t>
            </w:r>
            <w:r>
              <w:rPr>
                <w:rFonts w:ascii="Times New Roman" w:cs="Times New Roman" w:eastAsia="Times New Roman" w:hAnsi="Times New Roman"/>
                <w:sz w:val="12"/>
                <w:szCs w:val="12"/>
                <w:b w:val="1"/>
                <w:bCs w:val="1"/>
                <w:color w:val="auto"/>
              </w:rPr>
              <w:t>ASTER</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5"/>
                <w:szCs w:val="15"/>
                <w:b w:val="1"/>
                <w:bCs w:val="1"/>
                <w:color w:val="auto"/>
              </w:rPr>
              <w:t>,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5"/>
                <w:szCs w:val="15"/>
                <w:b w:val="1"/>
                <w:bCs w:val="1"/>
                <w:color w:val="auto"/>
              </w:rPr>
              <w:t>.</w:t>
            </w:r>
          </w:p>
        </w:tc>
      </w:tr>
      <w:tr>
        <w:trPr>
          <w:trHeight w:val="369"/>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James Mannix</w:t>
            </w:r>
          </w:p>
        </w:tc>
      </w:tr>
      <w:tr>
        <w:trPr>
          <w:trHeight w:val="257"/>
        </w:trPr>
        <w:tc>
          <w:tcPr>
            <w:tcW w:w="70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James Mannix</w:t>
            </w:r>
          </w:p>
        </w:tc>
      </w:tr>
      <w:tr>
        <w:trPr>
          <w:trHeight w:val="277"/>
        </w:trPr>
        <w:tc>
          <w:tcPr>
            <w:tcW w:w="70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Operating Officer</w:t>
            </w:r>
          </w:p>
        </w:tc>
      </w:tr>
      <w:tr>
        <w:trPr>
          <w:trHeight w:val="378"/>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51 Astor Place, 10</w:t>
            </w:r>
            <w:r>
              <w:rPr>
                <w:rFonts w:ascii="Times New Roman" w:cs="Times New Roman" w:eastAsia="Times New Roman" w:hAnsi="Times New Roman"/>
                <w:sz w:val="13"/>
                <w:szCs w:val="13"/>
                <w:color w:val="auto"/>
              </w:rPr>
              <w:t>th</w:t>
            </w:r>
            <w:r>
              <w:rPr>
                <w:rFonts w:ascii="Times New Roman" w:cs="Times New Roman" w:eastAsia="Times New Roman" w:hAnsi="Times New Roman"/>
                <w:sz w:val="15"/>
                <w:szCs w:val="15"/>
                <w:color w:val="auto"/>
              </w:rPr>
              <w:t xml:space="preserve"> Floor</w:t>
            </w:r>
          </w:p>
        </w:tc>
      </w:tr>
      <w:tr>
        <w:trPr>
          <w:trHeight w:val="199"/>
        </w:trPr>
        <w:tc>
          <w:tcPr>
            <w:tcW w:w="700" w:type="dxa"/>
            <w:vAlign w:val="bottom"/>
          </w:tcPr>
          <w:p>
            <w:pPr>
              <w:spacing w:after="0"/>
              <w:rPr>
                <w:sz w:val="17"/>
                <w:szCs w:val="17"/>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New York, NY 10003</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V</w:t>
      </w:r>
      <w:r>
        <w:rPr>
          <w:rFonts w:ascii="Times New Roman" w:cs="Times New Roman" w:eastAsia="Times New Roman" w:hAnsi="Times New Roman"/>
          <w:sz w:val="12"/>
          <w:szCs w:val="12"/>
          <w:b w:val="1"/>
          <w:bCs w:val="1"/>
          <w:color w:val="auto"/>
        </w:rPr>
        <w:t>IVO</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5"/>
          <w:szCs w:val="15"/>
          <w:b w:val="1"/>
          <w:bCs w:val="1"/>
          <w:color w:val="auto"/>
        </w:rPr>
        <w:t xml:space="preserve"> IX, L.P.</w:t>
      </w:r>
    </w:p>
    <w:p>
      <w:pPr>
        <w:spacing w:after="0" w:line="200" w:lineRule="exact"/>
        <w:rPr>
          <w:sz w:val="20"/>
          <w:szCs w:val="20"/>
          <w:color w:val="auto"/>
        </w:rPr>
      </w:pPr>
    </w:p>
    <w:tbl>
      <w:tblPr>
        <w:tblLayout w:type="fixed"/>
        <w:tblInd w:w="632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Frank Kung</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Frank Kung</w:t>
            </w: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Managing Member</w:t>
            </w:r>
          </w:p>
        </w:tc>
      </w:tr>
    </w:tbl>
    <w:p>
      <w:pPr>
        <w:spacing w:after="0" w:line="193" w:lineRule="exact"/>
        <w:rPr>
          <w:sz w:val="20"/>
          <w:szCs w:val="20"/>
          <w:color w:val="auto"/>
        </w:rPr>
      </w:pPr>
    </w:p>
    <w:p>
      <w:pPr>
        <w:sectPr>
          <w:pgSz w:w="11900" w:h="16838" w:orient="portrait"/>
          <w:cols w:equalWidth="0" w:num="1">
            <w:col w:w="10820"/>
          </w:cols>
          <w:pgMar w:left="760" w:top="248" w:right="319" w:bottom="1440" w:gutter="0" w:footer="0" w:header="0"/>
        </w:sectPr>
      </w:pPr>
    </w:p>
    <w:p>
      <w:pPr>
        <w:ind w:left="6440"/>
        <w:spacing w:after="0"/>
        <w:rPr>
          <w:sz w:val="20"/>
          <w:szCs w:val="20"/>
          <w:color w:val="auto"/>
        </w:rPr>
      </w:pPr>
      <w:r>
        <w:rPr>
          <w:rFonts w:ascii="Times New Roman" w:cs="Times New Roman" w:eastAsia="Times New Roman" w:hAnsi="Times New Roman"/>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Vivo Capital Fund IX, 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 Vivo Capital, LLC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192 Lytton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Palo Alto, CA 94301</w:t>
      </w:r>
    </w:p>
    <w:p>
      <w:pPr>
        <w:spacing w:after="0" w:line="132" w:lineRule="exact"/>
        <w:rPr>
          <w:sz w:val="20"/>
          <w:szCs w:val="20"/>
          <w:color w:val="auto"/>
        </w:rPr>
      </w:pPr>
    </w:p>
    <w:p>
      <w:pPr>
        <w:sectPr>
          <w:pgSz w:w="11900" w:h="16838" w:orient="portrait"/>
          <w:cols w:equalWidth="0" w:num="2">
            <w:col w:w="7000" w:space="340"/>
            <w:col w:w="3480"/>
          </w:cols>
          <w:pgMar w:left="760" w:top="248" w:right="31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type w:val="continuous"/>
        </w:sectPr>
      </w:pPr>
    </w:p>
    <w:bookmarkStart w:id="410" w:name="page411"/>
    <w:bookmarkEnd w:id="410"/>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LYING</w:t>
      </w:r>
      <w:r>
        <w:rPr>
          <w:rFonts w:ascii="Times New Roman" w:cs="Times New Roman" w:eastAsia="Times New Roman" w:hAnsi="Times New Roman"/>
          <w:sz w:val="15"/>
          <w:szCs w:val="15"/>
          <w:b w:val="1"/>
          <w:bCs w:val="1"/>
          <w:color w:val="auto"/>
        </w:rPr>
        <w:t xml:space="preserve"> L I</w:t>
      </w:r>
      <w:r>
        <w:rPr>
          <w:rFonts w:ascii="Times New Roman" w:cs="Times New Roman" w:eastAsia="Times New Roman" w:hAnsi="Times New Roman"/>
          <w:sz w:val="12"/>
          <w:szCs w:val="12"/>
          <w:b w:val="1"/>
          <w:bCs w:val="1"/>
          <w:color w:val="auto"/>
        </w:rPr>
        <w:t>NVESTMENTS</w:t>
      </w:r>
      <w:r>
        <w:rPr>
          <w:rFonts w:ascii="Times New Roman" w:cs="Times New Roman" w:eastAsia="Times New Roman" w:hAnsi="Times New Roman"/>
          <w:sz w:val="15"/>
          <w:szCs w:val="15"/>
          <w:b w:val="1"/>
          <w:bCs w:val="1"/>
          <w:color w:val="auto"/>
        </w:rPr>
        <w:t xml:space="preserve"> XI, LLC</w:t>
      </w:r>
    </w:p>
    <w:p>
      <w:pPr>
        <w:spacing w:after="0" w:line="200" w:lineRule="exact"/>
        <w:rPr>
          <w:sz w:val="20"/>
          <w:szCs w:val="20"/>
          <w:color w:val="auto"/>
        </w:rPr>
      </w:pPr>
    </w:p>
    <w:tbl>
      <w:tblPr>
        <w:tblLayout w:type="fixed"/>
        <w:tblInd w:w="632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/s/ William J. Link</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William J. Link, PhD.</w:t>
            </w:r>
          </w:p>
        </w:tc>
      </w:tr>
      <w:tr>
        <w:trPr>
          <w:trHeight w:val="277"/>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Manager</w:t>
            </w:r>
          </w:p>
        </w:tc>
      </w:tr>
      <w:tr>
        <w:trPr>
          <w:trHeight w:val="392"/>
        </w:trPr>
        <w:tc>
          <w:tcPr>
            <w:tcW w:w="8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Address:</w:t>
            </w:r>
          </w:p>
        </w:tc>
        <w:tc>
          <w:tcPr>
            <w:tcW w:w="3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11 Linda Isle</w:t>
            </w:r>
          </w:p>
        </w:tc>
      </w:tr>
      <w:tr>
        <w:trPr>
          <w:trHeight w:val="288"/>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Newport Beach, CA 92660</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2"/>
          <w:szCs w:val="12"/>
          <w:b w:val="1"/>
          <w:bCs w:val="1"/>
          <w:color w:val="auto"/>
        </w:rPr>
        <w:t>RAZIER</w:t>
      </w:r>
      <w:r>
        <w:rPr>
          <w:rFonts w:ascii="Times New Roman" w:cs="Times New Roman" w:eastAsia="Times New Roman" w:hAnsi="Times New Roman"/>
          <w:sz w:val="15"/>
          <w:szCs w:val="15"/>
          <w:b w:val="1"/>
          <w:bCs w:val="1"/>
          <w:color w:val="auto"/>
        </w:rPr>
        <w:t xml:space="preserve"> L</w:t>
      </w:r>
      <w:r>
        <w:rPr>
          <w:rFonts w:ascii="Times New Roman" w:cs="Times New Roman" w:eastAsia="Times New Roman" w:hAnsi="Times New Roman"/>
          <w:sz w:val="12"/>
          <w:szCs w:val="12"/>
          <w:b w:val="1"/>
          <w:bCs w:val="1"/>
          <w:color w:val="auto"/>
        </w:rPr>
        <w:t>IFE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CIENCES</w:t>
      </w:r>
      <w:r>
        <w:rPr>
          <w:rFonts w:ascii="Times New Roman" w:cs="Times New Roman" w:eastAsia="Times New Roman" w:hAnsi="Times New Roman"/>
          <w:sz w:val="15"/>
          <w:szCs w:val="15"/>
          <w:b w:val="1"/>
          <w:bCs w:val="1"/>
          <w:color w:val="auto"/>
        </w:rPr>
        <w:t xml:space="preserve"> IX, L.P.</w:t>
      </w:r>
    </w:p>
    <w:p>
      <w:pPr>
        <w:spacing w:after="0" w:line="20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By: FHMLS IX, L.P.</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Its general partner</w:t>
      </w:r>
    </w:p>
    <w:p>
      <w:pPr>
        <w:spacing w:after="0" w:line="19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By: FHMLS IX, L.L.C.</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Its general partner</w:t>
      </w:r>
    </w:p>
    <w:p>
      <w:pPr>
        <w:spacing w:after="0" w:line="217" w:lineRule="exact"/>
        <w:rPr>
          <w:sz w:val="20"/>
          <w:szCs w:val="20"/>
          <w:color w:val="auto"/>
        </w:rPr>
      </w:pPr>
    </w:p>
    <w:p>
      <w:pPr>
        <w:ind w:left="6320"/>
        <w:spacing w:after="0"/>
        <w:tabs>
          <w:tab w:leader="none" w:pos="6660" w:val="left"/>
        </w:tabs>
        <w:rPr>
          <w:sz w:val="20"/>
          <w:szCs w:val="20"/>
          <w:color w:val="auto"/>
        </w:rPr>
      </w:pPr>
      <w:r>
        <w:rPr>
          <w:rFonts w:ascii="Times New Roman" w:cs="Times New Roman" w:eastAsia="Times New Roman" w:hAnsi="Times New Roman"/>
          <w:sz w:val="15"/>
          <w:szCs w:val="15"/>
          <w:color w:val="auto"/>
        </w:rPr>
        <w:t>By:</w:t>
        <w:tab/>
        <w:t>/s/ Patrick Heron</w:t>
      </w:r>
    </w:p>
    <w:p>
      <w:pPr>
        <w:spacing w:after="0" w:line="26" w:lineRule="exact"/>
        <w:rPr>
          <w:sz w:val="20"/>
          <w:szCs w:val="20"/>
          <w:color w:val="auto"/>
        </w:rPr>
      </w:pPr>
    </w:p>
    <w:p>
      <w:pPr>
        <w:ind w:left="6320"/>
        <w:spacing w:after="0"/>
        <w:tabs>
          <w:tab w:leader="none" w:pos="6880" w:val="left"/>
        </w:tabs>
        <w:rPr>
          <w:sz w:val="20"/>
          <w:szCs w:val="20"/>
          <w:color w:val="auto"/>
        </w:rPr>
      </w:pPr>
      <w:r>
        <w:rPr>
          <w:rFonts w:ascii="Times New Roman" w:cs="Times New Roman" w:eastAsia="Times New Roman" w:hAnsi="Times New Roman"/>
          <w:sz w:val="15"/>
          <w:szCs w:val="15"/>
          <w:color w:val="auto"/>
        </w:rPr>
        <w:t>Name:</w:t>
        <w:tab/>
        <w:t>Patrick Heron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-108585</wp:posOffset>
            </wp:positionV>
            <wp:extent cx="264985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2649855" cy="7620"/>
                    </a:xfrm>
                    <a:prstGeom prst="rect">
                      <a:avLst/>
                    </a:prstGeom>
                    <a:noFill/>
                  </pic:spPr>
                </pic:pic>
              </a:graphicData>
            </a:graphic>
          </wp:anchor>
        </w:drawing>
      </w:r>
    </w:p>
    <w:p>
      <w:pPr>
        <w:spacing w:after="0" w:line="3" w:lineRule="exact"/>
        <w:rPr>
          <w:sz w:val="20"/>
          <w:szCs w:val="20"/>
          <w:color w:val="auto"/>
        </w:rPr>
      </w:pPr>
    </w:p>
    <w:p>
      <w:pPr>
        <w:ind w:left="6320"/>
        <w:spacing w:after="0"/>
        <w:tabs>
          <w:tab w:leader="none" w:pos="688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Managing Director</w:t>
      </w:r>
    </w:p>
    <w:p>
      <w:pPr>
        <w:spacing w:after="0" w:line="18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Address:</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70 Willow Rd, Suite 200</w:t>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Menlo Park, CA 94025</w:t>
      </w:r>
    </w:p>
    <w:p>
      <w:pPr>
        <w:spacing w:after="0" w:line="19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With a copy to:</w:t>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Frazier Life Sciences IX, L.P.</w:t>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Attn: Chief Financial Officer</w:t>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Two Union Square</w:t>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601 Union St., Suite 3200</w:t>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Seattle, WA 98101</w:t>
      </w:r>
    </w:p>
    <w:p>
      <w:pPr>
        <w:spacing w:after="0" w:line="13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9699"/>
          </w:cols>
          <w:pgMar w:left="760" w:top="248" w:right="1440"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H</w:t>
      </w:r>
      <w:r>
        <w:rPr>
          <w:rFonts w:ascii="Times New Roman" w:cs="Times New Roman" w:eastAsia="Times New Roman" w:hAnsi="Times New Roman"/>
          <w:sz w:val="12"/>
          <w:szCs w:val="12"/>
          <w:b w:val="1"/>
          <w:bCs w:val="1"/>
          <w:color w:val="auto"/>
        </w:rPr>
        <w:t>OROWITZ</w:t>
      </w:r>
      <w:r>
        <w:rPr>
          <w:rFonts w:ascii="Times New Roman" w:cs="Times New Roman" w:eastAsia="Times New Roman" w:hAnsi="Times New Roman"/>
          <w:sz w:val="15"/>
          <w:szCs w:val="15"/>
          <w:b w:val="1"/>
          <w:bCs w:val="1"/>
          <w:color w:val="auto"/>
        </w:rPr>
        <w:t xml:space="preserve"> 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ARTNERSHIP</w:t>
      </w:r>
      <w:r>
        <w:rPr>
          <w:rFonts w:ascii="Times New Roman" w:cs="Times New Roman" w:eastAsia="Times New Roman" w:hAnsi="Times New Roman"/>
          <w:sz w:val="15"/>
          <w:szCs w:val="15"/>
          <w:b w:val="1"/>
          <w:bCs w:val="1"/>
          <w:color w:val="auto"/>
        </w:rPr>
        <w:t xml:space="preserve"> VIII</w:t>
      </w:r>
    </w:p>
    <w:p>
      <w:pPr>
        <w:spacing w:after="0" w:line="200" w:lineRule="exact"/>
        <w:rPr>
          <w:sz w:val="20"/>
          <w:szCs w:val="20"/>
          <w:color w:val="auto"/>
        </w:rPr>
      </w:pPr>
    </w:p>
    <w:tbl>
      <w:tblPr>
        <w:tblLayout w:type="fixed"/>
        <w:tblInd w:w="632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Jason Tester</w:t>
            </w:r>
          </w:p>
        </w:tc>
      </w:tr>
      <w:tr>
        <w:trPr>
          <w:trHeight w:val="257"/>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Jason Tester</w:t>
            </w:r>
          </w:p>
        </w:tc>
      </w:tr>
      <w:tr>
        <w:trPr>
          <w:trHeight w:val="277"/>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369"/>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Address:</w:t>
            </w:r>
          </w:p>
        </w:tc>
        <w:tc>
          <w:tcPr>
            <w:tcW w:w="39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27241 La Paz Road, Suite B</w:t>
            </w:r>
          </w:p>
        </w:tc>
      </w:tr>
      <w:tr>
        <w:trPr>
          <w:trHeight w:val="288"/>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Laguna Niguel, CA 92677</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7" w:right="31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ESTER</w:t>
      </w:r>
      <w:r>
        <w:rPr>
          <w:rFonts w:ascii="Times New Roman" w:cs="Times New Roman" w:eastAsia="Times New Roman" w:hAnsi="Times New Roman"/>
          <w:sz w:val="15"/>
          <w:szCs w:val="15"/>
          <w:b w:val="1"/>
          <w:bCs w:val="1"/>
          <w:color w:val="auto"/>
        </w:rPr>
        <w:t xml:space="preserve"> L</w:t>
      </w:r>
      <w:r>
        <w:rPr>
          <w:rFonts w:ascii="Times New Roman" w:cs="Times New Roman" w:eastAsia="Times New Roman" w:hAnsi="Times New Roman"/>
          <w:sz w:val="12"/>
          <w:szCs w:val="12"/>
          <w:b w:val="1"/>
          <w:bCs w:val="1"/>
          <w:color w:val="auto"/>
        </w:rPr>
        <w:t>IVING</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RUST</w:t>
      </w:r>
    </w:p>
    <w:p>
      <w:pPr>
        <w:spacing w:after="0" w:line="200" w:lineRule="exact"/>
        <w:rPr>
          <w:sz w:val="20"/>
          <w:szCs w:val="20"/>
          <w:color w:val="auto"/>
        </w:rPr>
      </w:pPr>
    </w:p>
    <w:tbl>
      <w:tblPr>
        <w:tblLayout w:type="fixed"/>
        <w:tblInd w:w="6320" w:type="dxa"/>
        <w:tblCellMar>
          <w:top w:w="0" w:type="dxa"/>
          <w:left w:w="0" w:type="dxa"/>
          <w:bottom w:w="0" w:type="dxa"/>
          <w:right w:w="0" w:type="dxa"/>
        </w:tblCellMar>
      </w:tblPr>
      <w:tr>
        <w:trPr>
          <w:trHeight w:val="199"/>
        </w:trPr>
        <w:tc>
          <w:tcPr>
            <w:tcW w:w="5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Jason Tester</w:t>
            </w:r>
          </w:p>
        </w:tc>
      </w:tr>
      <w:tr>
        <w:trPr>
          <w:trHeight w:val="257"/>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Jason Tester</w:t>
            </w:r>
          </w:p>
        </w:tc>
      </w:tr>
      <w:tr>
        <w:trPr>
          <w:trHeight w:val="277"/>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Trustee</w:t>
            </w:r>
          </w:p>
        </w:tc>
      </w:tr>
      <w:tr>
        <w:trPr>
          <w:trHeight w:val="369"/>
        </w:trPr>
        <w:tc>
          <w:tcPr>
            <w:tcW w:w="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Address:</w:t>
            </w:r>
          </w:p>
        </w:tc>
        <w:tc>
          <w:tcPr>
            <w:tcW w:w="39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16 Cape Woodbury</w:t>
            </w:r>
          </w:p>
        </w:tc>
      </w:tr>
      <w:tr>
        <w:trPr>
          <w:trHeight w:val="288"/>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Newport Beach, CA 92660</w:t>
            </w:r>
          </w:p>
        </w:tc>
      </w:tr>
    </w:tbl>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10820"/>
          </w:cols>
          <w:pgMar w:left="760" w:top="248" w:right="31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20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/s/ Bobak Azamian</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-108585</wp:posOffset>
            </wp:positionV>
            <wp:extent cx="285496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2854960" cy="7620"/>
                    </a:xfrm>
                    <a:prstGeom prst="rect">
                      <a:avLst/>
                    </a:prstGeom>
                    <a:noFill/>
                  </pic:spPr>
                </pic:pic>
              </a:graphicData>
            </a:graphic>
          </wp:anchor>
        </w:drawing>
      </w:r>
    </w:p>
    <w:p>
      <w:pPr>
        <w:spacing w:after="0" w:line="197" w:lineRule="exact"/>
        <w:rPr>
          <w:sz w:val="20"/>
          <w:szCs w:val="20"/>
          <w:color w:val="auto"/>
        </w:rPr>
      </w:pPr>
    </w:p>
    <w:p>
      <w:pPr>
        <w:jc w:val="both"/>
        <w:ind w:left="5440"/>
        <w:spacing w:after="0"/>
        <w:tabs>
          <w:tab w:leader="none" w:pos="630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2 Bellevue, Newport Coast, CA 92657</w:t>
      </w:r>
    </w:p>
    <w:p>
      <w:pPr>
        <w:spacing w:after="0" w:line="13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9699"/>
          </w:cols>
          <w:pgMar w:left="760" w:top="248" w:right="1440"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have executed this Agreement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INVESTOR:</w:t>
      </w:r>
    </w:p>
    <w:p>
      <w:pPr>
        <w:spacing w:after="0" w:line="20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/s/ Douglas Michael Ackermann,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17145</wp:posOffset>
            </wp:positionV>
            <wp:extent cx="285496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2854960" cy="7620"/>
                    </a:xfrm>
                    <a:prstGeom prst="rect">
                      <a:avLst/>
                    </a:prstGeom>
                    <a:noFill/>
                  </pic:spPr>
                </pic:pic>
              </a:graphicData>
            </a:graphic>
          </wp:anchor>
        </w:drawing>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Douglas Michael Ackermann, Jr.</w:t>
      </w:r>
    </w:p>
    <w:p>
      <w:pPr>
        <w:spacing w:after="0" w:line="219" w:lineRule="exact"/>
        <w:rPr>
          <w:sz w:val="20"/>
          <w:szCs w:val="20"/>
          <w:color w:val="auto"/>
        </w:rPr>
      </w:pPr>
    </w:p>
    <w:p>
      <w:pPr>
        <w:jc w:val="both"/>
        <w:ind w:left="5440"/>
        <w:spacing w:after="0"/>
        <w:tabs>
          <w:tab w:leader="none" w:pos="630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13295 W Saddlebow Dr., Reno, NV 89511</w:t>
      </w:r>
    </w:p>
    <w:p>
      <w:pPr>
        <w:spacing w:after="0" w:line="13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NVESTORS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3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 xml:space="preserve">FOR </w:t>
      </w: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3"/>
          <w:szCs w:val="13"/>
          <w:b w:val="1"/>
          <w:bCs w:val="1"/>
          <w:color w:val="auto"/>
        </w:rPr>
        <w:t xml:space="preserve">ARSUS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3"/>
          <w:szCs w:val="13"/>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5"/>
          <w:szCs w:val="15"/>
          <w:b w:val="1"/>
          <w:bCs w:val="1"/>
          <w:color w:val="auto"/>
        </w:rPr>
        <w:t>.</w:t>
      </w:r>
    </w:p>
    <w:p>
      <w:pPr>
        <w:sectPr>
          <w:pgSz w:w="11900" w:h="16838" w:orient="portrait"/>
          <w:cols w:equalWidth="0" w:num="1">
            <w:col w:w="9699"/>
          </w:cols>
          <w:pgMar w:left="760" w:top="248" w:right="1440" w:bottom="1440" w:gutter="0" w:footer="0" w:header="0"/>
        </w:sectPr>
      </w:pPr>
    </w:p>
    <w:bookmarkStart w:id="416" w:name="page417"/>
    <w:bookmarkEnd w:id="416"/>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SCHEDULE A</w:t>
      </w:r>
    </w:p>
    <w:p>
      <w:pPr>
        <w:spacing w:after="0" w:line="10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SCHEDULE OF INVESTORS</w:t>
      </w:r>
    </w:p>
    <w:p>
      <w:pPr>
        <w:spacing w:after="0" w:line="1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b w:val="1"/>
          <w:bCs w:val="1"/>
          <w:u w:val="single" w:color="auto"/>
          <w:color w:val="auto"/>
        </w:rPr>
        <w:t>Investor</w:t>
      </w:r>
    </w:p>
    <w:p>
      <w:pPr>
        <w:spacing w:after="0" w:line="10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Horowitz Limited Partnership VIII</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Bobak Azamian</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Douglas Michael Ackermann, Jr.</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Adam S Horowitz Revocable Trust</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Tester Living Trust</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Vivo Capital Fund IX,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G&amp;H Partners</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Frazier Life Sciences IX,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Flying L Investments XI, LLC</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Visionary Venture Fund,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Aperture Venture Partners V,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RTW Master Fund, Ltd.</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RTW Innovation Master Fund, Ltd.</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RTW Venture Fund Limited</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Cormorant Global Healthcare Master Fund,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Cormorant Private Healthcare Fund II,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Cormorant Private Healthcare Fund III,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CRMA SPV, L.P.</w:t>
      </w:r>
    </w:p>
    <w:p>
      <w:pPr>
        <w:spacing w:after="0" w:line="1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5"/>
          <w:szCs w:val="15"/>
          <w:color w:val="auto"/>
        </w:rPr>
        <w:t>Perceptive Life Sciences Master Fund LTD</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9019"/>
          </w:cols>
          <w:pgMar w:left="1440" w:top="247" w:right="1440"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SILICON VALLEY</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ANN ARBOR</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BEIJING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2232660" cy="3365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2232660" cy="3365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5"/>
          <w:szCs w:val="15"/>
          <w:color w:val="auto"/>
        </w:rPr>
        <w:t>BOSTON</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LOS ANGELES</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NEW YORK</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SAN DIEGO</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SAN FRANCISCO</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SINGAPORE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October 9,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15440 Laguna Canyon Road, Suite 160</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Irvine, CA 92618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have requested our opinion with respect to certain matters in connection with the sale by Tarsus Pharmaceuticals, Inc., a Delaware corporation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of up to an aggregate of 5,750,000 shares of the Company’s common stock, par value $0.0001 per share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(including up to</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750,000 shares that may be sold pursuant to the exercise of an option granted by the Company to the underwriters), pursuant to the Registration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 on Form S-1 (File No. 333-249076) (the “</w:t>
      </w:r>
      <w:r>
        <w:rPr>
          <w:rFonts w:ascii="Times New Roman" w:cs="Times New Roman" w:eastAsia="Times New Roman" w:hAnsi="Times New Roman"/>
          <w:sz w:val="15"/>
          <w:szCs w:val="15"/>
          <w:b w:val="1"/>
          <w:bCs w:val="1"/>
          <w:i w:val="1"/>
          <w:iCs w:val="1"/>
          <w:color w:val="auto"/>
        </w:rPr>
        <w:t>Registration Statement</w:t>
      </w:r>
      <w:r>
        <w:rPr>
          <w:rFonts w:ascii="Times New Roman" w:cs="Times New Roman" w:eastAsia="Times New Roman" w:hAnsi="Times New Roman"/>
          <w:sz w:val="15"/>
          <w:szCs w:val="15"/>
          <w:color w:val="auto"/>
        </w:rPr>
        <w:t>”) initially filed with the Securities and Exchange Commission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Commission</w:t>
      </w:r>
      <w:r>
        <w:rPr>
          <w:rFonts w:ascii="Times New Roman" w:cs="Times New Roman" w:eastAsia="Times New Roman" w:hAnsi="Times New Roman"/>
          <w:sz w:val="15"/>
          <w:szCs w:val="15"/>
          <w:color w:val="auto"/>
        </w:rPr>
        <w:t>”) under the Securities Act of 1933, as amended (the “</w:t>
      </w:r>
      <w:r>
        <w:rPr>
          <w:rFonts w:ascii="Times New Roman" w:cs="Times New Roman" w:eastAsia="Times New Roman" w:hAnsi="Times New Roman"/>
          <w:sz w:val="15"/>
          <w:szCs w:val="15"/>
          <w:b w:val="1"/>
          <w:bCs w:val="1"/>
          <w:i w:val="1"/>
          <w:iCs w:val="1"/>
          <w:color w:val="auto"/>
        </w:rPr>
        <w:t>Act</w:t>
      </w:r>
      <w:r>
        <w:rPr>
          <w:rFonts w:ascii="Times New Roman" w:cs="Times New Roman" w:eastAsia="Times New Roman" w:hAnsi="Times New Roman"/>
          <w:sz w:val="15"/>
          <w:szCs w:val="15"/>
          <w:color w:val="auto"/>
        </w:rPr>
        <w:t>”), on September 25, 2020, as amended. We understand that the Shares are to be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sold to the underwriters for resale to the public as described in the Registration Statement and pursuant to an underwriting agreement, substantially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form filed as an exhibit to the Registration Statement, to be entered into by and among the Company and the underwriters (the “</w:t>
      </w:r>
      <w:r>
        <w:rPr>
          <w:rFonts w:ascii="Times New Roman" w:cs="Times New Roman" w:eastAsia="Times New Roman" w:hAnsi="Times New Roman"/>
          <w:sz w:val="15"/>
          <w:szCs w:val="15"/>
          <w:b w:val="1"/>
          <w:bCs w:val="1"/>
          <w:i w:val="1"/>
          <w:iCs w:val="1"/>
          <w:color w:val="auto"/>
        </w:rPr>
        <w:t>Underwriting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5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cs="Times New Roman" w:eastAsia="Times New Roman" w:hAnsi="Times New Roman"/>
          <w:sz w:val="15"/>
          <w:szCs w:val="15"/>
          <w:b w:val="1"/>
          <w:bCs w:val="1"/>
          <w:i w:val="1"/>
          <w:iCs w:val="1"/>
          <w:color w:val="auto"/>
        </w:rPr>
        <w:t>DGCL</w:t>
      </w:r>
      <w:r>
        <w:rPr>
          <w:rFonts w:ascii="Times New Roman" w:cs="Times New Roman" w:eastAsia="Times New Roman" w:hAnsi="Times New Roman"/>
          <w:sz w:val="15"/>
          <w:szCs w:val="15"/>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00" w:lineRule="exact"/>
        <w:rPr>
          <w:sz w:val="20"/>
          <w:szCs w:val="20"/>
          <w:color w:val="auto"/>
        </w:rPr>
      </w:pPr>
    </w:p>
    <w:p>
      <w:pPr>
        <w:jc w:val="center"/>
        <w:ind w:right="-19"/>
        <w:spacing w:after="0"/>
        <w:tabs>
          <w:tab w:leader="none" w:pos="140" w:val="left"/>
          <w:tab w:leader="none" w:pos="140" w:val="left"/>
          <w:tab w:leader="none" w:pos="120" w:val="left"/>
          <w:tab w:leader="none" w:pos="140" w:val="left"/>
        </w:tabs>
        <w:rPr>
          <w:sz w:val="20"/>
          <w:szCs w:val="20"/>
          <w:color w:val="auto"/>
        </w:rPr>
      </w:pPr>
      <w:r>
        <w:rPr>
          <w:rFonts w:ascii="Times New Roman" w:cs="Times New Roman" w:eastAsia="Times New Roman" w:hAnsi="Times New Roman"/>
          <w:sz w:val="15"/>
          <w:szCs w:val="15"/>
          <w:color w:val="auto"/>
        </w:rPr>
        <w:t>GUNDERSON</w:t>
        <w:tab/>
        <w:t>DETTMER</w:t>
        <w:tab/>
        <w:t>STOUGH</w:t>
        <w:tab/>
        <w:t>VILLENEUVE</w:t>
        <w:tab/>
        <w:t>FRANKLIN &amp; HACHIGIAN, LLP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3570 CARMEL MOUNTAIN ROAD, SUITE 200, SAN DIEGO, CA 92130 / PHONE: 858.436.8000 / FAX: 877.881.9192</w:t>
      </w:r>
    </w:p>
    <w:p>
      <w:pPr>
        <w:sectPr>
          <w:pgSz w:w="11900" w:h="16838" w:orient="portrait"/>
          <w:cols w:equalWidth="0" w:num="1">
            <w:col w:w="9400"/>
          </w:cols>
          <w:pgMar w:left="1240" w:top="121" w:right="1259" w:bottom="1440" w:gutter="0" w:footer="0" w:header="0"/>
        </w:sectPr>
      </w:pPr>
    </w:p>
    <w:bookmarkStart w:id="418" w:name="page419"/>
    <w:bookmarkEnd w:id="418"/>
    <w:p>
      <w:pPr>
        <w:ind w:right="39"/>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32" w:lineRule="exact"/>
        <w:rPr>
          <w:sz w:val="20"/>
          <w:szCs w:val="20"/>
          <w:color w:val="auto"/>
        </w:rPr>
      </w:pPr>
    </w:p>
    <w:p>
      <w:pPr>
        <w:jc w:val="both"/>
        <w:ind w:right="19"/>
        <w:spacing w:after="0" w:line="275" w:lineRule="auto"/>
        <w:rPr>
          <w:sz w:val="20"/>
          <w:szCs w:val="20"/>
          <w:color w:val="auto"/>
        </w:rPr>
      </w:pPr>
      <w:r>
        <w:rPr>
          <w:rFonts w:ascii="Times New Roman" w:cs="Times New Roman" w:eastAsia="Times New Roman" w:hAnsi="Times New Roman"/>
          <w:sz w:val="15"/>
          <w:szCs w:val="15"/>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Sincerely,</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Gunderson Dettmer Stough</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5"/>
          <w:szCs w:val="15"/>
          <w:color w:val="auto"/>
        </w:rPr>
        <w:t>Villeneuve Franklin &amp; Hachigian, LLP</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GUNDERSON DETTMER STOUGH</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VILLENEUVE FRANKLIN &amp; HACHIGIAN, LLP</w:t>
      </w:r>
    </w:p>
    <w:p>
      <w:pPr>
        <w:sectPr>
          <w:pgSz w:w="11900" w:h="16838" w:orient="portrait"/>
          <w:cols w:equalWidth="0" w:num="1">
            <w:col w:w="9219"/>
          </w:cols>
          <w:pgMar w:left="1240" w:top="252" w:right="1440"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INDEMNITY AGREEMENT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THIS INDEMNITY AGREEMENT </w:t>
      </w:r>
      <w:r>
        <w:rPr>
          <w:rFonts w:ascii="Times New Roman" w:cs="Times New Roman" w:eastAsia="Times New Roman" w:hAnsi="Times New Roman"/>
          <w:sz w:val="15"/>
          <w:szCs w:val="15"/>
          <w:color w:val="auto"/>
        </w:rPr>
        <w:t>(this “Agreement”) dated as of ________________, is made by and between Tarsus Pharmaceuticals, Inc., a Delaware corporation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“Company”), and </w:t>
      </w:r>
      <w:r>
        <w:rPr>
          <w:rFonts w:ascii="Times New Roman" w:cs="Times New Roman" w:eastAsia="Times New Roman" w:hAnsi="Times New Roman"/>
          <w:sz w:val="15"/>
          <w:szCs w:val="15"/>
          <w:b w:val="1"/>
          <w:bCs w:val="1"/>
          <w:color w:val="auto"/>
        </w:rPr>
        <w:t>_____________</w:t>
      </w:r>
      <w:r>
        <w:rPr>
          <w:rFonts w:ascii="Times New Roman" w:cs="Times New Roman" w:eastAsia="Times New Roman" w:hAnsi="Times New Roman"/>
          <w:sz w:val="15"/>
          <w:szCs w:val="15"/>
          <w:color w:val="auto"/>
        </w:rPr>
        <w:t xml:space="preserve"> (“Indemnitee”).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RECITALS</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 The Company desires to attract and retain the services of highly qualified individuals as directors, officers, employees and agents.</w:t>
      </w:r>
    </w:p>
    <w:p>
      <w:pPr>
        <w:spacing w:after="0" w:line="196" w:lineRule="exact"/>
        <w:rPr>
          <w:sz w:val="20"/>
          <w:szCs w:val="20"/>
          <w:color w:val="auto"/>
        </w:rPr>
      </w:pPr>
    </w:p>
    <w:p>
      <w:pPr>
        <w:ind w:right="140" w:firstLine="451"/>
        <w:spacing w:after="0" w:line="268" w:lineRule="auto"/>
        <w:rPr>
          <w:sz w:val="20"/>
          <w:szCs w:val="20"/>
          <w:color w:val="auto"/>
        </w:rPr>
      </w:pPr>
      <w:r>
        <w:rPr>
          <w:rFonts w:ascii="Times New Roman" w:cs="Times New Roman" w:eastAsia="Times New Roman" w:hAnsi="Times New Roman"/>
          <w:sz w:val="15"/>
          <w:szCs w:val="15"/>
          <w:color w:val="auto"/>
        </w:rPr>
        <w:t>B. The Company’s bylaws (the “Bylaws”) require that the Company indemnify its directors, and empowers the Company to indemnify its officers, employees and agents, as authorized by the Delaware General Corporation Law, as amended (the “Code”),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152" w:lineRule="exact"/>
        <w:rPr>
          <w:sz w:val="20"/>
          <w:szCs w:val="20"/>
          <w:color w:val="auto"/>
        </w:rPr>
      </w:pPr>
    </w:p>
    <w:p>
      <w:pPr>
        <w:jc w:val="both"/>
        <w:ind w:right="80" w:firstLine="451"/>
        <w:spacing w:after="0" w:line="275" w:lineRule="auto"/>
        <w:rPr>
          <w:sz w:val="20"/>
          <w:szCs w:val="20"/>
          <w:color w:val="auto"/>
        </w:rPr>
      </w:pPr>
      <w:r>
        <w:rPr>
          <w:rFonts w:ascii="Times New Roman" w:cs="Times New Roman" w:eastAsia="Times New Roman" w:hAnsi="Times New Roman"/>
          <w:sz w:val="15"/>
          <w:szCs w:val="15"/>
          <w:color w:val="auto"/>
        </w:rPr>
        <w:t>C. Indemnitee does not regard the protection currently provided by applicable law, the Company’s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45" w:lineRule="exact"/>
        <w:rPr>
          <w:sz w:val="20"/>
          <w:szCs w:val="20"/>
          <w:color w:val="auto"/>
        </w:rPr>
      </w:pPr>
    </w:p>
    <w:p>
      <w:pPr>
        <w:ind w:right="400" w:firstLine="451"/>
        <w:spacing w:after="0" w:line="293" w:lineRule="auto"/>
        <w:rPr>
          <w:sz w:val="20"/>
          <w:szCs w:val="20"/>
          <w:color w:val="auto"/>
        </w:rPr>
      </w:pPr>
      <w:r>
        <w:rPr>
          <w:rFonts w:ascii="Times New Roman" w:cs="Times New Roman" w:eastAsia="Times New Roman" w:hAnsi="Times New Roman"/>
          <w:sz w:val="15"/>
          <w:szCs w:val="15"/>
          <w:color w:val="auto"/>
        </w:rPr>
        <w:t>D. 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32" w:lineRule="exact"/>
        <w:rPr>
          <w:sz w:val="20"/>
          <w:szCs w:val="20"/>
          <w:color w:val="auto"/>
        </w:rPr>
      </w:pPr>
    </w:p>
    <w:p>
      <w:pPr>
        <w:ind w:right="80" w:firstLine="451"/>
        <w:spacing w:after="0" w:line="293" w:lineRule="auto"/>
        <w:rPr>
          <w:sz w:val="20"/>
          <w:szCs w:val="20"/>
          <w:color w:val="auto"/>
        </w:rPr>
      </w:pPr>
      <w:r>
        <w:rPr>
          <w:rFonts w:ascii="Times New Roman" w:cs="Times New Roman" w:eastAsia="Times New Roman" w:hAnsi="Times New Roman"/>
          <w:sz w:val="15"/>
          <w:szCs w:val="15"/>
          <w:color w:val="auto"/>
        </w:rPr>
        <w:t>E. Indemnitee is willing to serve, or to continue to serve, as a director, officer, employee or agent of the Company, as the case may be, if Indemnitee is furnished the indemnity provided for herein by the Company.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F. Indemnitee has certain rights to indemnification and/or insurance provided by _____________ (“[Venture Fund]”) which Indemnitee and [Venture Fund] intend to be</w:t>
      </w:r>
    </w:p>
    <w:p>
      <w:pPr>
        <w:spacing w:after="0" w:line="26"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5"/>
          <w:szCs w:val="15"/>
          <w:color w:val="auto"/>
        </w:rPr>
        <w:t>secondary to the primary obligation of the Company to indemnify Indemnitee as provided herein, with the Company’s acknowledgement and agreement to the foregoing being a material condition to Indemnitee’s willingness to serve on the Company’s Board of Directors.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AGREEMENT</w:t>
      </w:r>
      <w:r>
        <w:rPr>
          <w:rFonts w:ascii="Times New Roman" w:cs="Times New Roman" w:eastAsia="Times New Roman" w:hAnsi="Times New Roman"/>
          <w:sz w:val="15"/>
          <w:szCs w:val="15"/>
          <w:b w:val="1"/>
          <w:bCs w:val="1"/>
          <w:color w:val="auto"/>
        </w:rPr>
        <w:t>:</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NOW THEREFORE, in consideration of the mutual covenants and agreements set forth herein, the parties hereto, intending to be legally bound, hereby agree as follows:</w:t>
      </w:r>
    </w:p>
    <w:p>
      <w:pPr>
        <w:spacing w:after="0" w:line="196" w:lineRule="exact"/>
        <w:rPr>
          <w:sz w:val="20"/>
          <w:szCs w:val="20"/>
          <w:color w:val="auto"/>
        </w:rPr>
      </w:pPr>
    </w:p>
    <w:p>
      <w:pPr>
        <w:ind w:left="600" w:hanging="157"/>
        <w:spacing w:after="0"/>
        <w:tabs>
          <w:tab w:leader="none" w:pos="600" w:val="left"/>
        </w:tabs>
        <w:numPr>
          <w:ilvl w:val="0"/>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220" w:firstLine="1006"/>
        <w:spacing w:after="0" w:line="275" w:lineRule="auto"/>
        <w:tabs>
          <w:tab w:leader="none" w:pos="1222" w:val="left"/>
        </w:tabs>
        <w:numPr>
          <w:ilvl w:val="1"/>
          <w:numId w:val="3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Agent</w:t>
      </w:r>
      <w:r>
        <w:rPr>
          <w:rFonts w:ascii="Times New Roman" w:cs="Times New Roman" w:eastAsia="Times New Roman" w:hAnsi="Times New Roman"/>
          <w:sz w:val="15"/>
          <w:szCs w:val="15"/>
          <w:color w:val="auto"/>
        </w:rPr>
        <w:t>. For purposes of this Agreement, the term “agent” of the Company means any person who: (i) is or was a director, officer, employee or other fiduciary of the Company or a subsidiary of the Company; or (ii) is or was serving at the request or for the convenience of, or representing the interests of, the Company or a subsidiary of the Company, as a director, officer, employee or other fiduciary of a foreign or domestic corporation, partnership, joint venture, trust or other enterprise.</w:t>
      </w:r>
    </w:p>
    <w:p>
      <w:pPr>
        <w:sectPr>
          <w:pgSz w:w="11900" w:h="16838" w:orient="portrait"/>
          <w:cols w:equalWidth="0" w:num="1">
            <w:col w:w="11260"/>
          </w:cols>
          <w:pgMar w:left="320" w:top="121" w:right="319" w:bottom="1440" w:gutter="0" w:footer="0" w:header="0"/>
        </w:sectPr>
      </w:pPr>
    </w:p>
    <w:bookmarkStart w:id="420" w:name="page421"/>
    <w:bookmarkEnd w:id="420"/>
    <w:p>
      <w:pPr>
        <w:ind w:right="40" w:firstLine="1006"/>
        <w:spacing w:after="0" w:line="261" w:lineRule="auto"/>
        <w:tabs>
          <w:tab w:leader="none" w:pos="1231"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Expenses</w:t>
      </w:r>
      <w:r>
        <w:rPr>
          <w:rFonts w:ascii="Times New Roman" w:cs="Times New Roman" w:eastAsia="Times New Roman" w:hAnsi="Times New Roman"/>
          <w:sz w:val="15"/>
          <w:szCs w:val="15"/>
          <w:color w:val="auto"/>
        </w:rPr>
        <w:t>. For purposes of this Agreement, the term “expenses” shall be broadly construed and shall include, without limitation, all direct and indirect costs of any type or nature whatsoever (including, without limitation, all attorneys’, witness, or other professional fees and related disbursements, and other out-of-pocket costs of whatever nature), actually and reasonably incurred by Indemnitee in connection with the investigation, defense or appeal of a proceeding or establishing or enforcing a right to indemnification under this Agreement, the Code or otherwise, and amounts paid in settlement by or on behalf of Indemnitee, but shall not include any judgments, fines or penalties actually levied against Indemnitee for such individual’s violations of law. The term “expenses” shall also include reasonable compensation for time spent by Indemnitee for which 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159" w:lineRule="exact"/>
        <w:rPr>
          <w:rFonts w:ascii="Times New Roman" w:cs="Times New Roman" w:eastAsia="Times New Roman" w:hAnsi="Times New Roman"/>
          <w:sz w:val="15"/>
          <w:szCs w:val="15"/>
          <w:color w:val="auto"/>
        </w:rPr>
      </w:pPr>
    </w:p>
    <w:p>
      <w:pPr>
        <w:ind w:right="40" w:firstLine="1006"/>
        <w:spacing w:after="0" w:line="261" w:lineRule="auto"/>
        <w:tabs>
          <w:tab w:leader="none" w:pos="1222"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Proceedings</w:t>
      </w:r>
      <w:r>
        <w:rPr>
          <w:rFonts w:ascii="Times New Roman" w:cs="Times New Roman" w:eastAsia="Times New Roman" w:hAnsi="Times New Roman"/>
          <w:sz w:val="15"/>
          <w:szCs w:val="15"/>
          <w:color w:val="auto"/>
        </w:rPr>
        <w:t>. For purposes of this Agreement, the term “proceeding” shall be broadly construed and shall include, without limitation,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or otherwise by reason of: (i) the fact that Indemnitee is or was a director or officer of the Company; (ii) the fact that any action taken by Indemnitee or of any action on Indemnitee’s part while acting as director, officer, employee or agent of the Company; or (iii) the fact that Indemnitee is or was serving at the request of the Company as a director, officer, employee or agent of another corporation, partnership, joint venture, trust, employee benefit plan or other enterprise, and in any such case described above, whether or not serving in any such capacity at the time any liability or expense is incurred for which indemnification, reimbursement, or advancement of expenses may be provided under this Agreement.</w:t>
      </w:r>
    </w:p>
    <w:p>
      <w:pPr>
        <w:spacing w:after="0" w:line="159" w:lineRule="exact"/>
        <w:rPr>
          <w:rFonts w:ascii="Times New Roman" w:cs="Times New Roman" w:eastAsia="Times New Roman" w:hAnsi="Times New Roman"/>
          <w:sz w:val="15"/>
          <w:szCs w:val="15"/>
          <w:color w:val="auto"/>
        </w:rPr>
      </w:pPr>
    </w:p>
    <w:p>
      <w:pPr>
        <w:ind w:right="60" w:firstLine="1006"/>
        <w:spacing w:after="0" w:line="268" w:lineRule="auto"/>
        <w:tabs>
          <w:tab w:leader="none" w:pos="1231"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For purposes of this Agreement, the term “subsidiary” means any corporation or limited liability company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at the request of the Company as a director, officer, employee, agent or fiduciary.</w:t>
      </w:r>
    </w:p>
    <w:p>
      <w:pPr>
        <w:spacing w:after="0" w:line="151" w:lineRule="exact"/>
        <w:rPr>
          <w:rFonts w:ascii="Times New Roman" w:cs="Times New Roman" w:eastAsia="Times New Roman" w:hAnsi="Times New Roman"/>
          <w:sz w:val="15"/>
          <w:szCs w:val="15"/>
          <w:color w:val="auto"/>
        </w:rPr>
      </w:pPr>
    </w:p>
    <w:p>
      <w:pPr>
        <w:ind w:firstLine="1006"/>
        <w:spacing w:after="0" w:line="265" w:lineRule="auto"/>
        <w:tabs>
          <w:tab w:leader="none" w:pos="1222" w:val="left"/>
        </w:tabs>
        <w:numPr>
          <w:ilvl w:val="1"/>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Counsel</w:t>
      </w:r>
      <w:r>
        <w:rPr>
          <w:rFonts w:ascii="Times New Roman" w:cs="Times New Roman" w:eastAsia="Times New Roman" w:hAnsi="Times New Roman"/>
          <w:sz w:val="15"/>
          <w:szCs w:val="15"/>
          <w:color w:val="auto"/>
        </w:rPr>
        <w:t>. For purposes of this Agreement, the term “independent counsel” 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4" w:lineRule="exact"/>
        <w:rPr>
          <w:rFonts w:ascii="Times New Roman" w:cs="Times New Roman" w:eastAsia="Times New Roman" w:hAnsi="Times New Roman"/>
          <w:sz w:val="15"/>
          <w:szCs w:val="15"/>
          <w:color w:val="auto"/>
        </w:rPr>
      </w:pPr>
    </w:p>
    <w:p>
      <w:pPr>
        <w:ind w:right="240" w:firstLine="443"/>
        <w:spacing w:after="0" w:line="293" w:lineRule="auto"/>
        <w:tabs>
          <w:tab w:leader="none" w:pos="604" w:val="left"/>
        </w:tabs>
        <w:numPr>
          <w:ilvl w:val="0"/>
          <w:numId w:val="3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Agreement to Serve</w:t>
      </w:r>
      <w:r>
        <w:rPr>
          <w:rFonts w:ascii="Times New Roman" w:cs="Times New Roman" w:eastAsia="Times New Roman" w:hAnsi="Times New Roman"/>
          <w:sz w:val="15"/>
          <w:szCs w:val="15"/>
          <w:color w:val="auto"/>
        </w:rPr>
        <w:t>. Indemnitee will serve, or continue to serve, as a director, officer, employee or agent of the Company or any subsidiary, as the case may be, faithfully and to the best of his or her ability, at the will of such corporation (or under separate agreement, if such agreement exists), 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51" w:right="319" w:bottom="1440" w:gutter="0" w:footer="0" w:header="0"/>
        </w:sectPr>
      </w:pPr>
    </w:p>
    <w:bookmarkStart w:id="421" w:name="page422"/>
    <w:bookmarkEnd w:id="421"/>
    <w:p>
      <w:pPr>
        <w:ind w:right="4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the capacity Indemnitee currently serves as an agent of such corporation, so long as Indemnitee is duly appointed or elected and qualified in accordance with the applicable provisions of the Bylaws or other applicable charter documents of such corporation,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52" w:lineRule="exact"/>
        <w:rPr>
          <w:sz w:val="20"/>
          <w:szCs w:val="20"/>
          <w:color w:val="auto"/>
        </w:rPr>
      </w:pPr>
    </w:p>
    <w:p>
      <w:pPr>
        <w:jc w:val="both"/>
        <w:ind w:right="380" w:firstLine="451"/>
        <w:spacing w:after="0" w:line="275" w:lineRule="auto"/>
        <w:rPr>
          <w:sz w:val="20"/>
          <w:szCs w:val="20"/>
          <w:color w:val="auto"/>
        </w:rPr>
      </w:pPr>
      <w:r>
        <w:rPr>
          <w:rFonts w:ascii="Times New Roman" w:cs="Times New Roman" w:eastAsia="Times New Roman" w:hAnsi="Times New Roman"/>
          <w:sz w:val="15"/>
          <w:szCs w:val="15"/>
          <w:color w:val="auto"/>
        </w:rPr>
        <w:t>The Company acknowledges that it has entered into this Agreement and assumes the obligations imposed on it hereby, in addition to and separate from its obligations to Indemnitee under the Bylaws, to induce Indemnitee to serve, or continue to serve, as a director, officer, employee or agent of the Company, and the Company acknowledges that Indemnitee is relying upon this Agreement in serving as a director, officer, employee or agent of the Company.</w:t>
      </w:r>
    </w:p>
    <w:p>
      <w:pPr>
        <w:spacing w:after="0" w:line="145" w:lineRule="exact"/>
        <w:rPr>
          <w:sz w:val="20"/>
          <w:szCs w:val="20"/>
          <w:color w:val="auto"/>
        </w:rPr>
      </w:pPr>
    </w:p>
    <w:p>
      <w:pPr>
        <w:ind w:left="600" w:hanging="157"/>
        <w:spacing w:after="0"/>
        <w:tabs>
          <w:tab w:leader="none" w:pos="600"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100" w:firstLine="1006"/>
        <w:spacing w:after="0" w:line="268" w:lineRule="auto"/>
        <w:tabs>
          <w:tab w:leader="none" w:pos="1222"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in Third Party Proceedings</w:t>
      </w:r>
      <w:r>
        <w:rPr>
          <w:rFonts w:ascii="Times New Roman" w:cs="Times New Roman" w:eastAsia="Times New Roman" w:hAnsi="Times New Roman"/>
          <w:sz w:val="15"/>
          <w:szCs w:val="15"/>
          <w:color w:val="auto"/>
        </w:rPr>
        <w:t>. Subject to Section 10 below, the Company shall indemnify Indemnitee to the fullest extent permitted by the Code, as the same may be amended from time to time (but, only to the extent that such amendment permits Indemnitee to broader indemnification rights than the Code permitted prior to adoption of such amendment), if Indemnitee is a party to or threatened to be made a party to or otherwise involved in any proceeding, for any and all expenses, actually and reasonably incurred by Indemnitee in connection with the investigation, defense, settlement or appeal of such proceeding.</w:t>
      </w:r>
    </w:p>
    <w:p>
      <w:pPr>
        <w:spacing w:after="0" w:line="151" w:lineRule="exact"/>
        <w:rPr>
          <w:rFonts w:ascii="Times New Roman" w:cs="Times New Roman" w:eastAsia="Times New Roman" w:hAnsi="Times New Roman"/>
          <w:sz w:val="15"/>
          <w:szCs w:val="15"/>
          <w:color w:val="auto"/>
        </w:rPr>
      </w:pPr>
    </w:p>
    <w:p>
      <w:pPr>
        <w:ind w:right="20" w:firstLine="1006"/>
        <w:spacing w:after="0" w:line="265" w:lineRule="auto"/>
        <w:tabs>
          <w:tab w:leader="none" w:pos="1231"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in Derivative Actions and Direct Actions by the Company</w:t>
      </w:r>
      <w:r>
        <w:rPr>
          <w:rFonts w:ascii="Times New Roman" w:cs="Times New Roman" w:eastAsia="Times New Roman" w:hAnsi="Times New Roman"/>
          <w:sz w:val="15"/>
          <w:szCs w:val="15"/>
          <w:color w:val="auto"/>
        </w:rPr>
        <w:t>. Subject to Section 10 below, the Company shall indemnify Indemnitee to the fullest extent permitted by the Code, as the same may be amended from time to time (but,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w:t>
      </w:r>
    </w:p>
    <w:p>
      <w:pPr>
        <w:spacing w:after="0" w:line="154" w:lineRule="exact"/>
        <w:rPr>
          <w:rFonts w:ascii="Times New Roman" w:cs="Times New Roman" w:eastAsia="Times New Roman" w:hAnsi="Times New Roman"/>
          <w:sz w:val="15"/>
          <w:szCs w:val="15"/>
          <w:color w:val="auto"/>
        </w:rPr>
      </w:pPr>
    </w:p>
    <w:p>
      <w:pPr>
        <w:ind w:right="80" w:firstLine="443"/>
        <w:spacing w:after="0" w:line="275" w:lineRule="auto"/>
        <w:tabs>
          <w:tab w:leader="none" w:pos="604"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of Expenses of Successful Party</w:t>
      </w:r>
      <w:r>
        <w:rPr>
          <w:rFonts w:ascii="Times New Roman" w:cs="Times New Roman" w:eastAsia="Times New Roman" w:hAnsi="Times New Roman"/>
          <w:sz w:val="15"/>
          <w:szCs w:val="15"/>
          <w:color w:val="auto"/>
        </w:rPr>
        <w:t>. Notwithstanding any other provision of this Agreement, to the extent that Indemnitee has been successful on the merits or otherwise in defense of any proceeding or in defense of any claim, issue or matter therein, including the dismissal of any action without prejudice, the Company shall indemnify Indemnitee against all expenses actually and reasonably incurred in connection with the investigation, defense or appeal of such proceeding.</w:t>
      </w:r>
    </w:p>
    <w:p>
      <w:pPr>
        <w:spacing w:after="0" w:line="144" w:lineRule="exact"/>
        <w:rPr>
          <w:rFonts w:ascii="Times New Roman" w:cs="Times New Roman" w:eastAsia="Times New Roman" w:hAnsi="Times New Roman"/>
          <w:sz w:val="15"/>
          <w:szCs w:val="15"/>
          <w:color w:val="auto"/>
        </w:rPr>
      </w:pPr>
    </w:p>
    <w:p>
      <w:pPr>
        <w:ind w:firstLine="443"/>
        <w:spacing w:after="0" w:line="275" w:lineRule="auto"/>
        <w:tabs>
          <w:tab w:leader="none" w:pos="604"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Partial Indemnification</w:t>
      </w:r>
      <w:r>
        <w:rPr>
          <w:rFonts w:ascii="Times New Roman" w:cs="Times New Roman" w:eastAsia="Times New Roman" w:hAnsi="Times New Roman"/>
          <w:sz w:val="15"/>
          <w:szCs w:val="15"/>
          <w:color w:val="auto"/>
        </w:rPr>
        <w:t>. If Indemnitee is entitled under any provision of this Agreement to indemnification by the Company for some or a 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w:t>
      </w:r>
    </w:p>
    <w:p>
      <w:pPr>
        <w:spacing w:after="0" w:line="144" w:lineRule="exact"/>
        <w:rPr>
          <w:rFonts w:ascii="Times New Roman" w:cs="Times New Roman" w:eastAsia="Times New Roman" w:hAnsi="Times New Roman"/>
          <w:sz w:val="15"/>
          <w:szCs w:val="15"/>
          <w:color w:val="auto"/>
        </w:rPr>
      </w:pPr>
    </w:p>
    <w:p>
      <w:pPr>
        <w:ind w:right="260" w:firstLine="443"/>
        <w:spacing w:after="0" w:line="268" w:lineRule="auto"/>
        <w:tabs>
          <w:tab w:leader="none" w:pos="604" w:val="left"/>
        </w:tabs>
        <w:numPr>
          <w:ilvl w:val="0"/>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Advancement of Expenses</w:t>
      </w:r>
      <w:r>
        <w:rPr>
          <w:rFonts w:ascii="Times New Roman" w:cs="Times New Roman" w:eastAsia="Times New Roman" w:hAnsi="Times New Roman"/>
          <w:sz w:val="15"/>
          <w:szCs w:val="15"/>
          <w:color w:val="auto"/>
        </w:rPr>
        <w:t>. To the extent not prohibited by law, the Company shall advance the expenses incurred by Indemnitee in 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252" w:right="339" w:bottom="1440" w:gutter="0" w:footer="0" w:header="0"/>
        </w:sectPr>
      </w:pPr>
    </w:p>
    <w:bookmarkStart w:id="422" w:name="page423"/>
    <w:bookmarkEnd w:id="422"/>
    <w:p>
      <w:pPr>
        <w:ind w:right="8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applicable law shall not be included with the invoice) and upon request of the Company, an undertaking to repay the advancement of expenses if and to the extent that it is ultimately determined by a court of competent jurisdiction in a final judgment, not subject to appeal, that Indemnitee is not entitled to be indemnified by the Company. Advances shall be unsecured, interest free and without regard to Indemnitee’s ability to repay the expenses.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if and to the extent that it is ultimately determined by a court of competent jurisdiction in a final judgment, not subject to appeal, that Indemnitee is not entitled to be indemnified by the Company. The right to advances under this Section shall continue until final disposition of any proceeding, including any appeal therein. This Section 6 shall not apply to any claim made by Indemnitee for which indemnity is excluded pursuant to Section 10(b).</w:t>
      </w:r>
    </w:p>
    <w:p>
      <w:pPr>
        <w:spacing w:after="0" w:line="159" w:lineRule="exact"/>
        <w:rPr>
          <w:sz w:val="20"/>
          <w:szCs w:val="20"/>
          <w:color w:val="auto"/>
        </w:rPr>
      </w:pPr>
    </w:p>
    <w:p>
      <w:pPr>
        <w:ind w:left="600" w:hanging="157"/>
        <w:spacing w:after="0"/>
        <w:tabs>
          <w:tab w:leader="none" w:pos="600"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and Other Indemnification Procedures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140" w:firstLine="1006"/>
        <w:spacing w:after="0" w:line="275" w:lineRule="auto"/>
        <w:tabs>
          <w:tab w:leader="none" w:pos="1222" w:val="left"/>
        </w:tabs>
        <w:numPr>
          <w:ilvl w:val="1"/>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Notification of Proceeding</w:t>
      </w:r>
      <w:r>
        <w:rPr>
          <w:rFonts w:ascii="Times New Roman" w:cs="Times New Roman" w:eastAsia="Times New Roman" w:hAnsi="Times New Roman"/>
          <w:sz w:val="15"/>
          <w:szCs w:val="15"/>
          <w:color w:val="auto"/>
        </w:rPr>
        <w:t>.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Indemnitee under this Agreement or otherwise.</w:t>
      </w:r>
    </w:p>
    <w:p>
      <w:pPr>
        <w:spacing w:after="0" w:line="144" w:lineRule="exact"/>
        <w:rPr>
          <w:rFonts w:ascii="Times New Roman" w:cs="Times New Roman" w:eastAsia="Times New Roman" w:hAnsi="Times New Roman"/>
          <w:sz w:val="15"/>
          <w:szCs w:val="15"/>
          <w:color w:val="auto"/>
        </w:rPr>
      </w:pPr>
    </w:p>
    <w:p>
      <w:pPr>
        <w:ind w:right="20" w:firstLine="1006"/>
        <w:spacing w:after="0" w:line="268" w:lineRule="auto"/>
        <w:tabs>
          <w:tab w:leader="none" w:pos="1231" w:val="left"/>
        </w:tabs>
        <w:numPr>
          <w:ilvl w:val="1"/>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Request for Indemnification and Indemnification Payments</w:t>
      </w:r>
      <w:r>
        <w:rPr>
          <w:rFonts w:ascii="Times New Roman" w:cs="Times New Roman" w:eastAsia="Times New Roman" w:hAnsi="Times New Roman"/>
          <w:sz w:val="15"/>
          <w:szCs w:val="15"/>
          <w:color w:val="auto"/>
        </w:rPr>
        <w:t>. Indemnitee shall notify the Company promptly in writing upon receiving notice of nay demand, judgment or other requirement for payment that Indemnitee reasonably believes to the subject to indemnification under the terms of this Agreement, and shall request payment thereof by the Company.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51" w:lineRule="exact"/>
        <w:rPr>
          <w:rFonts w:ascii="Times New Roman" w:cs="Times New Roman" w:eastAsia="Times New Roman" w:hAnsi="Times New Roman"/>
          <w:sz w:val="15"/>
          <w:szCs w:val="15"/>
          <w:color w:val="auto"/>
        </w:rPr>
      </w:pPr>
    </w:p>
    <w:p>
      <w:pPr>
        <w:ind w:firstLine="1006"/>
        <w:spacing w:after="0" w:line="265" w:lineRule="auto"/>
        <w:tabs>
          <w:tab w:leader="none" w:pos="1222" w:val="left"/>
        </w:tabs>
        <w:numPr>
          <w:ilvl w:val="1"/>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Application for Enforcement</w:t>
      </w:r>
      <w:r>
        <w:rPr>
          <w:rFonts w:ascii="Times New Roman" w:cs="Times New Roman" w:eastAsia="Times New Roman" w:hAnsi="Times New Roman"/>
          <w:sz w:val="15"/>
          <w:szCs w:val="15"/>
          <w:color w:val="auto"/>
        </w:rPr>
        <w:t>. In the event the Company fails to make timely payments as set 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by that indemnification or advancement of expenses to Indemnitee is not required under this Agreement or permitted by applicable law. Any determination by the Company (including its Board of Directors, stockholders or independent counsel) that Indemnitee is not entitled to indemnification hereunder, shall not be a defense by the Company to the action nor create any presumption that Indemnitee is not entitled to indemnification or advancement of expenses hereunder.</w:t>
      </w:r>
    </w:p>
    <w:p>
      <w:pPr>
        <w:spacing w:after="0" w:line="338" w:lineRule="exact"/>
        <w:rPr>
          <w:rFonts w:ascii="Times New Roman" w:cs="Times New Roman" w:eastAsia="Times New Roman" w:hAnsi="Times New Roman"/>
          <w:sz w:val="15"/>
          <w:szCs w:val="15"/>
          <w:color w:val="auto"/>
        </w:rPr>
      </w:pPr>
    </w:p>
    <w:p>
      <w:pPr>
        <w:ind w:right="60" w:firstLine="1006"/>
        <w:spacing w:after="0" w:line="293" w:lineRule="auto"/>
        <w:tabs>
          <w:tab w:leader="none" w:pos="1231" w:val="left"/>
        </w:tabs>
        <w:numPr>
          <w:ilvl w:val="1"/>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of Certain Expenses</w:t>
      </w:r>
      <w:r>
        <w:rPr>
          <w:rFonts w:ascii="Times New Roman" w:cs="Times New Roman" w:eastAsia="Times New Roman" w:hAnsi="Times New Roman"/>
          <w:sz w:val="15"/>
          <w:szCs w:val="15"/>
          <w:color w:val="auto"/>
        </w:rPr>
        <w:t>. The Company shall indemnify Indemnitee against all expenses incurred in connection with any hearing or proceeding under this Section 7 unless the Company prevails in such hearing or proceeding on the merits in all material respects.</w:t>
      </w:r>
    </w:p>
    <w:p>
      <w:pPr>
        <w:spacing w:after="0" w:line="132" w:lineRule="exact"/>
        <w:rPr>
          <w:rFonts w:ascii="Times New Roman" w:cs="Times New Roman" w:eastAsia="Times New Roman" w:hAnsi="Times New Roman"/>
          <w:sz w:val="15"/>
          <w:szCs w:val="15"/>
          <w:color w:val="auto"/>
        </w:rPr>
      </w:pPr>
    </w:p>
    <w:p>
      <w:pPr>
        <w:ind w:right="80" w:firstLine="443"/>
        <w:spacing w:after="0" w:line="275" w:lineRule="auto"/>
        <w:tabs>
          <w:tab w:leader="none" w:pos="604" w:val="left"/>
        </w:tabs>
        <w:numPr>
          <w:ilvl w:val="0"/>
          <w:numId w:val="3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Assumption of Defense</w:t>
      </w:r>
      <w:r>
        <w:rPr>
          <w:rFonts w:ascii="Times New Roman" w:cs="Times New Roman" w:eastAsia="Times New Roman" w:hAnsi="Times New Roman"/>
          <w:sz w:val="15"/>
          <w:szCs w:val="15"/>
          <w:color w:val="auto"/>
        </w:rPr>
        <w:t>. In the event the Company shall be requested by Indemnitee to pay the expenses 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252" w:right="339" w:bottom="1440" w:gutter="0" w:footer="0" w:header="0"/>
        </w:sectPr>
      </w:pPr>
    </w:p>
    <w:bookmarkStart w:id="423" w:name="page424"/>
    <w:bookmarkEnd w:id="423"/>
    <w:p>
      <w:pPr>
        <w:ind w:right="20"/>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154" w:lineRule="exact"/>
        <w:rPr>
          <w:sz w:val="20"/>
          <w:szCs w:val="20"/>
          <w:color w:val="auto"/>
        </w:rPr>
      </w:pPr>
    </w:p>
    <w:p>
      <w:pPr>
        <w:ind w:left="600" w:hanging="157"/>
        <w:spacing w:after="0"/>
        <w:tabs>
          <w:tab w:leader="none" w:pos="60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To the extent that the Company maintains an insurance policy or policies providing liability insurance for directors, officers, employees, or agents of the</w:t>
      </w:r>
    </w:p>
    <w:p>
      <w:pPr>
        <w:spacing w:after="0" w:line="26" w:lineRule="exact"/>
        <w:rPr>
          <w:rFonts w:ascii="Times New Roman" w:cs="Times New Roman" w:eastAsia="Times New Roman" w:hAnsi="Times New Roman"/>
          <w:sz w:val="15"/>
          <w:szCs w:val="15"/>
          <w:color w:val="auto"/>
        </w:rPr>
      </w:pPr>
    </w:p>
    <w:p>
      <w:pPr>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or of any subsidiary (“D&amp;O Insurance”),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D&amp;O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57" w:lineRule="exact"/>
        <w:rPr>
          <w:rFonts w:ascii="Times New Roman" w:cs="Times New Roman" w:eastAsia="Times New Roman" w:hAnsi="Times New Roman"/>
          <w:sz w:val="15"/>
          <w:szCs w:val="15"/>
          <w:color w:val="auto"/>
        </w:rPr>
      </w:pPr>
    </w:p>
    <w:p>
      <w:pPr>
        <w:ind w:left="680" w:hanging="237"/>
        <w:spacing w:after="0"/>
        <w:tabs>
          <w:tab w:leader="none" w:pos="680" w:val="left"/>
        </w:tabs>
        <w:numPr>
          <w:ilvl w:val="0"/>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Exceptions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firstLine="1006"/>
        <w:spacing w:after="0" w:line="259" w:lineRule="auto"/>
        <w:tabs>
          <w:tab w:leader="none" w:pos="1222"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Certain Matters</w:t>
      </w:r>
      <w:r>
        <w:rPr>
          <w:rFonts w:ascii="Times New Roman" w:cs="Times New Roman" w:eastAsia="Times New Roman" w:hAnsi="Times New Roman"/>
          <w:sz w:val="15"/>
          <w:szCs w:val="15"/>
          <w:color w:val="auto"/>
        </w:rPr>
        <w:t>. Any provision herein to the contrary notwithstanding, the Company shall not be obligated pursuant to the terms of this Agreement to indemnify Indemnitee on account of any proceeding with respect to (i)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Section 10(d) below); (ii) a final judgment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 (iii) a final judgment or other final adjudication that Indemnitee’s conduct was in bad faith, knowingly fraudulent or deliberately dishonest or constituted willful misconduct (but only to the extent of such specific determination); or (iv) on account of conduct that is established by a final judgment as constituting a breach of Indemnitee’s duty of loyalty to the Company or resulting in any personal profit or advantage to which Indemnitee is not legally entitled. For purposes of the foregoing sentence,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348" w:lineRule="exact"/>
        <w:rPr>
          <w:rFonts w:ascii="Times New Roman" w:cs="Times New Roman" w:eastAsia="Times New Roman" w:hAnsi="Times New Roman"/>
          <w:sz w:val="15"/>
          <w:szCs w:val="15"/>
          <w:color w:val="auto"/>
        </w:rPr>
      </w:pPr>
    </w:p>
    <w:p>
      <w:pPr>
        <w:ind w:right="200" w:firstLine="1006"/>
        <w:spacing w:after="0" w:line="275" w:lineRule="auto"/>
        <w:tabs>
          <w:tab w:leader="none" w:pos="1231" w:val="left"/>
        </w:tabs>
        <w:numPr>
          <w:ilvl w:val="1"/>
          <w:numId w:val="3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Claims Initiated by Indemnitee</w:t>
      </w:r>
      <w:r>
        <w:rPr>
          <w:rFonts w:ascii="Times New Roman" w:cs="Times New Roman" w:eastAsia="Times New Roman" w:hAnsi="Times New Roman"/>
          <w:sz w:val="15"/>
          <w:szCs w:val="15"/>
          <w:color w:val="auto"/>
        </w:rPr>
        <w:t>. Any provision herein to the contrary notwithstanding, the Company shall not be obligated to indemnify or advance expenses to Indemnitee with respect to proceedings or claims initiated or brought by Indemnitee against the Company or its directors, officers, employees or other agents and not by way of defense, except (i) with respect to proceedings brought to establish or enforce a right to indemnification under this Agreement or under 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20"/>
          </w:cols>
          <w:pgMar w:left="320" w:top="252" w:right="359" w:bottom="1440" w:gutter="0" w:footer="0" w:header="0"/>
        </w:sectPr>
      </w:pPr>
    </w:p>
    <w:bookmarkStart w:id="424" w:name="page425"/>
    <w:bookmarkEnd w:id="424"/>
    <w:p>
      <w:pPr>
        <w:ind w:right="18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other agreement, provision in the Bylaws or Certificate of Incorporation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145" w:lineRule="exact"/>
        <w:rPr>
          <w:sz w:val="20"/>
          <w:szCs w:val="20"/>
          <w:color w:val="auto"/>
        </w:rPr>
      </w:pPr>
    </w:p>
    <w:p>
      <w:pPr>
        <w:ind w:right="20" w:firstLine="1006"/>
        <w:spacing w:after="0" w:line="265" w:lineRule="auto"/>
        <w:tabs>
          <w:tab w:leader="none" w:pos="1222" w:val="left"/>
        </w:tabs>
        <w:numPr>
          <w:ilvl w:val="1"/>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Unauthorized Settlements</w:t>
      </w:r>
      <w:r>
        <w:rPr>
          <w:rFonts w:ascii="Times New Roman" w:cs="Times New Roman" w:eastAsia="Times New Roman" w:hAnsi="Times New Roman"/>
          <w:sz w:val="15"/>
          <w:szCs w:val="15"/>
          <w:color w:val="auto"/>
        </w:rPr>
        <w:t>. Any provision herein to the contrary notwithstanding, the Company shall not be obligated pursuant to the terms of this Agreement to indemnify Indemnitee under this Agreement for any amounts paid in settlement of a proceeding effected without the Company’s written consent.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w:t>
      </w:r>
    </w:p>
    <w:p>
      <w:pPr>
        <w:spacing w:after="0" w:line="154" w:lineRule="exact"/>
        <w:rPr>
          <w:rFonts w:ascii="Times New Roman" w:cs="Times New Roman" w:eastAsia="Times New Roman" w:hAnsi="Times New Roman"/>
          <w:sz w:val="15"/>
          <w:szCs w:val="15"/>
          <w:color w:val="auto"/>
        </w:rPr>
      </w:pPr>
    </w:p>
    <w:p>
      <w:pPr>
        <w:ind w:firstLine="1006"/>
        <w:spacing w:after="0" w:line="264" w:lineRule="auto"/>
        <w:tabs>
          <w:tab w:leader="none" w:pos="1231" w:val="left"/>
        </w:tabs>
        <w:numPr>
          <w:ilvl w:val="1"/>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Act Liabilities</w:t>
      </w:r>
      <w:r>
        <w:rPr>
          <w:rFonts w:ascii="Times New Roman" w:cs="Times New Roman" w:eastAsia="Times New Roman" w:hAnsi="Times New Roman"/>
          <w:sz w:val="15"/>
          <w:szCs w:val="15"/>
          <w:color w:val="auto"/>
        </w:rPr>
        <w:t>. 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“Act”),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52"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Nonexclusivity; Priority of Payment and Survival of Rights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20" w:firstLine="1006"/>
        <w:spacing w:after="0" w:line="262" w:lineRule="auto"/>
        <w:tabs>
          <w:tab w:leader="none" w:pos="1223"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indemnification and advancement of expenses set forth in this Agreement shall not be deemed exclusive of any other rights which Indemnitee may at any time be entitled under any provision of applicable law, the Company’s Certificate of Incorporation, Bylaws or other agreements, both as to action in Indemnitee’s official capacity and Indemnitee’s action as an agent of the Company, in any court in which a proceeding is brought, and Indemnitee’s rights hereunder shall continue after Indemnitee has ceased acting as an agent of the Company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expressly to assume and agree to perform this Agreement in the same manner and to the same extent that the Company would be required to perform if no such succession had taken place.</w:t>
      </w:r>
    </w:p>
    <w:p>
      <w:pPr>
        <w:spacing w:after="0" w:line="157" w:lineRule="exact"/>
        <w:rPr>
          <w:rFonts w:ascii="Times New Roman" w:cs="Times New Roman" w:eastAsia="Times New Roman" w:hAnsi="Times New Roman"/>
          <w:sz w:val="15"/>
          <w:szCs w:val="15"/>
          <w:color w:val="auto"/>
        </w:rPr>
      </w:pPr>
    </w:p>
    <w:p>
      <w:pPr>
        <w:ind w:right="20" w:firstLine="1006"/>
        <w:spacing w:after="0" w:line="265" w:lineRule="auto"/>
        <w:tabs>
          <w:tab w:leader="none" w:pos="1231" w:val="left"/>
        </w:tabs>
        <w:numPr>
          <w:ilvl w:val="1"/>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hereby acknowledges that Indemnitee has certain rights to indemnification, advancement of expenses and/or insurance provided by [Venture Fund] and certain of its affiliates (collectively, the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251" w:right="319" w:bottom="1440" w:gutter="0" w:footer="0" w:header="0"/>
        </w:sectPr>
      </w:pPr>
    </w:p>
    <w:bookmarkStart w:id="425" w:name="page426"/>
    <w:bookmarkEnd w:id="425"/>
    <w:p>
      <w:pPr>
        <w:ind w:right="28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11(b).</w:t>
      </w:r>
    </w:p>
    <w:p>
      <w:pPr>
        <w:spacing w:after="0" w:line="153" w:lineRule="exact"/>
        <w:rPr>
          <w:sz w:val="20"/>
          <w:szCs w:val="20"/>
          <w:color w:val="auto"/>
        </w:rPr>
      </w:pPr>
    </w:p>
    <w:p>
      <w:pPr>
        <w:ind w:right="60" w:firstLine="1006"/>
        <w:spacing w:after="0" w:line="262" w:lineRule="auto"/>
        <w:tabs>
          <w:tab w:leader="none" w:pos="1223" w:val="left"/>
        </w:tabs>
        <w:numPr>
          <w:ilvl w:val="1"/>
          <w:numId w:val="3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Company’s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157" w:lineRule="exact"/>
        <w:rPr>
          <w:rFonts w:ascii="Times New Roman" w:cs="Times New Roman" w:eastAsia="Times New Roman" w:hAnsi="Times New Roman"/>
          <w:sz w:val="15"/>
          <w:szCs w:val="15"/>
          <w:color w:val="auto"/>
        </w:rPr>
      </w:pPr>
    </w:p>
    <w:p>
      <w:pPr>
        <w:ind w:right="80" w:firstLine="443"/>
        <w:spacing w:after="0" w:line="275" w:lineRule="auto"/>
        <w:tabs>
          <w:tab w:leader="none" w:pos="681"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w:t>
      </w:r>
      <w:r>
        <w:rPr>
          <w:rFonts w:ascii="Times New Roman" w:cs="Times New Roman" w:eastAsia="Times New Roman" w:hAnsi="Times New Roman"/>
          <w:sz w:val="15"/>
          <w:szCs w:val="15"/>
          <w:color w:val="auto"/>
        </w:rPr>
        <w:t>. This Agreement shall continue until and terminate upon the later of: (a) five (5) years after the date that Indemnitee shall have ceased to serve as a director or and/or officer, employee or agent of the Company; or (b) one (1) year after the final termination of any proceeding, including any appeal then pending, in respect to which Indemnitee was granted rights of indemnification or advancement of expenses hereunder.</w:t>
      </w:r>
    </w:p>
    <w:p>
      <w:pPr>
        <w:spacing w:after="0" w:line="145" w:lineRule="exact"/>
        <w:rPr>
          <w:sz w:val="20"/>
          <w:szCs w:val="20"/>
          <w:color w:val="auto"/>
        </w:rPr>
      </w:pPr>
    </w:p>
    <w:p>
      <w:pPr>
        <w:ind w:right="220" w:firstLine="451"/>
        <w:spacing w:after="0" w:line="268" w:lineRule="auto"/>
        <w:rPr>
          <w:sz w:val="20"/>
          <w:szCs w:val="20"/>
          <w:color w:val="auto"/>
        </w:rPr>
      </w:pPr>
      <w:r>
        <w:rPr>
          <w:rFonts w:ascii="Times New Roman" w:cs="Times New Roman" w:eastAsia="Times New Roman" w:hAnsi="Times New Roman"/>
          <w:sz w:val="15"/>
          <w:szCs w:val="15"/>
          <w:color w:val="auto"/>
        </w:rPr>
        <w:t>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152" w:lineRule="exact"/>
        <w:rPr>
          <w:sz w:val="20"/>
          <w:szCs w:val="20"/>
          <w:color w:val="auto"/>
        </w:rPr>
      </w:pPr>
    </w:p>
    <w:p>
      <w:pPr>
        <w:ind w:right="20" w:firstLine="443"/>
        <w:spacing w:after="0" w:line="268" w:lineRule="auto"/>
        <w:tabs>
          <w:tab w:leader="none" w:pos="681"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Subrogation</w:t>
      </w:r>
      <w:r>
        <w:rPr>
          <w:rFonts w:ascii="Times New Roman" w:cs="Times New Roman" w:eastAsia="Times New Roman" w:hAnsi="Times New Roman"/>
          <w:sz w:val="15"/>
          <w:szCs w:val="15"/>
          <w:color w:val="auto"/>
        </w:rPr>
        <w:t>. Except as provided in Section 11(b) above, in the event of any payment under this Agreement, the Company shall be subrogated to the extent of such payment to all of the rights of recovery of Indemnitee (other than against the Fund Indemnitor),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151" w:lineRule="exact"/>
        <w:rPr>
          <w:rFonts w:ascii="Times New Roman" w:cs="Times New Roman" w:eastAsia="Times New Roman" w:hAnsi="Times New Roman"/>
          <w:sz w:val="15"/>
          <w:szCs w:val="15"/>
          <w:color w:val="auto"/>
        </w:rPr>
      </w:pPr>
    </w:p>
    <w:p>
      <w:pPr>
        <w:ind w:right="120" w:firstLine="443"/>
        <w:spacing w:after="0" w:line="293" w:lineRule="auto"/>
        <w:tabs>
          <w:tab w:leader="none" w:pos="681"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Interpretation of Agreement</w:t>
      </w:r>
      <w:r>
        <w:rPr>
          <w:rFonts w:ascii="Times New Roman" w:cs="Times New Roman" w:eastAsia="Times New Roman" w:hAnsi="Times New Roman"/>
          <w:sz w:val="15"/>
          <w:szCs w:val="15"/>
          <w:color w:val="auto"/>
        </w:rPr>
        <w:t>. It is understood that the parties hereto intend this Agreement to be interpreted and enforced so as to provide indemnification to Indemnitee to the fullest extent now or hereafter permitted by law.</w:t>
      </w:r>
    </w:p>
    <w:p>
      <w:pPr>
        <w:spacing w:after="0" w:line="132" w:lineRule="exact"/>
        <w:rPr>
          <w:rFonts w:ascii="Times New Roman" w:cs="Times New Roman" w:eastAsia="Times New Roman" w:hAnsi="Times New Roman"/>
          <w:sz w:val="15"/>
          <w:szCs w:val="15"/>
          <w:color w:val="auto"/>
        </w:rPr>
      </w:pPr>
    </w:p>
    <w:p>
      <w:pPr>
        <w:ind w:firstLine="443"/>
        <w:spacing w:after="0" w:line="293" w:lineRule="auto"/>
        <w:tabs>
          <w:tab w:leader="none" w:pos="681" w:val="left"/>
        </w:tabs>
        <w:numPr>
          <w:ilvl w:val="0"/>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of this Agreement shall be held to be invalid, illegal or unenforceable for any reason whatsoever, (a) the validity, legality and enforceability of the remaining provisions of the Agreement (including without limitation, all portions of any paragraphs of this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252" w:right="319" w:bottom="1440" w:gutter="0" w:footer="0" w:header="0"/>
        </w:sectPr>
      </w:pPr>
    </w:p>
    <w:bookmarkStart w:id="426" w:name="page427"/>
    <w:bookmarkEnd w:id="426"/>
    <w:p>
      <w:pPr>
        <w:ind w:left="8"/>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152" w:lineRule="exact"/>
        <w:rPr>
          <w:sz w:val="20"/>
          <w:szCs w:val="20"/>
          <w:color w:val="auto"/>
        </w:rPr>
      </w:pPr>
    </w:p>
    <w:p>
      <w:pPr>
        <w:jc w:val="both"/>
        <w:ind w:left="8" w:right="20" w:firstLine="443"/>
        <w:spacing w:after="0" w:line="275" w:lineRule="auto"/>
        <w:tabs>
          <w:tab w:leader="none" w:pos="689" w:val="left"/>
        </w:tabs>
        <w:numPr>
          <w:ilvl w:val="1"/>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Waiver</w:t>
      </w:r>
      <w:r>
        <w:rPr>
          <w:rFonts w:ascii="Times New Roman" w:cs="Times New Roman" w:eastAsia="Times New Roman" w:hAnsi="Times New Roman"/>
          <w:sz w:val="15"/>
          <w:szCs w:val="15"/>
          <w:color w:val="auto"/>
        </w:rPr>
        <w:t>. No supplement, modification, amendment, or cancellation of this Agreement 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144" w:lineRule="exact"/>
        <w:rPr>
          <w:rFonts w:ascii="Times New Roman" w:cs="Times New Roman" w:eastAsia="Times New Roman" w:hAnsi="Times New Roman"/>
          <w:sz w:val="15"/>
          <w:szCs w:val="15"/>
          <w:color w:val="auto"/>
        </w:rPr>
      </w:pPr>
    </w:p>
    <w:p>
      <w:pPr>
        <w:ind w:left="8" w:right="60" w:firstLine="443"/>
        <w:spacing w:after="0" w:line="263" w:lineRule="auto"/>
        <w:tabs>
          <w:tab w:leader="none" w:pos="689" w:val="left"/>
        </w:tabs>
        <w:numPr>
          <w:ilvl w:val="1"/>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Except as otherwise provided herein, any notice or demand which, by the provisions hereof, is required or which may be given to or served upon the parties hereto shall be in writing and, if by telegram, telecopy or telex,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w:t>
      </w:r>
    </w:p>
    <w:p>
      <w:pPr>
        <w:ind w:left="8" w:right="20" w:hanging="8"/>
        <w:spacing w:after="0" w:line="264" w:lineRule="auto"/>
        <w:tabs>
          <w:tab w:leader="none" w:pos="225"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154" w:lineRule="exact"/>
        <w:rPr>
          <w:rFonts w:ascii="Times New Roman" w:cs="Times New Roman" w:eastAsia="Times New Roman" w:hAnsi="Times New Roman"/>
          <w:sz w:val="15"/>
          <w:szCs w:val="15"/>
          <w:color w:val="auto"/>
        </w:rPr>
      </w:pPr>
    </w:p>
    <w:p>
      <w:pPr>
        <w:ind w:left="8" w:firstLine="443"/>
        <w:spacing w:after="0" w:line="293" w:lineRule="auto"/>
        <w:tabs>
          <w:tab w:leader="none" w:pos="68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exclusively by and construed according to the laws of the State of California, as applied to contracts between California residents entered into and to be performed entirely within California.</w:t>
      </w:r>
    </w:p>
    <w:p>
      <w:pPr>
        <w:spacing w:after="0" w:line="132" w:lineRule="exact"/>
        <w:rPr>
          <w:rFonts w:ascii="Times New Roman" w:cs="Times New Roman" w:eastAsia="Times New Roman" w:hAnsi="Times New Roman"/>
          <w:sz w:val="15"/>
          <w:szCs w:val="15"/>
          <w:color w:val="auto"/>
        </w:rPr>
      </w:pPr>
    </w:p>
    <w:p>
      <w:pPr>
        <w:ind w:left="8" w:firstLine="443"/>
        <w:spacing w:after="0" w:line="293" w:lineRule="auto"/>
        <w:tabs>
          <w:tab w:leader="none" w:pos="68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one or more counterparts, each of which shall for all purposes be deemed to be an original but all of which together shall constitute but one and the same Agreement. Only one such counterpart need be produced to evidence the existence of this Agreement.</w:t>
      </w:r>
    </w:p>
    <w:p>
      <w:pPr>
        <w:spacing w:after="0" w:line="132" w:lineRule="exact"/>
        <w:rPr>
          <w:rFonts w:ascii="Times New Roman" w:cs="Times New Roman" w:eastAsia="Times New Roman" w:hAnsi="Times New Roman"/>
          <w:sz w:val="15"/>
          <w:szCs w:val="15"/>
          <w:color w:val="auto"/>
        </w:rPr>
      </w:pPr>
    </w:p>
    <w:p>
      <w:pPr>
        <w:ind w:left="8" w:right="220" w:firstLine="443"/>
        <w:spacing w:after="0" w:line="293" w:lineRule="auto"/>
        <w:tabs>
          <w:tab w:leader="none" w:pos="68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headings of the sections of this Agreement are inserted for convenience only and shall not be deemed to constitute part of this Agreement or to affect the construction hereof.</w:t>
      </w:r>
    </w:p>
    <w:p>
      <w:pPr>
        <w:spacing w:after="0" w:line="132" w:lineRule="exact"/>
        <w:rPr>
          <w:rFonts w:ascii="Times New Roman" w:cs="Times New Roman" w:eastAsia="Times New Roman" w:hAnsi="Times New Roman"/>
          <w:sz w:val="15"/>
          <w:szCs w:val="15"/>
          <w:color w:val="auto"/>
        </w:rPr>
      </w:pPr>
    </w:p>
    <w:p>
      <w:pPr>
        <w:ind w:left="8" w:right="40" w:firstLine="443"/>
        <w:spacing w:after="0" w:line="268" w:lineRule="auto"/>
        <w:tabs>
          <w:tab w:leader="none" w:pos="68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constitutes the entire agreement 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Company’s Certificate of Incorporation, Bylaws, the Code and any other applicable law, and shall not be deemed a substitute therefor, and does not diminish or abrogate any rights of Indemnitee thereunder.</w:t>
      </w:r>
    </w:p>
    <w:p>
      <w:pPr>
        <w:spacing w:after="0" w:line="151" w:lineRule="exact"/>
        <w:rPr>
          <w:rFonts w:ascii="Times New Roman" w:cs="Times New Roman" w:eastAsia="Times New Roman" w:hAnsi="Times New Roman"/>
          <w:sz w:val="15"/>
          <w:szCs w:val="15"/>
          <w:color w:val="auto"/>
        </w:rPr>
      </w:pPr>
    </w:p>
    <w:p>
      <w:pPr>
        <w:ind w:left="8" w:right="20" w:firstLine="443"/>
        <w:spacing w:after="0" w:line="293" w:lineRule="auto"/>
        <w:tabs>
          <w:tab w:leader="none" w:pos="689" w:val="left"/>
        </w:tabs>
        <w:numPr>
          <w:ilvl w:val="1"/>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and Restatement of Prior Agreement</w:t>
      </w:r>
      <w:r>
        <w:rPr>
          <w:rFonts w:ascii="Times New Roman" w:cs="Times New Roman" w:eastAsia="Times New Roman" w:hAnsi="Times New Roman"/>
          <w:sz w:val="15"/>
          <w:szCs w:val="15"/>
          <w:color w:val="auto"/>
        </w:rPr>
        <w:t>. Upon the effectiveness of this Agreement, the Prior Agreement shall be amended and restated in its entirety and be of no further force and effect, and shall be superseded and replaced in its entirety by this Agreement.</w:t>
      </w:r>
    </w:p>
    <w:p>
      <w:pPr>
        <w:spacing w:after="0" w:line="7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28"/>
          </w:cols>
          <w:pgMar w:left="312" w:top="252" w:right="3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IN WITNESS WHEREOF, </w:t>
      </w:r>
      <w:r>
        <w:rPr>
          <w:rFonts w:ascii="Times New Roman" w:cs="Times New Roman" w:eastAsia="Times New Roman" w:hAnsi="Times New Roman"/>
          <w:sz w:val="15"/>
          <w:szCs w:val="15"/>
          <w:color w:val="auto"/>
        </w:rPr>
        <w:t>the parties hereto have entered into this Agreement effective as of the date first above written.</w:t>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COMPANY</w:t>
      </w:r>
    </w:p>
    <w:p>
      <w:pPr>
        <w:spacing w:after="0" w:line="20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1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17145</wp:posOffset>
            </wp:positionV>
            <wp:extent cx="264985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2649855" cy="7620"/>
                    </a:xfrm>
                    <a:prstGeom prst="rect">
                      <a:avLst/>
                    </a:prstGeom>
                    <a:noFill/>
                  </pic:spPr>
                </pic:pic>
              </a:graphicData>
            </a:graphic>
          </wp:anchor>
        </w:drawing>
      </w:r>
    </w:p>
    <w:p>
      <w:pPr>
        <w:spacing w:after="0" w:line="18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17145</wp:posOffset>
            </wp:positionV>
            <wp:extent cx="259143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2591435" cy="7620"/>
                    </a:xfrm>
                    <a:prstGeom prst="rect">
                      <a:avLst/>
                    </a:prstGeom>
                    <a:noFill/>
                  </pic:spPr>
                </pic:pic>
              </a:graphicData>
            </a:graphic>
          </wp:anchor>
        </w:drawing>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b w:val="1"/>
          <w:bCs w:val="1"/>
          <w:color w:val="auto"/>
        </w:rPr>
        <w:t>INDEMNITEE</w:t>
      </w:r>
    </w:p>
    <w:p>
      <w:pPr>
        <w:spacing w:after="0" w:line="39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-106680</wp:posOffset>
            </wp:positionV>
            <wp:extent cx="285496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2854960" cy="7620"/>
                    </a:xfrm>
                    <a:prstGeom prst="rect">
                      <a:avLst/>
                    </a:prstGeom>
                    <a:noFill/>
                  </pic:spPr>
                </pic:pic>
              </a:graphicData>
            </a:graphic>
          </wp:anchor>
        </w:drawing>
      </w:r>
    </w:p>
    <w:p>
      <w:pPr>
        <w:spacing w:after="0" w:line="1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Address:</w:t>
      </w:r>
    </w:p>
    <w:p>
      <w:pPr>
        <w:spacing w:after="0" w:line="37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 TO</w:t>
      </w:r>
    </w:p>
    <w:p>
      <w:pPr>
        <w:spacing w:after="0" w:line="3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9699"/>
          </w:cols>
          <w:pgMar w:left="760" w:top="248" w:right="1440"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5"/>
          <w:szCs w:val="15"/>
          <w:b w:val="1"/>
          <w:bCs w:val="1"/>
          <w:color w:val="auto"/>
        </w:rPr>
        <w:t>Exhibit 10.3</w:t>
      </w:r>
    </w:p>
    <w:p>
      <w:pPr>
        <w:spacing w:after="0" w:line="1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1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9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DOPTED ON</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CTOBER</w:t>
      </w:r>
      <w:r>
        <w:rPr>
          <w:rFonts w:ascii="Times New Roman" w:cs="Times New Roman" w:eastAsia="Times New Roman" w:hAnsi="Times New Roman"/>
          <w:sz w:val="15"/>
          <w:szCs w:val="15"/>
          <w:b w:val="1"/>
          <w:bCs w:val="1"/>
          <w:color w:val="auto"/>
        </w:rPr>
        <w:t xml:space="preserve"> 8, 2020)</w:t>
      </w:r>
    </w:p>
    <w:p>
      <w:pPr>
        <w:sectPr>
          <w:pgSz w:w="11900" w:h="16838" w:orient="portrait"/>
          <w:cols w:equalWidth="0" w:num="1">
            <w:col w:w="10140"/>
          </w:cols>
          <w:pgMar w:left="1440" w:top="121" w:right="319"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1. INTRODUCTION.</w:t>
      </w:r>
    </w:p>
    <w:p>
      <w:pPr>
        <w:spacing w:after="0" w:line="108" w:lineRule="exact"/>
        <w:rPr>
          <w:sz w:val="20"/>
          <w:szCs w:val="20"/>
          <w:color w:val="auto"/>
        </w:rPr>
      </w:pPr>
    </w:p>
    <w:p>
      <w:pPr>
        <w:ind w:right="20" w:firstLine="451"/>
        <w:spacing w:after="0" w:line="265" w:lineRule="auto"/>
        <w:rPr>
          <w:sz w:val="20"/>
          <w:szCs w:val="20"/>
          <w:color w:val="auto"/>
        </w:rPr>
      </w:pPr>
      <w:r>
        <w:rPr>
          <w:rFonts w:ascii="Times New Roman" w:cs="Times New Roman" w:eastAsia="Times New Roman" w:hAnsi="Times New Roman"/>
          <w:sz w:val="15"/>
          <w:szCs w:val="15"/>
          <w:color w:val="auto"/>
        </w:rPr>
        <w:t>The Board adopted the Plan to become effective immediately, although no Awards may be granted prior to the IPO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Capitalized terms used in this Plan are defined in Article 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2. ADMINISTRATION.</w:t>
      </w:r>
    </w:p>
    <w:p>
      <w:pPr>
        <w:spacing w:after="0" w:line="104" w:lineRule="exact"/>
        <w:rPr>
          <w:sz w:val="20"/>
          <w:szCs w:val="20"/>
          <w:color w:val="auto"/>
        </w:rPr>
      </w:pPr>
    </w:p>
    <w:p>
      <w:pPr>
        <w:ind w:firstLine="451"/>
        <w:spacing w:after="0" w:line="265"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b w:val="1"/>
          <w:bCs w:val="1"/>
          <w:color w:val="auto"/>
        </w:rPr>
        <w:t>General</w:t>
      </w:r>
      <w:r>
        <w:rPr>
          <w:rFonts w:ascii="Times New Roman" w:cs="Times New Roman" w:eastAsia="Times New Roman" w:hAnsi="Times New Roman"/>
          <w:sz w:val="15"/>
          <w:szCs w:val="15"/>
          <w:color w:val="auto"/>
        </w:rPr>
        <w:t>. The Plan may be administered by the Board or one or more Committees to which the Board (or an authorized Board committee) 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w:t>
      </w:r>
    </w:p>
    <w:p>
      <w:pPr>
        <w:spacing w:after="0" w:line="148" w:lineRule="exact"/>
        <w:rPr>
          <w:sz w:val="20"/>
          <w:szCs w:val="20"/>
          <w:color w:val="auto"/>
        </w:rPr>
      </w:pPr>
    </w:p>
    <w:p>
      <w:pPr>
        <w:ind w:right="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2.2 Section 16</w:t>
      </w:r>
      <w:r>
        <w:rPr>
          <w:rFonts w:ascii="Times New Roman" w:cs="Times New Roman" w:eastAsia="Times New Roman" w:hAnsi="Times New Roman"/>
          <w:sz w:val="15"/>
          <w:szCs w:val="15"/>
          <w:color w:val="auto"/>
        </w:rPr>
        <w:t>. To the extent desirable to qualify transactions hereunder as exempt under Exchange Act Rule 16b-3, the transactions contemplated hereunder will be approved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the entire Board or a Committee of two or more “non-employee directors” within the meaning of Exchange Act Rule 16b-3.</w:t>
      </w:r>
    </w:p>
    <w:p>
      <w:pPr>
        <w:spacing w:after="0" w:line="125" w:lineRule="exact"/>
        <w:rPr>
          <w:sz w:val="20"/>
          <w:szCs w:val="20"/>
          <w:color w:val="auto"/>
        </w:rPr>
      </w:pPr>
    </w:p>
    <w:p>
      <w:pPr>
        <w:ind w:right="100"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2.3 Powers of Administrator</w:t>
      </w:r>
      <w:r>
        <w:rPr>
          <w:rFonts w:ascii="Times New Roman" w:cs="Times New Roman" w:eastAsia="Times New Roman" w:hAnsi="Times New Roman"/>
          <w:sz w:val="15"/>
          <w:szCs w:val="15"/>
          <w:color w:val="auto"/>
        </w:rPr>
        <w:t>. Subject to the terms of the Plan, and in the case of a Committee, subject to the specific duties delegated to the Committee, the Administrator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have the authority to (a) select the Service Providers who are to receive Awards under the Plan, (b) determine the type, number, vesting requirements and other features and conditions of such Awards, (c) interpret the Plan and Awards granted under the Plan, (d) determine whether, when and to what extent an Award has become vested and/or exercisable and whether any performance-based vesting conditions have been satisfied,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 and (g) make all other decisions relating to the operation of the Plan and Awards granted under the Plan. In addition, with regard to the terms and conditions of Awards granted to Service Providers outside of the United States, the Administrator may vary from the provisions of the Plan (other than any requiring stockholder approval pursuant to Section 13.3) to the extent it determines it necessary and appropriate to do so.</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2.4 Effect of Administrator’s Decisions</w:t>
      </w:r>
      <w:r>
        <w:rPr>
          <w:rFonts w:ascii="Times New Roman" w:cs="Times New Roman" w:eastAsia="Times New Roman" w:hAnsi="Times New Roman"/>
          <w:sz w:val="15"/>
          <w:szCs w:val="15"/>
          <w:color w:val="auto"/>
        </w:rPr>
        <w:t>. The Administrator’s decisions, determinations and interpretations shall be final and binding on all interested parties.</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248" w:right="319" w:bottom="1440" w:gutter="0" w:footer="0" w:header="0"/>
        </w:sectPr>
      </w:pPr>
    </w:p>
    <w:bookmarkStart w:id="430" w:name="page431"/>
    <w:bookmarkEnd w:id="430"/>
    <w:p>
      <w:pPr>
        <w:ind w:left="4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2.5 Governing Law</w:t>
      </w:r>
      <w:r>
        <w:rPr>
          <w:rFonts w:ascii="Times New Roman" w:cs="Times New Roman" w:eastAsia="Times New Roman" w:hAnsi="Times New Roman"/>
          <w:sz w:val="15"/>
          <w:szCs w:val="15"/>
          <w:color w:val="auto"/>
        </w:rPr>
        <w:t>. The Plan shall be governed by, and construed in accordance with, the laws of the State of Delaware (except its choice-of-law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3. SHARES AVAILABLE FOR GRANTS.</w:t>
      </w:r>
    </w:p>
    <w:p>
      <w:pPr>
        <w:spacing w:after="0" w:line="104" w:lineRule="exact"/>
        <w:rPr>
          <w:sz w:val="20"/>
          <w:szCs w:val="20"/>
          <w:color w:val="auto"/>
        </w:rPr>
      </w:pPr>
    </w:p>
    <w:p>
      <w:pPr>
        <w:ind w:right="4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3.1 Basic Limitation</w:t>
      </w:r>
      <w:r>
        <w:rPr>
          <w:rFonts w:ascii="Times New Roman" w:cs="Times New Roman" w:eastAsia="Times New Roman" w:hAnsi="Times New Roman"/>
          <w:sz w:val="15"/>
          <w:szCs w:val="15"/>
          <w:color w:val="auto"/>
        </w:rPr>
        <w:t>. Common Shares issued pursuant to the Plan may be authorized but unissued shares or treasury shares. The aggregate number of Common Shares issued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under the Plan shall not exceed the sum of (a) 9,000,000 Common Shares, (b) any Common Shares subject to awards granted under the Predecessor Plan that are outstanding on the IPO Date that subsequently are forfeited, expire or lapse unexercised or unsettled and Common Shares issued pursuant to awards granted under the Predecessor Plan that are outstanding on the IPO Date and that are subsequently forfeited to or reacquired by the Company, (c) the number of Common Shares reserved under the Predecessor Plan that are not issued or subject to outstanding awards under the Predecessor Plan on the IPO Date and (d) the additional Common Shares described in Articles 3.2 and 3.3; provided, however, that no more than 18,074,290 Common Shares, in the aggregate, shall be added to the Plan pursuant to clauses (b) and (c). The Company shall reserve and keep available such number of Common Shares as will be sufficient to satisfy the requirements of the Plan. The numerical limitations in this Article 3.1 shall be subject to adjustment pursuant to Article 9.</w:t>
      </w:r>
    </w:p>
    <w:p>
      <w:pPr>
        <w:spacing w:after="0" w:line="153" w:lineRule="exact"/>
        <w:rPr>
          <w:sz w:val="20"/>
          <w:szCs w:val="20"/>
          <w:color w:val="auto"/>
        </w:rPr>
      </w:pPr>
    </w:p>
    <w:p>
      <w:pPr>
        <w:jc w:val="both"/>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3.2 Annual Increase in Shares</w:t>
      </w:r>
      <w:r>
        <w:rPr>
          <w:rFonts w:ascii="Times New Roman" w:cs="Times New Roman" w:eastAsia="Times New Roman" w:hAnsi="Times New Roman"/>
          <w:sz w:val="15"/>
          <w:szCs w:val="15"/>
          <w:color w:val="auto"/>
        </w:rPr>
        <w:t>. On the first day of each fiscal year of the Company during the term of the Plan, commencing in 2021 and ending in (and including) 2030,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aggregate number of Common Shares that may be issued under the Plan shall automatically increase by a number equal to the lesser of (a) 4% of the total number of Common Shares actually issued and outstanding on the last day of the preceding fiscal year or (b) a number of Common Shares determined by the Board.</w:t>
      </w:r>
    </w:p>
    <w:p>
      <w:pPr>
        <w:spacing w:after="0" w:line="141" w:lineRule="exact"/>
        <w:rPr>
          <w:sz w:val="20"/>
          <w:szCs w:val="20"/>
          <w:color w:val="auto"/>
        </w:rPr>
      </w:pPr>
    </w:p>
    <w:p>
      <w:pPr>
        <w:ind w:firstLine="451"/>
        <w:spacing w:after="0" w:line="262" w:lineRule="auto"/>
        <w:rPr>
          <w:sz w:val="20"/>
          <w:szCs w:val="20"/>
          <w:color w:val="auto"/>
        </w:rPr>
      </w:pPr>
      <w:r>
        <w:rPr>
          <w:rFonts w:ascii="Times New Roman" w:cs="Times New Roman" w:eastAsia="Times New Roman" w:hAnsi="Times New Roman"/>
          <w:sz w:val="15"/>
          <w:szCs w:val="15"/>
          <w:b w:val="1"/>
          <w:bCs w:val="1"/>
          <w:color w:val="auto"/>
        </w:rPr>
        <w:t>3.3 Shares Returned to Reserve</w:t>
      </w:r>
      <w:r>
        <w:rPr>
          <w:rFonts w:ascii="Times New Roman" w:cs="Times New Roman" w:eastAsia="Times New Roman" w:hAnsi="Times New Roman"/>
          <w:sz w:val="15"/>
          <w:szCs w:val="15"/>
          <w:color w:val="auto"/>
        </w:rPr>
        <w:t>. To the extent that Options, SARs, Restricted Stock Units or other Awards are forfeited, cancelled or expire for any reason before being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pacing w:after="0" w:line="154" w:lineRule="exact"/>
        <w:rPr>
          <w:sz w:val="20"/>
          <w:szCs w:val="20"/>
          <w:color w:val="auto"/>
        </w:rPr>
      </w:pPr>
    </w:p>
    <w:p>
      <w:pPr>
        <w:ind w:right="2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3.4 Awards Not Reducing Share Reserve</w:t>
      </w:r>
      <w:r>
        <w:rPr>
          <w:rFonts w:ascii="Times New Roman" w:cs="Times New Roman" w:eastAsia="Times New Roman" w:hAnsi="Times New Roman"/>
          <w:sz w:val="15"/>
          <w:szCs w:val="15"/>
          <w:color w:val="auto"/>
        </w:rPr>
        <w:t>. To the extent permitted under applicable exchange listing standards, any dividend equivalents paid or credited under the Plan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3.5 Code Section 422 and Other Limits. </w:t>
      </w:r>
      <w:r>
        <w:rPr>
          <w:rFonts w:ascii="Times New Roman" w:cs="Times New Roman" w:eastAsia="Times New Roman" w:hAnsi="Times New Roman"/>
          <w:sz w:val="15"/>
          <w:szCs w:val="15"/>
          <w:color w:val="auto"/>
        </w:rPr>
        <w:t>Subject to adjustment in accordance with Article 9:</w:t>
      </w:r>
    </w:p>
    <w:p>
      <w:pPr>
        <w:spacing w:after="0" w:line="200" w:lineRule="exact"/>
        <w:rPr>
          <w:sz w:val="20"/>
          <w:szCs w:val="20"/>
          <w:color w:val="auto"/>
        </w:rPr>
      </w:pPr>
    </w:p>
    <w:p>
      <w:pPr>
        <w:ind w:left="5580" w:right="3880" w:hanging="4574"/>
        <w:spacing w:after="0" w:line="354" w:lineRule="auto"/>
        <w:tabs>
          <w:tab w:leader="none" w:pos="1209"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more than 36,274,290 Common Shares may be issued under the Plan upon the exercise of ISOs. 2</w:t>
      </w:r>
    </w:p>
    <w:p>
      <w:pPr>
        <w:sectPr>
          <w:pgSz w:w="11900" w:h="16838" w:orient="portrait"/>
          <w:cols w:equalWidth="0" w:num="1">
            <w:col w:w="11220"/>
          </w:cols>
          <w:pgMar w:left="320" w:top="248" w:right="359" w:bottom="1440" w:gutter="0" w:footer="0" w:header="0"/>
        </w:sectPr>
      </w:pPr>
    </w:p>
    <w:bookmarkStart w:id="431" w:name="page432"/>
    <w:bookmarkEnd w:id="431"/>
    <w:p>
      <w:pPr>
        <w:ind w:firstLine="1006"/>
        <w:spacing w:after="0" w:line="265" w:lineRule="auto"/>
        <w:tabs>
          <w:tab w:leader="none" w:pos="1231" w:val="left"/>
        </w:tabs>
        <w:numPr>
          <w:ilvl w:val="0"/>
          <w:numId w:val="3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aggregate grant date fair value of Awards granted to an Outside Director during any one fiscal year of the Company, together with the value of any cash compensation paid to the Outside Director during such fiscal year, may not exceed $800,000 (on a per-Director basis); provided however that the limitation that will apply in the fiscal year in which the Outside Director is initially appointed or elected to the Board shall instead be $1,200,000.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an Outside Director, shall count towards this limitation.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4. ELIGIBILITY.</w:t>
      </w:r>
    </w:p>
    <w:p>
      <w:pPr>
        <w:spacing w:after="0" w:line="104" w:lineRule="exact"/>
        <w:rPr>
          <w:sz w:val="20"/>
          <w:szCs w:val="20"/>
          <w:color w:val="auto"/>
        </w:rPr>
      </w:pPr>
    </w:p>
    <w:p>
      <w:pPr>
        <w:ind w:right="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4.1 Incentive Stock Options</w:t>
      </w:r>
      <w:r>
        <w:rPr>
          <w:rFonts w:ascii="Times New Roman" w:cs="Times New Roman" w:eastAsia="Times New Roman" w:hAnsi="Times New Roman"/>
          <w:sz w:val="15"/>
          <w:szCs w:val="15"/>
          <w:color w:val="auto"/>
        </w:rPr>
        <w:t>. Only Employees who are common-law employees of the Company, a Parent or a Subsidiary shall be eligible for the grant of ISOs. In addition,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4.2 Other Awards</w:t>
      </w:r>
      <w:r>
        <w:rPr>
          <w:rFonts w:ascii="Times New Roman" w:cs="Times New Roman" w:eastAsia="Times New Roman" w:hAnsi="Times New Roman"/>
          <w:sz w:val="15"/>
          <w:szCs w:val="15"/>
          <w:color w:val="auto"/>
        </w:rPr>
        <w:t>. Awards other than ISOs may be granted to both Employees and other Service Providers.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5. OPTIONS.</w:t>
      </w:r>
    </w:p>
    <w:p>
      <w:pPr>
        <w:spacing w:after="0" w:line="104" w:lineRule="exact"/>
        <w:rPr>
          <w:sz w:val="20"/>
          <w:szCs w:val="20"/>
          <w:color w:val="auto"/>
        </w:rPr>
      </w:pPr>
    </w:p>
    <w:p>
      <w:pPr>
        <w:jc w:val="both"/>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5.1 Stock Option Agreement</w:t>
      </w:r>
      <w:r>
        <w:rPr>
          <w:rFonts w:ascii="Times New Roman" w:cs="Times New Roman" w:eastAsia="Times New Roman" w:hAnsi="Times New Roman"/>
          <w:sz w:val="15"/>
          <w:szCs w:val="15"/>
          <w:color w:val="auto"/>
        </w:rPr>
        <w:t>. Each grant of an Option under the Plan shall be evidenced by a Stock Option Agreement between the Optionee and the Company. Such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pacing w:after="0" w:line="141" w:lineRule="exact"/>
        <w:rPr>
          <w:sz w:val="20"/>
          <w:szCs w:val="20"/>
          <w:color w:val="auto"/>
        </w:rPr>
      </w:pPr>
    </w:p>
    <w:p>
      <w:pPr>
        <w:ind w:right="4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5.2 Number of Shares</w:t>
      </w:r>
      <w:r>
        <w:rPr>
          <w:rFonts w:ascii="Times New Roman" w:cs="Times New Roman" w:eastAsia="Times New Roman" w:hAnsi="Times New Roman"/>
          <w:sz w:val="15"/>
          <w:szCs w:val="15"/>
          <w:color w:val="auto"/>
        </w:rPr>
        <w:t>. Each Stock Option Agreement shall specify the number of Common Shares subject to the Option, which number shall adjust in accordance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Article 9.</w:t>
      </w:r>
    </w:p>
    <w:p>
      <w:pPr>
        <w:spacing w:after="0" w:line="125" w:lineRule="exact"/>
        <w:rPr>
          <w:sz w:val="20"/>
          <w:szCs w:val="20"/>
          <w:color w:val="auto"/>
        </w:rPr>
      </w:pPr>
    </w:p>
    <w:p>
      <w:pPr>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5.3 Exercise Price</w:t>
      </w:r>
      <w:r>
        <w:rPr>
          <w:rFonts w:ascii="Times New Roman" w:cs="Times New Roman" w:eastAsia="Times New Roman" w:hAnsi="Times New Roman"/>
          <w:sz w:val="15"/>
          <w:szCs w:val="15"/>
          <w:color w:val="auto"/>
        </w:rPr>
        <w:t>. Each Stock Option Agreement shall specify the Exercise Price, which shall not be less than 100% of the Fair Market Value of a Common Share on the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grant. The preceding sentence shall not apply to an Option that is a Substitute Award granted in a manner that would satisfy the requirements of Code Section 409A and, if applicable, Code Section 424(a).</w:t>
      </w:r>
    </w:p>
    <w:p>
      <w:pPr>
        <w:spacing w:after="0" w:line="141" w:lineRule="exact"/>
        <w:rPr>
          <w:sz w:val="20"/>
          <w:szCs w:val="20"/>
          <w:color w:val="auto"/>
        </w:rPr>
      </w:pPr>
    </w:p>
    <w:p>
      <w:pPr>
        <w:ind w:right="6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5.4 Exercisability and Term</w:t>
      </w:r>
      <w:r>
        <w:rPr>
          <w:rFonts w:ascii="Times New Roman" w:cs="Times New Roman" w:eastAsia="Times New Roman" w:hAnsi="Times New Roman"/>
          <w:sz w:val="15"/>
          <w:szCs w:val="15"/>
          <w:color w:val="auto"/>
        </w:rPr>
        <w:t>. Each Stock Option Agreement shall specify the date or event when all or any installment of the Option is to become vested and/or exercisable.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47" w:lineRule="exact"/>
        <w:rPr>
          <w:sz w:val="20"/>
          <w:szCs w:val="20"/>
          <w:color w:val="auto"/>
        </w:rPr>
      </w:pPr>
    </w:p>
    <w:p>
      <w:pPr>
        <w:ind w:right="4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5.5 Death of Optionee</w:t>
      </w:r>
      <w:r>
        <w:rPr>
          <w:rFonts w:ascii="Times New Roman" w:cs="Times New Roman" w:eastAsia="Times New Roman" w:hAnsi="Times New Roman"/>
          <w:sz w:val="15"/>
          <w:szCs w:val="15"/>
          <w:color w:val="auto"/>
        </w:rPr>
        <w:t>. After an Optionee’s death, any vested and exercisable Options held by such Optionee may be exercised by his or her beneficiary or beneficiaries. Each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252" w:right="319" w:bottom="1440" w:gutter="0" w:footer="0" w:header="0"/>
        </w:sectPr>
      </w:pPr>
    </w:p>
    <w:bookmarkStart w:id="432" w:name="page433"/>
    <w:bookmarkEnd w:id="432"/>
    <w:p>
      <w:pPr>
        <w:ind w:right="2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5.6 Modification or Assumption of Options</w:t>
      </w:r>
      <w:r>
        <w:rPr>
          <w:rFonts w:ascii="Times New Roman" w:cs="Times New Roman" w:eastAsia="Times New Roman" w:hAnsi="Times New Roman"/>
          <w:sz w:val="15"/>
          <w:szCs w:val="15"/>
          <w:color w:val="auto"/>
        </w:rPr>
        <w:t>. Within the limitations of the Plan, the Administrator may modify, extend or assume outstanding options. The foregoing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no modification of an Option shall, without the consent of the Optionee, materially impair his or her rights or obligations under such Option. Notwithstanding anything in this Plan to the contrary, and except for the adjustments provided in Article 9, neither the Administrator nor any other person may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53" w:lineRule="exact"/>
        <w:rPr>
          <w:sz w:val="20"/>
          <w:szCs w:val="20"/>
          <w:color w:val="auto"/>
        </w:rPr>
      </w:pPr>
    </w:p>
    <w:p>
      <w:pPr>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5.7 Buyout Provisions</w:t>
      </w:r>
      <w:r>
        <w:rPr>
          <w:rFonts w:ascii="Times New Roman" w:cs="Times New Roman" w:eastAsia="Times New Roman" w:hAnsi="Times New Roman"/>
          <w:sz w:val="15"/>
          <w:szCs w:val="15"/>
          <w:color w:val="auto"/>
        </w:rPr>
        <w:t>. Except to the extent prohibited by Article 5.6, the Administrator may at any time (a) offer to buy out for a payment in cash or cash equivalents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 previously granted or (b) authorize an Optionee to elect to cash out an Option previously granted, in either case at such time and based upon such terms and conditions as the Administrator shall establish.</w:t>
      </w:r>
    </w:p>
    <w:p>
      <w:pPr>
        <w:spacing w:after="0" w:line="141" w:lineRule="exact"/>
        <w:rPr>
          <w:sz w:val="20"/>
          <w:szCs w:val="20"/>
          <w:color w:val="auto"/>
        </w:rPr>
      </w:pPr>
    </w:p>
    <w:p>
      <w:pPr>
        <w:jc w:val="both"/>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5.8 Payment for Option Shares</w:t>
      </w:r>
      <w:r>
        <w:rPr>
          <w:rFonts w:ascii="Times New Roman" w:cs="Times New Roman" w:eastAsia="Times New Roman" w:hAnsi="Times New Roman"/>
          <w:sz w:val="15"/>
          <w:szCs w:val="15"/>
          <w:color w:val="auto"/>
        </w:rPr>
        <w:t>. The entire Exercise Price of Common Shares issued upon exercise of Options shall be payable in cash or cash equivalents at the time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52" w:lineRule="exact"/>
        <w:rPr>
          <w:sz w:val="20"/>
          <w:szCs w:val="20"/>
          <w:color w:val="auto"/>
        </w:rPr>
      </w:pPr>
    </w:p>
    <w:p>
      <w:pPr>
        <w:ind w:firstLine="1006"/>
        <w:spacing w:after="0" w:line="293" w:lineRule="auto"/>
        <w:tabs>
          <w:tab w:leader="none" w:pos="1223"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w:t>
      </w:r>
    </w:p>
    <w:p>
      <w:pPr>
        <w:spacing w:after="0" w:line="132" w:lineRule="exact"/>
        <w:rPr>
          <w:rFonts w:ascii="Times New Roman" w:cs="Times New Roman" w:eastAsia="Times New Roman" w:hAnsi="Times New Roman"/>
          <w:sz w:val="15"/>
          <w:szCs w:val="15"/>
          <w:color w:val="auto"/>
        </w:rPr>
      </w:pPr>
    </w:p>
    <w:p>
      <w:pPr>
        <w:ind w:right="180" w:firstLine="1006"/>
        <w:spacing w:after="0" w:line="293" w:lineRule="auto"/>
        <w:tabs>
          <w:tab w:leader="none" w:pos="1231"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132"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such conditions and requirements as the Administrator may impose from time to time, through a net exercise procedure; or</w:t>
      </w:r>
    </w:p>
    <w:p>
      <w:pPr>
        <w:spacing w:after="0" w:line="196"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any other form or method consistent with applicable laws, regulations and rules.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6. STOCK APPRECIATION RIGHTS.</w:t>
      </w:r>
    </w:p>
    <w:p>
      <w:pPr>
        <w:spacing w:after="0" w:line="104" w:lineRule="exact"/>
        <w:rPr>
          <w:sz w:val="20"/>
          <w:szCs w:val="20"/>
          <w:color w:val="auto"/>
        </w:rPr>
      </w:pPr>
    </w:p>
    <w:p>
      <w:pPr>
        <w:jc w:val="both"/>
        <w:ind w:right="1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6.1 SAR Agreement</w:t>
      </w:r>
      <w:r>
        <w:rPr>
          <w:rFonts w:ascii="Times New Roman" w:cs="Times New Roman" w:eastAsia="Times New Roman" w:hAnsi="Times New Roman"/>
          <w:sz w:val="15"/>
          <w:szCs w:val="15"/>
          <w:color w:val="auto"/>
        </w:rPr>
        <w:t>. Each grant of a SAR under the Plan shall be evidenced by a SAR Agreement between the Optionee and the Company. Such SAR shall be subject to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terms of the Plan and may be subject to any other terms that are not inconsistent with the Plan. The provisions of the various SAR Agreements entered into under the Plan need not be identical.</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6.2 Number of Shares</w:t>
      </w:r>
      <w:r>
        <w:rPr>
          <w:rFonts w:ascii="Times New Roman" w:cs="Times New Roman" w:eastAsia="Times New Roman" w:hAnsi="Times New Roman"/>
          <w:sz w:val="15"/>
          <w:szCs w:val="15"/>
          <w:color w:val="auto"/>
        </w:rPr>
        <w:t>. Each SAR Agreement shall specify the number of Common Shares to which the SAR pertains, which number shall adjust in accordance with Article 9.</w:t>
      </w:r>
    </w:p>
    <w:p>
      <w:pPr>
        <w:spacing w:after="0" w:line="196" w:lineRule="exact"/>
        <w:rPr>
          <w:sz w:val="20"/>
          <w:szCs w:val="20"/>
          <w:color w:val="auto"/>
        </w:rPr>
      </w:pPr>
    </w:p>
    <w:p>
      <w:pPr>
        <w:ind w:right="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6.3 Exercise Price</w:t>
      </w:r>
      <w:r>
        <w:rPr>
          <w:rFonts w:ascii="Times New Roman" w:cs="Times New Roman" w:eastAsia="Times New Roman" w:hAnsi="Times New Roman"/>
          <w:sz w:val="15"/>
          <w:szCs w:val="15"/>
          <w:color w:val="auto"/>
        </w:rPr>
        <w:t>. Each SAR Agreement shall specify the Exercise Price, which shall in no event be less than 100% of the Fair Market Value of a Common Share on the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grant. The preceding sentence shall not apply to a SAR that is a Substitute Award granted in a manner that would satisfy the requirements of Code Section 409A.</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247" w:right="339" w:bottom="1440" w:gutter="0" w:footer="0" w:header="0"/>
        </w:sectPr>
      </w:pPr>
    </w:p>
    <w:bookmarkStart w:id="433" w:name="page434"/>
    <w:bookmarkEnd w:id="433"/>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6.4 Exercisability and Term</w:t>
      </w:r>
      <w:r>
        <w:rPr>
          <w:rFonts w:ascii="Times New Roman" w:cs="Times New Roman" w:eastAsia="Times New Roman" w:hAnsi="Times New Roman"/>
          <w:sz w:val="15"/>
          <w:szCs w:val="15"/>
          <w:color w:val="auto"/>
        </w:rPr>
        <w:t>. Each SAR Agreement shall specify the date when all or any installment of the SAR is to become vested and exercisable. The vesting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6.5 Exercise of SARs</w:t>
      </w:r>
      <w:r>
        <w:rPr>
          <w:rFonts w:ascii="Times New Roman" w:cs="Times New Roman" w:eastAsia="Times New Roman" w:hAnsi="Times New Roman"/>
          <w:sz w:val="15"/>
          <w:szCs w:val="15"/>
          <w:color w:val="auto"/>
        </w:rPr>
        <w:t>. Upon exercise of a SAR, the Optionee (or any person having the right to exercise the SAR after his or her death) shall receive from the Company</w:t>
      </w:r>
    </w:p>
    <w:p>
      <w:pPr>
        <w:spacing w:after="0" w:line="30" w:lineRule="exact"/>
        <w:rPr>
          <w:sz w:val="20"/>
          <w:szCs w:val="20"/>
          <w:color w:val="auto"/>
        </w:rPr>
      </w:pPr>
    </w:p>
    <w:p>
      <w:pPr>
        <w:ind w:left="8" w:right="80" w:hanging="8"/>
        <w:spacing w:after="0" w:line="260" w:lineRule="auto"/>
        <w:tabs>
          <w:tab w:leader="none" w:pos="217"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54" w:lineRule="exact"/>
        <w:rPr>
          <w:sz w:val="20"/>
          <w:szCs w:val="20"/>
          <w:color w:val="auto"/>
        </w:rPr>
      </w:pPr>
    </w:p>
    <w:p>
      <w:pPr>
        <w:ind w:left="8" w:right="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6.6 Death of Optionee</w:t>
      </w:r>
      <w:r>
        <w:rPr>
          <w:rFonts w:ascii="Times New Roman" w:cs="Times New Roman" w:eastAsia="Times New Roman" w:hAnsi="Times New Roman"/>
          <w:sz w:val="15"/>
          <w:szCs w:val="15"/>
          <w:color w:val="auto"/>
        </w:rPr>
        <w:t>. After an Optionee’s death, any vested and exercisable SARs held by such Optionee may be exercised by his or her beneficiary or beneficiaries. Each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46" w:lineRule="exact"/>
        <w:rPr>
          <w:sz w:val="20"/>
          <w:szCs w:val="20"/>
          <w:color w:val="auto"/>
        </w:rPr>
      </w:pPr>
    </w:p>
    <w:p>
      <w:pPr>
        <w:ind w:left="8" w:right="2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6.7 Modification or Assumption of SARs</w:t>
      </w:r>
      <w:r>
        <w:rPr>
          <w:rFonts w:ascii="Times New Roman" w:cs="Times New Roman" w:eastAsia="Times New Roman" w:hAnsi="Times New Roman"/>
          <w:sz w:val="15"/>
          <w:szCs w:val="15"/>
          <w:color w:val="auto"/>
        </w:rPr>
        <w:t>. Within the limitations of the Plan, the Administrator may modify, extend or assume outstanding SARs. The foregoing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no modification of a SAR shall, without the consent of the Optionee, materially impair his or her rights or obligations under such SAR. Notwithstanding anything in this Plan to the contrary, and except for the adjustments provided in Article 9, neither the Administrator nor any other person may (a) decrease the exercise price for any outstanding SAR after the date of grant, (b)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spacing w:after="0" w:line="2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ARTICLE 7. RESTRICTED SHARES.</w:t>
      </w:r>
    </w:p>
    <w:p>
      <w:pPr>
        <w:spacing w:after="0" w:line="104" w:lineRule="exact"/>
        <w:rPr>
          <w:sz w:val="20"/>
          <w:szCs w:val="20"/>
          <w:color w:val="auto"/>
        </w:rPr>
      </w:pPr>
    </w:p>
    <w:p>
      <w:pPr>
        <w:ind w:left="8"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7.1 Restricted Stock Agreement</w:t>
      </w:r>
      <w:r>
        <w:rPr>
          <w:rFonts w:ascii="Times New Roman" w:cs="Times New Roman" w:eastAsia="Times New Roman" w:hAnsi="Times New Roman"/>
          <w:sz w:val="15"/>
          <w:szCs w:val="15"/>
          <w:color w:val="auto"/>
        </w:rPr>
        <w:t>. Each grant of Restricted Shares under the Plan shall be evidenced by a Restricted Stock Agreement between the recipient and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41" w:lineRule="exact"/>
        <w:rPr>
          <w:sz w:val="20"/>
          <w:szCs w:val="20"/>
          <w:color w:val="auto"/>
        </w:rPr>
      </w:pPr>
    </w:p>
    <w:p>
      <w:pPr>
        <w:ind w:left="8" w:right="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7.2 Payment for Awards</w:t>
      </w:r>
      <w:r>
        <w:rPr>
          <w:rFonts w:ascii="Times New Roman" w:cs="Times New Roman" w:eastAsia="Times New Roman" w:hAnsi="Times New Roman"/>
          <w:sz w:val="15"/>
          <w:szCs w:val="15"/>
          <w:color w:val="auto"/>
        </w:rPr>
        <w:t>. Restricted Shares may be sold or awarded under the Plan for such consideration as the Administrator may determine, including (without limitation)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cash, cash equivalents, property, cancellation of other equity awards, promissory notes, past services and future services, and such other methods of payment as are permitted by applicable law.</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8"/>
          </w:cols>
          <w:pgMar w:left="312" w:top="247" w:right="339" w:bottom="1440" w:gutter="0" w:footer="0" w:header="0"/>
        </w:sectPr>
      </w:pPr>
    </w:p>
    <w:bookmarkStart w:id="434" w:name="page435"/>
    <w:bookmarkEnd w:id="434"/>
    <w:p>
      <w:pPr>
        <w:spacing w:after="0" w:line="27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7.3 Vesting Conditions</w:t>
      </w:r>
      <w:r>
        <w:rPr>
          <w:rFonts w:ascii="Times New Roman" w:cs="Times New Roman" w:eastAsia="Times New Roman" w:hAnsi="Times New Roman"/>
          <w:sz w:val="15"/>
          <w:szCs w:val="15"/>
          <w:color w:val="auto"/>
        </w:rPr>
        <w:t>. Each Award of Restricted Shares may or may not be subject to vesting and/or other conditions as the Administrator may determine. Vesting shall occur,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full or in installments, upon satisfaction of the conditions specified in the Restricted Stock Agreement. A Restricted Stock Agreement may provide for accelerated vesting upon certain specified events.</w:t>
      </w:r>
    </w:p>
    <w:p>
      <w:pPr>
        <w:spacing w:after="0" w:line="141" w:lineRule="exact"/>
        <w:rPr>
          <w:sz w:val="20"/>
          <w:szCs w:val="20"/>
          <w:color w:val="auto"/>
        </w:rPr>
      </w:pPr>
    </w:p>
    <w:p>
      <w:pPr>
        <w:ind w:right="40" w:firstLine="451"/>
        <w:spacing w:after="0" w:line="266" w:lineRule="auto"/>
        <w:rPr>
          <w:sz w:val="20"/>
          <w:szCs w:val="20"/>
          <w:color w:val="auto"/>
        </w:rPr>
      </w:pPr>
      <w:r>
        <w:rPr>
          <w:rFonts w:ascii="Times New Roman" w:cs="Times New Roman" w:eastAsia="Times New Roman" w:hAnsi="Times New Roman"/>
          <w:sz w:val="15"/>
          <w:szCs w:val="15"/>
          <w:b w:val="1"/>
          <w:bCs w:val="1"/>
          <w:color w:val="auto"/>
        </w:rPr>
        <w:t>7.4 Voting and Dividend Rights</w:t>
      </w:r>
      <w:r>
        <w:rPr>
          <w:rFonts w:ascii="Times New Roman" w:cs="Times New Roman" w:eastAsia="Times New Roman" w:hAnsi="Times New Roman"/>
          <w:sz w:val="15"/>
          <w:szCs w:val="15"/>
          <w:color w:val="auto"/>
        </w:rPr>
        <w:t>. The holders of Restricted Shares awarded under the Plan shall have the same voting, dividend and other rights as the Company’s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335"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7.5 Modification or Assumption of Restricted Shares</w:t>
      </w:r>
      <w:r>
        <w:rPr>
          <w:rFonts w:ascii="Times New Roman" w:cs="Times New Roman" w:eastAsia="Times New Roman" w:hAnsi="Times New Roman"/>
          <w:sz w:val="15"/>
          <w:szCs w:val="15"/>
          <w:color w:val="auto"/>
        </w:rPr>
        <w:t>. Within the limitations of the Plan, the Administrator may modify or assume outstanding Restricted Shares or may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8. RESTRICTED STOCK UNITS.</w:t>
      </w:r>
    </w:p>
    <w:p>
      <w:pPr>
        <w:spacing w:after="0" w:line="104" w:lineRule="exact"/>
        <w:rPr>
          <w:sz w:val="20"/>
          <w:szCs w:val="20"/>
          <w:color w:val="auto"/>
        </w:rPr>
      </w:pPr>
    </w:p>
    <w:p>
      <w:pPr>
        <w:jc w:val="both"/>
        <w:ind w:right="2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8.1 Restricted Stock Unit Agreement</w:t>
      </w:r>
      <w:r>
        <w:rPr>
          <w:rFonts w:ascii="Times New Roman" w:cs="Times New Roman" w:eastAsia="Times New Roman" w:hAnsi="Times New Roman"/>
          <w:sz w:val="15"/>
          <w:szCs w:val="15"/>
          <w:color w:val="auto"/>
        </w:rPr>
        <w:t>. Each grant of Restricted Stock Units under the Plan shall be evidenced by a Restricted Stock Unit Agreement between the recipient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8.2 Payment for Awards</w:t>
      </w:r>
      <w:r>
        <w:rPr>
          <w:rFonts w:ascii="Times New Roman" w:cs="Times New Roman" w:eastAsia="Times New Roman" w:hAnsi="Times New Roman"/>
          <w:sz w:val="15"/>
          <w:szCs w:val="15"/>
          <w:color w:val="auto"/>
        </w:rPr>
        <w:t>. To the extent that an Award is granted in the form of Restricted Stock Units, no cash consideration shall be required of the Award recipients.</w:t>
      </w:r>
    </w:p>
    <w:p>
      <w:pPr>
        <w:spacing w:after="0" w:line="196" w:lineRule="exact"/>
        <w:rPr>
          <w:sz w:val="20"/>
          <w:szCs w:val="20"/>
          <w:color w:val="auto"/>
        </w:rPr>
      </w:pPr>
    </w:p>
    <w:p>
      <w:pPr>
        <w:jc w:val="both"/>
        <w:ind w:right="38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8.3 Vesting Conditions</w:t>
      </w:r>
      <w:r>
        <w:rPr>
          <w:rFonts w:ascii="Times New Roman" w:cs="Times New Roman" w:eastAsia="Times New Roman" w:hAnsi="Times New Roman"/>
          <w:sz w:val="15"/>
          <w:szCs w:val="15"/>
          <w:color w:val="auto"/>
        </w:rPr>
        <w:t>. Each Award of Restricted Stock Units may or may not be subject to vesting, as determined by the Administrator. Vesting shall occur, in full or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w:t>
      </w:r>
    </w:p>
    <w:p>
      <w:pPr>
        <w:spacing w:after="0" w:line="146" w:lineRule="exact"/>
        <w:rPr>
          <w:sz w:val="20"/>
          <w:szCs w:val="20"/>
          <w:color w:val="auto"/>
        </w:rPr>
      </w:pPr>
    </w:p>
    <w:p>
      <w:pPr>
        <w:ind w:right="8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8.4 Voting and Dividend Rights</w:t>
      </w:r>
      <w:r>
        <w:rPr>
          <w:rFonts w:ascii="Times New Roman" w:cs="Times New Roman" w:eastAsia="Times New Roman" w:hAnsi="Times New Roman"/>
          <w:sz w:val="15"/>
          <w:szCs w:val="15"/>
          <w:color w:val="auto"/>
        </w:rPr>
        <w:t>. The holders of Restricted Stock Units shall have no voting rights. Prior to settlement or forfeiture, Restricted Stock Units awarded under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60"/>
          </w:cols>
          <w:pgMar w:left="320" w:top="248" w:right="319" w:bottom="1440" w:gutter="0" w:footer="0" w:header="0"/>
        </w:sectPr>
      </w:pPr>
    </w:p>
    <w:bookmarkStart w:id="435" w:name="page436"/>
    <w:bookmarkEnd w:id="435"/>
    <w:p>
      <w:pPr>
        <w:ind w:right="2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8.5 Form and Time of Settlement of Restricted Stock Units</w:t>
      </w:r>
      <w:r>
        <w:rPr>
          <w:rFonts w:ascii="Times New Roman" w:cs="Times New Roman" w:eastAsia="Times New Roman" w:hAnsi="Times New Roman"/>
          <w:sz w:val="15"/>
          <w:szCs w:val="15"/>
          <w:color w:val="auto"/>
        </w:rPr>
        <w:t>. Settlement of vested Restricted Stock Units may be made in the form of (a) cash, (b) Common Shares or (c)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w:t>
      </w:r>
    </w:p>
    <w:p>
      <w:pPr>
        <w:spacing w:after="0" w:line="147"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8.6 Death of Recipient</w:t>
      </w:r>
      <w:r>
        <w:rPr>
          <w:rFonts w:ascii="Times New Roman" w:cs="Times New Roman" w:eastAsia="Times New Roman" w:hAnsi="Times New Roman"/>
          <w:sz w:val="15"/>
          <w:szCs w:val="15"/>
          <w:color w:val="auto"/>
        </w:rPr>
        <w:t>. Any Restricted Stock Units that become payable after the recipient’s death shall be distributed to the recipient’s beneficiary or beneficiaries. Each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w:t>
      </w:r>
    </w:p>
    <w:p>
      <w:pPr>
        <w:spacing w:after="0" w:line="146" w:lineRule="exact"/>
        <w:rPr>
          <w:sz w:val="20"/>
          <w:szCs w:val="20"/>
          <w:color w:val="auto"/>
        </w:rPr>
      </w:pPr>
    </w:p>
    <w:p>
      <w:pPr>
        <w:ind w:right="10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8.7 Modification or Assumption of Restricted Stock Units</w:t>
      </w:r>
      <w:r>
        <w:rPr>
          <w:rFonts w:ascii="Times New Roman" w:cs="Times New Roman" w:eastAsia="Times New Roman" w:hAnsi="Times New Roman"/>
          <w:sz w:val="15"/>
          <w:szCs w:val="15"/>
          <w:color w:val="auto"/>
        </w:rPr>
        <w:t>. Within the limitations of the Plan, the Administrator may modify or assume outstanding restricted stock units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accept the cancellation of 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w:t>
      </w:r>
    </w:p>
    <w:p>
      <w:pPr>
        <w:spacing w:after="0" w:line="146" w:lineRule="exact"/>
        <w:rPr>
          <w:sz w:val="20"/>
          <w:szCs w:val="20"/>
          <w:color w:val="auto"/>
        </w:rPr>
      </w:pPr>
    </w:p>
    <w:p>
      <w:pPr>
        <w:ind w:right="4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8.8 Creditors’ Rights</w:t>
      </w:r>
      <w:r>
        <w:rPr>
          <w:rFonts w:ascii="Times New Roman" w:cs="Times New Roman" w:eastAsia="Times New Roman" w:hAnsi="Times New Roman"/>
          <w:sz w:val="15"/>
          <w:szCs w:val="15"/>
          <w:color w:val="auto"/>
        </w:rPr>
        <w:t>. A holder of Restricted Stock Units shall have no rights other than those of a general creditor of the Company. Restricted Stock Units represent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unfunded and unsecured obligation of the Company, subject to the terms and conditions of the applicable Restricted Stock Unit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9. ADJUSTMENTS; DISSOLUTIONS AND LIQUIDATIONS; CORPORATE TRANSACTIONS.</w:t>
      </w:r>
    </w:p>
    <w:p>
      <w:pPr>
        <w:spacing w:after="0" w:line="104" w:lineRule="exact"/>
        <w:rPr>
          <w:sz w:val="20"/>
          <w:szCs w:val="20"/>
          <w:color w:val="auto"/>
        </w:rPr>
      </w:pPr>
    </w:p>
    <w:p>
      <w:pPr>
        <w:jc w:val="both"/>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9.1 Adjustments</w:t>
      </w:r>
      <w:r>
        <w:rPr>
          <w:rFonts w:ascii="Times New Roman" w:cs="Times New Roman" w:eastAsia="Times New Roman" w:hAnsi="Times New Roman"/>
          <w:sz w:val="15"/>
          <w:szCs w:val="15"/>
          <w:color w:val="auto"/>
        </w:rPr>
        <w:t>. In the event of a subdivision of the outstanding Common Shares, a declaration of a dividend payable in Common Shares, a combination or consolidation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w:t>
      </w:r>
    </w:p>
    <w:p>
      <w:pPr>
        <w:spacing w:after="0" w:line="52" w:lineRule="exact"/>
        <w:rPr>
          <w:sz w:val="20"/>
          <w:szCs w:val="20"/>
          <w:color w:val="auto"/>
        </w:rPr>
      </w:pPr>
    </w:p>
    <w:p>
      <w:pPr>
        <w:ind w:left="1220" w:hanging="214"/>
        <w:spacing w:after="0"/>
        <w:tabs>
          <w:tab w:leader="none" w:pos="122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kind of shares available for issuance under Article 3, including the numerical share limits in Articles 3.1 and 3.5;</w:t>
      </w:r>
    </w:p>
    <w:p>
      <w:pPr>
        <w:spacing w:after="0" w:line="196"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kind of shares covered by each outstanding Option, SAR, and Restricted Stock Unit; and/or</w:t>
      </w:r>
    </w:p>
    <w:p>
      <w:pPr>
        <w:spacing w:after="0" w:line="196"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applicable to each outstanding Option and SAR, and the repurchase price, if any, applicable to Restricted Shares.</w:t>
      </w:r>
    </w:p>
    <w:p>
      <w:pPr>
        <w:spacing w:after="0" w:line="19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60"/>
          </w:cols>
          <w:pgMar w:left="320" w:top="248" w:right="319" w:bottom="1440" w:gutter="0" w:footer="0" w:header="0"/>
        </w:sectPr>
      </w:pPr>
    </w:p>
    <w:bookmarkStart w:id="436" w:name="page437"/>
    <w:bookmarkEnd w:id="436"/>
    <w:p>
      <w:pPr>
        <w:jc w:val="both"/>
        <w:ind w:right="4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41" w:lineRule="exact"/>
        <w:rPr>
          <w:sz w:val="20"/>
          <w:szCs w:val="20"/>
          <w:color w:val="auto"/>
        </w:rPr>
      </w:pPr>
    </w:p>
    <w:p>
      <w:pPr>
        <w:ind w:right="6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9.2 Dissolution or Liquidation</w:t>
      </w:r>
      <w:r>
        <w:rPr>
          <w:rFonts w:ascii="Times New Roman" w:cs="Times New Roman" w:eastAsia="Times New Roman" w:hAnsi="Times New Roman"/>
          <w:sz w:val="15"/>
          <w:szCs w:val="15"/>
          <w:color w:val="auto"/>
        </w:rPr>
        <w:t>. To the extent not previously exercised or settled, Options, SARs and Restricted Stock Units shall terminate immediately prior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dissolution or liquidation of the Company.</w:t>
      </w:r>
    </w:p>
    <w:p>
      <w:pPr>
        <w:spacing w:after="0" w:line="309" w:lineRule="exact"/>
        <w:rPr>
          <w:sz w:val="20"/>
          <w:szCs w:val="20"/>
          <w:color w:val="auto"/>
        </w:rPr>
      </w:pPr>
    </w:p>
    <w:p>
      <w:pPr>
        <w:ind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9.3 Corporate Transactions</w:t>
      </w:r>
      <w:r>
        <w:rPr>
          <w:rFonts w:ascii="Times New Roman" w:cs="Times New Roman" w:eastAsia="Times New Roman" w:hAnsi="Times New Roman"/>
          <w:sz w:val="15"/>
          <w:szCs w:val="15"/>
          <w:color w:val="auto"/>
        </w:rPr>
        <w:t>. In the event that the Company is a party to a merger, consolidation, or a Change in Control (other than one described in Article 14.6(d)),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w:t>
      </w:r>
    </w:p>
    <w:p>
      <w:pPr>
        <w:spacing w:after="0" w:line="60" w:lineRule="exact"/>
        <w:rPr>
          <w:sz w:val="20"/>
          <w:szCs w:val="20"/>
          <w:color w:val="auto"/>
        </w:rPr>
      </w:pPr>
    </w:p>
    <w:p>
      <w:pPr>
        <w:ind w:left="1080" w:hanging="205"/>
        <w:spacing w:after="0"/>
        <w:tabs>
          <w:tab w:leader="none" w:pos="1080"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continuation of such outstanding Award by the Company (if the Company is the surviving entity);</w:t>
      </w:r>
    </w:p>
    <w:p>
      <w:pPr>
        <w:spacing w:after="0" w:line="104" w:lineRule="exact"/>
        <w:rPr>
          <w:rFonts w:ascii="Times New Roman" w:cs="Times New Roman" w:eastAsia="Times New Roman" w:hAnsi="Times New Roman"/>
          <w:sz w:val="15"/>
          <w:szCs w:val="15"/>
          <w:color w:val="auto"/>
        </w:rPr>
      </w:pPr>
    </w:p>
    <w:p>
      <w:pPr>
        <w:ind w:left="440" w:right="200" w:firstLine="435"/>
        <w:spacing w:after="0" w:line="293" w:lineRule="auto"/>
        <w:tabs>
          <w:tab w:leader="none" w:pos="1090"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assumption of such outstanding Award by the surviving entity or its parent, provided that the assumption of an Option or a SAR shall comply with applicable tax requirements;</w:t>
      </w:r>
    </w:p>
    <w:p>
      <w:pPr>
        <w:spacing w:after="0" w:line="39" w:lineRule="exact"/>
        <w:rPr>
          <w:rFonts w:ascii="Times New Roman" w:cs="Times New Roman" w:eastAsia="Times New Roman" w:hAnsi="Times New Roman"/>
          <w:sz w:val="15"/>
          <w:szCs w:val="15"/>
          <w:color w:val="auto"/>
        </w:rPr>
      </w:pPr>
    </w:p>
    <w:p>
      <w:pPr>
        <w:ind w:left="440" w:right="120" w:firstLine="435"/>
        <w:spacing w:after="0" w:line="293" w:lineRule="auto"/>
        <w:tabs>
          <w:tab w:leader="none" w:pos="1081"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w:t>
      </w:r>
    </w:p>
    <w:p>
      <w:pPr>
        <w:spacing w:after="0" w:line="39" w:lineRule="exact"/>
        <w:rPr>
          <w:rFonts w:ascii="Times New Roman" w:cs="Times New Roman" w:eastAsia="Times New Roman" w:hAnsi="Times New Roman"/>
          <w:sz w:val="15"/>
          <w:szCs w:val="15"/>
          <w:color w:val="auto"/>
        </w:rPr>
      </w:pPr>
    </w:p>
    <w:p>
      <w:pPr>
        <w:ind w:left="440" w:right="100" w:firstLine="435"/>
        <w:spacing w:after="0" w:line="267" w:lineRule="auto"/>
        <w:tabs>
          <w:tab w:leader="none" w:pos="1090"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Option or SAR, the cancellation of such Award without payment of any consideration. An Optionee shall be able to exercise his or her outstanding Option or SAR, to the extent such Option or SAR is then vested or become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 or SAR. Any exercise of such Option or SAR during such period may be contingent on the closing of the transaction;</w:t>
      </w:r>
    </w:p>
    <w:p>
      <w:pPr>
        <w:spacing w:after="0" w:line="246" w:lineRule="exact"/>
        <w:rPr>
          <w:rFonts w:ascii="Times New Roman" w:cs="Times New Roman" w:eastAsia="Times New Roman" w:hAnsi="Times New Roman"/>
          <w:sz w:val="15"/>
          <w:szCs w:val="15"/>
          <w:color w:val="auto"/>
        </w:rPr>
      </w:pPr>
    </w:p>
    <w:p>
      <w:pPr>
        <w:jc w:val="both"/>
        <w:ind w:left="440" w:right="40" w:firstLine="435"/>
        <w:spacing w:after="0" w:line="268" w:lineRule="auto"/>
        <w:tabs>
          <w:tab w:leader="none" w:pos="1081" w:val="left"/>
        </w:tabs>
        <w:numPr>
          <w:ilvl w:val="0"/>
          <w:numId w:val="3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Times New Roman" w:cs="Times New Roman" w:eastAsia="Times New Roman" w:hAnsi="Times New Roman"/>
          <w:sz w:val="15"/>
          <w:szCs w:val="15"/>
          <w:b w:val="1"/>
          <w:bCs w:val="1"/>
          <w:color w:val="auto"/>
        </w:rPr>
        <w:t>Spread</w:t>
      </w:r>
      <w:r>
        <w:rPr>
          <w:rFonts w:ascii="Times New Roman" w:cs="Times New Roman" w:eastAsia="Times New Roman" w:hAnsi="Times New Roman"/>
          <w:sz w:val="15"/>
          <w:szCs w:val="15"/>
          <w:color w:val="auto"/>
        </w:rPr>
        <w:t>”). Such payment shall be made in the form of cash, cash equivalents, or securities of the surviving entity or its parent having a value equal to the Spread.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40"/>
          </w:cols>
          <w:pgMar w:left="320" w:top="251" w:right="339" w:bottom="1440" w:gutter="0" w:footer="0" w:header="0"/>
        </w:sectPr>
      </w:pPr>
    </w:p>
    <w:bookmarkStart w:id="437" w:name="page438"/>
    <w:bookmarkEnd w:id="437"/>
    <w:p>
      <w:pPr>
        <w:ind w:left="440" w:right="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addition, any escrow, holdback, earn-out or similar provisions in the transaction agreement may apply to such 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w:t>
      </w:r>
    </w:p>
    <w:p>
      <w:pPr>
        <w:spacing w:after="0" w:line="60" w:lineRule="exact"/>
        <w:rPr>
          <w:sz w:val="20"/>
          <w:szCs w:val="20"/>
          <w:color w:val="auto"/>
        </w:rPr>
      </w:pPr>
    </w:p>
    <w:p>
      <w:pPr>
        <w:ind w:left="440" w:right="140" w:firstLine="435"/>
        <w:spacing w:after="0" w:line="293" w:lineRule="auto"/>
        <w:tabs>
          <w:tab w:leader="none" w:pos="1064"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3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Unless an Award Agreement provides otherwise, each outstanding Award held by a Participant who remains a Service Provider as of the effective time of a merger, consolidation or Change in Control (other than one described in Article 14.6(d)) (a “</w:t>
      </w:r>
      <w:r>
        <w:rPr>
          <w:rFonts w:ascii="Times New Roman" w:cs="Times New Roman" w:eastAsia="Times New Roman" w:hAnsi="Times New Roman"/>
          <w:sz w:val="15"/>
          <w:szCs w:val="15"/>
          <w:b w:val="1"/>
          <w:bCs w:val="1"/>
          <w:color w:val="auto"/>
        </w:rPr>
        <w:t>Current Participant</w:t>
      </w:r>
      <w:r>
        <w:rPr>
          <w:rFonts w:ascii="Times New Roman" w:cs="Times New Roman" w:eastAsia="Times New Roman" w:hAnsi="Times New Roman"/>
          <w:sz w:val="15"/>
          <w:szCs w:val="15"/>
          <w:color w:val="auto"/>
        </w:rPr>
        <w:t xml:space="preserve">”) shall become fully vested and, if applicable, exercisable immediately prior to the effective time of the transaction and, in the case of an Award subject to performance-based vesting conditions, such performance-based vesting conditions shall be deemed achieved at 100% of target levels. However, the prior sentence shall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apply, and an outstanding Award shall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become vested and, if applicable, exercisable, if and to the extent the Award is continued, assumed or substituted as provided for in clauses (a), (b) or (c) above. In addition, the prior two sentences shall not apply to an Award held by a Participant who is not a Current Participant unless an Award Agreement provides otherwise or unless the Company and the acquirer agree otherwise.</w:t>
      </w:r>
    </w:p>
    <w:p>
      <w:pPr>
        <w:spacing w:after="0" w:line="15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action taken under this Article 9.3 shall either preserve an Award’s status as exempt from Code Section 409A or comply with Code Section 409A.</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10. OTHER AWARDS.</w:t>
      </w:r>
    </w:p>
    <w:p>
      <w:pPr>
        <w:spacing w:after="0" w:line="108" w:lineRule="exact"/>
        <w:rPr>
          <w:sz w:val="20"/>
          <w:szCs w:val="20"/>
          <w:color w:val="auto"/>
        </w:rPr>
      </w:pPr>
    </w:p>
    <w:p>
      <w:pPr>
        <w:ind w:right="40" w:firstLine="451"/>
        <w:spacing w:after="0" w:line="268" w:lineRule="auto"/>
        <w:rPr>
          <w:sz w:val="20"/>
          <w:szCs w:val="20"/>
          <w:color w:val="auto"/>
        </w:rPr>
      </w:pPr>
      <w:r>
        <w:rPr>
          <w:rFonts w:ascii="Times New Roman" w:cs="Times New Roman" w:eastAsia="Times New Roman" w:hAnsi="Times New Roman"/>
          <w:sz w:val="15"/>
          <w:szCs w:val="15"/>
          <w:color w:val="auto"/>
        </w:rPr>
        <w:t>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11. LIMITATION ON RIGHTS.</w:t>
      </w:r>
    </w:p>
    <w:p>
      <w:pPr>
        <w:spacing w:after="0" w:line="104" w:lineRule="exact"/>
        <w:rPr>
          <w:sz w:val="20"/>
          <w:szCs w:val="20"/>
          <w:color w:val="auto"/>
        </w:rPr>
      </w:pPr>
    </w:p>
    <w:p>
      <w:pPr>
        <w:jc w:val="both"/>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11.1 Retention Rights</w:t>
      </w:r>
      <w:r>
        <w:rPr>
          <w:rFonts w:ascii="Times New Roman" w:cs="Times New Roman" w:eastAsia="Times New Roman" w:hAnsi="Times New Roman"/>
          <w:sz w:val="15"/>
          <w:szCs w:val="15"/>
          <w:color w:val="auto"/>
        </w:rPr>
        <w:t>. Neither the Plan nor any Award granted under the Plan shall be deemed to give any individual a right to remain a Service Provider. The Company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60"/>
          </w:cols>
          <w:pgMar w:left="320" w:top="251" w:right="319" w:bottom="1440" w:gutter="0" w:footer="0" w:header="0"/>
        </w:sectPr>
      </w:pPr>
    </w:p>
    <w:bookmarkStart w:id="438" w:name="page439"/>
    <w:bookmarkEnd w:id="438"/>
    <w:p>
      <w:pPr>
        <w:ind w:right="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11.2 Stockholders’ Rights</w:t>
      </w:r>
      <w:r>
        <w:rPr>
          <w:rFonts w:ascii="Times New Roman" w:cs="Times New Roman" w:eastAsia="Times New Roman" w:hAnsi="Times New Roman"/>
          <w:sz w:val="15"/>
          <w:szCs w:val="15"/>
          <w:color w:val="auto"/>
        </w:rPr>
        <w:t>. Except as set forth in Article 7.4 or 8.4 above, a Participant shall have no dividend rights, voting rights or other rights as a stockholder with respect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46" w:lineRule="exact"/>
        <w:rPr>
          <w:sz w:val="20"/>
          <w:szCs w:val="20"/>
          <w:color w:val="auto"/>
        </w:rPr>
      </w:pPr>
    </w:p>
    <w:p>
      <w:pPr>
        <w:ind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11.3 Regulatory Requirements</w:t>
      </w:r>
      <w:r>
        <w:rPr>
          <w:rFonts w:ascii="Times New Roman" w:cs="Times New Roman" w:eastAsia="Times New Roman" w:hAnsi="Times New Roman"/>
          <w:sz w:val="15"/>
          <w:szCs w:val="15"/>
          <w:color w:val="auto"/>
        </w:rPr>
        <w:t>. Any other provision of the Plan notwithstanding, the obligation of the Company to issue Common Shares under the Plan shall be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48"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11.4 Transferability of Awards. </w:t>
      </w:r>
      <w:r>
        <w:rPr>
          <w:rFonts w:ascii="Times New Roman" w:cs="Times New Roman" w:eastAsia="Times New Roman" w:hAnsi="Times New Roman"/>
          <w:sz w:val="15"/>
          <w:szCs w:val="15"/>
          <w:color w:val="auto"/>
        </w:rPr>
        <w:t>The Administrator may, in its sole discretion, permit transfer of an Award in a manner consistent with applicable law. Unless otherwise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determined by the Administrator, Awards shall be transferable by a Participant only by (a) beneficiary designation, (b) a will or (c) the laws of descent and distribution; provided that, in any event, an ISO may only be transferred by will or by the laws of descent and distribution and may be exercised during the lifetime of the Optionee only by the Optionee or by the Optionee’s guardian or legal representative.</w:t>
      </w:r>
    </w:p>
    <w:p>
      <w:pPr>
        <w:spacing w:after="0" w:line="146" w:lineRule="exact"/>
        <w:rPr>
          <w:sz w:val="20"/>
          <w:szCs w:val="20"/>
          <w:color w:val="auto"/>
        </w:rPr>
      </w:pPr>
    </w:p>
    <w:p>
      <w:pPr>
        <w:ind w:right="20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11.5 Recoupment Policy. </w:t>
      </w:r>
      <w:r>
        <w:rPr>
          <w:rFonts w:ascii="Times New Roman" w:cs="Times New Roman" w:eastAsia="Times New Roman" w:hAnsi="Times New Roman"/>
          <w:sz w:val="15"/>
          <w:szCs w:val="15"/>
          <w:color w:val="auto"/>
        </w:rPr>
        <w:t>All Awards granted under the Plan, all amounts paid under the Plan and all Common Shares issued under the Plan shall be subject to recoupment,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clawback or recovery by the Company in accordance with applicable law and with Company policy (whenever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w:t>
      </w:r>
    </w:p>
    <w:p>
      <w:pPr>
        <w:spacing w:after="0" w:line="146" w:lineRule="exact"/>
        <w:rPr>
          <w:sz w:val="20"/>
          <w:szCs w:val="20"/>
          <w:color w:val="auto"/>
        </w:rPr>
      </w:pPr>
    </w:p>
    <w:p>
      <w:pPr>
        <w:ind w:right="4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11.6 Other Conditions and Restrictions on Common Shares</w:t>
      </w:r>
      <w:r>
        <w:rPr>
          <w:rFonts w:ascii="Times New Roman" w:cs="Times New Roman" w:eastAsia="Times New Roman" w:hAnsi="Times New Roman"/>
          <w:sz w:val="15"/>
          <w:szCs w:val="15"/>
          <w:color w:val="auto"/>
        </w:rPr>
        <w:t>. Any Common Shares issued under the Plan shall be subject to such forfeiture conditions, rights of repurchase,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ARTICLE 12. TAXES.</w:t>
      </w:r>
    </w:p>
    <w:p>
      <w:pPr>
        <w:spacing w:after="0" w:line="104" w:lineRule="exact"/>
        <w:rPr>
          <w:sz w:val="20"/>
          <w:szCs w:val="20"/>
          <w:color w:val="auto"/>
        </w:rPr>
      </w:pPr>
    </w:p>
    <w:p>
      <w:pPr>
        <w:ind w:right="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12.1 General</w:t>
      </w:r>
      <w:r>
        <w:rPr>
          <w:rFonts w:ascii="Times New Roman" w:cs="Times New Roman" w:eastAsia="Times New Roman" w:hAnsi="Times New Roman"/>
          <w:sz w:val="15"/>
          <w:szCs w:val="15"/>
          <w:color w:val="auto"/>
        </w:rPr>
        <w:t>. It is a condition to each Award under the Plan that a Participant or his or her successor shall make arrangements satisfactory to the Company for the satisfaction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any federal, state, local or foreign withholding tax obligations that arise in connection with any Award granted under the Plan. The Company shall not be required to issue any Common Shares or make any cash payment under the Plan unless such obligations are satisfied.</w:t>
      </w:r>
    </w:p>
    <w:p>
      <w:pPr>
        <w:spacing w:after="0" w:line="141"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12.2 Share Withholding</w:t>
      </w:r>
      <w:r>
        <w:rPr>
          <w:rFonts w:ascii="Times New Roman" w:cs="Times New Roman" w:eastAsia="Times New Roman" w:hAnsi="Times New Roman"/>
          <w:sz w:val="15"/>
          <w:szCs w:val="15"/>
          <w:color w:val="auto"/>
        </w:rPr>
        <w:t>. To the extent that applicable law subjects a Participant to tax withholding obligations, the Administrator may permit such Participant to satisfy all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248" w:right="339" w:bottom="1440" w:gutter="0" w:footer="0" w:header="0"/>
        </w:sectPr>
      </w:pPr>
    </w:p>
    <w:bookmarkStart w:id="439" w:name="page440"/>
    <w:bookmarkEnd w:id="439"/>
    <w:p>
      <w:pPr>
        <w:ind w:left="8" w:firstLine="451"/>
        <w:spacing w:after="0" w:line="26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12.3 Section 409A Matters</w:t>
      </w:r>
      <w:r>
        <w:rPr>
          <w:rFonts w:ascii="Times New Roman" w:cs="Times New Roman" w:eastAsia="Times New Roman" w:hAnsi="Times New Roman"/>
          <w:sz w:val="15"/>
          <w:szCs w:val="15"/>
          <w:color w:val="auto"/>
        </w:rPr>
        <w:t>. Except as otherwise expressly set forth in an Award Agreement, it is intended that Awards granted under the Plan either be exempt from,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comply with, the requirements of Code Section 409A. To the extent an Award is subject to Code Section 409A (a “</w:t>
      </w:r>
      <w:r>
        <w:rPr>
          <w:rFonts w:ascii="Times New Roman" w:cs="Times New Roman" w:eastAsia="Times New Roman" w:hAnsi="Times New Roman"/>
          <w:sz w:val="15"/>
          <w:szCs w:val="15"/>
          <w:b w:val="1"/>
          <w:bCs w:val="1"/>
          <w:color w:val="auto"/>
        </w:rPr>
        <w:t>409A Award</w:t>
      </w:r>
      <w:r>
        <w:rPr>
          <w:rFonts w:ascii="Times New Roman" w:cs="Times New Roman" w:eastAsia="Times New Roman" w:hAnsi="Times New Roman"/>
          <w:sz w:val="15"/>
          <w:szCs w:val="15"/>
          <w:color w:val="auto"/>
        </w:rPr>
        <w:t>”), the terms of the Plan, the Award and any written agreement governing the Award shall be interpreted to comply with the requirements of Code 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w:t>
      </w:r>
    </w:p>
    <w:p>
      <w:pPr>
        <w:spacing w:after="0" w:line="4" w:lineRule="exact"/>
        <w:rPr>
          <w:sz w:val="20"/>
          <w:szCs w:val="20"/>
          <w:color w:val="auto"/>
        </w:rPr>
      </w:pPr>
    </w:p>
    <w:p>
      <w:pPr>
        <w:ind w:left="8" w:right="280" w:hanging="8"/>
        <w:spacing w:after="0" w:line="273" w:lineRule="auto"/>
        <w:tabs>
          <w:tab w:leader="none" w:pos="191"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six months and one day after the Participant’s separation from service or (ii) the Participant’s death, but only to the extent such delay is necessary to prevent such payment from being subject to Code Section 409A(a)(1).</w:t>
      </w:r>
    </w:p>
    <w:p>
      <w:pPr>
        <w:spacing w:after="0" w:line="142" w:lineRule="exact"/>
        <w:rPr>
          <w:sz w:val="20"/>
          <w:szCs w:val="20"/>
          <w:color w:val="auto"/>
        </w:rPr>
      </w:pPr>
    </w:p>
    <w:p>
      <w:pPr>
        <w:ind w:left="8" w:right="6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12.4 Limitation on Liability</w:t>
      </w:r>
      <w:r>
        <w:rPr>
          <w:rFonts w:ascii="Times New Roman" w:cs="Times New Roman" w:eastAsia="Times New Roman" w:hAnsi="Times New Roman"/>
          <w:sz w:val="15"/>
          <w:szCs w:val="15"/>
          <w:color w:val="auto"/>
        </w:rPr>
        <w:t>. Neither the Company nor any person serving as Administrator shall have any liability to a Participant in the event an Award held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Participant fails to achieve its intended characterization under applicable tax law.</w:t>
      </w:r>
    </w:p>
    <w:p>
      <w:pPr>
        <w:spacing w:after="0" w:line="2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ARTICLE 13. FUTURE OF THE PLAN.</w:t>
      </w:r>
    </w:p>
    <w:p>
      <w:pPr>
        <w:spacing w:after="0" w:line="104" w:lineRule="exact"/>
        <w:rPr>
          <w:sz w:val="20"/>
          <w:szCs w:val="20"/>
          <w:color w:val="auto"/>
        </w:rPr>
      </w:pPr>
    </w:p>
    <w:p>
      <w:pPr>
        <w:ind w:left="8" w:right="1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13.1 Term of the Plan</w:t>
      </w:r>
      <w:r>
        <w:rPr>
          <w:rFonts w:ascii="Times New Roman" w:cs="Times New Roman" w:eastAsia="Times New Roman" w:hAnsi="Times New Roman"/>
          <w:sz w:val="15"/>
          <w:szCs w:val="15"/>
          <w:color w:val="auto"/>
        </w:rPr>
        <w:t>. The Plan, as set forth herein, shall become effective on the date of its adoption by the Board, subject to approval of the Company’s stockholders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Article 13.3 below. The Plan shall terminate automatically 10 years after the date when the Board adopted the Plan.</w:t>
      </w:r>
    </w:p>
    <w:p>
      <w:pPr>
        <w:spacing w:after="0" w:line="125" w:lineRule="exact"/>
        <w:rPr>
          <w:sz w:val="20"/>
          <w:szCs w:val="20"/>
          <w:color w:val="auto"/>
        </w:rPr>
      </w:pPr>
    </w:p>
    <w:p>
      <w:pPr>
        <w:ind w:left="8" w:right="6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13.2 Amendment or Termination</w:t>
      </w:r>
      <w:r>
        <w:rPr>
          <w:rFonts w:ascii="Times New Roman" w:cs="Times New Roman" w:eastAsia="Times New Roman" w:hAnsi="Times New Roman"/>
          <w:sz w:val="15"/>
          <w:szCs w:val="15"/>
          <w:color w:val="auto"/>
        </w:rPr>
        <w:t>. The Board may, at any time and for any reason, amend or terminate the Plan. No Awards shall be granted under the Plan after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thereof. The termination of the Plan, or any amendment thereof, shall not affect any Award previously granted under the Plan.</w:t>
      </w:r>
    </w:p>
    <w:p>
      <w:pPr>
        <w:spacing w:after="0" w:line="125" w:lineRule="exact"/>
        <w:rPr>
          <w:sz w:val="20"/>
          <w:szCs w:val="20"/>
          <w:color w:val="auto"/>
        </w:rPr>
      </w:pPr>
    </w:p>
    <w:p>
      <w:pPr>
        <w:ind w:left="8" w:right="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13.3 Stockholder Approval</w:t>
      </w:r>
      <w:r>
        <w:rPr>
          <w:rFonts w:ascii="Times New Roman" w:cs="Times New Roman" w:eastAsia="Times New Roman" w:hAnsi="Times New Roman"/>
          <w:sz w:val="15"/>
          <w:szCs w:val="15"/>
          <w:color w:val="auto"/>
        </w:rPr>
        <w:t>. To the extent required by applicable law, the Plan will be subject to the approval of the Company’s stockholders within 12 months of its adoption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An amendment of the Plan shall be subject to the approval of the Company’s stockholders only to the extent required by applicable laws, regulations or rules.</w:t>
      </w:r>
    </w:p>
    <w:p>
      <w:pPr>
        <w:spacing w:after="0" w:line="2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ARTICLE 14. DEFINITIONS.</w:t>
      </w:r>
    </w:p>
    <w:p>
      <w:pPr>
        <w:spacing w:after="0" w:line="10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14.1 “</w:t>
      </w:r>
      <w:r>
        <w:rPr>
          <w:rFonts w:ascii="Times New Roman" w:cs="Times New Roman" w:eastAsia="Times New Roman" w:hAnsi="Times New Roman"/>
          <w:sz w:val="15"/>
          <w:szCs w:val="15"/>
          <w:b w:val="1"/>
          <w:bCs w:val="1"/>
          <w:color w:val="auto"/>
        </w:rPr>
        <w:t>Administrator</w:t>
      </w:r>
      <w:r>
        <w:rPr>
          <w:rFonts w:ascii="Times New Roman" w:cs="Times New Roman" w:eastAsia="Times New Roman" w:hAnsi="Times New Roman"/>
          <w:sz w:val="15"/>
          <w:szCs w:val="15"/>
          <w:color w:val="auto"/>
        </w:rPr>
        <w:t>” means the Board or any Committee administering the Plan in accordance with Article 2.</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color w:val="auto"/>
        </w:rPr>
        <w:t>14.2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any entity other than a Subsidiary, if the Company and/or one or more Subsidiaries own not less than 50% of such entity.</w:t>
      </w:r>
    </w:p>
    <w:p>
      <w:pPr>
        <w:spacing w:after="0" w:line="196" w:lineRule="exact"/>
        <w:rPr>
          <w:sz w:val="20"/>
          <w:szCs w:val="20"/>
          <w:color w:val="auto"/>
        </w:rPr>
      </w:pPr>
    </w:p>
    <w:p>
      <w:pPr>
        <w:ind w:left="8" w:right="280" w:firstLine="451"/>
        <w:spacing w:after="0" w:line="298" w:lineRule="auto"/>
        <w:rPr>
          <w:sz w:val="20"/>
          <w:szCs w:val="20"/>
          <w:color w:val="auto"/>
        </w:rPr>
      </w:pPr>
      <w:r>
        <w:rPr>
          <w:rFonts w:ascii="Times New Roman" w:cs="Times New Roman" w:eastAsia="Times New Roman" w:hAnsi="Times New Roman"/>
          <w:sz w:val="15"/>
          <w:szCs w:val="15"/>
          <w:color w:val="auto"/>
        </w:rPr>
        <w:t>14.3 “</w:t>
      </w:r>
      <w:r>
        <w:rPr>
          <w:rFonts w:ascii="Times New Roman" w:cs="Times New Roman" w:eastAsia="Times New Roman" w:hAnsi="Times New Roman"/>
          <w:sz w:val="15"/>
          <w:szCs w:val="15"/>
          <w:b w:val="1"/>
          <w:bCs w:val="1"/>
          <w:color w:val="auto"/>
        </w:rPr>
        <w:t>Award</w:t>
      </w:r>
      <w:r>
        <w:rPr>
          <w:rFonts w:ascii="Times New Roman" w:cs="Times New Roman" w:eastAsia="Times New Roman" w:hAnsi="Times New Roman"/>
          <w:sz w:val="15"/>
          <w:szCs w:val="15"/>
          <w:color w:val="auto"/>
        </w:rPr>
        <w:t>” means any award granted under the Plan, including as an Option, a SAR, a Restricted Share award, a Restricted Stock Unit award or another form of equity-based compensation award.</w:t>
      </w:r>
    </w:p>
    <w:p>
      <w:pPr>
        <w:spacing w:after="0" w:line="125" w:lineRule="exact"/>
        <w:rPr>
          <w:sz w:val="20"/>
          <w:szCs w:val="20"/>
          <w:color w:val="auto"/>
        </w:rPr>
      </w:pPr>
    </w:p>
    <w:p>
      <w:pPr>
        <w:ind w:left="8" w:right="200" w:firstLine="451"/>
        <w:spacing w:after="0" w:line="298" w:lineRule="auto"/>
        <w:rPr>
          <w:sz w:val="20"/>
          <w:szCs w:val="20"/>
          <w:color w:val="auto"/>
        </w:rPr>
      </w:pPr>
      <w:r>
        <w:rPr>
          <w:rFonts w:ascii="Times New Roman" w:cs="Times New Roman" w:eastAsia="Times New Roman" w:hAnsi="Times New Roman"/>
          <w:sz w:val="15"/>
          <w:szCs w:val="15"/>
          <w:color w:val="auto"/>
        </w:rPr>
        <w:t>14.4 “</w:t>
      </w:r>
      <w:r>
        <w:rPr>
          <w:rFonts w:ascii="Times New Roman" w:cs="Times New Roman" w:eastAsia="Times New Roman" w:hAnsi="Times New Roman"/>
          <w:sz w:val="15"/>
          <w:szCs w:val="15"/>
          <w:b w:val="1"/>
          <w:bCs w:val="1"/>
          <w:color w:val="auto"/>
        </w:rPr>
        <w:t>Award Agreement</w:t>
      </w:r>
      <w:r>
        <w:rPr>
          <w:rFonts w:ascii="Times New Roman" w:cs="Times New Roman" w:eastAsia="Times New Roman" w:hAnsi="Times New Roman"/>
          <w:sz w:val="15"/>
          <w:szCs w:val="15"/>
          <w:color w:val="auto"/>
        </w:rPr>
        <w:t>” means a Stock Option Agreement, a SAR Agreement, a Restricted Stock Agreement, a Restricted Stock Unit Agreement or such other agreement evidencing an Award granted under the Plan.</w:t>
      </w:r>
    </w:p>
    <w:p>
      <w:pPr>
        <w:spacing w:after="0" w:line="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8"/>
          </w:cols>
          <w:pgMar w:left="312" w:top="248" w:right="319" w:bottom="1440" w:gutter="0" w:footer="0" w:header="0"/>
        </w:sectPr>
      </w:pPr>
    </w:p>
    <w:bookmarkStart w:id="440" w:name="page441"/>
    <w:bookmarkEnd w:id="440"/>
    <w:p>
      <w:pPr>
        <w:ind w:firstLine="451"/>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14.5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Company’s Board of Directors, as constituted from time to time and, where the context so requires, reference to the “Board” may refer to a Committee to whom the Board has delegated authority to administer any aspect of this Plan.</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14.6 “</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means:</w:t>
      </w:r>
    </w:p>
    <w:p>
      <w:pPr>
        <w:spacing w:after="0" w:line="200" w:lineRule="exact"/>
        <w:rPr>
          <w:sz w:val="20"/>
          <w:szCs w:val="20"/>
          <w:color w:val="auto"/>
        </w:rPr>
      </w:pPr>
    </w:p>
    <w:p>
      <w:pPr>
        <w:jc w:val="both"/>
        <w:ind w:right="160" w:firstLine="1006"/>
        <w:spacing w:after="0" w:line="275" w:lineRule="auto"/>
        <w:tabs>
          <w:tab w:leader="none" w:pos="1223"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14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of the sale or disposition by the Company of all or substantially all of the Company’s assets;</w:t>
      </w:r>
    </w:p>
    <w:p>
      <w:pPr>
        <w:spacing w:after="0" w:line="196" w:lineRule="exact"/>
        <w:rPr>
          <w:rFonts w:ascii="Times New Roman" w:cs="Times New Roman" w:eastAsia="Times New Roman" w:hAnsi="Times New Roman"/>
          <w:sz w:val="15"/>
          <w:szCs w:val="15"/>
          <w:color w:val="auto"/>
        </w:rPr>
      </w:pPr>
    </w:p>
    <w:p>
      <w:pPr>
        <w:ind w:right="260" w:firstLine="1006"/>
        <w:spacing w:after="0" w:line="268" w:lineRule="auto"/>
        <w:tabs>
          <w:tab w:leader="none" w:pos="1223"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147" w:lineRule="exact"/>
        <w:rPr>
          <w:rFonts w:ascii="Times New Roman" w:cs="Times New Roman" w:eastAsia="Times New Roman" w:hAnsi="Times New Roman"/>
          <w:sz w:val="15"/>
          <w:szCs w:val="15"/>
          <w:color w:val="auto"/>
        </w:rPr>
      </w:pPr>
    </w:p>
    <w:p>
      <w:pPr>
        <w:ind w:right="80" w:firstLine="1006"/>
        <w:spacing w:after="0" w:line="277" w:lineRule="auto"/>
        <w:tabs>
          <w:tab w:leader="none" w:pos="1231"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Individuals who are members of the Board (the “</w:t>
      </w:r>
      <w:r>
        <w:rPr>
          <w:rFonts w:ascii="Times New Roman" w:cs="Times New Roman" w:eastAsia="Times New Roman" w:hAnsi="Times New Roman"/>
          <w:sz w:val="15"/>
          <w:szCs w:val="15"/>
          <w:b w:val="1"/>
          <w:bCs w:val="1"/>
          <w:color w:val="auto"/>
        </w:rPr>
        <w:t>Incumbent Board</w:t>
      </w:r>
      <w:r>
        <w:rPr>
          <w:rFonts w:ascii="Times New Roman" w:cs="Times New Roman" w:eastAsia="Times New Roman" w:hAnsi="Times New Roman"/>
          <w:sz w:val="15"/>
          <w:szCs w:val="15"/>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4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5"/>
          <w:szCs w:val="15"/>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14.7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14.8 “</w:t>
      </w:r>
      <w:r>
        <w:rPr>
          <w:rFonts w:ascii="Times New Roman" w:cs="Times New Roman" w:eastAsia="Times New Roman" w:hAnsi="Times New Roman"/>
          <w:sz w:val="15"/>
          <w:szCs w:val="15"/>
          <w:b w:val="1"/>
          <w:bCs w:val="1"/>
          <w:color w:val="auto"/>
        </w:rPr>
        <w:t>Committee</w:t>
      </w:r>
      <w:r>
        <w:rPr>
          <w:rFonts w:ascii="Times New Roman" w:cs="Times New Roman" w:eastAsia="Times New Roman" w:hAnsi="Times New Roman"/>
          <w:sz w:val="15"/>
          <w:szCs w:val="15"/>
          <w:color w:val="auto"/>
        </w:rPr>
        <w:t>” means a committee of one or more members of the Board, or of other individuals satisfying applicable laws, appointed by the Board to administer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Plan.</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14.9 “</w:t>
      </w:r>
      <w:r>
        <w:rPr>
          <w:rFonts w:ascii="Times New Roman" w:cs="Times New Roman" w:eastAsia="Times New Roman" w:hAnsi="Times New Roman"/>
          <w:sz w:val="15"/>
          <w:szCs w:val="15"/>
          <w:b w:val="1"/>
          <w:bCs w:val="1"/>
          <w:color w:val="auto"/>
        </w:rPr>
        <w:t>Common Share</w:t>
      </w:r>
      <w:r>
        <w:rPr>
          <w:rFonts w:ascii="Times New Roman" w:cs="Times New Roman" w:eastAsia="Times New Roman" w:hAnsi="Times New Roman"/>
          <w:sz w:val="15"/>
          <w:szCs w:val="15"/>
          <w:color w:val="auto"/>
        </w:rPr>
        <w:t>” means one share of the Company’s common stock.</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14.10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Tarsus Pharmaceuticals, Inc., a Delaware corporation.</w:t>
      </w:r>
    </w:p>
    <w:p>
      <w:pPr>
        <w:spacing w:after="0" w:line="196" w:lineRule="exact"/>
        <w:rPr>
          <w:sz w:val="20"/>
          <w:szCs w:val="20"/>
          <w:color w:val="auto"/>
        </w:rPr>
      </w:pPr>
    </w:p>
    <w:p>
      <w:pPr>
        <w:ind w:firstLine="1014"/>
        <w:spacing w:after="0" w:line="298" w:lineRule="auto"/>
        <w:rPr>
          <w:sz w:val="20"/>
          <w:szCs w:val="20"/>
          <w:color w:val="auto"/>
        </w:rPr>
      </w:pPr>
      <w:r>
        <w:rPr>
          <w:rFonts w:ascii="Times New Roman" w:cs="Times New Roman" w:eastAsia="Times New Roman" w:hAnsi="Times New Roman"/>
          <w:sz w:val="15"/>
          <w:szCs w:val="15"/>
          <w:color w:val="auto"/>
        </w:rPr>
        <w:t>14.11 “</w:t>
      </w:r>
      <w:r>
        <w:rPr>
          <w:rFonts w:ascii="Times New Roman" w:cs="Times New Roman" w:eastAsia="Times New Roman" w:hAnsi="Times New Roman"/>
          <w:sz w:val="15"/>
          <w:szCs w:val="15"/>
          <w:b w:val="1"/>
          <w:bCs w:val="1"/>
          <w:color w:val="auto"/>
        </w:rPr>
        <w:t>Consultant</w:t>
      </w:r>
      <w:r>
        <w:rPr>
          <w:rFonts w:ascii="Times New Roman" w:cs="Times New Roman" w:eastAsia="Times New Roman" w:hAnsi="Times New Roman"/>
          <w:sz w:val="15"/>
          <w:szCs w:val="15"/>
          <w:color w:val="auto"/>
        </w:rPr>
        <w:t xml:space="preserve">” means a consultant or adviser who provides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services to the Company, a Parent, a Subsidiary or an Affiliate as an independent contractor and who qualifies as a consultant or advisor under Instruction A.1.(a)(1) of Form S-8 under the Securities Act.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14.12 “</w:t>
      </w:r>
      <w:r>
        <w:rPr>
          <w:rFonts w:ascii="Times New Roman" w:cs="Times New Roman" w:eastAsia="Times New Roman" w:hAnsi="Times New Roman"/>
          <w:sz w:val="15"/>
          <w:szCs w:val="15"/>
          <w:b w:val="1"/>
          <w:bCs w:val="1"/>
          <w:color w:val="auto"/>
        </w:rPr>
        <w:t>Employee</w:t>
      </w:r>
      <w:r>
        <w:rPr>
          <w:rFonts w:ascii="Times New Roman" w:cs="Times New Roman" w:eastAsia="Times New Roman" w:hAnsi="Times New Roman"/>
          <w:sz w:val="15"/>
          <w:szCs w:val="15"/>
          <w:color w:val="auto"/>
        </w:rPr>
        <w:t>” means a common-law employee of the Company, a Parent, a Subsidiary or an Affiliate.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14.13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0"/>
          </w:cols>
          <w:pgMar w:left="320" w:top="247" w:right="319" w:bottom="1440" w:gutter="0" w:footer="0" w:header="0"/>
        </w:sectPr>
      </w:pPr>
    </w:p>
    <w:bookmarkStart w:id="441" w:name="page442"/>
    <w:bookmarkEnd w:id="441"/>
    <w:p>
      <w:pPr>
        <w:ind w:firstLine="1014"/>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14.14 “</w:t>
      </w:r>
      <w:r>
        <w:rPr>
          <w:rFonts w:ascii="Times New Roman" w:cs="Times New Roman" w:eastAsia="Times New Roman" w:hAnsi="Times New Roman"/>
          <w:sz w:val="15"/>
          <w:szCs w:val="15"/>
          <w:b w:val="1"/>
          <w:bCs w:val="1"/>
          <w:color w:val="auto"/>
        </w:rPr>
        <w:t>Exercise Price</w:t>
      </w:r>
      <w:r>
        <w:rPr>
          <w:rFonts w:ascii="Times New Roman" w:cs="Times New Roman" w:eastAsia="Times New Roman" w:hAnsi="Times New Roman"/>
          <w:sz w:val="15"/>
          <w:szCs w:val="15"/>
          <w:color w:val="auto"/>
        </w:rPr>
        <w:t>,”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pacing w:after="0" w:line="141" w:lineRule="exact"/>
        <w:rPr>
          <w:sz w:val="20"/>
          <w:szCs w:val="20"/>
          <w:color w:val="auto"/>
        </w:rPr>
      </w:pPr>
    </w:p>
    <w:p>
      <w:pPr>
        <w:ind w:right="100" w:firstLine="1014"/>
        <w:spacing w:after="0" w:line="266" w:lineRule="auto"/>
        <w:rPr>
          <w:sz w:val="20"/>
          <w:szCs w:val="20"/>
          <w:color w:val="auto"/>
        </w:rPr>
      </w:pPr>
      <w:r>
        <w:rPr>
          <w:rFonts w:ascii="Times New Roman" w:cs="Times New Roman" w:eastAsia="Times New Roman" w:hAnsi="Times New Roman"/>
          <w:sz w:val="15"/>
          <w:szCs w:val="15"/>
          <w:color w:val="auto"/>
        </w:rPr>
        <w:t>14.15 “</w:t>
      </w:r>
      <w:r>
        <w:rPr>
          <w:rFonts w:ascii="Times New Roman" w:cs="Times New Roman" w:eastAsia="Times New Roman" w:hAnsi="Times New Roman"/>
          <w:sz w:val="15"/>
          <w:szCs w:val="15"/>
          <w:b w:val="1"/>
          <w:bCs w:val="1"/>
          <w:color w:val="auto"/>
        </w:rPr>
        <w:t>Fair Market Value</w:t>
      </w:r>
      <w:r>
        <w:rPr>
          <w:rFonts w:ascii="Times New Roman" w:cs="Times New Roman" w:eastAsia="Times New Roman" w:hAnsi="Times New Roman"/>
          <w:sz w:val="15"/>
          <w:szCs w:val="15"/>
          <w:color w:val="auto"/>
        </w:rPr>
        <w:t>”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the Fair Market Value in all cases shall be in accordance with the requirements set forth under Section 409A of the Code to the extent necessary for an Award to comply with, or be exempt from, Section 409A of the Code.</w:t>
      </w:r>
    </w:p>
    <w:p>
      <w:pPr>
        <w:spacing w:after="0" w:line="335" w:lineRule="exact"/>
        <w:rPr>
          <w:sz w:val="20"/>
          <w:szCs w:val="20"/>
          <w:color w:val="auto"/>
        </w:rPr>
      </w:pPr>
    </w:p>
    <w:p>
      <w:pPr>
        <w:ind w:right="60" w:firstLine="1014"/>
        <w:spacing w:after="0" w:line="298" w:lineRule="auto"/>
        <w:rPr>
          <w:sz w:val="20"/>
          <w:szCs w:val="20"/>
          <w:color w:val="auto"/>
        </w:rPr>
      </w:pPr>
      <w:r>
        <w:rPr>
          <w:rFonts w:ascii="Times New Roman" w:cs="Times New Roman" w:eastAsia="Times New Roman" w:hAnsi="Times New Roman"/>
          <w:sz w:val="15"/>
          <w:szCs w:val="15"/>
          <w:color w:val="auto"/>
        </w:rPr>
        <w:t>14.16 “</w:t>
      </w:r>
      <w:r>
        <w:rPr>
          <w:rFonts w:ascii="Times New Roman" w:cs="Times New Roman" w:eastAsia="Times New Roman" w:hAnsi="Times New Roman"/>
          <w:sz w:val="15"/>
          <w:szCs w:val="15"/>
          <w:b w:val="1"/>
          <w:bCs w:val="1"/>
          <w:color w:val="auto"/>
        </w:rPr>
        <w:t>IPO Date</w:t>
      </w:r>
      <w:r>
        <w:rPr>
          <w:rFonts w:ascii="Times New Roman" w:cs="Times New Roman" w:eastAsia="Times New Roman" w:hAnsi="Times New Roman"/>
          <w:sz w:val="15"/>
          <w:szCs w:val="15"/>
          <w:color w:val="auto"/>
        </w:rPr>
        <w:t>” means the effective date of the registration statement filed by the Company with the Securities and Exchange Commission for its initial offering of the Common Shares to the public.</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14.17 “</w:t>
      </w:r>
      <w:r>
        <w:rPr>
          <w:rFonts w:ascii="Times New Roman" w:cs="Times New Roman" w:eastAsia="Times New Roman" w:hAnsi="Times New Roman"/>
          <w:sz w:val="15"/>
          <w:szCs w:val="15"/>
          <w:b w:val="1"/>
          <w:bCs w:val="1"/>
          <w:color w:val="auto"/>
        </w:rPr>
        <w:t>ISO</w:t>
      </w:r>
      <w:r>
        <w:rPr>
          <w:rFonts w:ascii="Times New Roman" w:cs="Times New Roman" w:eastAsia="Times New Roman" w:hAnsi="Times New Roman"/>
          <w:sz w:val="15"/>
          <w:szCs w:val="15"/>
          <w:color w:val="auto"/>
        </w:rPr>
        <w:t>” means an incentive stock option described in Code Section 422(b).</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14.18 “</w:t>
      </w:r>
      <w:r>
        <w:rPr>
          <w:rFonts w:ascii="Times New Roman" w:cs="Times New Roman" w:eastAsia="Times New Roman" w:hAnsi="Times New Roman"/>
          <w:sz w:val="15"/>
          <w:szCs w:val="15"/>
          <w:b w:val="1"/>
          <w:bCs w:val="1"/>
          <w:color w:val="auto"/>
        </w:rPr>
        <w:t>NSO</w:t>
      </w:r>
      <w:r>
        <w:rPr>
          <w:rFonts w:ascii="Times New Roman" w:cs="Times New Roman" w:eastAsia="Times New Roman" w:hAnsi="Times New Roman"/>
          <w:sz w:val="15"/>
          <w:szCs w:val="15"/>
          <w:color w:val="auto"/>
        </w:rPr>
        <w:t>” means a stock option not described in Code Sections 422 or 423.</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14.19 “</w:t>
      </w:r>
      <w:r>
        <w:rPr>
          <w:rFonts w:ascii="Times New Roman" w:cs="Times New Roman" w:eastAsia="Times New Roman" w:hAnsi="Times New Roman"/>
          <w:sz w:val="15"/>
          <w:szCs w:val="15"/>
          <w:b w:val="1"/>
          <w:bCs w:val="1"/>
          <w:color w:val="auto"/>
        </w:rPr>
        <w:t>Option</w:t>
      </w:r>
      <w:r>
        <w:rPr>
          <w:rFonts w:ascii="Times New Roman" w:cs="Times New Roman" w:eastAsia="Times New Roman" w:hAnsi="Times New Roman"/>
          <w:sz w:val="15"/>
          <w:szCs w:val="15"/>
          <w:color w:val="auto"/>
        </w:rPr>
        <w:t>” means an ISO or NSO granted under the Plan and entitling the holder to purchase Common Shares.</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14.20 “</w:t>
      </w:r>
      <w:r>
        <w:rPr>
          <w:rFonts w:ascii="Times New Roman" w:cs="Times New Roman" w:eastAsia="Times New Roman" w:hAnsi="Times New Roman"/>
          <w:sz w:val="15"/>
          <w:szCs w:val="15"/>
          <w:b w:val="1"/>
          <w:bCs w:val="1"/>
          <w:color w:val="auto"/>
        </w:rPr>
        <w:t>Optionee</w:t>
      </w:r>
      <w:r>
        <w:rPr>
          <w:rFonts w:ascii="Times New Roman" w:cs="Times New Roman" w:eastAsia="Times New Roman" w:hAnsi="Times New Roman"/>
          <w:sz w:val="15"/>
          <w:szCs w:val="15"/>
          <w:color w:val="auto"/>
        </w:rPr>
        <w:t>” means an individual or estate holding an Option or SAR.</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14.21 “</w:t>
      </w:r>
      <w:r>
        <w:rPr>
          <w:rFonts w:ascii="Times New Roman" w:cs="Times New Roman" w:eastAsia="Times New Roman" w:hAnsi="Times New Roman"/>
          <w:sz w:val="15"/>
          <w:szCs w:val="15"/>
          <w:b w:val="1"/>
          <w:bCs w:val="1"/>
          <w:color w:val="auto"/>
        </w:rPr>
        <w:t>Outside Director</w:t>
      </w:r>
      <w:r>
        <w:rPr>
          <w:rFonts w:ascii="Times New Roman" w:cs="Times New Roman" w:eastAsia="Times New Roman" w:hAnsi="Times New Roman"/>
          <w:sz w:val="15"/>
          <w:szCs w:val="15"/>
          <w:color w:val="auto"/>
        </w:rPr>
        <w:t>” means a member of the Board who is not an Employee.</w:t>
      </w:r>
    </w:p>
    <w:p>
      <w:pPr>
        <w:spacing w:after="0" w:line="196" w:lineRule="exact"/>
        <w:rPr>
          <w:sz w:val="20"/>
          <w:szCs w:val="20"/>
          <w:color w:val="auto"/>
        </w:rPr>
      </w:pPr>
    </w:p>
    <w:p>
      <w:pPr>
        <w:jc w:val="both"/>
        <w:ind w:right="260" w:firstLine="1014"/>
        <w:spacing w:after="0" w:line="277" w:lineRule="auto"/>
        <w:rPr>
          <w:sz w:val="20"/>
          <w:szCs w:val="20"/>
          <w:color w:val="auto"/>
        </w:rPr>
      </w:pPr>
      <w:r>
        <w:rPr>
          <w:rFonts w:ascii="Times New Roman" w:cs="Times New Roman" w:eastAsia="Times New Roman" w:hAnsi="Times New Roman"/>
          <w:sz w:val="15"/>
          <w:szCs w:val="15"/>
          <w:color w:val="auto"/>
        </w:rPr>
        <w:t>14.22 “</w:t>
      </w:r>
      <w:r>
        <w:rPr>
          <w:rFonts w:ascii="Times New Roman" w:cs="Times New Roman" w:eastAsia="Times New Roman" w:hAnsi="Times New Roman"/>
          <w:sz w:val="15"/>
          <w:szCs w:val="15"/>
          <w:b w:val="1"/>
          <w:bCs w:val="1"/>
          <w:color w:val="auto"/>
        </w:rPr>
        <w:t>Parent</w:t>
      </w:r>
      <w:r>
        <w:rPr>
          <w:rFonts w:ascii="Times New Roman" w:cs="Times New Roman" w:eastAsia="Times New Roman" w:hAnsi="Times New Roman"/>
          <w:sz w:val="15"/>
          <w:szCs w:val="15"/>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14.23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means an individual or estate holding an Award.</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14.24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means this Tarsus Pharmaceuticals, Inc. 2020 Equity Incentive Plan, as amended from time to time.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14.25 “</w:t>
      </w:r>
      <w:r>
        <w:rPr>
          <w:rFonts w:ascii="Times New Roman" w:cs="Times New Roman" w:eastAsia="Times New Roman" w:hAnsi="Times New Roman"/>
          <w:sz w:val="15"/>
          <w:szCs w:val="15"/>
          <w:b w:val="1"/>
          <w:bCs w:val="1"/>
          <w:color w:val="auto"/>
        </w:rPr>
        <w:t>Predecessor Plan</w:t>
      </w:r>
      <w:r>
        <w:rPr>
          <w:rFonts w:ascii="Times New Roman" w:cs="Times New Roman" w:eastAsia="Times New Roman" w:hAnsi="Times New Roman"/>
          <w:sz w:val="15"/>
          <w:szCs w:val="15"/>
          <w:color w:val="auto"/>
        </w:rPr>
        <w:t>” means the Company’s 2016 Stock Plan, as amended.</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14.26 “</w:t>
      </w:r>
      <w:r>
        <w:rPr>
          <w:rFonts w:ascii="Times New Roman" w:cs="Times New Roman" w:eastAsia="Times New Roman" w:hAnsi="Times New Roman"/>
          <w:sz w:val="15"/>
          <w:szCs w:val="15"/>
          <w:b w:val="1"/>
          <w:bCs w:val="1"/>
          <w:color w:val="auto"/>
        </w:rPr>
        <w:t>Restricted Share</w:t>
      </w:r>
      <w:r>
        <w:rPr>
          <w:rFonts w:ascii="Times New Roman" w:cs="Times New Roman" w:eastAsia="Times New Roman" w:hAnsi="Times New Roman"/>
          <w:sz w:val="15"/>
          <w:szCs w:val="15"/>
          <w:color w:val="auto"/>
        </w:rPr>
        <w:t>” means a Common Share awarded under the Plan.</w:t>
      </w:r>
    </w:p>
    <w:p>
      <w:pPr>
        <w:spacing w:after="0" w:line="196" w:lineRule="exact"/>
        <w:rPr>
          <w:sz w:val="20"/>
          <w:szCs w:val="20"/>
          <w:color w:val="auto"/>
        </w:rPr>
      </w:pPr>
    </w:p>
    <w:p>
      <w:pPr>
        <w:ind w:right="220" w:firstLine="1014"/>
        <w:spacing w:after="0" w:line="298" w:lineRule="auto"/>
        <w:rPr>
          <w:sz w:val="20"/>
          <w:szCs w:val="20"/>
          <w:color w:val="auto"/>
        </w:rPr>
      </w:pPr>
      <w:r>
        <w:rPr>
          <w:rFonts w:ascii="Times New Roman" w:cs="Times New Roman" w:eastAsia="Times New Roman" w:hAnsi="Times New Roman"/>
          <w:sz w:val="15"/>
          <w:szCs w:val="15"/>
          <w:color w:val="auto"/>
        </w:rPr>
        <w:t>14.27 “</w:t>
      </w:r>
      <w:r>
        <w:rPr>
          <w:rFonts w:ascii="Times New Roman" w:cs="Times New Roman" w:eastAsia="Times New Roman" w:hAnsi="Times New Roman"/>
          <w:sz w:val="15"/>
          <w:szCs w:val="15"/>
          <w:b w:val="1"/>
          <w:bCs w:val="1"/>
          <w:color w:val="auto"/>
        </w:rPr>
        <w:t>Restricted Stock Agreement</w:t>
      </w:r>
      <w:r>
        <w:rPr>
          <w:rFonts w:ascii="Times New Roman" w:cs="Times New Roman" w:eastAsia="Times New Roman" w:hAnsi="Times New Roman"/>
          <w:sz w:val="15"/>
          <w:szCs w:val="15"/>
          <w:color w:val="auto"/>
        </w:rPr>
        <w:t>” means the agreement consistent with the terms of the Plan between the Company and the recipient of a Restricted Share that contains the terms, conditions and restrictions pertaining to such Restricted Share.</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14.28 “</w:t>
      </w:r>
      <w:r>
        <w:rPr>
          <w:rFonts w:ascii="Times New Roman" w:cs="Times New Roman" w:eastAsia="Times New Roman" w:hAnsi="Times New Roman"/>
          <w:sz w:val="15"/>
          <w:szCs w:val="15"/>
          <w:b w:val="1"/>
          <w:bCs w:val="1"/>
          <w:color w:val="auto"/>
        </w:rPr>
        <w:t>Restricted Stock Unit</w:t>
      </w:r>
      <w:r>
        <w:rPr>
          <w:rFonts w:ascii="Times New Roman" w:cs="Times New Roman" w:eastAsia="Times New Roman" w:hAnsi="Times New Roman"/>
          <w:sz w:val="15"/>
          <w:szCs w:val="15"/>
          <w:color w:val="auto"/>
        </w:rPr>
        <w:t>” means a bookkeeping entry representing the equivalent of one Common Share, as awarded under the Plan.</w:t>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60"/>
          </w:cols>
          <w:pgMar w:left="320" w:top="247" w:right="319" w:bottom="1440" w:gutter="0" w:footer="0" w:header="0"/>
        </w:sectPr>
      </w:pPr>
    </w:p>
    <w:bookmarkStart w:id="442" w:name="page443"/>
    <w:bookmarkEnd w:id="442"/>
    <w:p>
      <w:pPr>
        <w:ind w:right="60" w:firstLine="1014"/>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14.29 “</w:t>
      </w:r>
      <w:r>
        <w:rPr>
          <w:rFonts w:ascii="Times New Roman" w:cs="Times New Roman" w:eastAsia="Times New Roman" w:hAnsi="Times New Roman"/>
          <w:sz w:val="15"/>
          <w:szCs w:val="15"/>
          <w:b w:val="1"/>
          <w:bCs w:val="1"/>
          <w:color w:val="auto"/>
        </w:rPr>
        <w:t>Restricted Stock Unit Agreement</w:t>
      </w:r>
      <w:r>
        <w:rPr>
          <w:rFonts w:ascii="Times New Roman" w:cs="Times New Roman" w:eastAsia="Times New Roman" w:hAnsi="Times New Roman"/>
          <w:sz w:val="15"/>
          <w:szCs w:val="15"/>
          <w:color w:val="auto"/>
        </w:rPr>
        <w:t>” means the agreement consistent with the terms of the Plan between the Company and the recipient of a Restricted Stock Unit that contains the terms, conditions and restrictions pertaining to such Restricted Stock Unit.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14.30 “</w:t>
      </w:r>
      <w:r>
        <w:rPr>
          <w:rFonts w:ascii="Times New Roman" w:cs="Times New Roman" w:eastAsia="Times New Roman" w:hAnsi="Times New Roman"/>
          <w:sz w:val="15"/>
          <w:szCs w:val="15"/>
          <w:b w:val="1"/>
          <w:bCs w:val="1"/>
          <w:color w:val="auto"/>
        </w:rPr>
        <w:t>SAR</w:t>
      </w:r>
      <w:r>
        <w:rPr>
          <w:rFonts w:ascii="Times New Roman" w:cs="Times New Roman" w:eastAsia="Times New Roman" w:hAnsi="Times New Roman"/>
          <w:sz w:val="15"/>
          <w:szCs w:val="15"/>
          <w:color w:val="auto"/>
        </w:rPr>
        <w:t>” means a stock appreciation right granted under the Plan.</w:t>
      </w:r>
    </w:p>
    <w:p>
      <w:pPr>
        <w:spacing w:after="0" w:line="196" w:lineRule="exact"/>
        <w:rPr>
          <w:sz w:val="20"/>
          <w:szCs w:val="20"/>
          <w:color w:val="auto"/>
        </w:rPr>
      </w:pPr>
    </w:p>
    <w:p>
      <w:pPr>
        <w:ind w:right="100" w:firstLine="1014"/>
        <w:spacing w:after="0" w:line="298" w:lineRule="auto"/>
        <w:rPr>
          <w:sz w:val="20"/>
          <w:szCs w:val="20"/>
          <w:color w:val="auto"/>
        </w:rPr>
      </w:pPr>
      <w:r>
        <w:rPr>
          <w:rFonts w:ascii="Times New Roman" w:cs="Times New Roman" w:eastAsia="Times New Roman" w:hAnsi="Times New Roman"/>
          <w:sz w:val="15"/>
          <w:szCs w:val="15"/>
          <w:color w:val="auto"/>
        </w:rPr>
        <w:t>14.31 “</w:t>
      </w:r>
      <w:r>
        <w:rPr>
          <w:rFonts w:ascii="Times New Roman" w:cs="Times New Roman" w:eastAsia="Times New Roman" w:hAnsi="Times New Roman"/>
          <w:sz w:val="15"/>
          <w:szCs w:val="15"/>
          <w:b w:val="1"/>
          <w:bCs w:val="1"/>
          <w:color w:val="auto"/>
        </w:rPr>
        <w:t>SAR Agreement</w:t>
      </w:r>
      <w:r>
        <w:rPr>
          <w:rFonts w:ascii="Times New Roman" w:cs="Times New Roman" w:eastAsia="Times New Roman" w:hAnsi="Times New Roman"/>
          <w:sz w:val="15"/>
          <w:szCs w:val="15"/>
          <w:color w:val="auto"/>
        </w:rPr>
        <w:t>” means the agreement consistent with the terms of the Plan between the Company and an Optionee that contains the terms, conditions and restrictions pertaining to his or her SAR.</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14.32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6" w:lineRule="exact"/>
        <w:rPr>
          <w:sz w:val="20"/>
          <w:szCs w:val="20"/>
          <w:color w:val="auto"/>
        </w:rPr>
      </w:pPr>
    </w:p>
    <w:p>
      <w:pPr>
        <w:ind w:right="320" w:firstLine="1014"/>
        <w:spacing w:after="0" w:line="298" w:lineRule="auto"/>
        <w:rPr>
          <w:sz w:val="20"/>
          <w:szCs w:val="20"/>
          <w:color w:val="auto"/>
        </w:rPr>
      </w:pPr>
      <w:r>
        <w:rPr>
          <w:rFonts w:ascii="Times New Roman" w:cs="Times New Roman" w:eastAsia="Times New Roman" w:hAnsi="Times New Roman"/>
          <w:sz w:val="15"/>
          <w:szCs w:val="15"/>
          <w:color w:val="auto"/>
        </w:rPr>
        <w:t>14.33 “</w:t>
      </w:r>
      <w:r>
        <w:rPr>
          <w:rFonts w:ascii="Times New Roman" w:cs="Times New Roman" w:eastAsia="Times New Roman" w:hAnsi="Times New Roman"/>
          <w:sz w:val="15"/>
          <w:szCs w:val="15"/>
          <w:b w:val="1"/>
          <w:bCs w:val="1"/>
          <w:color w:val="auto"/>
        </w:rPr>
        <w:t>Service Provider</w:t>
      </w:r>
      <w:r>
        <w:rPr>
          <w:rFonts w:ascii="Times New Roman" w:cs="Times New Roman" w:eastAsia="Times New Roman" w:hAnsi="Times New Roman"/>
          <w:sz w:val="15"/>
          <w:szCs w:val="15"/>
          <w:color w:val="auto"/>
        </w:rPr>
        <w:t>” means any individual who is an Employee, Outside Director or Consultant, including any prospective Employee, Outside Director or Consultant who has accepted an offer of employment or service and will be an Employee, Outside Director or Consultant after the commencement of their service.</w:t>
      </w:r>
    </w:p>
    <w:p>
      <w:pPr>
        <w:spacing w:after="0" w:line="125" w:lineRule="exact"/>
        <w:rPr>
          <w:sz w:val="20"/>
          <w:szCs w:val="20"/>
          <w:color w:val="auto"/>
        </w:rPr>
      </w:pPr>
    </w:p>
    <w:p>
      <w:pPr>
        <w:ind w:right="480" w:firstLine="1014"/>
        <w:spacing w:after="0" w:line="298" w:lineRule="auto"/>
        <w:rPr>
          <w:sz w:val="20"/>
          <w:szCs w:val="20"/>
          <w:color w:val="auto"/>
        </w:rPr>
      </w:pPr>
      <w:r>
        <w:rPr>
          <w:rFonts w:ascii="Times New Roman" w:cs="Times New Roman" w:eastAsia="Times New Roman" w:hAnsi="Times New Roman"/>
          <w:sz w:val="15"/>
          <w:szCs w:val="15"/>
          <w:color w:val="auto"/>
        </w:rPr>
        <w:t>14.34 “</w:t>
      </w:r>
      <w:r>
        <w:rPr>
          <w:rFonts w:ascii="Times New Roman" w:cs="Times New Roman" w:eastAsia="Times New Roman" w:hAnsi="Times New Roman"/>
          <w:sz w:val="15"/>
          <w:szCs w:val="15"/>
          <w:b w:val="1"/>
          <w:bCs w:val="1"/>
          <w:color w:val="auto"/>
        </w:rPr>
        <w:t>Stock Option Agreement</w:t>
      </w:r>
      <w:r>
        <w:rPr>
          <w:rFonts w:ascii="Times New Roman" w:cs="Times New Roman" w:eastAsia="Times New Roman" w:hAnsi="Times New Roman"/>
          <w:sz w:val="15"/>
          <w:szCs w:val="15"/>
          <w:color w:val="auto"/>
        </w:rPr>
        <w:t>” means the agreement consistent with the terms of the Plan between the Company and an Optionee that contains the terms, conditions and restrictions pertaining to his or her Option.</w:t>
      </w:r>
    </w:p>
    <w:p>
      <w:pPr>
        <w:spacing w:after="0" w:line="125" w:lineRule="exact"/>
        <w:rPr>
          <w:sz w:val="20"/>
          <w:szCs w:val="20"/>
          <w:color w:val="auto"/>
        </w:rPr>
      </w:pPr>
    </w:p>
    <w:p>
      <w:pPr>
        <w:jc w:val="both"/>
        <w:ind w:firstLine="1014"/>
        <w:spacing w:after="0" w:line="277" w:lineRule="auto"/>
        <w:rPr>
          <w:sz w:val="20"/>
          <w:szCs w:val="20"/>
          <w:color w:val="auto"/>
        </w:rPr>
      </w:pPr>
      <w:r>
        <w:rPr>
          <w:rFonts w:ascii="Times New Roman" w:cs="Times New Roman" w:eastAsia="Times New Roman" w:hAnsi="Times New Roman"/>
          <w:sz w:val="15"/>
          <w:szCs w:val="15"/>
          <w:color w:val="auto"/>
        </w:rPr>
        <w:t>14.35 “</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41" w:lineRule="exact"/>
        <w:rPr>
          <w:sz w:val="20"/>
          <w:szCs w:val="20"/>
          <w:color w:val="auto"/>
        </w:rPr>
      </w:pPr>
    </w:p>
    <w:p>
      <w:pPr>
        <w:jc w:val="both"/>
        <w:ind w:right="40" w:firstLine="1014"/>
        <w:spacing w:after="0" w:line="277" w:lineRule="auto"/>
        <w:rPr>
          <w:sz w:val="20"/>
          <w:szCs w:val="20"/>
          <w:color w:val="auto"/>
        </w:rPr>
      </w:pPr>
      <w:r>
        <w:rPr>
          <w:rFonts w:ascii="Times New Roman" w:cs="Times New Roman" w:eastAsia="Times New Roman" w:hAnsi="Times New Roman"/>
          <w:sz w:val="15"/>
          <w:szCs w:val="15"/>
          <w:color w:val="auto"/>
        </w:rPr>
        <w:t>14.36 “</w:t>
      </w:r>
      <w:r>
        <w:rPr>
          <w:rFonts w:ascii="Times New Roman" w:cs="Times New Roman" w:eastAsia="Times New Roman" w:hAnsi="Times New Roman"/>
          <w:sz w:val="15"/>
          <w:szCs w:val="15"/>
          <w:b w:val="1"/>
          <w:bCs w:val="1"/>
          <w:color w:val="auto"/>
        </w:rPr>
        <w:t>Substitute Awards</w:t>
      </w:r>
      <w:r>
        <w:rPr>
          <w:rFonts w:ascii="Times New Roman" w:cs="Times New Roman" w:eastAsia="Times New Roman" w:hAnsi="Times New Roman"/>
          <w:sz w:val="15"/>
          <w:szCs w:val="15"/>
          <w:color w:val="auto"/>
        </w:rPr>
        <w:t>”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standards.</w:t>
      </w:r>
    </w:p>
    <w:p>
      <w:pPr>
        <w:spacing w:after="0" w:line="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160"/>
          </w:cols>
          <w:pgMar w:left="320" w:top="248" w:right="419"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5"/>
          <w:szCs w:val="15"/>
          <w:b w:val="1"/>
          <w:bCs w:val="1"/>
          <w:color w:val="auto"/>
        </w:rPr>
        <w:t xml:space="preserve"> G</w:t>
      </w:r>
      <w:r>
        <w:rPr>
          <w:rFonts w:ascii="Times New Roman" w:cs="Times New Roman" w:eastAsia="Times New Roman" w:hAnsi="Times New Roman"/>
          <w:sz w:val="12"/>
          <w:szCs w:val="12"/>
          <w:b w:val="1"/>
          <w:bCs w:val="1"/>
          <w:color w:val="auto"/>
        </w:rPr>
        <w:t>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have been granted the following option to purchase shares of the common stock of Tarsus Pharmaceuticals, Inc. (the “Company”):</w:t>
      </w:r>
    </w:p>
    <w:p>
      <w:pPr>
        <w:sectPr>
          <w:pgSz w:w="11900" w:h="16838" w:orient="portrait"/>
          <w:cols w:equalWidth="0" w:num="1">
            <w:col w:w="11240"/>
          </w:cols>
          <w:pgMar w:left="320" w:top="248" w:right="339" w:bottom="1440" w:gutter="0" w:footer="0" w:header="0"/>
        </w:sectPr>
      </w:pPr>
    </w:p>
    <w:p>
      <w:pPr>
        <w:spacing w:after="0" w:line="2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Name of Optionee: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5"/>
          <w:szCs w:val="15"/>
          <w:color w:val="auto"/>
        </w:rPr>
        <w:t>«Name»</w:t>
      </w:r>
    </w:p>
    <w:p>
      <w:pPr>
        <w:spacing w:after="0" w:line="104"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Total Number of Shares: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4"/>
          <w:szCs w:val="14"/>
          <w:color w:val="auto"/>
        </w:rPr>
        <w:t>«TotalShares»</w:t>
      </w:r>
    </w:p>
    <w:p>
      <w:pPr>
        <w:spacing w:after="0" w:line="115"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«ISO» Incentive Stock Option</w:t>
      </w:r>
    </w:p>
    <w:p>
      <w:pPr>
        <w:spacing w:after="0" w:line="104"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6320"/>
        <w:spacing w:after="0"/>
        <w:rPr>
          <w:sz w:val="20"/>
          <w:szCs w:val="20"/>
          <w:color w:val="auto"/>
        </w:rPr>
      </w:pPr>
      <w:r>
        <w:rPr>
          <w:rFonts w:ascii="Times New Roman" w:cs="Times New Roman" w:eastAsia="Times New Roman" w:hAnsi="Times New Roman"/>
          <w:sz w:val="15"/>
          <w:szCs w:val="15"/>
          <w:color w:val="auto"/>
        </w:rPr>
        <w:t>«NSO»Nonstatutory Stock Option</w:t>
      </w:r>
    </w:p>
    <w:p>
      <w:pPr>
        <w:sectPr>
          <w:pgSz w:w="11900" w:h="16838" w:orient="portrait"/>
          <w:cols w:equalWidth="0" w:num="1">
            <w:col w:w="11240"/>
          </w:cols>
          <w:pgMar w:left="320" w:top="248" w:right="339" w:bottom="1440" w:gutter="0" w:footer="0" w:header="0"/>
          <w:type w:val="continuous"/>
        </w:sectPr>
      </w:pPr>
    </w:p>
    <w:p>
      <w:pPr>
        <w:spacing w:after="0" w:line="10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5"/>
          <w:szCs w:val="15"/>
          <w:color w:val="auto"/>
        </w:rPr>
        <w:t>$«PricePerShare»</w:t>
      </w:r>
    </w:p>
    <w:p>
      <w:pPr>
        <w:spacing w:after="0" w:line="104"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Times New Roman" w:cs="Times New Roman" w:eastAsia="Times New Roman" w:hAnsi="Times New Roman"/>
          <w:sz w:val="15"/>
          <w:szCs w:val="15"/>
          <w:color w:val="auto"/>
        </w:rPr>
        <w:t>«DateGrant»</w:t>
      </w:r>
    </w:p>
    <w:p>
      <w:pPr>
        <w:spacing w:after="0" w:line="104"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«VestDay»</w:t>
      </w:r>
    </w:p>
    <w:p>
      <w:pPr>
        <w:spacing w:after="0" w:line="115"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Vesting Schedule:</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Times New Roman" w:cs="Times New Roman" w:eastAsia="Times New Roman" w:hAnsi="Times New Roman"/>
          <w:sz w:val="15"/>
          <w:szCs w:val="15"/>
          <w:color w:val="auto"/>
        </w:rPr>
        <w:t>This option shall vest and become exercisable with respect to the first «CliffPercent» of the shares subject to this option when you complete «CliffPeriod» months of continuous service as an [Employee or Consultant] [Outside Director] (“Service”) after the Vesting Commencement Date. This option shall vest and become exercisable with respect to an additional «IncrementalPercent» of the shares subject to this option when you complete each additional month of continuous Service thereafter.</w:t>
      </w:r>
    </w:p>
    <w:p>
      <w:pPr>
        <w:spacing w:after="0" w:line="65"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Expiration Date:</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Times New Roman" w:cs="Times New Roman" w:eastAsia="Times New Roman" w:hAnsi="Times New Roman"/>
          <w:sz w:val="15"/>
          <w:szCs w:val="15"/>
          <w:color w:val="auto"/>
        </w:rPr>
        <w:t>«ExpDate». This option expires earlier if your Service terminates earlier, as described in the Stock Option Agreement, and may terminate earlier in connection with certain corporate transactions as described in Article 9 of the Plan.</w:t>
      </w:r>
    </w:p>
    <w:p>
      <w:pPr>
        <w:spacing w:after="0" w:line="152" w:lineRule="exact"/>
        <w:rPr>
          <w:sz w:val="20"/>
          <w:szCs w:val="20"/>
          <w:color w:val="auto"/>
        </w:rPr>
      </w:pPr>
    </w:p>
    <w:p>
      <w:pPr>
        <w:sectPr>
          <w:pgSz w:w="11900" w:h="16838" w:orient="portrait"/>
          <w:cols w:equalWidth="0" w:num="2">
            <w:col w:w="5600" w:space="720"/>
            <w:col w:w="4920"/>
          </w:cols>
          <w:pgMar w:left="320" w:top="248" w:right="339" w:bottom="1440" w:gutter="0" w:footer="0" w:header="0"/>
          <w:type w:val="continuous"/>
        </w:sectPr>
      </w:pPr>
    </w:p>
    <w:p>
      <w:pPr>
        <w:ind w:right="20"/>
        <w:spacing w:after="0" w:line="286" w:lineRule="auto"/>
        <w:rPr>
          <w:sz w:val="20"/>
          <w:szCs w:val="20"/>
          <w:color w:val="auto"/>
        </w:rPr>
      </w:pPr>
      <w:r>
        <w:rPr>
          <w:rFonts w:ascii="Times New Roman" w:cs="Times New Roman" w:eastAsia="Times New Roman" w:hAnsi="Times New Roman"/>
          <w:sz w:val="15"/>
          <w:szCs w:val="15"/>
          <w:color w:val="auto"/>
        </w:rPr>
        <w:t>You and the Company agree that this option is granted under and governed by the terms and conditions of the Company’s 2020 Equity Incentive Plan (the “Plan”) and the Stock Option Agreement, both of which are attached to, and made a part of, this document. Capitalized terms not otherwise defined herein shall have the meanings assigned to such terms in the Plan.</w:t>
      </w:r>
    </w:p>
    <w:p>
      <w:pPr>
        <w:spacing w:after="0" w:line="3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The Company may, in its sole discretion, decide to deliver any documents related to options awarded under the Plan, future options that may be awarded under the Plan and all other documents that the Company is required to deliver to security holders (including annual reports and proxy statements) by email or other electronic means (including by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You further agree to comply with the Company’s </w:t>
      </w:r>
      <w:r>
        <w:rPr>
          <w:rFonts w:ascii="Times New Roman" w:cs="Times New Roman" w:eastAsia="Times New Roman" w:hAnsi="Times New Roman"/>
          <w:sz w:val="15"/>
          <w:szCs w:val="15"/>
          <w:i w:val="1"/>
          <w:iCs w:val="1"/>
          <w:color w:val="auto"/>
        </w:rPr>
        <w:t>Insider Trading Policy</w:t>
      </w:r>
      <w:r>
        <w:rPr>
          <w:rFonts w:ascii="Times New Roman" w:cs="Times New Roman" w:eastAsia="Times New Roman" w:hAnsi="Times New Roman"/>
          <w:sz w:val="15"/>
          <w:szCs w:val="15"/>
          <w:color w:val="auto"/>
        </w:rPr>
        <w:t xml:space="preserve"> when selling shares of the Company’s common stock.</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40"/>
          </w:cols>
          <w:pgMar w:left="320" w:top="248" w:right="339" w:bottom="1440" w:gutter="0" w:footer="0" w:header="0"/>
          <w:type w:val="continuous"/>
        </w:sectPr>
      </w:pPr>
    </w:p>
    <w:bookmarkStart w:id="444" w:name="page445"/>
    <w:bookmarkEnd w:id="44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1260"/>
          </w:cols>
          <w:pgMar w:left="320" w:top="247" w:right="31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Grant of Option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auto"/>
        </w:rPr>
        <w:t>Subject to all of the terms and conditions set forth in the Notice of Stock Option Grant (the “Grant Notice”), this Stock Option Agreement (the “Agreement”) and the Plan, the Company has granted you an option to purchase up to the total number of shares specified in the Grant Notice at the exercise price indicated in the Grant Notice.</w:t>
      </w:r>
    </w:p>
    <w:p>
      <w:pPr>
        <w:spacing w:after="0" w:line="64"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ind w:left="3260" w:right="40"/>
        <w:spacing w:after="0" w:line="293" w:lineRule="auto"/>
        <w:rPr>
          <w:sz w:val="20"/>
          <w:szCs w:val="20"/>
          <w:color w:val="auto"/>
        </w:rPr>
      </w:pPr>
      <w:r>
        <w:rPr>
          <w:rFonts w:ascii="Times New Roman" w:cs="Times New Roman" w:eastAsia="Times New Roman" w:hAnsi="Times New Roman"/>
          <w:sz w:val="15"/>
          <w:szCs w:val="15"/>
          <w:color w:val="auto"/>
        </w:rPr>
        <w:t>All capitalized terms used in this Agreement shall have the meanings assigned to them in this Agreement, the Grant Notice or the Plan.</w:t>
      </w:r>
    </w:p>
    <w:p>
      <w:pPr>
        <w:sectPr>
          <w:pgSz w:w="11900" w:h="16838" w:orient="portrait"/>
          <w:cols w:equalWidth="0" w:num="1">
            <w:col w:w="11260"/>
          </w:cols>
          <w:pgMar w:left="320" w:top="247"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Treatment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color w:val="auto"/>
        </w:rPr>
        <w:t>This option is intended to be an incentive stock option under Section 422 of the Code or a nonstatutory stock option, as provided in the Grant Notice. However, even if this option is designated as an incentive stock option in the Grant Notice, it shall be deemed to be a nonstatutory stock option to the extent it does not qualify as an incentive stock option under federal tax law, including under the $100,000 annual limitation under Section 422(d) of the Code.</w:t>
      </w:r>
    </w:p>
    <w:p>
      <w:pPr>
        <w:spacing w:after="0" w:line="56"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This option vests and becomes exercisable in accordance with the vesting schedule set forth in the Grant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no event will this option vest or become exercisable for additional shares after your Service has terminated for any reason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expressly provided in a written agreement between you and the Company.</w:t>
      </w:r>
    </w:p>
    <w:p>
      <w:pPr>
        <w:spacing w:after="0" w:line="97"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Term of Option</w:t>
      </w:r>
    </w:p>
    <w:p>
      <w:pPr>
        <w:spacing w:after="0" w:line="20" w:lineRule="exact"/>
        <w:rPr>
          <w:sz w:val="20"/>
          <w:szCs w:val="20"/>
          <w:color w:val="auto"/>
        </w:rPr>
      </w:pPr>
      <w:r>
        <w:rPr>
          <w:sz w:val="20"/>
          <w:szCs w:val="20"/>
          <w:color w:val="auto"/>
        </w:rPr>
        <w:br w:type="column"/>
      </w:r>
    </w:p>
    <w:p>
      <w:pPr>
        <w:ind w:right="160"/>
        <w:spacing w:after="0" w:line="275" w:lineRule="auto"/>
        <w:rPr>
          <w:sz w:val="20"/>
          <w:szCs w:val="20"/>
          <w:color w:val="auto"/>
        </w:rPr>
      </w:pPr>
      <w:r>
        <w:rPr>
          <w:rFonts w:ascii="Times New Roman" w:cs="Times New Roman" w:eastAsia="Times New Roman" w:hAnsi="Times New Roman"/>
          <w:sz w:val="15"/>
          <w:szCs w:val="15"/>
          <w:color w:val="auto"/>
        </w:rPr>
        <w:t>This option expires in any event at the close of business at Company headquarters on the day before the 10th anniversary of the Date of Grant, as shown in the Grant Notice. (This option will expire earlier if your Service terminates earlier, as described below, and this option may be terminated earlier as provided in Article 9 of the Plan.)</w:t>
      </w:r>
    </w:p>
    <w:p>
      <w:pPr>
        <w:spacing w:after="0" w:line="49"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Termination of Service</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Times New Roman" w:cs="Times New Roman" w:eastAsia="Times New Roman" w:hAnsi="Times New Roman"/>
          <w:sz w:val="15"/>
          <w:szCs w:val="15"/>
          <w:color w:val="auto"/>
        </w:rPr>
        <w:t>If your Service terminates for any reason, this option will expire to the extent it is unvested as of your termination date and does not vest as a result of your termination of Service. The Company determines whether and when your Service terminates for all purposes of this option.</w:t>
      </w:r>
    </w:p>
    <w:p>
      <w:pPr>
        <w:spacing w:after="0" w:line="49"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Regular Termination</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5"/>
          <w:szCs w:val="15"/>
          <w:color w:val="auto"/>
        </w:rPr>
        <w:t>If your Service terminates for any reason except death or total and permanent disability, then this option, to the extent vested as of your termination date, will expire at the close of business at Company headquarters on the date three months after your termination date.</w:t>
      </w:r>
    </w:p>
    <w:p>
      <w:pPr>
        <w:spacing w:after="0" w:line="49"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Death</w:t>
      </w:r>
    </w:p>
    <w:p>
      <w:pPr>
        <w:spacing w:after="0" w:line="20" w:lineRule="exact"/>
        <w:rPr>
          <w:sz w:val="20"/>
          <w:szCs w:val="20"/>
          <w:color w:val="auto"/>
        </w:rPr>
      </w:pPr>
      <w:r>
        <w:rPr>
          <w:sz w:val="20"/>
          <w:szCs w:val="20"/>
          <w:color w:val="auto"/>
        </w:rPr>
        <w:br w:type="column"/>
      </w:r>
    </w:p>
    <w:p>
      <w:pPr>
        <w:ind w:right="140"/>
        <w:spacing w:after="0" w:line="293" w:lineRule="auto"/>
        <w:rPr>
          <w:sz w:val="20"/>
          <w:szCs w:val="20"/>
          <w:color w:val="auto"/>
        </w:rPr>
      </w:pPr>
      <w:r>
        <w:rPr>
          <w:rFonts w:ascii="Times New Roman" w:cs="Times New Roman" w:eastAsia="Times New Roman" w:hAnsi="Times New Roman"/>
          <w:sz w:val="15"/>
          <w:szCs w:val="15"/>
          <w:color w:val="auto"/>
        </w:rPr>
        <w:t>If your Service terminates as a result of your death, then this option, to the extent vested as of the date of your death, will expire at the close of business at Company headquarters on the date twelve months after the date of death.</w:t>
      </w:r>
    </w:p>
    <w:p>
      <w:pPr>
        <w:spacing w:after="0" w:line="75"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47" w:right="319" w:bottom="1440" w:gutter="0" w:footer="0" w:header="0"/>
          <w:type w:val="continuous"/>
        </w:sectPr>
      </w:pPr>
    </w:p>
    <w:bookmarkStart w:id="445" w:name="page446"/>
    <w:bookmarkEnd w:id="445"/>
    <w:p>
      <w:pPr>
        <w:spacing w:after="0"/>
        <w:rPr>
          <w:sz w:val="20"/>
          <w:szCs w:val="20"/>
          <w:color w:val="auto"/>
        </w:rPr>
      </w:pPr>
      <w:r>
        <w:rPr>
          <w:rFonts w:ascii="Times New Roman" w:cs="Times New Roman" w:eastAsia="Times New Roman" w:hAnsi="Times New Roman"/>
          <w:sz w:val="15"/>
          <w:szCs w:val="15"/>
          <w:b w:val="1"/>
          <w:bCs w:val="1"/>
          <w:color w:val="auto"/>
        </w:rPr>
        <w:t>Disability</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Times New Roman" w:cs="Times New Roman" w:eastAsia="Times New Roman" w:hAnsi="Times New Roman"/>
          <w:sz w:val="15"/>
          <w:szCs w:val="15"/>
          <w:color w:val="auto"/>
        </w:rPr>
        <w:t>If your Service terminates because of your total and permanent disability, then this option, to the extent vested as of your termination date, will expire at the close of business at Company headquarters on the date six months after your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-337820</wp:posOffset>
            </wp:positionV>
            <wp:extent cx="7167245"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2540" w:space="720"/>
            <w:col w:w="8000"/>
          </w:cols>
          <w:pgMar w:left="320" w:top="247" w:right="319" w:bottom="1440" w:gutter="0" w:footer="0" w:header="0"/>
        </w:sectPr>
      </w:pPr>
    </w:p>
    <w:p>
      <w:pPr>
        <w:ind w:left="3260" w:right="100"/>
        <w:spacing w:after="0" w:line="275" w:lineRule="auto"/>
        <w:rPr>
          <w:sz w:val="20"/>
          <w:szCs w:val="20"/>
          <w:color w:val="auto"/>
        </w:rPr>
      </w:pPr>
      <w:r>
        <w:rPr>
          <w:rFonts w:ascii="Times New Roman" w:cs="Times New Roman" w:eastAsia="Times New Roman" w:hAnsi="Times New Roman"/>
          <w:sz w:val="15"/>
          <w:szCs w:val="15"/>
          <w:color w:val="auto"/>
        </w:rPr>
        <w:t>For all purposes under this Agreement, “total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ectPr>
          <w:pgSz w:w="11900" w:h="16838" w:orient="portrait"/>
          <w:cols w:equalWidth="0" w:num="1">
            <w:col w:w="11260"/>
          </w:cols>
          <w:pgMar w:left="320" w:top="247"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Leaves of Absence and Part-Time Work</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 xml:space="preserve">For purposes of this option, your Service does not terminate when you go on a military leave, a sick leave or another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pacing w:after="0" w:line="69" w:lineRule="exact"/>
        <w:rPr>
          <w:sz w:val="20"/>
          <w:szCs w:val="20"/>
          <w:color w:val="auto"/>
        </w:rPr>
      </w:pPr>
    </w:p>
    <w:p>
      <w:pPr>
        <w:sectPr>
          <w:pgSz w:w="11900" w:h="16838" w:orient="portrait"/>
          <w:cols w:equalWidth="0" w:num="2">
            <w:col w:w="2620" w:space="640"/>
            <w:col w:w="8000"/>
          </w:cols>
          <w:pgMar w:left="320" w:top="247" w:right="319" w:bottom="1440" w:gutter="0" w:footer="0" w:header="0"/>
          <w:type w:val="continuous"/>
        </w:sectPr>
      </w:pPr>
    </w:p>
    <w:p>
      <w:pPr>
        <w:ind w:left="3260" w:right="80"/>
        <w:spacing w:after="0" w:line="275" w:lineRule="auto"/>
        <w:rPr>
          <w:sz w:val="20"/>
          <w:szCs w:val="20"/>
          <w:color w:val="auto"/>
        </w:rPr>
      </w:pPr>
      <w:r>
        <w:rPr>
          <w:rFonts w:ascii="Times New Roman" w:cs="Times New Roman" w:eastAsia="Times New Roman" w:hAnsi="Times New Roman"/>
          <w:sz w:val="15"/>
          <w:szCs w:val="15"/>
          <w:color w:val="auto"/>
        </w:rPr>
        <w:t>If you go on a leave of absence, or if you commence working on a part-time basis, the Company may adjust the vesting schedule in accordance with the Company’s leave of absence policy or the terms of your leave or so that the rate of vesting is commensurate with your reduced work schedule, as applicable.</w:t>
      </w:r>
    </w:p>
    <w:p>
      <w:pPr>
        <w:sectPr>
          <w:pgSz w:w="11900" w:h="16838" w:orient="portrait"/>
          <w:cols w:equalWidth="0" w:num="1">
            <w:col w:w="11260"/>
          </w:cols>
          <w:pgMar w:left="320" w:top="247"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will not permit you to exercise this option if the issuance of shares at that time would violate any law or regulation.</w:t>
      </w:r>
    </w:p>
    <w:p>
      <w:pPr>
        <w:spacing w:after="0" w:line="100"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Notice of Exercise</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15"/>
          <w:szCs w:val="15"/>
          <w:color w:val="auto"/>
        </w:rPr>
        <w:t>When you wish to exercise this option, you must notify the Company by filing the proper “Notice of Exercise” form at the address given on the form or, if the Company has designated a third party to administer the Plan, you must notify such third party in the manner such third party requires. Your notice must specify how many shares you wish to purchase. The notice will be effective when the Company receives it.</w:t>
      </w:r>
    </w:p>
    <w:p>
      <w:pPr>
        <w:spacing w:after="0" w:line="71"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ind w:left="3260" w:right="60"/>
        <w:spacing w:after="0" w:line="293" w:lineRule="auto"/>
        <w:rPr>
          <w:sz w:val="20"/>
          <w:szCs w:val="20"/>
          <w:color w:val="auto"/>
        </w:rPr>
      </w:pPr>
      <w:r>
        <w:rPr>
          <w:rFonts w:ascii="Times New Roman" w:cs="Times New Roman" w:eastAsia="Times New Roman" w:hAnsi="Times New Roman"/>
          <w:sz w:val="15"/>
          <w:szCs w:val="15"/>
          <w:color w:val="auto"/>
        </w:rPr>
        <w:t>However, if you wish to exercise this option by executing a same-day sale (as described below), you must follow the instructions of the Company and the broker who will execute the sale.</w:t>
      </w:r>
    </w:p>
    <w:p>
      <w:pPr>
        <w:spacing w:after="0" w:line="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If someone else wants to exercise this option after your death, that person must prove to the Company’s satisfaction that he or she</w:t>
      </w:r>
    </w:p>
    <w:p>
      <w:pPr>
        <w:spacing w:after="0" w:line="2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is entitled to do so.</w:t>
      </w:r>
    </w:p>
    <w:p>
      <w:pPr>
        <w:spacing w:after="0" w:line="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color w:val="auto"/>
        </w:rPr>
        <w:t>You may only exercise your option for whole shares.</w:t>
      </w:r>
    </w:p>
    <w:p>
      <w:pPr>
        <w:sectPr>
          <w:pgSz w:w="11900" w:h="16838" w:orient="portrait"/>
          <w:cols w:equalWidth="0" w:num="1">
            <w:col w:w="11260"/>
          </w:cols>
          <w:pgMar w:left="320" w:top="247" w:right="31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Form of Payment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When you submit your notice of exercise, you must make arrangements for the payment of the option exercise price for the shares that you are purchasing. To the extent permitted by applicable law, payment may be made in one (or a combination of two or more) of the following forms:</w:t>
      </w:r>
    </w:p>
    <w:p>
      <w:pPr>
        <w:spacing w:after="0" w:line="64" w:lineRule="exact"/>
        <w:rPr>
          <w:sz w:val="20"/>
          <w:szCs w:val="20"/>
          <w:color w:val="auto"/>
        </w:rPr>
      </w:pPr>
    </w:p>
    <w:p>
      <w:pPr>
        <w:sectPr>
          <w:pgSz w:w="11900" w:h="16838" w:orient="portrait"/>
          <w:cols w:equalWidth="0" w:num="2">
            <w:col w:w="2540" w:space="720"/>
            <w:col w:w="8000"/>
          </w:cols>
          <w:pgMar w:left="320" w:top="247" w:right="319" w:bottom="1440" w:gutter="0" w:footer="0" w:header="0"/>
          <w:type w:val="continuous"/>
        </w:sectPr>
      </w:pPr>
    </w:p>
    <w:p>
      <w:pPr>
        <w:ind w:left="32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By delivering to the Company your personal check, a cashier’s check or a money order, or arranging for a wire transfer.</w:t>
      </w:r>
    </w:p>
    <w:p>
      <w:pPr>
        <w:spacing w:after="0" w:line="116" w:lineRule="exact"/>
        <w:rPr>
          <w:sz w:val="20"/>
          <w:szCs w:val="20"/>
          <w:color w:val="auto"/>
        </w:rPr>
      </w:pPr>
    </w:p>
    <w:p>
      <w:pPr>
        <w:sectPr>
          <w:pgSz w:w="11900" w:h="16838" w:orient="portrait"/>
          <w:cols w:equalWidth="0" w:num="2">
            <w:col w:w="3320" w:space="160"/>
            <w:col w:w="7780"/>
          </w:cols>
          <w:pgMar w:left="320" w:top="247" w:right="319" w:bottom="1440" w:gutter="0" w:footer="0" w:header="0"/>
          <w:type w:val="continuous"/>
        </w:sectPr>
      </w:pPr>
    </w:p>
    <w:p>
      <w:pPr>
        <w:ind w:left="326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ind w:right="20" w:hanging="13"/>
        <w:spacing w:after="0" w:line="268" w:lineRule="auto"/>
        <w:rPr>
          <w:sz w:val="20"/>
          <w:szCs w:val="20"/>
          <w:color w:val="auto"/>
        </w:rPr>
      </w:pPr>
      <w:r>
        <w:rPr>
          <w:rFonts w:ascii="Times New Roman" w:cs="Times New Roman" w:eastAsia="Times New Roman" w:hAnsi="Times New Roman"/>
          <w:sz w:val="15"/>
          <w:szCs w:val="15"/>
          <w:color w:val="auto"/>
        </w:rPr>
        <w:t>By giving to a securities broker approved by the Company irrevocable directions to sell all or part of your option shares and to deliver to the Company, from the sale proceeds, an amount sufficient to pay the option exercise price and any Tax-Related Items (as defined below). (The balance of the sale proceeds, if any, will be delivered to you.) The directions must be given in accordance with the instructions of the Company and the broker. This exercise method is sometimes called a “same-day sale.”</w:t>
      </w:r>
    </w:p>
    <w:p>
      <w:pPr>
        <w:spacing w:after="0" w:line="71" w:lineRule="exact"/>
        <w:rPr>
          <w:sz w:val="20"/>
          <w:szCs w:val="20"/>
          <w:color w:val="auto"/>
        </w:rPr>
      </w:pPr>
    </w:p>
    <w:p>
      <w:pPr>
        <w:sectPr>
          <w:pgSz w:w="11900" w:h="16838" w:orient="portrait"/>
          <w:cols w:equalWidth="0" w:num="2">
            <w:col w:w="3320" w:space="180"/>
            <w:col w:w="7760"/>
          </w:cols>
          <w:pgMar w:left="320" w:top="247" w:right="319" w:bottom="1440" w:gutter="0" w:footer="0" w:header="0"/>
          <w:type w:val="continuous"/>
        </w:sectPr>
      </w:pPr>
    </w:p>
    <w:p>
      <w:pPr>
        <w:ind w:left="3260"/>
        <w:spacing w:after="0"/>
        <w:rPr>
          <w:sz w:val="20"/>
          <w:szCs w:val="20"/>
          <w:color w:val="auto"/>
        </w:rPr>
      </w:pPr>
      <w:r>
        <w:rPr>
          <w:rFonts w:ascii="Times New Roman" w:cs="Times New Roman" w:eastAsia="Times New Roman" w:hAnsi="Times New Roman"/>
          <w:sz w:val="15"/>
          <w:szCs w:val="15"/>
          <w:color w:val="auto"/>
        </w:rPr>
        <w:t>The Company may permit other forms of payment in its discretion to the extent permitted by the Plan.</w:t>
      </w:r>
    </w:p>
    <w:p>
      <w:pPr>
        <w:spacing w:after="0" w:line="1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247" w:right="319" w:bottom="1440" w:gutter="0" w:footer="0" w:header="0"/>
          <w:type w:val="continuous"/>
        </w:sectPr>
      </w:pPr>
    </w:p>
    <w:bookmarkStart w:id="446" w:name="page447"/>
    <w:bookmarkEnd w:id="446"/>
    <w:p>
      <w:pPr>
        <w:spacing w:after="0"/>
        <w:rPr>
          <w:sz w:val="20"/>
          <w:szCs w:val="20"/>
          <w:color w:val="auto"/>
        </w:rPr>
      </w:pPr>
      <w:r>
        <w:rPr>
          <w:rFonts w:ascii="Times New Roman" w:cs="Times New Roman" w:eastAsia="Times New Roman" w:hAnsi="Times New Roman"/>
          <w:sz w:val="14"/>
          <w:szCs w:val="14"/>
          <w:b w:val="1"/>
          <w:bCs w:val="1"/>
          <w:color w:val="auto"/>
        </w:rPr>
        <w:t>Withholding Taxes</w:t>
      </w:r>
    </w:p>
    <w:p>
      <w:pPr>
        <w:spacing w:after="0" w:line="20" w:lineRule="exact"/>
        <w:rPr>
          <w:sz w:val="20"/>
          <w:szCs w:val="20"/>
          <w:color w:val="auto"/>
        </w:rPr>
      </w:pPr>
      <w:r>
        <w:rPr>
          <w:sz w:val="20"/>
          <w:szCs w:val="20"/>
          <w:color w:val="auto"/>
        </w:rPr>
        <w:br w:type="column"/>
      </w:r>
    </w:p>
    <w:p>
      <w:pPr>
        <w:ind w:right="20"/>
        <w:spacing w:after="0" w:line="260" w:lineRule="auto"/>
        <w:rPr>
          <w:sz w:val="20"/>
          <w:szCs w:val="20"/>
          <w:color w:val="auto"/>
        </w:rPr>
      </w:pPr>
      <w:r>
        <w:rPr>
          <w:rFonts w:ascii="Times New Roman" w:cs="Times New Roman" w:eastAsia="Times New Roman" w:hAnsi="Times New Roman"/>
          <w:sz w:val="15"/>
          <w:szCs w:val="15"/>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options, including, but not limited to, the grant, vesting or exercise of the option, the issuance of shares upon exercise of the option, the subsequent sale of shares acquired pursuant to such exercise and the receipt of any dividends and/or any dividend equivalents; and (2) do not commit to and are under no obligation to structure the terms of the option or any aspect of the option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-1376045</wp:posOffset>
            </wp:positionV>
            <wp:extent cx="7167245"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960"/>
          </w:cols>
          <w:pgMar w:left="320" w:top="248" w:right="359" w:bottom="1440" w:gutter="0" w:footer="0" w:header="0"/>
        </w:sectPr>
      </w:pPr>
    </w:p>
    <w:p>
      <w:pPr>
        <w:spacing w:after="0" w:line="62" w:lineRule="exact"/>
        <w:rPr>
          <w:sz w:val="20"/>
          <w:szCs w:val="20"/>
          <w:color w:val="auto"/>
        </w:rPr>
      </w:pPr>
    </w:p>
    <w:p>
      <w:pPr>
        <w:ind w:left="3260"/>
        <w:spacing w:after="0" w:line="262" w:lineRule="auto"/>
        <w:rPr>
          <w:sz w:val="20"/>
          <w:szCs w:val="20"/>
          <w:color w:val="auto"/>
        </w:rPr>
      </w:pPr>
      <w:r>
        <w:rPr>
          <w:rFonts w:ascii="Times New Roman" w:cs="Times New Roman" w:eastAsia="Times New Roman" w:hAnsi="Times New Roman"/>
          <w:sz w:val="15"/>
          <w:szCs w:val="15"/>
          <w:color w:val="auto"/>
        </w:rPr>
        <w:t>You will not be allowed to exercise this option unless you make arrangements acceptable to the Company and/or the Employer to pay any Tax-Related Items that the Company and/or the Employer determine must be withheld. These arrangements include payment in cash or via the same-day sale procedure described above. With the Company’s consent, these arrangements may also include (a) withholding shares of Company stock that otherwise would be issued to you when you exercise this option with a value equal to withholding taxes, (b) surrendering shares that you previously acquired with a value equal to the withholding taxes, or (c) withholding cash from other compensation. The value of withheld or surrendered shares, determined as of the date when taxes otherwise would have been withheld in cash, will be applied to the Tax-Related Items.</w:t>
      </w:r>
    </w:p>
    <w:p>
      <w:pPr>
        <w:sectPr>
          <w:pgSz w:w="11900" w:h="16838" w:orient="portrait"/>
          <w:cols w:equalWidth="0" w:num="1">
            <w:col w:w="11220"/>
          </w:cols>
          <w:pgMar w:left="320" w:top="248" w:right="35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You agree not to sell any option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49"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Transfer of Option</w:t>
      </w:r>
    </w:p>
    <w:p>
      <w:pPr>
        <w:spacing w:after="0" w:line="20" w:lineRule="exact"/>
        <w:rPr>
          <w:sz w:val="20"/>
          <w:szCs w:val="20"/>
          <w:color w:val="auto"/>
        </w:rPr>
      </w:pPr>
      <w:r>
        <w:rPr>
          <w:sz w:val="20"/>
          <w:szCs w:val="20"/>
          <w:color w:val="auto"/>
        </w:rPr>
        <w:br w:type="column"/>
      </w:r>
    </w:p>
    <w:p>
      <w:pPr>
        <w:ind w:right="20"/>
        <w:spacing w:after="0" w:line="262" w:lineRule="auto"/>
        <w:rPr>
          <w:sz w:val="20"/>
          <w:szCs w:val="20"/>
          <w:color w:val="auto"/>
        </w:rPr>
      </w:pPr>
      <w:r>
        <w:rPr>
          <w:rFonts w:ascii="Times New Roman" w:cs="Times New Roman" w:eastAsia="Times New Roman" w:hAnsi="Times New Roman"/>
          <w:sz w:val="15"/>
          <w:szCs w:val="15"/>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dispose of this option in your will or by means of a written beneficiary designation (if authorized by the Company and to the extent such beneficiary designation is valid under applicable law) which must be filed with the Company on the proper form; provided, however, that your beneficiary or a representative of your estate acknowledges and agrees in writing in a form reasonably acceptable to the Company, to be bound by the provisions of this Agreement and the Plan as if such beneficiary or representative of the estate were you.</w:t>
      </w:r>
    </w:p>
    <w:p>
      <w:pPr>
        <w:spacing w:after="0" w:line="77"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ind w:left="3260" w:right="140"/>
        <w:spacing w:after="0" w:line="293" w:lineRule="auto"/>
        <w:rPr>
          <w:sz w:val="20"/>
          <w:szCs w:val="20"/>
          <w:color w:val="auto"/>
        </w:rPr>
      </w:pPr>
      <w:r>
        <w:rPr>
          <w:rFonts w:ascii="Times New Roman" w:cs="Times New Roman" w:eastAsia="Times New Roman" w:hAnsi="Times New Roman"/>
          <w:sz w:val="15"/>
          <w:szCs w:val="15"/>
          <w:color w:val="auto"/>
        </w:rPr>
        <w:t>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20"/>
          </w:cols>
          <w:pgMar w:left="320" w:top="248" w:right="359" w:bottom="1440" w:gutter="0" w:footer="0" w:header="0"/>
          <w:type w:val="continuous"/>
        </w:sectPr>
      </w:pPr>
    </w:p>
    <w:bookmarkStart w:id="447" w:name="page448"/>
    <w:bookmarkEnd w:id="447"/>
    <w:p>
      <w:pPr>
        <w:spacing w:after="0"/>
        <w:rPr>
          <w:sz w:val="20"/>
          <w:szCs w:val="20"/>
          <w:color w:val="auto"/>
        </w:rPr>
      </w:pPr>
      <w:r>
        <w:rPr>
          <w:rFonts w:ascii="Times New Roman" w:cs="Times New Roman" w:eastAsia="Times New Roman" w:hAnsi="Times New Roman"/>
          <w:sz w:val="15"/>
          <w:szCs w:val="15"/>
          <w:b w:val="1"/>
          <w:bCs w:val="1"/>
          <w:color w:val="auto"/>
        </w:rPr>
        <w:t>No Retention Rights</w:t>
      </w:r>
    </w:p>
    <w:p>
      <w:pPr>
        <w:spacing w:after="0" w:line="20" w:lineRule="exact"/>
        <w:rPr>
          <w:sz w:val="20"/>
          <w:szCs w:val="20"/>
          <w:color w:val="auto"/>
        </w:rPr>
      </w:pPr>
      <w:r>
        <w:rPr>
          <w:sz w:val="20"/>
          <w:szCs w:val="20"/>
          <w:color w:val="auto"/>
        </w:rPr>
        <w:br w:type="column"/>
      </w:r>
    </w:p>
    <w:p>
      <w:pPr>
        <w:jc w:val="both"/>
        <w:ind w:right="60"/>
        <w:spacing w:after="0" w:line="268" w:lineRule="auto"/>
        <w:rPr>
          <w:sz w:val="20"/>
          <w:szCs w:val="20"/>
          <w:color w:val="auto"/>
        </w:rPr>
      </w:pPr>
      <w:r>
        <w:rPr>
          <w:rFonts w:ascii="Times New Roman" w:cs="Times New Roman" w:eastAsia="Times New Roman" w:hAnsi="Times New Roman"/>
          <w:sz w:val="15"/>
          <w:szCs w:val="15"/>
          <w:color w:val="auto"/>
        </w:rPr>
        <w:t>You understand that neither this option nor this Agreement alters the at-will nature of your relationship with the Company. Your option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-560070</wp:posOffset>
            </wp:positionV>
            <wp:extent cx="7167245" cy="2222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2540" w:space="720"/>
            <w:col w:w="7920"/>
          </w:cols>
          <w:pgMar w:left="320" w:top="248" w:right="39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Stockholder Rights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Times New Roman" w:cs="Times New Roman" w:eastAsia="Times New Roman" w:hAnsi="Times New Roman"/>
          <w:sz w:val="15"/>
          <w:szCs w:val="15"/>
          <w:color w:val="auto"/>
        </w:rPr>
        <w:t>You, or your estate or heirs, have no rights as a stockholder of the Company until you have exercised this option by giving the required notice to the Company, paying the exercise price, and satisfying any applicable Tax-Related Items. No adjustments are made for dividends or other rights if the applicable record date occurs before you exercise this option, except as described in the Plan.</w:t>
      </w:r>
    </w:p>
    <w:p>
      <w:pPr>
        <w:spacing w:after="0" w:line="56" w:lineRule="exact"/>
        <w:rPr>
          <w:sz w:val="20"/>
          <w:szCs w:val="20"/>
          <w:color w:val="auto"/>
        </w:rPr>
      </w:pPr>
    </w:p>
    <w:p>
      <w:pPr>
        <w:sectPr>
          <w:pgSz w:w="11900" w:h="16838" w:orient="portrait"/>
          <w:cols w:equalWidth="0" w:num="2">
            <w:col w:w="2540" w:space="720"/>
            <w:col w:w="7920"/>
          </w:cols>
          <w:pgMar w:left="320" w:top="2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320"/>
        <w:spacing w:after="0" w:line="293" w:lineRule="auto"/>
        <w:rPr>
          <w:sz w:val="20"/>
          <w:szCs w:val="20"/>
          <w:color w:val="auto"/>
        </w:rPr>
      </w:pPr>
      <w:r>
        <w:rPr>
          <w:rFonts w:ascii="Times New Roman" w:cs="Times New Roman" w:eastAsia="Times New Roman" w:hAnsi="Times New Roman"/>
          <w:sz w:val="15"/>
          <w:szCs w:val="15"/>
          <w:color w:val="auto"/>
        </w:rPr>
        <w:t>This option, and the shares acquired upon exercise of this option, shall be subject to any Company recoupment or clawback policy in effect from time to time.</w:t>
      </w:r>
    </w:p>
    <w:p>
      <w:pPr>
        <w:spacing w:after="0" w:line="36" w:lineRule="exact"/>
        <w:rPr>
          <w:sz w:val="20"/>
          <w:szCs w:val="20"/>
          <w:color w:val="auto"/>
        </w:rPr>
      </w:pPr>
    </w:p>
    <w:p>
      <w:pPr>
        <w:sectPr>
          <w:pgSz w:w="11900" w:h="16838" w:orient="portrait"/>
          <w:cols w:equalWidth="0" w:num="2">
            <w:col w:w="2540" w:space="720"/>
            <w:col w:w="7920"/>
          </w:cols>
          <w:pgMar w:left="320" w:top="2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Adjustments</w:t>
      </w:r>
    </w:p>
    <w:p>
      <w:pPr>
        <w:spacing w:after="0" w:line="20" w:lineRule="exact"/>
        <w:rPr>
          <w:sz w:val="20"/>
          <w:szCs w:val="20"/>
          <w:color w:val="auto"/>
        </w:rPr>
      </w:pPr>
      <w:r>
        <w:rPr>
          <w:sz w:val="20"/>
          <w:szCs w:val="20"/>
          <w:color w:val="auto"/>
        </w:rPr>
        <w:br w:type="column"/>
      </w:r>
    </w:p>
    <w:p>
      <w:pPr>
        <w:ind w:right="140"/>
        <w:spacing w:after="0" w:line="293" w:lineRule="auto"/>
        <w:rPr>
          <w:sz w:val="20"/>
          <w:szCs w:val="20"/>
          <w:color w:val="auto"/>
        </w:rPr>
      </w:pPr>
      <w:r>
        <w:rPr>
          <w:rFonts w:ascii="Times New Roman" w:cs="Times New Roman" w:eastAsia="Times New Roman" w:hAnsi="Times New Roman"/>
          <w:sz w:val="15"/>
          <w:szCs w:val="15"/>
          <w:color w:val="auto"/>
        </w:rPr>
        <w:t>In the event of a stock split, a stock dividend or a similar change in Company common stock, the number of shares covered by this option and the exercise price per share will be adjusted pursuant to the Plan.</w:t>
      </w:r>
    </w:p>
    <w:p>
      <w:pPr>
        <w:spacing w:after="0" w:line="36" w:lineRule="exact"/>
        <w:rPr>
          <w:sz w:val="20"/>
          <w:szCs w:val="20"/>
          <w:color w:val="auto"/>
        </w:rPr>
      </w:pPr>
    </w:p>
    <w:p>
      <w:pPr>
        <w:sectPr>
          <w:pgSz w:w="11900" w:h="16838" w:orient="portrait"/>
          <w:cols w:equalWidth="0" w:num="2">
            <w:col w:w="2540" w:space="720"/>
            <w:col w:w="7920"/>
          </w:cols>
          <w:pgMar w:left="320" w:top="2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Times New Roman" w:cs="Times New Roman" w:eastAsia="Times New Roman" w:hAnsi="Times New Roman"/>
          <w:sz w:val="15"/>
          <w:szCs w:val="15"/>
          <w:color w:val="auto"/>
        </w:rPr>
        <w:t>If the Company is a party to a merger, consolidation, or certain change in control transactions, then this option will be subject to the applicable provisions of Article 9 of the Plan.</w:t>
      </w:r>
    </w:p>
    <w:p>
      <w:pPr>
        <w:spacing w:after="0" w:line="36" w:lineRule="exact"/>
        <w:rPr>
          <w:sz w:val="20"/>
          <w:szCs w:val="20"/>
          <w:color w:val="auto"/>
        </w:rPr>
      </w:pPr>
    </w:p>
    <w:p>
      <w:pPr>
        <w:sectPr>
          <w:pgSz w:w="11900" w:h="16838" w:orient="portrait"/>
          <w:cols w:equalWidth="0" w:num="2">
            <w:col w:w="2900" w:space="360"/>
            <w:col w:w="7920"/>
          </w:cols>
          <w:pgMar w:left="320" w:top="2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Applicable Law</w:t>
      </w:r>
    </w:p>
    <w:p>
      <w:pPr>
        <w:spacing w:after="0" w:line="20" w:lineRule="exact"/>
        <w:rPr>
          <w:sz w:val="20"/>
          <w:szCs w:val="20"/>
          <w:color w:val="auto"/>
        </w:rPr>
      </w:pPr>
      <w:r>
        <w:rPr>
          <w:sz w:val="20"/>
          <w:szCs w:val="20"/>
          <w:color w:val="auto"/>
        </w:rPr>
        <w:br w:type="column"/>
      </w:r>
    </w:p>
    <w:p>
      <w:pPr>
        <w:ind w:right="220"/>
        <w:spacing w:after="0" w:line="293" w:lineRule="auto"/>
        <w:rPr>
          <w:sz w:val="20"/>
          <w:szCs w:val="20"/>
          <w:color w:val="auto"/>
        </w:rPr>
      </w:pPr>
      <w:r>
        <w:rPr>
          <w:rFonts w:ascii="Times New Roman" w:cs="Times New Roman" w:eastAsia="Times New Roman" w:hAnsi="Times New Roman"/>
          <w:sz w:val="15"/>
          <w:szCs w:val="15"/>
          <w:color w:val="auto"/>
        </w:rPr>
        <w:t>This Agreement will be interpreted and enforced under the laws of the State of Delaware (without regard to its choice-of-law provisions).</w:t>
      </w:r>
    </w:p>
    <w:p>
      <w:pPr>
        <w:spacing w:after="0" w:line="36" w:lineRule="exact"/>
        <w:rPr>
          <w:sz w:val="20"/>
          <w:szCs w:val="20"/>
          <w:color w:val="auto"/>
        </w:rPr>
      </w:pPr>
    </w:p>
    <w:p>
      <w:pPr>
        <w:sectPr>
          <w:pgSz w:w="11900" w:h="16838" w:orient="portrait"/>
          <w:cols w:equalWidth="0" w:num="2">
            <w:col w:w="2540" w:space="720"/>
            <w:col w:w="7920"/>
          </w:cols>
          <w:pgMar w:left="320" w:top="248"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text of the Plan is incorporated in this Agreement by reference.</w:t>
      </w:r>
    </w:p>
    <w:p>
      <w:pPr>
        <w:spacing w:after="0" w:line="116" w:lineRule="exact"/>
        <w:rPr>
          <w:sz w:val="20"/>
          <w:szCs w:val="20"/>
          <w:color w:val="auto"/>
        </w:rPr>
      </w:pPr>
    </w:p>
    <w:p>
      <w:pPr>
        <w:sectPr>
          <w:pgSz w:w="11900" w:h="16838" w:orient="portrait"/>
          <w:cols w:equalWidth="0" w:num="2">
            <w:col w:w="2540" w:space="720"/>
            <w:col w:w="7920"/>
          </w:cols>
          <w:pgMar w:left="320" w:top="248" w:right="399" w:bottom="1440" w:gutter="0" w:footer="0" w:header="0"/>
          <w:type w:val="continuous"/>
        </w:sectPr>
      </w:pPr>
    </w:p>
    <w:p>
      <w:pPr>
        <w:ind w:left="3260"/>
        <w:spacing w:after="0" w:line="275" w:lineRule="auto"/>
        <w:rPr>
          <w:sz w:val="20"/>
          <w:szCs w:val="20"/>
          <w:color w:val="auto"/>
        </w:rPr>
      </w:pPr>
      <w:r>
        <w:rPr>
          <w:rFonts w:ascii="Times New Roman" w:cs="Times New Roman" w:eastAsia="Times New Roman" w:hAnsi="Times New Roman"/>
          <w:sz w:val="15"/>
          <w:szCs w:val="15"/>
          <w:color w:val="auto"/>
        </w:rPr>
        <w:t>This Plan, this Agreement and the Grant Notice constitute the entire understanding between you and the Company regarding this option. Any prior agreements, commitments or negotiations concerning this option are superseded. This Agreement may be amended only by another written agreement between the parties.</w:t>
      </w:r>
    </w:p>
    <w:p>
      <w:pPr>
        <w:sectPr>
          <w:pgSz w:w="11900" w:h="16838" w:orient="portrait"/>
          <w:cols w:equalWidth="0" w:num="1">
            <w:col w:w="11180"/>
          </w:cols>
          <w:pgMar w:left="320" w:top="248" w:right="399" w:bottom="1440" w:gutter="0" w:footer="0" w:header="0"/>
          <w:type w:val="continuous"/>
        </w:sect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BY ACCEPTING THIS OPTION GRANT, YOU AGREE TO ALL OF THE TERMS AND</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CONDITIONS DESCRIBED ABOVE AND IN THE PLAN.</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180"/>
          </w:cols>
          <w:pgMar w:left="320" w:top="248" w:right="399" w:bottom="1440" w:gutter="0" w:footer="0" w:header="0"/>
          <w:type w:val="continuous"/>
        </w:sectPr>
      </w:pPr>
    </w:p>
    <w:bookmarkStart w:id="448" w:name="page449"/>
    <w:bookmarkEnd w:id="44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WARD</w:t>
      </w:r>
    </w:p>
    <w:p>
      <w:pPr>
        <w:spacing w:after="0" w:line="200"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5"/>
          <w:szCs w:val="15"/>
          <w:color w:val="auto"/>
        </w:rPr>
        <w:t>You have been granted Restricted Stock Units (“RSUs”), each representing the right to receive one share of common stock of Tarsus Pharmaceuticals, Inc. (the “Company”) on the following terms:</w:t>
      </w:r>
    </w:p>
    <w:p>
      <w:pPr>
        <w:sectPr>
          <w:pgSz w:w="11900" w:h="16838" w:orient="portrait"/>
          <w:cols w:equalWidth="0" w:num="1">
            <w:col w:w="11240"/>
          </w:cols>
          <w:pgMar w:left="320" w:top="248" w:right="339" w:bottom="1440" w:gutter="0" w:footer="0" w:header="0"/>
        </w:sectPr>
      </w:pPr>
    </w:p>
    <w:p>
      <w:pPr>
        <w:spacing w:after="0" w:line="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Name of Recipient: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104" w:lineRule="exact"/>
        <w:rPr>
          <w:sz w:val="20"/>
          <w:szCs w:val="20"/>
          <w:color w:val="auto"/>
        </w:rPr>
      </w:pPr>
    </w:p>
    <w:p>
      <w:pPr>
        <w:sectPr>
          <w:pgSz w:w="11900" w:h="16838" w:orient="portrait"/>
          <w:cols w:equalWidth="0" w:num="2">
            <w:col w:w="3680" w:space="720"/>
            <w:col w:w="684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«TotalRSUs»</w:t>
      </w:r>
    </w:p>
    <w:p>
      <w:pPr>
        <w:spacing w:after="0" w:line="104" w:lineRule="exact"/>
        <w:rPr>
          <w:sz w:val="20"/>
          <w:szCs w:val="20"/>
          <w:color w:val="auto"/>
        </w:rPr>
      </w:pPr>
    </w:p>
    <w:p>
      <w:pPr>
        <w:sectPr>
          <w:pgSz w:w="11900" w:h="16838" w:orient="portrait"/>
          <w:cols w:equalWidth="0" w:num="2">
            <w:col w:w="3680" w:space="720"/>
            <w:col w:w="684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«DateGrant»</w:t>
      </w:r>
    </w:p>
    <w:p>
      <w:pPr>
        <w:spacing w:after="0" w:line="104" w:lineRule="exact"/>
        <w:rPr>
          <w:sz w:val="20"/>
          <w:szCs w:val="20"/>
          <w:color w:val="auto"/>
        </w:rPr>
      </w:pPr>
    </w:p>
    <w:p>
      <w:pPr>
        <w:sectPr>
          <w:pgSz w:w="11900" w:h="16838" w:orient="portrait"/>
          <w:cols w:equalWidth="0" w:num="2">
            <w:col w:w="3680" w:space="720"/>
            <w:col w:w="6840"/>
          </w:cols>
          <w:pgMar w:left="320" w:top="248" w:right="3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5"/>
          <w:szCs w:val="15"/>
          <w:color w:val="auto"/>
        </w:rPr>
        <w:t>Vesting Schedule:</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Times New Roman" w:cs="Times New Roman" w:eastAsia="Times New Roman" w:hAnsi="Times New Roman"/>
          <w:sz w:val="15"/>
          <w:szCs w:val="15"/>
          <w:color w:val="auto"/>
        </w:rPr>
        <w:t>The first «CliffPercent»% of the RSUs subject to this award will vest on «InitialVestDate», an additional «IncrementPercent»% of the RSUs subject to this award will vest on «SecondVestDate», and an additional «IncrementPercent»% of the RSUs subject to this award will vest on the final day of each «IncrementPeriod»-month period thereafter, provided that you remain in continuous service as an [Employee or Consultant] [Outside Director] (“Service”) through each such date.</w:t>
      </w:r>
    </w:p>
    <w:p>
      <w:pPr>
        <w:spacing w:after="0" w:line="154" w:lineRule="exact"/>
        <w:rPr>
          <w:sz w:val="20"/>
          <w:szCs w:val="20"/>
          <w:color w:val="auto"/>
        </w:rPr>
      </w:pPr>
    </w:p>
    <w:p>
      <w:pPr>
        <w:sectPr>
          <w:pgSz w:w="11900" w:h="16838" w:orient="portrait"/>
          <w:cols w:equalWidth="0" w:num="2">
            <w:col w:w="3680" w:space="720"/>
            <w:col w:w="6840"/>
          </w:cols>
          <w:pgMar w:left="320" w:top="248" w:right="33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5"/>
          <w:szCs w:val="15"/>
          <w:color w:val="auto"/>
        </w:rPr>
        <w:t>You and the Company agree that these RSUs are granted under and governed by the terms and conditions of the Company’s 2020 Equity Incentive Plan (the “Plan”) and the Restricted Stock Unit Agreement, both of which are attached to, and made a part of, this document. Capitalized terms not otherwise defined herein shall have the meanings assigned to such terms in the Plan.</w:t>
      </w:r>
    </w:p>
    <w:p>
      <w:pPr>
        <w:spacing w:after="0" w:line="1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5"/>
          <w:szCs w:val="15"/>
          <w:color w:val="auto"/>
        </w:rPr>
        <w:t>The Company may, in its sole discretion, decide to deliver any documents related to RSUs awarded under the Plan, future RSUs that may be awarded under the Plan and all documents that the Company is required to deliver to security holders (including annual reports and proxy statements) by email or other electronic means (including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You further agree to comply with the Company’s </w:t>
      </w:r>
      <w:r>
        <w:rPr>
          <w:rFonts w:ascii="Times New Roman" w:cs="Times New Roman" w:eastAsia="Times New Roman" w:hAnsi="Times New Roman"/>
          <w:sz w:val="15"/>
          <w:szCs w:val="15"/>
          <w:i w:val="1"/>
          <w:iCs w:val="1"/>
          <w:color w:val="auto"/>
        </w:rPr>
        <w:t>Insider Trading Policy</w:t>
      </w:r>
      <w:r>
        <w:rPr>
          <w:rFonts w:ascii="Times New Roman" w:cs="Times New Roman" w:eastAsia="Times New Roman" w:hAnsi="Times New Roman"/>
          <w:sz w:val="15"/>
          <w:szCs w:val="15"/>
          <w:color w:val="auto"/>
        </w:rPr>
        <w:t xml:space="preserve"> when selling shares of the Company’s common stock.</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40"/>
          </w:cols>
          <w:pgMar w:left="320" w:top="248" w:right="339" w:bottom="1440" w:gutter="0" w:footer="0" w:header="0"/>
          <w:type w:val="continuous"/>
        </w:sectPr>
      </w:pPr>
    </w:p>
    <w:bookmarkStart w:id="449" w:name="page450"/>
    <w:bookmarkEnd w:id="449"/>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w:t>
      </w:r>
    </w:p>
    <w:p>
      <w:pPr>
        <w:sectPr>
          <w:pgSz w:w="11900" w:h="16838" w:orient="portrait"/>
          <w:cols w:equalWidth="0" w:num="1">
            <w:col w:w="11220"/>
          </w:cols>
          <w:pgMar w:left="320" w:top="248" w:right="35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Grant of RSUs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auto"/>
        </w:rPr>
        <w:t>Subject to all of the terms and conditions set forth in the Notice of Restricted Stock Unit Award (the “Grant Notice”), this Restricted Stock Unit Agreement (the “Agreement”) and the Plan, the Company has granted to you the number of RSUs set forth in the Grant Notice.</w:t>
      </w:r>
    </w:p>
    <w:p>
      <w:pPr>
        <w:spacing w:after="0" w:line="64"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ind w:left="3260"/>
        <w:spacing w:after="0" w:line="293" w:lineRule="auto"/>
        <w:rPr>
          <w:sz w:val="20"/>
          <w:szCs w:val="20"/>
          <w:color w:val="auto"/>
        </w:rPr>
      </w:pPr>
      <w:r>
        <w:rPr>
          <w:rFonts w:ascii="Times New Roman" w:cs="Times New Roman" w:eastAsia="Times New Roman" w:hAnsi="Times New Roman"/>
          <w:sz w:val="15"/>
          <w:szCs w:val="15"/>
          <w:color w:val="auto"/>
        </w:rPr>
        <w:t>All capitalized terms used in this Agreement shall have the meanings assigned to them in this Agreement, the Grant Notice or the Plan.</w:t>
      </w:r>
    </w:p>
    <w:p>
      <w:pPr>
        <w:sectPr>
          <w:pgSz w:w="11900" w:h="16838" w:orient="portrait"/>
          <w:cols w:equalWidth="0" w:num="1">
            <w:col w:w="11220"/>
          </w:cols>
          <w:pgMar w:left="320" w:top="248"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Nature of RSUs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auto"/>
        </w:rPr>
        <w:t>Your RSUs are bookkeeping entries. They represent only the Company’s unfunded and unsecured promise to issue shares of common stock on a future date. As a holder of RSUs, you have no rights other than the rights of a general creditor of the Company.</w:t>
      </w:r>
    </w:p>
    <w:p>
      <w:pPr>
        <w:spacing w:after="0" w:line="49"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Payment for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 payment is required for the RSUs that you are receiving.</w:t>
      </w:r>
    </w:p>
    <w:p>
      <w:pPr>
        <w:spacing w:after="0" w:line="100"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RSUs vest in accordance with the vesting schedule set forth in the Grant Notice.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no event will any additional RSUs vest after your Service has terminated for any reason unless expressly provided in a written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agreement between you and the Company.</w:t>
      </w:r>
    </w:p>
    <w:p>
      <w:pPr>
        <w:spacing w:after="0" w:line="97"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Termination of Service/Forfeiture</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Times New Roman" w:cs="Times New Roman" w:eastAsia="Times New Roman" w:hAnsi="Times New Roman"/>
          <w:sz w:val="15"/>
          <w:szCs w:val="15"/>
          <w:color w:val="auto"/>
        </w:rPr>
        <w:t>If your Service terminates for any reason, then your RSUs will be forfeited to the extent that they have not vested before the termination date and do not vest as a result of the termination of your Service. This means that any RSUs that have not vested under this Agreement will be cancelled immediately. You will receive no payment for RSUs that are forfeited. The Company determines when your Service terminates for all purposes of your RSUs.</w:t>
      </w:r>
    </w:p>
    <w:p>
      <w:pPr>
        <w:spacing w:after="0" w:line="56"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Leaves of Absence and Part-Time Work</w:t>
      </w:r>
    </w:p>
    <w:p>
      <w:pPr>
        <w:spacing w:after="0" w:line="20" w:lineRule="exact"/>
        <w:rPr>
          <w:sz w:val="20"/>
          <w:szCs w:val="20"/>
          <w:color w:val="auto"/>
        </w:rPr>
      </w:pPr>
      <w:r>
        <w:rPr>
          <w:sz w:val="20"/>
          <w:szCs w:val="20"/>
          <w:color w:val="auto"/>
        </w:rPr>
        <w:br w:type="column"/>
      </w:r>
    </w:p>
    <w:p>
      <w:pPr>
        <w:ind w:right="200"/>
        <w:spacing w:after="0" w:line="270" w:lineRule="auto"/>
        <w:rPr>
          <w:sz w:val="20"/>
          <w:szCs w:val="20"/>
          <w:color w:val="auto"/>
        </w:rPr>
      </w:pPr>
      <w:r>
        <w:rPr>
          <w:rFonts w:ascii="Times New Roman" w:cs="Times New Roman" w:eastAsia="Times New Roman" w:hAnsi="Times New Roman"/>
          <w:sz w:val="15"/>
          <w:szCs w:val="15"/>
          <w:color w:val="auto"/>
        </w:rPr>
        <w:t xml:space="preserve">For purposes of this award, your Service does not terminate when you go on a military leave, a sick leave or another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pacing w:after="0" w:line="69" w:lineRule="exact"/>
        <w:rPr>
          <w:sz w:val="20"/>
          <w:szCs w:val="20"/>
          <w:color w:val="auto"/>
        </w:rPr>
      </w:pPr>
    </w:p>
    <w:p>
      <w:pPr>
        <w:sectPr>
          <w:pgSz w:w="11900" w:h="16838" w:orient="portrait"/>
          <w:cols w:equalWidth="0" w:num="2">
            <w:col w:w="2620" w:space="640"/>
            <w:col w:w="7960"/>
          </w:cols>
          <w:pgMar w:left="320" w:top="248" w:right="359" w:bottom="1440" w:gutter="0" w:footer="0" w:header="0"/>
          <w:type w:val="continuous"/>
        </w:sectPr>
      </w:pPr>
    </w:p>
    <w:p>
      <w:pPr>
        <w:ind w:left="3260" w:right="40"/>
        <w:spacing w:after="0" w:line="275" w:lineRule="auto"/>
        <w:rPr>
          <w:sz w:val="20"/>
          <w:szCs w:val="20"/>
          <w:color w:val="auto"/>
        </w:rPr>
      </w:pPr>
      <w:r>
        <w:rPr>
          <w:rFonts w:ascii="Times New Roman" w:cs="Times New Roman" w:eastAsia="Times New Roman" w:hAnsi="Times New Roman"/>
          <w:sz w:val="15"/>
          <w:szCs w:val="15"/>
          <w:color w:val="auto"/>
        </w:rPr>
        <w:t>If you go on a leave of absence, or if you commence working on a part-time basis, the Company may adjust the vesting schedule in accordance with the Company’s leave of absence policy or the terms of your leave or so that the rate of vesting is commensurate with your reduced work schedule, as applicable.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20"/>
          </w:cols>
          <w:pgMar w:left="320" w:top="248" w:right="359" w:bottom="1440" w:gutter="0" w:footer="0" w:header="0"/>
          <w:type w:val="continuous"/>
        </w:sectPr>
      </w:pPr>
    </w:p>
    <w:bookmarkStart w:id="450" w:name="page451"/>
    <w:bookmarkEnd w:id="450"/>
    <w:p>
      <w:pPr>
        <w:spacing w:after="0"/>
        <w:rPr>
          <w:sz w:val="20"/>
          <w:szCs w:val="20"/>
          <w:color w:val="auto"/>
        </w:rPr>
      </w:pPr>
      <w:r>
        <w:rPr>
          <w:rFonts w:ascii="Times New Roman" w:cs="Times New Roman" w:eastAsia="Times New Roman" w:hAnsi="Times New Roman"/>
          <w:sz w:val="15"/>
          <w:szCs w:val="15"/>
          <w:b w:val="1"/>
          <w:bCs w:val="1"/>
          <w:color w:val="auto"/>
        </w:rPr>
        <w:t>Settlement of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540"/>
        <w:spacing w:after="0" w:line="683" w:lineRule="auto"/>
        <w:rPr>
          <w:sz w:val="20"/>
          <w:szCs w:val="20"/>
          <w:color w:val="auto"/>
        </w:rPr>
      </w:pPr>
      <w:r>
        <w:rPr>
          <w:rFonts w:ascii="Times New Roman" w:cs="Times New Roman" w:eastAsia="Times New Roman" w:hAnsi="Times New Roman"/>
          <w:sz w:val="15"/>
          <w:szCs w:val="15"/>
          <w:b w:val="1"/>
          <w:bCs w:val="1"/>
          <w:color w:val="auto"/>
        </w:rPr>
        <w:t>No Voting Rights or Dividends RSUs Nontransferable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Beneficiary Designation</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Times New Roman" w:cs="Times New Roman" w:eastAsia="Times New Roman" w:hAnsi="Times New Roman"/>
          <w:sz w:val="15"/>
          <w:szCs w:val="15"/>
          <w:color w:val="auto"/>
        </w:rPr>
        <w:t>Each RSU will be settled as soon as practicable on or following the date when it vests, but in any event within 60 days following the vesting date (unless you and the Company have agreed in writing to a later settlement date pursuant to procedures the Company may prescribe at its discretion). In no event will you be permitted, directly or indirectly, to specify the taxable year of settlement of any RSUs subject to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-560070</wp:posOffset>
            </wp:positionV>
            <wp:extent cx="7167245" cy="222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the time of settlement, you will receive one share of the Company’s common stock for each vested RSU.</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fractional shares will be issued upon settlement.</w:t>
      </w:r>
    </w:p>
    <w:p>
      <w:pPr>
        <w:spacing w:after="0" w:line="11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color w:val="auto"/>
        </w:rPr>
        <w:t>Unless you and the Company have agreed to a deferred settlement date (pursuant to procedures that the Company may prescribe at its discretion), settlement of these restricted stock units is intended to be exempt from the application of Code Section 409A pursuant to Treasury Regulation 1.409A-1(b)(4) and shall be administered and interpreted in a manner that complies with such exception.</w:t>
      </w:r>
    </w:p>
    <w:p>
      <w:pPr>
        <w:spacing w:after="0" w:line="7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Notwithstanding the foregoing, if it is determined that settlement of these RSUs is not exempt from Code Section 409A and the Company determines that you are a “specified employee,” as defined in the regulations under Code Section 409A at the time of your “separation from service,” as defined in Treasury Regulation Section 1.409A-1(h), then this paragraph will apply. If this paragraph applies, and the event triggering settlement is your “separation from service,” then any RSUs that otherwise would have been settled during the first six months following your “separation from service” will instead be settled on the first business day following the earlier of (i) the six-month anniversary of your separation from service or (ii) your death.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installment of RSUs that vests is hereby designated as a separate payment for purposes of Code Section 409A.</w:t>
      </w:r>
    </w:p>
    <w:p>
      <w:pPr>
        <w:spacing w:after="0" w:line="116"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5"/>
          <w:szCs w:val="15"/>
          <w:color w:val="auto"/>
        </w:rPr>
        <w:t>Your RSUs carry neither voting rights nor rights to cash dividends. You have no rights as a stockholder of the Company unless and until your RSUs are settled by issuing shares of the Company’s common stock.</w:t>
      </w:r>
    </w:p>
    <w:p>
      <w:pPr>
        <w:spacing w:after="0" w:line="4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You may not sell, transfer, assign, pledge or otherwise dispose of any RSUs. For instance, you may not use your RSUs as security for a loan. In addition, regardless of any marital property settlement agreement, the Company is not obligated to recognize your former spouse’s interest in your RSUs in any way.</w:t>
      </w:r>
    </w:p>
    <w:p>
      <w:pPr>
        <w:spacing w:after="0" w:line="5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You may dispose of your RSUs in a written beneficiary designation if authorized by the Company and to the extent such beneficiary designation is valid under applicable law. Any beneficiary designation must be filed with the Company on the proper form. It will be recognized only if it has been received at the Company’s headquarters before your death. If you file no beneficiary designation or if none of your designated beneficiaries survives you, then your estate will receive any vested RSUs that you hold at the time of your death.</w:t>
      </w:r>
    </w:p>
    <w:p>
      <w:pPr>
        <w:spacing w:after="0" w:line="9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2">
            <w:col w:w="2540" w:space="720"/>
            <w:col w:w="7980"/>
          </w:cols>
          <w:pgMar w:left="320" w:top="248" w:right="33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4"/>
          <w:szCs w:val="14"/>
          <w:b w:val="1"/>
          <w:bCs w:val="1"/>
          <w:color w:val="auto"/>
        </w:rPr>
        <w:t>Withholding Taxes</w:t>
      </w:r>
    </w:p>
    <w:p>
      <w:pPr>
        <w:spacing w:after="0" w:line="20" w:lineRule="exact"/>
        <w:rPr>
          <w:sz w:val="20"/>
          <w:szCs w:val="20"/>
          <w:color w:val="auto"/>
        </w:rPr>
      </w:pPr>
      <w:r>
        <w:rPr>
          <w:sz w:val="20"/>
          <w:szCs w:val="20"/>
          <w:color w:val="auto"/>
        </w:rPr>
        <w:br w:type="column"/>
      </w:r>
    </w:p>
    <w:p>
      <w:pPr>
        <w:ind w:right="60"/>
        <w:spacing w:after="0" w:line="260" w:lineRule="auto"/>
        <w:rPr>
          <w:sz w:val="20"/>
          <w:szCs w:val="20"/>
          <w:color w:val="auto"/>
        </w:rPr>
      </w:pPr>
      <w:r>
        <w:rPr>
          <w:rFonts w:ascii="Times New Roman" w:cs="Times New Roman" w:eastAsia="Times New Roman" w:hAnsi="Times New Roman"/>
          <w:sz w:val="15"/>
          <w:szCs w:val="15"/>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RSUs, including, but not limited to, the grant or vesting of the RSUs, the issuance of shares upon vesting of the RSUs, the subsequent sale of shares acquired pursuant to such vesting and the receipt of any dividends and/or any dividend equivalents; and (2) do not commit to and are under no obligation to structure the terms of the RSUs or any aspect of the RSUs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-1376045</wp:posOffset>
            </wp:positionV>
            <wp:extent cx="7167245" cy="222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8000"/>
          </w:cols>
          <w:pgMar w:left="320" w:top="248" w:right="319" w:bottom="1440" w:gutter="0" w:footer="0" w:header="0"/>
        </w:sectPr>
      </w:pPr>
    </w:p>
    <w:p>
      <w:pPr>
        <w:spacing w:after="0" w:line="62" w:lineRule="exact"/>
        <w:rPr>
          <w:sz w:val="20"/>
          <w:szCs w:val="20"/>
          <w:color w:val="auto"/>
        </w:rPr>
      </w:pPr>
    </w:p>
    <w:p>
      <w:pPr>
        <w:ind w:left="3260" w:right="40"/>
        <w:spacing w:after="0" w:line="275" w:lineRule="auto"/>
        <w:rPr>
          <w:sz w:val="20"/>
          <w:szCs w:val="20"/>
          <w:color w:val="auto"/>
        </w:rPr>
      </w:pPr>
      <w:r>
        <w:rPr>
          <w:rFonts w:ascii="Times New Roman" w:cs="Times New Roman" w:eastAsia="Times New Roman" w:hAnsi="Times New Roman"/>
          <w:sz w:val="15"/>
          <w:szCs w:val="15"/>
          <w:color w:val="auto"/>
        </w:rPr>
        <w:t>No shares will be distributed to you unless you have made arrangements satisfactory to the Company and/or the Employer for the payment of any Tax-Related Items that the Company and/or the Employer determine must be withheld. In this regard, you authorize the Company, at its sole discretion, to satisfy your Tax-Related Items by one or a combination of the following:</w:t>
      </w:r>
    </w:p>
    <w:p>
      <w:pPr>
        <w:spacing w:after="0" w:line="39" w:lineRule="exact"/>
        <w:rPr>
          <w:sz w:val="20"/>
          <w:szCs w:val="20"/>
          <w:color w:val="auto"/>
        </w:rPr>
      </w:pPr>
    </w:p>
    <w:p>
      <w:pPr>
        <w:ind w:left="3260" w:right="140"/>
        <w:spacing w:after="0" w:line="205"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Withholding the amount of any Tax-Related Items from your wages or other cash compensation paid to you by the Company and/or the Employer.</w:t>
      </w:r>
    </w:p>
    <w:p>
      <w:pPr>
        <w:spacing w:after="0" w:line="64" w:lineRule="exact"/>
        <w:rPr>
          <w:sz w:val="20"/>
          <w:szCs w:val="20"/>
          <w:color w:val="auto"/>
        </w:rPr>
      </w:pPr>
    </w:p>
    <w:p>
      <w:pPr>
        <w:ind w:left="3260" w:right="60"/>
        <w:spacing w:after="0" w:line="191"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Instructing a brokerage firm selected by the Company for this purpose to sell on your behalf a number of whole shares of Company stock to be issued to you when the RSUs are settled that the Company determines are appropriate to generate cash proceeds sufficient to satisfy the Tax-Related Items. You acknowledge that the Company or its designee is under no obligation to arrange for such sale at any particular price. Regardless of whether the Company arranges for such sale, you will be responsible for all fees and other costs of sale, and you agree to indemnify and hold the Company harmless from any losses, costs, damages or expenses relating to any such sale.</w:t>
      </w:r>
    </w:p>
    <w:p>
      <w:pPr>
        <w:spacing w:after="0" w:line="68" w:lineRule="exact"/>
        <w:rPr>
          <w:sz w:val="20"/>
          <w:szCs w:val="20"/>
          <w:color w:val="auto"/>
        </w:rPr>
      </w:pPr>
    </w:p>
    <w:p>
      <w:pPr>
        <w:ind w:left="3260"/>
        <w:spacing w:after="0" w:line="198"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Withholding shares of Company stock that would otherwise be issued to you when the RSUs are settled equal in value to the Tax-Related Items. The fair market value of the withheld shares, determined as of the date when taxes otherwise would have been withheld in cash, will be applied to the Tax-Related Items.</w:t>
      </w:r>
    </w:p>
    <w:p>
      <w:pPr>
        <w:sectPr>
          <w:pgSz w:w="11900" w:h="16838" w:orient="portrait"/>
          <w:cols w:equalWidth="0" w:num="1">
            <w:col w:w="11260"/>
          </w:cols>
          <w:pgMar w:left="320" w:top="248" w:right="319" w:bottom="1440" w:gutter="0" w:footer="0" w:header="0"/>
          <w:type w:val="continuous"/>
        </w:sectPr>
      </w:pPr>
    </w:p>
    <w:p>
      <w:pPr>
        <w:spacing w:after="0" w:line="64" w:lineRule="exact"/>
        <w:rPr>
          <w:sz w:val="20"/>
          <w:szCs w:val="20"/>
          <w:color w:val="auto"/>
        </w:rPr>
      </w:pPr>
    </w:p>
    <w:p>
      <w:pPr>
        <w:ind w:left="32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other means approved by the Company.</w:t>
      </w:r>
    </w:p>
    <w:p>
      <w:pPr>
        <w:spacing w:after="0" w:line="116" w:lineRule="exact"/>
        <w:rPr>
          <w:sz w:val="20"/>
          <w:szCs w:val="20"/>
          <w:color w:val="auto"/>
        </w:rPr>
      </w:pPr>
    </w:p>
    <w:p>
      <w:pPr>
        <w:sectPr>
          <w:pgSz w:w="11900" w:h="16838" w:orient="portrait"/>
          <w:cols w:equalWidth="0" w:num="2">
            <w:col w:w="3400" w:space="40"/>
            <w:col w:w="7820"/>
          </w:cols>
          <w:pgMar w:left="320" w:top="248" w:right="319" w:bottom="1440" w:gutter="0" w:footer="0" w:header="0"/>
          <w:type w:val="continuous"/>
        </w:sectPr>
      </w:pPr>
    </w:p>
    <w:p>
      <w:pPr>
        <w:jc w:val="both"/>
        <w:ind w:left="3260" w:right="260"/>
        <w:spacing w:after="0" w:line="275" w:lineRule="auto"/>
        <w:rPr>
          <w:sz w:val="20"/>
          <w:szCs w:val="20"/>
          <w:color w:val="auto"/>
        </w:rPr>
      </w:pPr>
      <w:r>
        <w:rPr>
          <w:rFonts w:ascii="Times New Roman" w:cs="Times New Roman" w:eastAsia="Times New Roman" w:hAnsi="Times New Roman"/>
          <w:sz w:val="15"/>
          <w:szCs w:val="15"/>
          <w:color w:val="auto"/>
        </w:rPr>
        <w:t>You agree to pay to the Company in cash any amount of Tax-Related Items that the Company does not elect to satisfy by the means described above. To the extent you fail to make satisfactory arrangements for the payment of any required withholding taxes, you will permanently forfeit the applicable RSUs.</w:t>
      </w:r>
    </w:p>
    <w:p>
      <w:pPr>
        <w:sectPr>
          <w:pgSz w:w="11900" w:h="16838" w:orient="portrait"/>
          <w:cols w:equalWidth="0" w:num="1">
            <w:col w:w="11260"/>
          </w:cols>
          <w:pgMar w:left="320" w:top="248" w:right="31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Restrictions on Issuance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will not issue any shares to you if the issuance of shares at that time would violate any law or regulation.</w:t>
      </w:r>
    </w:p>
    <w:p>
      <w:pPr>
        <w:spacing w:after="0" w:line="139" w:lineRule="exact"/>
        <w:rPr>
          <w:sz w:val="20"/>
          <w:szCs w:val="20"/>
          <w:color w:val="auto"/>
        </w:rPr>
      </w:pPr>
    </w:p>
    <w:p>
      <w:pPr>
        <w:sectPr>
          <w:pgSz w:w="11900" w:h="16838" w:orient="portrait"/>
          <w:cols w:equalWidth="0" w:num="2">
            <w:col w:w="2540" w:space="720"/>
            <w:col w:w="8000"/>
          </w:cols>
          <w:pgMar w:left="320" w:top="248"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48" w:right="319" w:bottom="1440" w:gutter="0" w:footer="0" w:header="0"/>
          <w:type w:val="continuous"/>
        </w:sectPr>
      </w:pPr>
    </w:p>
    <w:bookmarkStart w:id="452" w:name="page453"/>
    <w:bookmarkEnd w:id="452"/>
    <w:p>
      <w:pPr>
        <w:spacing w:after="0"/>
        <w:rPr>
          <w:sz w:val="20"/>
          <w:szCs w:val="20"/>
          <w:color w:val="auto"/>
        </w:rPr>
      </w:pPr>
      <w:r>
        <w:rPr>
          <w:rFonts w:ascii="Times New Roman" w:cs="Times New Roman" w:eastAsia="Times New Roman" w:hAnsi="Times New Roman"/>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5"/>
          <w:szCs w:val="15"/>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-447040</wp:posOffset>
            </wp:positionV>
            <wp:extent cx="7167245" cy="2222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2540" w:space="720"/>
            <w:col w:w="7960"/>
          </w:cols>
          <w:pgMar w:left="320" w:top="248" w:right="35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No Retention Rights</w:t>
      </w:r>
    </w:p>
    <w:p>
      <w:pPr>
        <w:spacing w:after="0" w:line="20" w:lineRule="exact"/>
        <w:rPr>
          <w:sz w:val="20"/>
          <w:szCs w:val="20"/>
          <w:color w:val="auto"/>
        </w:rPr>
      </w:pPr>
      <w:r>
        <w:rPr>
          <w:sz w:val="20"/>
          <w:szCs w:val="20"/>
          <w:color w:val="auto"/>
        </w:rPr>
        <w:br w:type="column"/>
      </w:r>
    </w:p>
    <w:p>
      <w:pPr>
        <w:jc w:val="both"/>
        <w:ind w:right="100"/>
        <w:spacing w:after="0" w:line="268" w:lineRule="auto"/>
        <w:rPr>
          <w:sz w:val="20"/>
          <w:szCs w:val="20"/>
          <w:color w:val="auto"/>
        </w:rPr>
      </w:pPr>
      <w:r>
        <w:rPr>
          <w:rFonts w:ascii="Times New Roman" w:cs="Times New Roman" w:eastAsia="Times New Roman" w:hAnsi="Times New Roman"/>
          <w:sz w:val="15"/>
          <w:szCs w:val="15"/>
          <w:color w:val="auto"/>
        </w:rPr>
        <w:t>You understand that neither this award nor this Agreement alters the at-will nature of your relationship with the Company. Your award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56"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Adjustments</w:t>
      </w:r>
    </w:p>
    <w:p>
      <w:pPr>
        <w:spacing w:after="0" w:line="20" w:lineRule="exact"/>
        <w:rPr>
          <w:sz w:val="20"/>
          <w:szCs w:val="20"/>
          <w:color w:val="auto"/>
        </w:rPr>
      </w:pPr>
      <w:r>
        <w:rPr>
          <w:sz w:val="20"/>
          <w:szCs w:val="20"/>
          <w:color w:val="auto"/>
        </w:rPr>
        <w:br w:type="column"/>
      </w:r>
    </w:p>
    <w:p>
      <w:pPr>
        <w:ind w:right="160"/>
        <w:spacing w:after="0" w:line="293" w:lineRule="auto"/>
        <w:rPr>
          <w:sz w:val="20"/>
          <w:szCs w:val="20"/>
          <w:color w:val="auto"/>
        </w:rPr>
      </w:pPr>
      <w:r>
        <w:rPr>
          <w:rFonts w:ascii="Times New Roman" w:cs="Times New Roman" w:eastAsia="Times New Roman" w:hAnsi="Times New Roman"/>
          <w:sz w:val="15"/>
          <w:szCs w:val="15"/>
          <w:color w:val="auto"/>
        </w:rPr>
        <w:t>In the event of a stock split, a stock dividend or a similar change in Company stock, the number of your RSUs will be adjusted pursuant to the Plan.</w:t>
      </w:r>
    </w:p>
    <w:p>
      <w:pPr>
        <w:spacing w:after="0" w:line="36"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jc w:val="both"/>
        <w:ind w:right="60"/>
        <w:spacing w:after="0" w:line="275" w:lineRule="auto"/>
        <w:rPr>
          <w:sz w:val="20"/>
          <w:szCs w:val="20"/>
          <w:color w:val="auto"/>
        </w:rPr>
      </w:pPr>
      <w:r>
        <w:rPr>
          <w:rFonts w:ascii="Times New Roman" w:cs="Times New Roman" w:eastAsia="Times New Roman" w:hAnsi="Times New Roman"/>
          <w:sz w:val="15"/>
          <w:szCs w:val="15"/>
          <w:color w:val="auto"/>
        </w:rPr>
        <w:t>If the Company is a party to a merger, consolidation, or certain change in control transactions, then your RSUs will be subject to the applicable provisions of Article 9 of the Plan, provided that any action taken must either (a) preserve the exemption of your RSUs from Code Section 409A or (b) comply with Code Section 409A.</w:t>
      </w:r>
    </w:p>
    <w:p>
      <w:pPr>
        <w:spacing w:after="0" w:line="49" w:lineRule="exact"/>
        <w:rPr>
          <w:sz w:val="20"/>
          <w:szCs w:val="20"/>
          <w:color w:val="auto"/>
        </w:rPr>
      </w:pPr>
    </w:p>
    <w:p>
      <w:pPr>
        <w:sectPr>
          <w:pgSz w:w="11900" w:h="16838" w:orient="portrait"/>
          <w:cols w:equalWidth="0" w:num="2">
            <w:col w:w="2900" w:space="36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260"/>
        <w:spacing w:after="0" w:line="293" w:lineRule="auto"/>
        <w:rPr>
          <w:sz w:val="20"/>
          <w:szCs w:val="20"/>
          <w:color w:val="auto"/>
        </w:rPr>
      </w:pPr>
      <w:r>
        <w:rPr>
          <w:rFonts w:ascii="Times New Roman" w:cs="Times New Roman" w:eastAsia="Times New Roman" w:hAnsi="Times New Roman"/>
          <w:sz w:val="15"/>
          <w:szCs w:val="15"/>
          <w:color w:val="auto"/>
        </w:rPr>
        <w:t>This award, and the shares acquired upon settlement of this award, shall be subject to any Company recoupment or clawback policy in effect from time to time.</w:t>
      </w:r>
    </w:p>
    <w:p>
      <w:pPr>
        <w:spacing w:after="0" w:line="36"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Applicable Law</w:t>
      </w:r>
    </w:p>
    <w:p>
      <w:pPr>
        <w:spacing w:after="0" w:line="20" w:lineRule="exact"/>
        <w:rPr>
          <w:sz w:val="20"/>
          <w:szCs w:val="20"/>
          <w:color w:val="auto"/>
        </w:rPr>
      </w:pPr>
      <w:r>
        <w:rPr>
          <w:sz w:val="20"/>
          <w:szCs w:val="20"/>
          <w:color w:val="auto"/>
        </w:rPr>
        <w:br w:type="column"/>
      </w:r>
    </w:p>
    <w:p>
      <w:pPr>
        <w:ind w:right="260"/>
        <w:spacing w:after="0" w:line="293" w:lineRule="auto"/>
        <w:rPr>
          <w:sz w:val="20"/>
          <w:szCs w:val="20"/>
          <w:color w:val="auto"/>
        </w:rPr>
      </w:pPr>
      <w:r>
        <w:rPr>
          <w:rFonts w:ascii="Times New Roman" w:cs="Times New Roman" w:eastAsia="Times New Roman" w:hAnsi="Times New Roman"/>
          <w:sz w:val="15"/>
          <w:szCs w:val="15"/>
          <w:color w:val="auto"/>
        </w:rPr>
        <w:t>This Agreement will be interpreted and enforced under the laws of the State of Delaware (without regard to its choice-of-law provisions).</w:t>
      </w:r>
    </w:p>
    <w:p>
      <w:pPr>
        <w:spacing w:after="0" w:line="36"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text of the Plan is incorporated in this Agreement by reference.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Plan, this Agreement and the Grant Notice constitute the entire understanding between you and the Company regarding this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award. Any prior agreements, commitments or negotiations concerning this award are superseded. This Agreement may be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amended only by another written agreement between the parties.</w:t>
      </w:r>
    </w:p>
    <w:p>
      <w:pPr>
        <w:spacing w:after="0" w:line="200" w:lineRule="exact"/>
        <w:rPr>
          <w:sz w:val="20"/>
          <w:szCs w:val="20"/>
          <w:color w:val="auto"/>
        </w:rPr>
      </w:pPr>
    </w:p>
    <w:p>
      <w:pPr>
        <w:sectPr>
          <w:pgSz w:w="11900" w:h="16838" w:orient="portrait"/>
          <w:cols w:equalWidth="0" w:num="2">
            <w:col w:w="2540" w:space="720"/>
            <w:col w:w="7960"/>
          </w:cols>
          <w:pgMar w:left="320" w:top="248" w:right="35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BY ACCEPTING THIS RSU AWARD, YOU AGREE TO ALL OF THE TERMS AND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CONDITIONS DESCRIBED ABOVE AND IN THE PLAN.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20"/>
          </w:cols>
          <w:pgMar w:left="320" w:top="248" w:right="359" w:bottom="1440" w:gutter="0" w:footer="0" w:header="0"/>
          <w:type w:val="continuous"/>
        </w:sectPr>
      </w:pPr>
    </w:p>
    <w:bookmarkStart w:id="453" w:name="page454"/>
    <w:bookmarkEnd w:id="453"/>
    <w:p>
      <w:pPr>
        <w:jc w:val="right"/>
        <w:spacing w:after="0"/>
        <w:rPr>
          <w:sz w:val="20"/>
          <w:szCs w:val="20"/>
          <w:color w:val="auto"/>
        </w:rPr>
      </w:pPr>
      <w:r>
        <w:rPr>
          <w:rFonts w:ascii="Times New Roman" w:cs="Times New Roman" w:eastAsia="Times New Roman" w:hAnsi="Times New Roman"/>
          <w:sz w:val="15"/>
          <w:szCs w:val="15"/>
          <w:b w:val="1"/>
          <w:bCs w:val="1"/>
          <w:color w:val="auto"/>
        </w:rPr>
        <w:t>Exhibit 10.4</w:t>
      </w:r>
    </w:p>
    <w:p>
      <w:pPr>
        <w:spacing w:after="0" w:line="3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1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DOPTED ON</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2"/>
          <w:szCs w:val="12"/>
          <w:b w:val="1"/>
          <w:bCs w:val="1"/>
          <w:color w:val="auto"/>
        </w:rPr>
        <w:t>CTOBER</w:t>
      </w:r>
      <w:r>
        <w:rPr>
          <w:rFonts w:ascii="Times New Roman" w:cs="Times New Roman" w:eastAsia="Times New Roman" w:hAnsi="Times New Roman"/>
          <w:sz w:val="15"/>
          <w:szCs w:val="15"/>
          <w:b w:val="1"/>
          <w:bCs w:val="1"/>
          <w:color w:val="auto"/>
        </w:rPr>
        <w:t xml:space="preserve"> 8, 2020)</w:t>
      </w:r>
    </w:p>
    <w:p>
      <w:pPr>
        <w:sectPr>
          <w:pgSz w:w="11900" w:h="16838" w:orient="portrait"/>
          <w:cols w:equalWidth="0" w:num="1">
            <w:col w:w="10140"/>
          </w:cols>
          <w:pgMar w:left="1440" w:top="121" w:right="319" w:bottom="1440" w:gutter="0" w:footer="0" w:header="0"/>
        </w:sectPr>
      </w:pPr>
    </w:p>
    <w:bookmarkStart w:id="454" w:name="page455"/>
    <w:bookmarkEnd w:id="45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2020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 PURPOSE OF THE PLAN.</w:t>
      </w:r>
    </w:p>
    <w:p>
      <w:pPr>
        <w:spacing w:after="0" w:line="108" w:lineRule="exact"/>
        <w:rPr>
          <w:sz w:val="20"/>
          <w:szCs w:val="20"/>
          <w:color w:val="auto"/>
        </w:rPr>
      </w:pPr>
    </w:p>
    <w:p>
      <w:pPr>
        <w:ind w:right="120" w:firstLine="451"/>
        <w:spacing w:after="0" w:line="293" w:lineRule="auto"/>
        <w:rPr>
          <w:sz w:val="20"/>
          <w:szCs w:val="20"/>
          <w:color w:val="auto"/>
        </w:rPr>
      </w:pPr>
      <w:r>
        <w:rPr>
          <w:rFonts w:ascii="Times New Roman" w:cs="Times New Roman" w:eastAsia="Times New Roman" w:hAnsi="Times New Roman"/>
          <w:sz w:val="15"/>
          <w:szCs w:val="15"/>
          <w:color w:val="auto"/>
        </w:rPr>
        <w:t>The Board adopted the Plan effective as of the IPO Date. The purpose of the Plan is to provide Eligible Employees with an opportunity to increase their proprietary interest in the success of the Company by purchasing Stock from the Company on favorable terms and to pay for such purchases through payroll deductions or other approved contributions.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2. ADMINISTRATION OF THE PLAN.</w:t>
      </w:r>
    </w:p>
    <w:p>
      <w:pPr>
        <w:spacing w:after="0" w:line="104" w:lineRule="exact"/>
        <w:rPr>
          <w:sz w:val="20"/>
          <w:szCs w:val="20"/>
          <w:color w:val="auto"/>
        </w:rPr>
      </w:pPr>
    </w:p>
    <w:p>
      <w:pPr>
        <w:ind w:firstLine="443"/>
        <w:spacing w:after="0" w:line="265" w:lineRule="auto"/>
        <w:tabs>
          <w:tab w:leader="none" w:pos="659"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General</w:t>
      </w:r>
      <w:r>
        <w:rPr>
          <w:rFonts w:ascii="Times New Roman" w:cs="Times New Roman" w:eastAsia="Times New Roman" w:hAnsi="Times New Roman"/>
          <w:sz w:val="15"/>
          <w:szCs w:val="15"/>
          <w:color w:val="auto"/>
        </w:rPr>
        <w:t>. The Plan may be administered by the Board or one or more Committees to which the Board (or an authorized Board committee) has delegated authority. If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Each Committee shall comply with rules and regulations applicable to it, including under the rules of any exchange on which the Stock is traded, and shall have the authority and be responsible for such functions as have been assigned to it.</w:t>
      </w:r>
    </w:p>
    <w:p>
      <w:pPr>
        <w:spacing w:after="0" w:line="148" w:lineRule="exact"/>
        <w:rPr>
          <w:rFonts w:ascii="Times New Roman" w:cs="Times New Roman" w:eastAsia="Times New Roman" w:hAnsi="Times New Roman"/>
          <w:sz w:val="15"/>
          <w:szCs w:val="15"/>
          <w:color w:val="auto"/>
        </w:rPr>
      </w:pPr>
    </w:p>
    <w:p>
      <w:pPr>
        <w:ind w:right="20" w:firstLine="443"/>
        <w:spacing w:after="0" w:line="277" w:lineRule="auto"/>
        <w:tabs>
          <w:tab w:leader="none" w:pos="668"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Powers of the Administrator</w:t>
      </w:r>
      <w:r>
        <w:rPr>
          <w:rFonts w:ascii="Times New Roman" w:cs="Times New Roman" w:eastAsia="Times New Roman" w:hAnsi="Times New Roman"/>
          <w:sz w:val="15"/>
          <w:szCs w:val="15"/>
          <w:color w:val="auto"/>
        </w:rPr>
        <w:t>. Subject to the terms of the Plan, and in the case of a Committee, subject to the specific duties delegated to the Committee, the Administrator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have the power to establish the terms and conditions of Offering Periods (which need not be identical) under the Plan, to interpret the Plan and make all other policy decisions relating to the operation of the Plan. The Administrator may adopt such rules, guidelines and forms as it deems appropriate to implement the Plan.</w:t>
      </w:r>
    </w:p>
    <w:p>
      <w:pPr>
        <w:spacing w:after="0" w:line="140"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Effects of Administrator’s Decisions</w:t>
      </w:r>
      <w:r>
        <w:rPr>
          <w:rFonts w:ascii="Times New Roman" w:cs="Times New Roman" w:eastAsia="Times New Roman" w:hAnsi="Times New Roman"/>
          <w:sz w:val="15"/>
          <w:szCs w:val="15"/>
          <w:color w:val="auto"/>
        </w:rPr>
        <w:t>. The Administrator’s decisions, determinations and interpretations shall be final and binding on all interested parties.</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The Plan shall be governed by, and construed in accordance with, the laws of the State of Delaware (except its choice of law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3. STOCK OFFERED UNDER THE PLAN.</w:t>
      </w:r>
    </w:p>
    <w:p>
      <w:pPr>
        <w:spacing w:after="0" w:line="108" w:lineRule="exact"/>
        <w:rPr>
          <w:sz w:val="20"/>
          <w:szCs w:val="20"/>
          <w:color w:val="auto"/>
        </w:rPr>
      </w:pPr>
    </w:p>
    <w:p>
      <w:pPr>
        <w:ind w:right="120" w:firstLine="443"/>
        <w:spacing w:after="0" w:line="286" w:lineRule="auto"/>
        <w:tabs>
          <w:tab w:leader="none" w:pos="660"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Authorized Shares. The number of shares of Stock available for purchase under the Plan shall be 2,300,000 shares of the Company’s Stock (subject to adjustment pursuant to Subsection (c) below), plus the additional shares described in Subsection (b) below. Shares of Stock issued pursuant to the Plan may be authorized but unissued shares or treasury shares.</w:t>
      </w:r>
    </w:p>
    <w:p>
      <w:pPr>
        <w:spacing w:after="0" w:line="322" w:lineRule="exact"/>
        <w:rPr>
          <w:rFonts w:ascii="Times New Roman" w:cs="Times New Roman" w:eastAsia="Times New Roman" w:hAnsi="Times New Roman"/>
          <w:sz w:val="15"/>
          <w:szCs w:val="15"/>
          <w:color w:val="auto"/>
        </w:rPr>
      </w:pPr>
    </w:p>
    <w:p>
      <w:pPr>
        <w:ind w:right="140" w:firstLine="443"/>
        <w:spacing w:after="0" w:line="270" w:lineRule="auto"/>
        <w:tabs>
          <w:tab w:leader="none" w:pos="668"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Annual Increase in Shares</w:t>
      </w:r>
      <w:r>
        <w:rPr>
          <w:rFonts w:ascii="Times New Roman" w:cs="Times New Roman" w:eastAsia="Times New Roman" w:hAnsi="Times New Roman"/>
          <w:sz w:val="15"/>
          <w:szCs w:val="15"/>
          <w:color w:val="auto"/>
        </w:rPr>
        <w:t>. On the first day of each fiscal year of the Company during the term of the Plan, commencing on January 1, 2021 and ending on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January 1, 2040, the aggregate number of shares of Stock that may be issued under the Plan shall automatically increase by a number equal to the least of (i) one percent (1%) of the total number of shares of Stock actually issued and outstanding on the last day of the preceding fiscal year, (ii) 2,300,000 shares of Stock (subject to adjustment pursuant to Subsection (c) below), or (iii) a number of shares of Stock determined by the Board.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248" w:right="319" w:bottom="1440" w:gutter="0" w:footer="0" w:header="0"/>
        </w:sectPr>
      </w:pPr>
    </w:p>
    <w:bookmarkStart w:id="455" w:name="page456"/>
    <w:bookmarkEnd w:id="455"/>
    <w:p>
      <w:pPr>
        <w:ind w:right="20" w:firstLine="443"/>
        <w:spacing w:after="0" w:line="265" w:lineRule="auto"/>
        <w:tabs>
          <w:tab w:leader="none" w:pos="659"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Anti-Dilution Adjustments</w:t>
      </w:r>
      <w:r>
        <w:rPr>
          <w:rFonts w:ascii="Times New Roman" w:cs="Times New Roman" w:eastAsia="Times New Roman" w:hAnsi="Times New Roman"/>
          <w:sz w:val="15"/>
          <w:szCs w:val="15"/>
          <w:color w:val="auto"/>
        </w:rPr>
        <w:t>. In the event that any dividend or other distribution (whether in the form of cash, stock or other securities or other property), recapitalization,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 split, reverse stock split, reorganization, merger, consolidation, split-up, spin-off, combination, reclassification, repurchase, or exchange of Stock or other securities of the Company, or other similar change in the corporate structure of the Company affecting the Stock and effected without receipt or payment of consideration by the Company occurs, then in order to prevent dilution or enlargement of the benefits or potential benefits intended to be made available under the Plan, there will be a proportionate adjustment of the number and class of Stock that may be delivered under the Plan, the Purchase Price per share and the number of shares and class of Stock covered by each option under the Plan which has not yet been exercised, and the numerical limits of Sections 3(a), 3(b)(ii) and 9(c).</w:t>
      </w:r>
    </w:p>
    <w:p>
      <w:pPr>
        <w:spacing w:after="0" w:line="148" w:lineRule="exact"/>
        <w:rPr>
          <w:rFonts w:ascii="Times New Roman" w:cs="Times New Roman" w:eastAsia="Times New Roman" w:hAnsi="Times New Roman"/>
          <w:sz w:val="15"/>
          <w:szCs w:val="15"/>
          <w:color w:val="auto"/>
        </w:rPr>
      </w:pPr>
    </w:p>
    <w:p>
      <w:pPr>
        <w:ind w:firstLine="443"/>
        <w:spacing w:after="0" w:line="267" w:lineRule="auto"/>
        <w:tabs>
          <w:tab w:leader="none" w:pos="668" w:val="left"/>
        </w:tabs>
        <w:numPr>
          <w:ilvl w:val="0"/>
          <w:numId w:val="3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Reorganizations</w:t>
      </w:r>
      <w:r>
        <w:rPr>
          <w:rFonts w:ascii="Times New Roman" w:cs="Times New Roman" w:eastAsia="Times New Roman" w:hAnsi="Times New Roman"/>
          <w:sz w:val="15"/>
          <w:szCs w:val="15"/>
          <w:color w:val="auto"/>
        </w:rPr>
        <w:t>. In the event of a Corporate Reorganization, the outstanding rights to purchase Stock under any Offering Period then in progress may be continued,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assumed or substituted by the surviving entity or its parent. If such acquirer refuses to continue, assume or substitute for any such rights, then a new Purchase Date for such Offering Period(s) will be set prior to the effective time of the Corporate Reorganization, the Participants’ accumulated contributions will be applied to purchase Stock on such date, and any such Offering Periods shall terminate immediately after such purchase. In the event a new Purchase Date is set under this Section 3(d), Participants will be given notice of the new Purchase Date. The Plan shall in no event be construed to restrict in any way the Company’s right to undertake a dissolution, liquidation, merger, consolidation or other reorganization.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4. ENROLLMENT AND PARTICIPATION.</w:t>
      </w:r>
    </w:p>
    <w:p>
      <w:pPr>
        <w:spacing w:after="0" w:line="196" w:lineRule="exact"/>
        <w:rPr>
          <w:sz w:val="20"/>
          <w:szCs w:val="20"/>
          <w:color w:val="auto"/>
        </w:rPr>
      </w:pPr>
    </w:p>
    <w:p>
      <w:pPr>
        <w:ind w:left="660" w:hanging="217"/>
        <w:spacing w:after="0"/>
        <w:tabs>
          <w:tab w:leader="none" w:pos="660" w:val="left"/>
        </w:tabs>
        <w:numPr>
          <w:ilvl w:val="0"/>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Offering Periods and Purchase Periods</w:t>
      </w:r>
      <w:r>
        <w:rPr>
          <w:rFonts w:ascii="Times New Roman" w:cs="Times New Roman" w:eastAsia="Times New Roman" w:hAnsi="Times New Roman"/>
          <w:sz w:val="15"/>
          <w:szCs w:val="15"/>
          <w:color w:val="auto"/>
        </w:rPr>
        <w:t>.</w:t>
      </w:r>
    </w:p>
    <w:p>
      <w:pPr>
        <w:spacing w:after="0" w:line="115" w:lineRule="exact"/>
        <w:rPr>
          <w:rFonts w:ascii="Times New Roman" w:cs="Times New Roman" w:eastAsia="Times New Roman" w:hAnsi="Times New Roman"/>
          <w:sz w:val="15"/>
          <w:szCs w:val="15"/>
          <w:color w:val="auto"/>
        </w:rPr>
      </w:pPr>
    </w:p>
    <w:p>
      <w:pPr>
        <w:ind w:left="1440" w:right="80" w:hanging="445"/>
        <w:spacing w:after="0" w:line="267" w:lineRule="auto"/>
        <w:tabs>
          <w:tab w:leader="none" w:pos="1440"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Base Offering Periods</w:t>
      </w:r>
      <w:r>
        <w:rPr>
          <w:rFonts w:ascii="Times New Roman" w:cs="Times New Roman" w:eastAsia="Times New Roman" w:hAnsi="Times New Roman"/>
          <w:sz w:val="15"/>
          <w:szCs w:val="15"/>
          <w:color w:val="auto"/>
        </w:rPr>
        <w:t>. The Administrator may from time to time establish Offering Periods (consisting of one or more Purchase Periods) of such frequency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duration as it may deem appropriate (the “</w:t>
      </w:r>
      <w:r>
        <w:rPr>
          <w:rFonts w:ascii="Times New Roman" w:cs="Times New Roman" w:eastAsia="Times New Roman" w:hAnsi="Times New Roman"/>
          <w:sz w:val="15"/>
          <w:szCs w:val="15"/>
          <w:b w:val="1"/>
          <w:bCs w:val="1"/>
          <w:i w:val="1"/>
          <w:iCs w:val="1"/>
          <w:color w:val="auto"/>
        </w:rPr>
        <w:t>Base Offering Periods</w:t>
      </w:r>
      <w:r>
        <w:rPr>
          <w:rFonts w:ascii="Times New Roman" w:cs="Times New Roman" w:eastAsia="Times New Roman" w:hAnsi="Times New Roman"/>
          <w:sz w:val="15"/>
          <w:szCs w:val="15"/>
          <w:color w:val="auto"/>
        </w:rPr>
        <w:t>”); provided that a Base Offering Period shall in no event be longer than 27 months (or such other period as may be imposed under applicable tax law). Each Base Offering Period shall contain such terms and conditions (consistent with the Plan) as the Administrator deems appropriate. Within the limits of the Plan, the Administrator may change the frequency, duration and other terms and conditions of the Base Offering Periods as it deems appropriate from time to time. The Base Offering Periods are intended to qualify under Code Section 423.</w:t>
      </w:r>
    </w:p>
    <w:p>
      <w:pPr>
        <w:spacing w:after="0" w:line="66" w:lineRule="exact"/>
        <w:rPr>
          <w:rFonts w:ascii="Times New Roman" w:cs="Times New Roman" w:eastAsia="Times New Roman" w:hAnsi="Times New Roman"/>
          <w:sz w:val="15"/>
          <w:szCs w:val="15"/>
          <w:color w:val="auto"/>
        </w:rPr>
      </w:pPr>
    </w:p>
    <w:p>
      <w:pPr>
        <w:ind w:left="1440" w:right="20" w:hanging="445"/>
        <w:spacing w:after="0" w:line="265" w:lineRule="auto"/>
        <w:tabs>
          <w:tab w:leader="none" w:pos="1440"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Additional Offering Periods</w:t>
      </w:r>
      <w:r>
        <w:rPr>
          <w:rFonts w:ascii="Times New Roman" w:cs="Times New Roman" w:eastAsia="Times New Roman" w:hAnsi="Times New Roman"/>
          <w:sz w:val="15"/>
          <w:szCs w:val="15"/>
          <w:color w:val="auto"/>
        </w:rPr>
        <w:t>. At the discretion of the Administrator, additional Offering Periods (the “</w:t>
      </w:r>
      <w:r>
        <w:rPr>
          <w:rFonts w:ascii="Times New Roman" w:cs="Times New Roman" w:eastAsia="Times New Roman" w:hAnsi="Times New Roman"/>
          <w:sz w:val="15"/>
          <w:szCs w:val="15"/>
          <w:b w:val="1"/>
          <w:bCs w:val="1"/>
          <w:i w:val="1"/>
          <w:iCs w:val="1"/>
          <w:color w:val="auto"/>
        </w:rPr>
        <w:t>Additional Offering Periods</w:t>
      </w:r>
      <w:r>
        <w:rPr>
          <w:rFonts w:ascii="Times New Roman" w:cs="Times New Roman" w:eastAsia="Times New Roman" w:hAnsi="Times New Roman"/>
          <w:sz w:val="15"/>
          <w:szCs w:val="15"/>
          <w:color w:val="auto"/>
        </w:rPr>
        <w:t>”) may be conducted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Plan including, if necessary or advisable in the sole discretion of the Administrator, under a separate sub-plan or sub-plans, permitting grants to Eligible Employees of certain Participating Companies (each, a “</w:t>
      </w:r>
      <w:r>
        <w:rPr>
          <w:rFonts w:ascii="Times New Roman" w:cs="Times New Roman" w:eastAsia="Times New Roman" w:hAnsi="Times New Roman"/>
          <w:sz w:val="15"/>
          <w:szCs w:val="15"/>
          <w:b w:val="1"/>
          <w:bCs w:val="1"/>
          <w:i w:val="1"/>
          <w:iCs w:val="1"/>
          <w:color w:val="auto"/>
        </w:rPr>
        <w:t>Sub-Plan</w:t>
      </w:r>
      <w:r>
        <w:rPr>
          <w:rFonts w:ascii="Times New Roman" w:cs="Times New Roman" w:eastAsia="Times New Roman" w:hAnsi="Times New Roman"/>
          <w:sz w:val="15"/>
          <w:szCs w:val="15"/>
          <w:color w:val="auto"/>
        </w:rPr>
        <w:t>”). Such Additional Offering Periods will be designed to achieve desired tax objectives in particular locations outside the United States or to comply with local laws applicable to offerings in such foreign jurisdictions and may, but need not, qualify under Code Section 423. The Administrator shall determine the commencement and duration of each Additional Offering Period, and Additional Offering Periods may be consecutive or overlapping. The other terms and conditions of each Additional Offering Period shall be those set forth in this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48" w:right="319" w:bottom="1440" w:gutter="0" w:footer="0" w:header="0"/>
        </w:sectPr>
      </w:pPr>
    </w:p>
    <w:bookmarkStart w:id="456" w:name="page457"/>
    <w:bookmarkEnd w:id="456"/>
    <w:p>
      <w:pPr>
        <w:ind w:left="146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document or in terms and conditions approved by the Administrator with respect to such Additional Offering Period (whether or not set forth in a written Sub-Plan), with such changes or additional features as the Administrator determines necessary to comply with local law. Each Additional Offering Period (whether or not set forth in a written Sub-Plan) shall be considered a separate plan from the Plan (the “</w:t>
      </w:r>
      <w:r>
        <w:rPr>
          <w:rFonts w:ascii="Times New Roman" w:cs="Times New Roman" w:eastAsia="Times New Roman" w:hAnsi="Times New Roman"/>
          <w:sz w:val="15"/>
          <w:szCs w:val="15"/>
          <w:b w:val="1"/>
          <w:bCs w:val="1"/>
          <w:i w:val="1"/>
          <w:iCs w:val="1"/>
          <w:color w:val="auto"/>
        </w:rPr>
        <w:t>Statutory Plan</w:t>
      </w:r>
      <w:r>
        <w:rPr>
          <w:rFonts w:ascii="Times New Roman" w:cs="Times New Roman" w:eastAsia="Times New Roman" w:hAnsi="Times New Roman"/>
          <w:sz w:val="15"/>
          <w:szCs w:val="15"/>
          <w:color w:val="auto"/>
        </w:rPr>
        <w:t>”). The total number of Shares authorized to be issued under the Plan as provided in Section 3 above applies in the aggregate to both the Statutory Plan and any Additional Offering Period. Unless otherwise superseded by the terms and conditions approved by the Administrator with respect to an Additional Offering Period, the provisions of this Plan document shall govern the operation of any offering conducted hereunder.</w:t>
      </w:r>
    </w:p>
    <w:p>
      <w:pPr>
        <w:spacing w:after="0" w:line="68" w:lineRule="exact"/>
        <w:rPr>
          <w:sz w:val="20"/>
          <w:szCs w:val="20"/>
          <w:color w:val="auto"/>
        </w:rPr>
      </w:pPr>
    </w:p>
    <w:p>
      <w:pPr>
        <w:ind w:left="1440" w:right="140" w:hanging="445"/>
        <w:spacing w:after="0" w:line="298" w:lineRule="auto"/>
        <w:tabs>
          <w:tab w:leader="none" w:pos="1440" w:val="left"/>
        </w:tabs>
        <w:numPr>
          <w:ilvl w:val="1"/>
          <w:numId w:val="3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Separate Offerings</w:t>
      </w:r>
      <w:r>
        <w:rPr>
          <w:rFonts w:ascii="Times New Roman" w:cs="Times New Roman" w:eastAsia="Times New Roman" w:hAnsi="Times New Roman"/>
          <w:sz w:val="15"/>
          <w:szCs w:val="15"/>
          <w:color w:val="auto"/>
        </w:rPr>
        <w:t>. Each Base Offering Period and each Additional Offering Period conducted under the Plan is intended to constitute a separate “offering”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purposes of Code Section 423.</w:t>
      </w:r>
    </w:p>
    <w:p>
      <w:pPr>
        <w:spacing w:after="0" w:line="44" w:lineRule="exact"/>
        <w:rPr>
          <w:rFonts w:ascii="Times New Roman" w:cs="Times New Roman" w:eastAsia="Times New Roman" w:hAnsi="Times New Roman"/>
          <w:sz w:val="15"/>
          <w:szCs w:val="15"/>
          <w:color w:val="auto"/>
        </w:rPr>
      </w:pPr>
    </w:p>
    <w:p>
      <w:pPr>
        <w:ind w:left="1440" w:right="260" w:hanging="445"/>
        <w:spacing w:after="0" w:line="277" w:lineRule="auto"/>
        <w:tabs>
          <w:tab w:leader="none" w:pos="1440" w:val="left"/>
        </w:tabs>
        <w:numPr>
          <w:ilvl w:val="1"/>
          <w:numId w:val="3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Equal Rights and Privileges</w:t>
      </w:r>
      <w:r>
        <w:rPr>
          <w:rFonts w:ascii="Times New Roman" w:cs="Times New Roman" w:eastAsia="Times New Roman" w:hAnsi="Times New Roman"/>
          <w:sz w:val="15"/>
          <w:szCs w:val="15"/>
          <w:color w:val="auto"/>
        </w:rPr>
        <w:t>. To the extent an Offering Period is intended to qualify under Code Section 423, all participants in such Offering Period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have the same rights and privileges with respect to their participation in such Offering Period in accordance with Code Section 423 and the regulations thereunder except for differences that may be mandated by local law and are consistent with the requirements of Code Section 423(b)(5).</w:t>
      </w:r>
    </w:p>
    <w:p>
      <w:pPr>
        <w:spacing w:after="0" w:line="140" w:lineRule="exact"/>
        <w:rPr>
          <w:rFonts w:ascii="Times New Roman" w:cs="Times New Roman" w:eastAsia="Times New Roman" w:hAnsi="Times New Roman"/>
          <w:sz w:val="15"/>
          <w:szCs w:val="15"/>
          <w:color w:val="auto"/>
        </w:rPr>
      </w:pPr>
    </w:p>
    <w:p>
      <w:pPr>
        <w:jc w:val="both"/>
        <w:ind w:right="240" w:firstLine="443"/>
        <w:spacing w:after="0" w:line="277" w:lineRule="auto"/>
        <w:tabs>
          <w:tab w:leader="none" w:pos="668"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Enrollment</w:t>
      </w:r>
      <w:r>
        <w:rPr>
          <w:rFonts w:ascii="Times New Roman" w:cs="Times New Roman" w:eastAsia="Times New Roman" w:hAnsi="Times New Roman"/>
          <w:sz w:val="15"/>
          <w:szCs w:val="15"/>
          <w:color w:val="auto"/>
        </w:rPr>
        <w:t>. In the case of any individual who qualifies as an Eligible Employee on the first day of any Offering Period, he or she may elect to become a Participant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such day by filing the prescribed enrollment form with the Company. The enrollment form shall be filed in the prescribed manner during the applicable Enrollment Period for such Offering Period. The Administrator may establish other procedures for enrollment by Eligible Employees.</w:t>
      </w:r>
    </w:p>
    <w:p>
      <w:pPr>
        <w:spacing w:after="0" w:line="140"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Duration of Participation</w:t>
      </w:r>
      <w:r>
        <w:rPr>
          <w:rFonts w:ascii="Times New Roman" w:cs="Times New Roman" w:eastAsia="Times New Roman" w:hAnsi="Times New Roman"/>
          <w:sz w:val="15"/>
          <w:szCs w:val="15"/>
          <w:color w:val="auto"/>
        </w:rPr>
        <w:t>. Once enrolled in the Plan, a Participant shall continue to participate in the Plan until he or she:</w:t>
      </w:r>
    </w:p>
    <w:p>
      <w:pPr>
        <w:spacing w:after="0" w:line="119" w:lineRule="exact"/>
        <w:rPr>
          <w:rFonts w:ascii="Times New Roman" w:cs="Times New Roman" w:eastAsia="Times New Roman" w:hAnsi="Times New Roman"/>
          <w:sz w:val="15"/>
          <w:szCs w:val="15"/>
          <w:color w:val="auto"/>
        </w:rPr>
      </w:pPr>
    </w:p>
    <w:p>
      <w:pPr>
        <w:ind w:left="1440" w:right="120" w:hanging="445"/>
        <w:spacing w:after="0" w:line="293" w:lineRule="auto"/>
        <w:tabs>
          <w:tab w:leader="none" w:pos="1440" w:val="left"/>
        </w:tabs>
        <w:numPr>
          <w:ilvl w:val="1"/>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Reaches the end of the Offering Period or Purchase Period, as applicable, in which his or her employee contributions were discontinued under Section 5(c) or 9(b);</w:t>
      </w:r>
    </w:p>
    <w:p>
      <w:pPr>
        <w:spacing w:after="0" w:line="51"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Withdraws from the Plan under Section 6(a); or</w:t>
      </w:r>
    </w:p>
    <w:p>
      <w:pPr>
        <w:spacing w:after="0" w:line="115"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Ceases to be an Eligible Employee.</w:t>
      </w:r>
    </w:p>
    <w:p>
      <w:pPr>
        <w:spacing w:after="0" w:line="196"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5"/>
          <w:szCs w:val="15"/>
          <w:color w:val="auto"/>
        </w:rPr>
        <w:t>A Participant whose employee contributions were discontinued automatically under Section 9(b) shall automatically resume participation as described therein. In all other cases, a former Participant may again become a Participant, if he or she then is an Eligible Employee, by following the procedure described in Subsection (b) above.</w:t>
      </w:r>
    </w:p>
    <w:p>
      <w:pPr>
        <w:spacing w:after="0" w:line="128" w:lineRule="exact"/>
        <w:rPr>
          <w:sz w:val="20"/>
          <w:szCs w:val="20"/>
          <w:color w:val="auto"/>
        </w:rPr>
      </w:pPr>
    </w:p>
    <w:p>
      <w:pPr>
        <w:ind w:left="660" w:hanging="217"/>
        <w:spacing w:after="0"/>
        <w:tabs>
          <w:tab w:leader="none" w:pos="660"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Applicable Offering Period</w:t>
      </w:r>
      <w:r>
        <w:rPr>
          <w:rFonts w:ascii="Times New Roman" w:cs="Times New Roman" w:eastAsia="Times New Roman" w:hAnsi="Times New Roman"/>
          <w:sz w:val="15"/>
          <w:szCs w:val="15"/>
          <w:color w:val="auto"/>
        </w:rPr>
        <w:t>. For purposes of calculating the Purchase Price under Section 8(b), the applicable Offering Period shall be determined as follows:</w:t>
      </w:r>
    </w:p>
    <w:p>
      <w:pPr>
        <w:spacing w:after="0" w:line="119" w:lineRule="exact"/>
        <w:rPr>
          <w:rFonts w:ascii="Times New Roman" w:cs="Times New Roman" w:eastAsia="Times New Roman" w:hAnsi="Times New Roman"/>
          <w:sz w:val="15"/>
          <w:szCs w:val="15"/>
          <w:color w:val="auto"/>
        </w:rPr>
      </w:pPr>
    </w:p>
    <w:p>
      <w:pPr>
        <w:ind w:left="1440" w:hanging="445"/>
        <w:spacing w:after="0" w:line="275" w:lineRule="auto"/>
        <w:tabs>
          <w:tab w:leader="none" w:pos="1440" w:val="left"/>
        </w:tabs>
        <w:numPr>
          <w:ilvl w:val="1"/>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Once a Participant is enrolled in the Plan for an Offering Period, such Offering Period shall continue to apply to him or her until the earliest of (A) the end of such Offering Period, (B) the end of his or her participation under Subsection (c) above, or (C) re-enrollment for a subsequent Offering Period under Paragraph (ii) or (iii) below.</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252" w:right="339" w:bottom="1440" w:gutter="0" w:footer="0" w:header="0"/>
        </w:sectPr>
      </w:pPr>
    </w:p>
    <w:bookmarkStart w:id="457" w:name="page458"/>
    <w:bookmarkEnd w:id="457"/>
    <w:p>
      <w:pPr>
        <w:jc w:val="both"/>
        <w:ind w:left="1440" w:right="300" w:hanging="445"/>
        <w:spacing w:after="0" w:line="268" w:lineRule="auto"/>
        <w:tabs>
          <w:tab w:leader="none" w:pos="1440"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Any other provision of the Plan notwithstanding, the Administrator (at its sole discretion) may determine prior to the commencement of any new Offering Period that all Participants shall be re-enrolled for such new Offering Period. In addition, the Administrator may structure an Offering Period so that in the event that the Fair Market Value of a Share on the first day of the Offering Period for which the Participant is enrolled is higher than on the first day of any subsequent Offering Period, the Participant shall automatically be re-enrolled for such subsequent Offering Period.</w:t>
      </w:r>
    </w:p>
    <w:p>
      <w:pPr>
        <w:spacing w:after="0" w:line="71" w:lineRule="exact"/>
        <w:rPr>
          <w:rFonts w:ascii="Times New Roman" w:cs="Times New Roman" w:eastAsia="Times New Roman" w:hAnsi="Times New Roman"/>
          <w:sz w:val="15"/>
          <w:szCs w:val="15"/>
          <w:color w:val="auto"/>
        </w:rPr>
      </w:pPr>
    </w:p>
    <w:p>
      <w:pPr>
        <w:ind w:left="1440" w:right="80" w:hanging="445"/>
        <w:spacing w:after="0" w:line="293" w:lineRule="auto"/>
        <w:tabs>
          <w:tab w:leader="none" w:pos="1440"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5. EMPLOYEE CONTRIBUTIONS.</w:t>
      </w:r>
    </w:p>
    <w:p>
      <w:pPr>
        <w:spacing w:after="0" w:line="104" w:lineRule="exact"/>
        <w:rPr>
          <w:sz w:val="20"/>
          <w:szCs w:val="20"/>
          <w:color w:val="auto"/>
        </w:rPr>
      </w:pPr>
    </w:p>
    <w:p>
      <w:pPr>
        <w:ind w:left="660" w:hanging="217"/>
        <w:spacing w:after="0"/>
        <w:tabs>
          <w:tab w:leader="none" w:pos="660"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Commencement of Payroll Deductions</w:t>
      </w:r>
      <w:r>
        <w:rPr>
          <w:rFonts w:ascii="Times New Roman" w:cs="Times New Roman" w:eastAsia="Times New Roman" w:hAnsi="Times New Roman"/>
          <w:sz w:val="15"/>
          <w:szCs w:val="15"/>
          <w:color w:val="auto"/>
        </w:rPr>
        <w:t>. A Participant may purchase shares of Stock under the Plan by means of payroll deductions or (if so approved by the</w:t>
      </w:r>
    </w:p>
    <w:p>
      <w:pPr>
        <w:spacing w:after="0" w:line="30" w:lineRule="exact"/>
        <w:rPr>
          <w:rFonts w:ascii="Times New Roman" w:cs="Times New Roman" w:eastAsia="Times New Roman" w:hAnsi="Times New Roman"/>
          <w:sz w:val="15"/>
          <w:szCs w:val="15"/>
          <w:color w:val="auto"/>
        </w:rPr>
      </w:pPr>
    </w:p>
    <w:p>
      <w:pPr>
        <w:ind w:right="24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Administrator with respect to all Participants in a Base Offering Period) other approved contributions in form and substance satisfactory to the Administrator. Payroll deductions or other approved contributions shall commence as soon as reasonably practicable after the Company has received the prescribed enrollment form. In jurisdictions where payroll deductions are not permitted under local law, Participants may purchase shares of Stock by making contributions in the form that is acceptable and approved by the Administrator.</w:t>
      </w:r>
    </w:p>
    <w:p>
      <w:pPr>
        <w:spacing w:after="0" w:line="150" w:lineRule="exact"/>
        <w:rPr>
          <w:rFonts w:ascii="Times New Roman" w:cs="Times New Roman" w:eastAsia="Times New Roman" w:hAnsi="Times New Roman"/>
          <w:sz w:val="15"/>
          <w:szCs w:val="15"/>
          <w:color w:val="auto"/>
        </w:rPr>
      </w:pPr>
    </w:p>
    <w:p>
      <w:pPr>
        <w:ind w:right="140" w:firstLine="443"/>
        <w:spacing w:after="0" w:line="277" w:lineRule="auto"/>
        <w:tabs>
          <w:tab w:leader="none" w:pos="668"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Amount of Payroll Deductions</w:t>
      </w:r>
      <w:r>
        <w:rPr>
          <w:rFonts w:ascii="Times New Roman" w:cs="Times New Roman" w:eastAsia="Times New Roman" w:hAnsi="Times New Roman"/>
          <w:sz w:val="15"/>
          <w:szCs w:val="15"/>
          <w:color w:val="auto"/>
        </w:rPr>
        <w:t>. An Eligible Employee shall designate on the prescribed enrollment form the portion of his or her Compensation that he or she elects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have withheld for the purchase of Stock. Such portion shall be a whole percentage of the Eligible Employee’s Compensation, but not less than 1% nor more than 50% (or such lesser percentage established by the Administrator for an Offering Period).</w:t>
      </w:r>
    </w:p>
    <w:p>
      <w:pPr>
        <w:spacing w:after="0" w:line="140" w:lineRule="exact"/>
        <w:rPr>
          <w:rFonts w:ascii="Times New Roman" w:cs="Times New Roman" w:eastAsia="Times New Roman" w:hAnsi="Times New Roman"/>
          <w:sz w:val="15"/>
          <w:szCs w:val="15"/>
          <w:color w:val="auto"/>
        </w:rPr>
      </w:pPr>
    </w:p>
    <w:p>
      <w:pPr>
        <w:jc w:val="both"/>
        <w:ind w:firstLine="443"/>
        <w:spacing w:after="0" w:line="265" w:lineRule="auto"/>
        <w:tabs>
          <w:tab w:leader="none" w:pos="659"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Reducing Withholding Rate or Discontinuing Payroll Deductions</w:t>
      </w:r>
      <w:r>
        <w:rPr>
          <w:rFonts w:ascii="Times New Roman" w:cs="Times New Roman" w:eastAsia="Times New Roman" w:hAnsi="Times New Roman"/>
          <w:sz w:val="15"/>
          <w:szCs w:val="15"/>
          <w:color w:val="auto"/>
        </w:rPr>
        <w:t>. If a Participant wishes to reduce his or her rate of payroll withholding, such Participant may do so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filing a new enrollment form with the Company in the manner prescribed by the Administrator. The new withholding rate shall be effective as soon as reasonably practicable after the Company has received such form. The new withholding rate may be 0% or any whole percentage of the Participant’s Compensation, but not more than his or her old withholding rate. The Administrator may limit the number of times a Participant may elect to reduce his or her rate of withholding during any Offering Period and/or Purchase Period. Unless a different rule is established for an Offering Period, no Participant shall make more than one election under this Subsection (c) during any Purchase Period. (In addition, employee contributions may be discontinued automatically pursuant to Section 9(b).)</w:t>
      </w:r>
    </w:p>
    <w:p>
      <w:pPr>
        <w:spacing w:after="0" w:line="148" w:lineRule="exact"/>
        <w:rPr>
          <w:rFonts w:ascii="Times New Roman" w:cs="Times New Roman" w:eastAsia="Times New Roman" w:hAnsi="Times New Roman"/>
          <w:sz w:val="15"/>
          <w:szCs w:val="15"/>
          <w:color w:val="auto"/>
        </w:rPr>
      </w:pPr>
    </w:p>
    <w:p>
      <w:pPr>
        <w:ind w:right="20" w:firstLine="443"/>
        <w:spacing w:after="0" w:line="267" w:lineRule="auto"/>
        <w:tabs>
          <w:tab w:leader="none" w:pos="668"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Increasing Withholding Rate</w:t>
      </w:r>
      <w:r>
        <w:rPr>
          <w:rFonts w:ascii="Times New Roman" w:cs="Times New Roman" w:eastAsia="Times New Roman" w:hAnsi="Times New Roman"/>
          <w:sz w:val="15"/>
          <w:szCs w:val="15"/>
          <w:color w:val="auto"/>
        </w:rPr>
        <w:t>. Unless the Administrator establishes a different rule for an Offering Period, a Participant may not increase his or her rate of payroll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withholding during a Purchase Period. If a Participant wishes to increase his or her rate of payroll withholding, such Participant may do so by filing a new enrollment form with the Company at least fifteen (15) calendar days prior to commencement of a Purchase Period (or such other period as is specified by the Administrator). The new withholding rate shall be effective on the first day of the next-upcoming Purchase Period in which the Participant participates. The new withholding rate may be any whole percentage of the Participant’s Compensation, but not less than 1% nor more than the maximum amount established for the Offering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52" w:right="31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SECTION 6. WITHDRAWAL FROM THE PLAN.</w:t>
      </w:r>
    </w:p>
    <w:p>
      <w:pPr>
        <w:spacing w:after="0" w:line="104" w:lineRule="exact"/>
        <w:rPr>
          <w:sz w:val="20"/>
          <w:szCs w:val="20"/>
          <w:color w:val="auto"/>
        </w:rPr>
      </w:pPr>
    </w:p>
    <w:p>
      <w:pPr>
        <w:ind w:right="280" w:firstLine="443"/>
        <w:spacing w:after="0" w:line="267" w:lineRule="auto"/>
        <w:tabs>
          <w:tab w:leader="none" w:pos="659"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Withdrawal</w:t>
      </w:r>
      <w:r>
        <w:rPr>
          <w:rFonts w:ascii="Times New Roman" w:cs="Times New Roman" w:eastAsia="Times New Roman" w:hAnsi="Times New Roman"/>
          <w:sz w:val="15"/>
          <w:szCs w:val="15"/>
          <w:color w:val="auto"/>
        </w:rPr>
        <w:t>. A Participant may elect to withdraw from the Plan (and the Offering Period in which he or she is participating) by filing the prescribed form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in the prescribed manner at least fifteen (15) calendar days prior to a Purchase Date (or such other period as is specified by the Administrator). As soon as reasonably practicable thereafter, payroll deductions or other approved contributions shall cease and the entire amount credited to the Participant’s Plan Account with respect to such Offering Period shall be refunded to him or her in cash, without interest (except as otherwise required by the laws of the local jurisdiction). No partial withdrawals from an Offering Period shall be permitted.</w:t>
      </w:r>
    </w:p>
    <w:p>
      <w:pPr>
        <w:spacing w:after="0" w:line="147" w:lineRule="exact"/>
        <w:rPr>
          <w:rFonts w:ascii="Times New Roman" w:cs="Times New Roman" w:eastAsia="Times New Roman" w:hAnsi="Times New Roman"/>
          <w:sz w:val="15"/>
          <w:szCs w:val="15"/>
          <w:color w:val="auto"/>
        </w:rPr>
      </w:pPr>
    </w:p>
    <w:p>
      <w:pPr>
        <w:ind w:right="760" w:firstLine="443"/>
        <w:spacing w:after="0" w:line="298" w:lineRule="auto"/>
        <w:tabs>
          <w:tab w:leader="none" w:pos="668"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Re-Enrollment After Withdrawal</w:t>
      </w:r>
      <w:r>
        <w:rPr>
          <w:rFonts w:ascii="Times New Roman" w:cs="Times New Roman" w:eastAsia="Times New Roman" w:hAnsi="Times New Roman"/>
          <w:sz w:val="15"/>
          <w:szCs w:val="15"/>
          <w:color w:val="auto"/>
        </w:rPr>
        <w:t>. A former Participant who has withdrawn from the Plan shall not be a Participant until he or she re-enrolls in the Plan under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 4(b) during an Enrollment Period. Re-enrollment may be effective only at the commencement of an Offering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7. CHANGE IN EMPLOYMENT STATUS.</w:t>
      </w:r>
    </w:p>
    <w:p>
      <w:pPr>
        <w:spacing w:after="0" w:line="104" w:lineRule="exact"/>
        <w:rPr>
          <w:sz w:val="20"/>
          <w:szCs w:val="20"/>
          <w:color w:val="auto"/>
        </w:rPr>
      </w:pPr>
    </w:p>
    <w:p>
      <w:pPr>
        <w:ind w:right="180" w:firstLine="443"/>
        <w:spacing w:after="0" w:line="298" w:lineRule="auto"/>
        <w:tabs>
          <w:tab w:leader="none" w:pos="659"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Termination of Employment</w:t>
      </w:r>
      <w:r>
        <w:rPr>
          <w:rFonts w:ascii="Times New Roman" w:cs="Times New Roman" w:eastAsia="Times New Roman" w:hAnsi="Times New Roman"/>
          <w:sz w:val="15"/>
          <w:szCs w:val="15"/>
          <w:color w:val="auto"/>
        </w:rPr>
        <w:t>. Termination of employment as an Eligible Employee for any reason, including death, shall be treated as an automatic withdrawal from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under Section 6(a).</w:t>
      </w:r>
    </w:p>
    <w:p>
      <w:pPr>
        <w:spacing w:after="0" w:line="125" w:lineRule="exact"/>
        <w:rPr>
          <w:rFonts w:ascii="Times New Roman" w:cs="Times New Roman" w:eastAsia="Times New Roman" w:hAnsi="Times New Roman"/>
          <w:sz w:val="15"/>
          <w:szCs w:val="15"/>
          <w:color w:val="auto"/>
        </w:rPr>
      </w:pPr>
    </w:p>
    <w:p>
      <w:pPr>
        <w:ind w:right="20" w:firstLine="443"/>
        <w:spacing w:after="0" w:line="263" w:lineRule="auto"/>
        <w:tabs>
          <w:tab w:leader="none" w:pos="668"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Transfers of Employment</w:t>
      </w:r>
      <w:r>
        <w:rPr>
          <w:rFonts w:ascii="Times New Roman" w:cs="Times New Roman" w:eastAsia="Times New Roman" w:hAnsi="Times New Roman"/>
          <w:sz w:val="15"/>
          <w:szCs w:val="15"/>
          <w:color w:val="auto"/>
        </w:rPr>
        <w:t>. If a Participant transfers employment from a Participating Company that is participating in a Base Offering Period to a Participating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is participating in an Additional Offering Period, he or she will immediately cease to participate in the Base Offering Period, as applicable; however, such Participant’s Plan Account will be transferred to the Additional Offering Period, and such Participant will immediately join such Additional Offering Period on the terms and conditions applicable to such Additional Offering Period, except for any modifications required by applicable law. If a Participant transfers employment from a Participating Company that is participating in an Additional Offering Period to a Participating Company that is participating in the Base Offering Period, he or she will continue to participate in the Additional Offering Period until the earlier of (i) the end of such Additional Offering Period, or (ii) the commencement of the first Base Offering Period in which he or she is eligible. If a Participant transfers employment from a Participating Company to a Related Corporation that is not a Participating Company, he or she shall be deemed to have withdrawn from the Plan pursuant to Section 6(a).</w:t>
      </w:r>
    </w:p>
    <w:p>
      <w:pPr>
        <w:spacing w:after="0" w:line="336" w:lineRule="exact"/>
        <w:rPr>
          <w:rFonts w:ascii="Times New Roman" w:cs="Times New Roman" w:eastAsia="Times New Roman" w:hAnsi="Times New Roman"/>
          <w:sz w:val="15"/>
          <w:szCs w:val="15"/>
          <w:color w:val="auto"/>
        </w:rPr>
      </w:pPr>
    </w:p>
    <w:p>
      <w:pPr>
        <w:ind w:right="120" w:firstLine="443"/>
        <w:spacing w:after="0" w:line="270" w:lineRule="auto"/>
        <w:tabs>
          <w:tab w:leader="none" w:pos="659"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Leave of Absence</w:t>
      </w:r>
      <w:r>
        <w:rPr>
          <w:rFonts w:ascii="Times New Roman" w:cs="Times New Roman" w:eastAsia="Times New Roman" w:hAnsi="Times New Roman"/>
          <w:sz w:val="15"/>
          <w:szCs w:val="15"/>
          <w:color w:val="auto"/>
        </w:rPr>
        <w:t>. For purposes of the Plan, employment shall not be deemed to terminate when the Participant goes on a military leave, a sick leave or another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leave of absence, if the leave was approved by the Company in writing. Employment, however, shall be deemed to terminate on the first day following three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46" w:lineRule="exact"/>
        <w:rPr>
          <w:rFonts w:ascii="Times New Roman" w:cs="Times New Roman" w:eastAsia="Times New Roman" w:hAnsi="Times New Roman"/>
          <w:sz w:val="15"/>
          <w:szCs w:val="15"/>
          <w:color w:val="auto"/>
        </w:rPr>
      </w:pPr>
    </w:p>
    <w:p>
      <w:pPr>
        <w:ind w:firstLine="443"/>
        <w:spacing w:after="0" w:line="277" w:lineRule="auto"/>
        <w:tabs>
          <w:tab w:leader="none" w:pos="668" w:val="left"/>
        </w:tabs>
        <w:numPr>
          <w:ilvl w:val="0"/>
          <w:numId w:val="3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Death</w:t>
      </w:r>
      <w:r>
        <w:rPr>
          <w:rFonts w:ascii="Times New Roman" w:cs="Times New Roman" w:eastAsia="Times New Roman" w:hAnsi="Times New Roman"/>
          <w:sz w:val="15"/>
          <w:szCs w:val="15"/>
          <w:color w:val="auto"/>
        </w:rPr>
        <w:t>. In the event of the Participant’s death, the amount credited to his or her Plan Account shall be paid in cash, without interest (unless otherwise required by the laws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local jurisdiction), to a beneficiary designated by him or her for this purpose on the prescribed form or, if none, to the Participant’s estate. Such form shall be valid only if it was filed with the Company at the prescribed location before the Participant’s death.</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60"/>
          </w:cols>
          <w:pgMar w:left="320" w:top="248" w:right="319" w:bottom="1440" w:gutter="0" w:footer="0" w:header="0"/>
        </w:sectPr>
      </w:pPr>
    </w:p>
    <w:bookmarkStart w:id="459" w:name="page460"/>
    <w:bookmarkEnd w:id="459"/>
    <w:p>
      <w:pPr>
        <w:ind w:left="8"/>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SECTION 8. PLAN ACCOUNTS AND PURCHASE OF SHARES.</w:t>
      </w:r>
    </w:p>
    <w:p>
      <w:pPr>
        <w:spacing w:after="0" w:line="104" w:lineRule="exact"/>
        <w:rPr>
          <w:sz w:val="20"/>
          <w:szCs w:val="20"/>
          <w:color w:val="auto"/>
        </w:rPr>
      </w:pPr>
    </w:p>
    <w:p>
      <w:pPr>
        <w:ind w:left="8" w:right="60" w:firstLine="443"/>
        <w:spacing w:after="0" w:line="270" w:lineRule="auto"/>
        <w:tabs>
          <w:tab w:leader="none" w:pos="667" w:val="left"/>
        </w:tabs>
        <w:numPr>
          <w:ilvl w:val="1"/>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Plan Accounts</w:t>
      </w:r>
      <w:r>
        <w:rPr>
          <w:rFonts w:ascii="Times New Roman" w:cs="Times New Roman" w:eastAsia="Times New Roman" w:hAnsi="Times New Roman"/>
          <w:sz w:val="15"/>
          <w:szCs w:val="15"/>
          <w:color w:val="auto"/>
        </w:rPr>
        <w:t>. The Company shall maintain a Plan Account on its books in the name of each Participant. Whenever an amount is deducted from the Participant’s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Compensation under the Plan, such amount shall be credited to the Participant’s Plan Account. Unless otherwise required by the laws of the local jurisdiction, (i) amounts credited to Plan Accounts shall not be trust funds and may be commingled with the Company’s general assets and applied to general corporate purposes, and (ii) no interest shall be credited to Plan Accounts.</w:t>
      </w:r>
    </w:p>
    <w:p>
      <w:pPr>
        <w:spacing w:after="0" w:line="146" w:lineRule="exact"/>
        <w:rPr>
          <w:rFonts w:ascii="Times New Roman" w:cs="Times New Roman" w:eastAsia="Times New Roman" w:hAnsi="Times New Roman"/>
          <w:sz w:val="15"/>
          <w:szCs w:val="15"/>
          <w:color w:val="auto"/>
        </w:rPr>
      </w:pPr>
    </w:p>
    <w:p>
      <w:pPr>
        <w:ind w:left="8" w:right="540" w:firstLine="443"/>
        <w:spacing w:after="0" w:line="298" w:lineRule="auto"/>
        <w:tabs>
          <w:tab w:leader="none" w:pos="676" w:val="left"/>
        </w:tabs>
        <w:numPr>
          <w:ilvl w:val="1"/>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Purchase Price</w:t>
      </w:r>
      <w:r>
        <w:rPr>
          <w:rFonts w:ascii="Times New Roman" w:cs="Times New Roman" w:eastAsia="Times New Roman" w:hAnsi="Times New Roman"/>
          <w:sz w:val="15"/>
          <w:szCs w:val="15"/>
          <w:color w:val="auto"/>
        </w:rPr>
        <w:t>. The Administrator shall establish the Purchase Price for each Offering Period; provided, however, that the Purchase Price for each share of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purchased on a Purchase Date shall not be less than the lower of:</w:t>
      </w:r>
    </w:p>
    <w:p>
      <w:pPr>
        <w:spacing w:after="0" w:line="48" w:lineRule="exact"/>
        <w:rPr>
          <w:rFonts w:ascii="Times New Roman" w:cs="Times New Roman" w:eastAsia="Times New Roman" w:hAnsi="Times New Roman"/>
          <w:sz w:val="15"/>
          <w:szCs w:val="15"/>
          <w:color w:val="auto"/>
        </w:rPr>
      </w:pPr>
    </w:p>
    <w:p>
      <w:pPr>
        <w:ind w:left="1448" w:hanging="445"/>
        <w:spacing w:after="0"/>
        <w:tabs>
          <w:tab w:leader="none" w:pos="1448" w:val="left"/>
        </w:tabs>
        <w:numPr>
          <w:ilvl w:val="2"/>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 of the Fair Market Value of such share on the first trading day of such Offering Period; or</w:t>
      </w:r>
    </w:p>
    <w:p>
      <w:pPr>
        <w:spacing w:after="0" w:line="115" w:lineRule="exact"/>
        <w:rPr>
          <w:rFonts w:ascii="Times New Roman" w:cs="Times New Roman" w:eastAsia="Times New Roman" w:hAnsi="Times New Roman"/>
          <w:sz w:val="15"/>
          <w:szCs w:val="15"/>
          <w:color w:val="auto"/>
        </w:rPr>
      </w:pPr>
    </w:p>
    <w:p>
      <w:pPr>
        <w:ind w:left="1448" w:hanging="445"/>
        <w:spacing w:after="0"/>
        <w:tabs>
          <w:tab w:leader="none" w:pos="1448" w:val="left"/>
        </w:tabs>
        <w:numPr>
          <w:ilvl w:val="2"/>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 of the Fair Market Value of such share on the Purchase Date.</w:t>
      </w:r>
    </w:p>
    <w:p>
      <w:pPr>
        <w:spacing w:after="0" w:line="192" w:lineRule="exact"/>
        <w:rPr>
          <w:rFonts w:ascii="Times New Roman" w:cs="Times New Roman" w:eastAsia="Times New Roman" w:hAnsi="Times New Roman"/>
          <w:sz w:val="15"/>
          <w:szCs w:val="15"/>
          <w:color w:val="auto"/>
        </w:rPr>
      </w:pPr>
    </w:p>
    <w:p>
      <w:pPr>
        <w:ind w:left="8" w:right="60" w:firstLine="443"/>
        <w:spacing w:after="0" w:line="265" w:lineRule="auto"/>
        <w:tabs>
          <w:tab w:leader="none" w:pos="667" w:val="left"/>
        </w:tabs>
        <w:numPr>
          <w:ilvl w:val="1"/>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Number of Shares Purchased</w:t>
      </w:r>
      <w:r>
        <w:rPr>
          <w:rFonts w:ascii="Times New Roman" w:cs="Times New Roman" w:eastAsia="Times New Roman" w:hAnsi="Times New Roman"/>
          <w:sz w:val="15"/>
          <w:szCs w:val="15"/>
          <w:color w:val="auto"/>
        </w:rPr>
        <w:t>. On each Purchase Date, each Participant shall be deemed to have elected to purchase the number of shares of Stock calculated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this Subsection (c), unless the Participant has previously elected to withdraw from the Offering Period in accordance with Section 6(a). The amount then in the Participant’s Plan Account shall be divided by the Purchase Price, and the number of shares that results shall be purchased from the Company with the funds in the Participant’s Plan Account. The foregoing number of shares of Stock that may be purchased by a Participant are subject to the limitations set forth in Subsection (d) below and in Section 9. The Administrator may determine with respect to all Participants in an Offering Period that any fractional share, as calculated under this Subsection (c), shall be (i) rounded down to the next lower whole share or (ii) credited as a fractional share.</w:t>
      </w:r>
    </w:p>
    <w:p>
      <w:pPr>
        <w:spacing w:after="0" w:line="148" w:lineRule="exact"/>
        <w:rPr>
          <w:rFonts w:ascii="Times New Roman" w:cs="Times New Roman" w:eastAsia="Times New Roman" w:hAnsi="Times New Roman"/>
          <w:sz w:val="15"/>
          <w:szCs w:val="15"/>
          <w:color w:val="auto"/>
        </w:rPr>
      </w:pPr>
    </w:p>
    <w:p>
      <w:pPr>
        <w:ind w:left="668" w:hanging="217"/>
        <w:spacing w:after="0"/>
        <w:tabs>
          <w:tab w:leader="none" w:pos="668" w:val="left"/>
        </w:tabs>
        <w:numPr>
          <w:ilvl w:val="1"/>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Available Shares Insufficient</w:t>
      </w:r>
      <w:r>
        <w:rPr>
          <w:rFonts w:ascii="Times New Roman" w:cs="Times New Roman" w:eastAsia="Times New Roman" w:hAnsi="Times New Roman"/>
          <w:sz w:val="15"/>
          <w:szCs w:val="15"/>
          <w:color w:val="auto"/>
        </w:rPr>
        <w:t>. In the event that the aggregate number of shares that all Participants elect to purchase with respect to a particular Purchase Period exceeds</w:t>
      </w:r>
    </w:p>
    <w:p>
      <w:pPr>
        <w:spacing w:after="0" w:line="30" w:lineRule="exact"/>
        <w:rPr>
          <w:rFonts w:ascii="Times New Roman" w:cs="Times New Roman" w:eastAsia="Times New Roman" w:hAnsi="Times New Roman"/>
          <w:sz w:val="15"/>
          <w:szCs w:val="15"/>
          <w:color w:val="auto"/>
        </w:rPr>
      </w:pPr>
    </w:p>
    <w:p>
      <w:pPr>
        <w:ind w:left="8" w:right="80" w:hanging="8"/>
        <w:spacing w:after="0" w:line="259" w:lineRule="auto"/>
        <w:tabs>
          <w:tab w:leader="none" w:pos="191" w:val="left"/>
        </w:tabs>
        <w:numPr>
          <w:ilvl w:val="0"/>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Stock that were available under Section 3 above for sale under the Plan on the first day of the applicable Offering Period, or (ii) the number of shares that were available under Section 3 above for sale under the Plan on the applicable Purchase Date, then the number of shares to which each Participant is entitled shall be determined by multiplying the number of shares available for issuance by a fraction. The numerator of such fraction is the number of shares that such Participant has elected to purchase, and the denominator of such fraction is the number of shares that all Participants have elected to purchase. The Company may make a pro rata allocation of the shares available on the first day of an applicable Offering Period pursuant to the preceding sentence, notwithstanding any authorization of additional shares for issuance under the Plan by the Company’s stockholders subsequent to such date. In the event of a pro-rata allocation under this Section (d), the Administrator may determine in its discretion to continue all Offering Periods then in effect or terminate all Offering Periods then in effect pursuant to Section 14.</w:t>
      </w:r>
    </w:p>
    <w:p>
      <w:pPr>
        <w:spacing w:after="0" w:line="154" w:lineRule="exact"/>
        <w:rPr>
          <w:rFonts w:ascii="Times New Roman" w:cs="Times New Roman" w:eastAsia="Times New Roman" w:hAnsi="Times New Roman"/>
          <w:sz w:val="15"/>
          <w:szCs w:val="15"/>
          <w:color w:val="auto"/>
        </w:rPr>
      </w:pPr>
    </w:p>
    <w:p>
      <w:pPr>
        <w:ind w:left="8" w:firstLine="443"/>
        <w:spacing w:after="0" w:line="270" w:lineRule="auto"/>
        <w:tabs>
          <w:tab w:leader="none" w:pos="667" w:val="left"/>
        </w:tabs>
        <w:numPr>
          <w:ilvl w:val="1"/>
          <w:numId w:val="3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Issuance of Stock</w:t>
      </w:r>
      <w:r>
        <w:rPr>
          <w:rFonts w:ascii="Times New Roman" w:cs="Times New Roman" w:eastAsia="Times New Roman" w:hAnsi="Times New Roman"/>
          <w:sz w:val="15"/>
          <w:szCs w:val="15"/>
          <w:color w:val="auto"/>
        </w:rPr>
        <w:t>. The shares of Stock purchased by a Participant under the Plan will be registered in the name of such Participant. The Company may permit or require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(The two preceding sentences shall apply whether or not the Participant is required to pay income tax in the United States.)</w:t>
      </w:r>
    </w:p>
    <w:p>
      <w:pPr>
        <w:spacing w:after="0" w:line="92"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188"/>
          </w:cols>
          <w:pgMar w:left="312" w:top="248" w:right="399" w:bottom="1440" w:gutter="0" w:footer="0" w:header="0"/>
        </w:sectPr>
      </w:pPr>
    </w:p>
    <w:bookmarkStart w:id="460" w:name="page461"/>
    <w:bookmarkEnd w:id="460"/>
    <w:p>
      <w:pPr>
        <w:jc w:val="both"/>
        <w:ind w:right="480" w:firstLine="443"/>
        <w:spacing w:after="0" w:line="277" w:lineRule="auto"/>
        <w:tabs>
          <w:tab w:leader="none" w:pos="642"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Tax Withholding</w:t>
      </w:r>
      <w:r>
        <w:rPr>
          <w:rFonts w:ascii="Times New Roman" w:cs="Times New Roman" w:eastAsia="Times New Roman" w:hAnsi="Times New Roman"/>
          <w:sz w:val="15"/>
          <w:szCs w:val="15"/>
          <w:color w:val="auto"/>
        </w:rPr>
        <w:t>. To the extent required by applicable federal, state, local or foreign law, a Participant shall make arrangements satisfactory to the Company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satisfaction of any withholding tax obligations that arise in connection with the Plan. The Company shall not be required to issue any shares of Stock under the Plan until such obligations, if any, are satisfied.</w:t>
      </w:r>
    </w:p>
    <w:p>
      <w:pPr>
        <w:spacing w:after="0" w:line="140" w:lineRule="exact"/>
        <w:rPr>
          <w:rFonts w:ascii="Times New Roman" w:cs="Times New Roman" w:eastAsia="Times New Roman" w:hAnsi="Times New Roman"/>
          <w:sz w:val="15"/>
          <w:szCs w:val="15"/>
          <w:color w:val="auto"/>
        </w:rPr>
      </w:pPr>
    </w:p>
    <w:p>
      <w:pPr>
        <w:ind w:right="60" w:firstLine="443"/>
        <w:spacing w:after="0" w:line="270" w:lineRule="auto"/>
        <w:tabs>
          <w:tab w:leader="none" w:pos="668"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Unused Cash Balances</w:t>
      </w:r>
      <w:r>
        <w:rPr>
          <w:rFonts w:ascii="Times New Roman" w:cs="Times New Roman" w:eastAsia="Times New Roman" w:hAnsi="Times New Roman"/>
          <w:sz w:val="15"/>
          <w:szCs w:val="15"/>
          <w:color w:val="auto"/>
        </w:rPr>
        <w:t>. Subject to the final sentence of Section 8(c), any amount remaining in a Participant’s Plan Account at the end of a Purchase Period solely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 of the inability to purchase a fractional share will be carried over to the next Offering Period or Purchase Period, as applicable. Any amount remaining in the Participant’s Plan Account that represents the Purchase Price for whole shares that could not be purchased by reason of Subsections (c) or (d) above or Section 9(b) shall be refunded to the Participant in cash, without interest (except as otherwise required by the laws of the local jurisdiction).</w:t>
      </w:r>
    </w:p>
    <w:p>
      <w:pPr>
        <w:spacing w:after="0" w:line="146" w:lineRule="exact"/>
        <w:rPr>
          <w:rFonts w:ascii="Times New Roman" w:cs="Times New Roman" w:eastAsia="Times New Roman" w:hAnsi="Times New Roman"/>
          <w:sz w:val="15"/>
          <w:szCs w:val="15"/>
          <w:color w:val="auto"/>
        </w:rPr>
      </w:pPr>
    </w:p>
    <w:p>
      <w:pPr>
        <w:ind w:firstLine="443"/>
        <w:spacing w:after="0" w:line="298" w:lineRule="auto"/>
        <w:tabs>
          <w:tab w:leader="none" w:pos="668" w:val="left"/>
        </w:tabs>
        <w:numPr>
          <w:ilvl w:val="0"/>
          <w:numId w:val="3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Stockholder Approval</w:t>
      </w:r>
      <w:r>
        <w:rPr>
          <w:rFonts w:ascii="Times New Roman" w:cs="Times New Roman" w:eastAsia="Times New Roman" w:hAnsi="Times New Roman"/>
          <w:sz w:val="15"/>
          <w:szCs w:val="15"/>
          <w:color w:val="auto"/>
        </w:rPr>
        <w:t>. Any other provision of the Plan notwithstanding, no shares of Stock shall be purchased under the Plan unless and until the Company’s stockholders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have approved the adoption of the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9. PLAN LIMITATIONS.</w:t>
      </w:r>
    </w:p>
    <w:p>
      <w:pPr>
        <w:spacing w:after="0" w:line="104" w:lineRule="exact"/>
        <w:rPr>
          <w:sz w:val="20"/>
          <w:szCs w:val="20"/>
          <w:color w:val="auto"/>
        </w:rPr>
      </w:pPr>
    </w:p>
    <w:p>
      <w:pPr>
        <w:ind w:right="80" w:firstLine="443"/>
        <w:spacing w:after="0" w:line="274" w:lineRule="auto"/>
        <w:tabs>
          <w:tab w:leader="none" w:pos="659" w:val="left"/>
        </w:tabs>
        <w:numPr>
          <w:ilvl w:val="0"/>
          <w:numId w:val="3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Five Percent Limit</w:t>
      </w:r>
      <w:r>
        <w:rPr>
          <w:rFonts w:ascii="Times New Roman" w:cs="Times New Roman" w:eastAsia="Times New Roman" w:hAnsi="Times New Roman"/>
          <w:sz w:val="15"/>
          <w:szCs w:val="15"/>
          <w:color w:val="auto"/>
        </w:rPr>
        <w:t>. Any other provision of the Plan notwithstanding, no Participant shall be granted a right to purchase Stock under the Plan if, immediately after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right is granted, such Participant would own stock possessing 5% or more of the total combined voting power or value of all classes of stock of the Company or any Related Corporation, applying the stock attribution rules of Code Section 424(d), and including any stock in which the Participant may purchase under outstanding options as stock owned by such Participant.</w:t>
      </w:r>
    </w:p>
    <w:p>
      <w:pPr>
        <w:spacing w:after="0" w:line="331" w:lineRule="exact"/>
        <w:rPr>
          <w:rFonts w:ascii="Times New Roman" w:cs="Times New Roman" w:eastAsia="Times New Roman" w:hAnsi="Times New Roman"/>
          <w:sz w:val="15"/>
          <w:szCs w:val="15"/>
          <w:color w:val="auto"/>
        </w:rPr>
      </w:pPr>
    </w:p>
    <w:p>
      <w:pPr>
        <w:ind w:right="40" w:firstLine="443"/>
        <w:spacing w:after="0" w:line="267" w:lineRule="auto"/>
        <w:tabs>
          <w:tab w:leader="none" w:pos="668" w:val="left"/>
        </w:tabs>
        <w:numPr>
          <w:ilvl w:val="0"/>
          <w:numId w:val="3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Dollar Limit</w:t>
      </w:r>
      <w:r>
        <w:rPr>
          <w:rFonts w:ascii="Times New Roman" w:cs="Times New Roman" w:eastAsia="Times New Roman" w:hAnsi="Times New Roman"/>
          <w:sz w:val="15"/>
          <w:szCs w:val="15"/>
          <w:color w:val="auto"/>
        </w:rPr>
        <w:t>. As specified by Code Section 423(b)(8), no Participant shall be entitled to accrue rights to purchase Stock pursuant to any such rights outstanding under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if and to the extent such accrual, when aggregated with (i) rights to purchase Stock accrued under any other right to purchase Stock under the Plan, and (ii) similar rights accrued under other employee stock purchase plans (within the meaning of Code Section 423) of the Company or any Related Corporation, would otherwise permit such Participant to purchase more than $25,000 worth of Stock of the Company or any Related Corporation (determined on the basis of the Fair Market Value per share on the date such rights are granted, and which, with respect to the Plan, will be determined as of the beginning of the respective Offering Period) for each calendar year such rights are at any time outstanding.</w:t>
      </w:r>
    </w:p>
    <w:p>
      <w:pPr>
        <w:spacing w:after="0" w:line="151" w:lineRule="exact"/>
        <w:rPr>
          <w:sz w:val="20"/>
          <w:szCs w:val="20"/>
          <w:color w:val="auto"/>
        </w:rPr>
      </w:pPr>
    </w:p>
    <w:p>
      <w:pPr>
        <w:jc w:val="both"/>
        <w:ind w:right="40" w:firstLine="451"/>
        <w:spacing w:after="0" w:line="275" w:lineRule="auto"/>
        <w:rPr>
          <w:sz w:val="20"/>
          <w:szCs w:val="20"/>
          <w:color w:val="auto"/>
        </w:rPr>
      </w:pPr>
      <w:r>
        <w:rPr>
          <w:rFonts w:ascii="Times New Roman" w:cs="Times New Roman" w:eastAsia="Times New Roman" w:hAnsi="Times New Roman"/>
          <w:sz w:val="15"/>
          <w:szCs w:val="15"/>
          <w:color w:val="auto"/>
        </w:rPr>
        <w:t>If a Participant is precluded by this Subsection (b) from purchasing additional Stock under the Plan, then his or her employee contributions shall automatically be discontinued and shall automatically resume at the beginning of the next Purchase Period with a scheduled Purchase Date in the next calendar year, provided that he or she is an Eligible Employee at the beginning of such Purchase Period.</w:t>
      </w:r>
    </w:p>
    <w:p>
      <w:pPr>
        <w:spacing w:after="0" w:line="141" w:lineRule="exact"/>
        <w:rPr>
          <w:sz w:val="20"/>
          <w:szCs w:val="20"/>
          <w:color w:val="auto"/>
        </w:rPr>
      </w:pPr>
    </w:p>
    <w:p>
      <w:pPr>
        <w:jc w:val="both"/>
        <w:ind w:firstLine="443"/>
        <w:spacing w:after="0" w:line="277" w:lineRule="auto"/>
        <w:tabs>
          <w:tab w:leader="none" w:pos="659" w:val="left"/>
        </w:tabs>
        <w:numPr>
          <w:ilvl w:val="0"/>
          <w:numId w:val="3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Purchase Period Share Purchase Limit</w:t>
      </w:r>
      <w:r>
        <w:rPr>
          <w:rFonts w:ascii="Times New Roman" w:cs="Times New Roman" w:eastAsia="Times New Roman" w:hAnsi="Times New Roman"/>
          <w:sz w:val="15"/>
          <w:szCs w:val="15"/>
          <w:color w:val="auto"/>
        </w:rPr>
        <w:t>. The Administrator may establish one or more limits on the number of shares of Stock that may be purchased during any Offering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Period and/or Purchase Period, including individual limits and/or aggregate limits. Unless the Administrator provides otherwise with respect to an Offering Period, any other provision of the Plan notwithstanding, no Participant shall purchase more than 3,000 shares of Stock with respect to any Purchase Period.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0"/>
          </w:cols>
          <w:pgMar w:left="320" w:top="248" w:right="33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SECTION 10. RIGHTS NOT TRANSFERABLE.</w:t>
      </w:r>
    </w:p>
    <w:p>
      <w:pPr>
        <w:spacing w:after="0" w:line="108" w:lineRule="exact"/>
        <w:rPr>
          <w:sz w:val="20"/>
          <w:szCs w:val="20"/>
          <w:color w:val="auto"/>
        </w:rPr>
      </w:pPr>
    </w:p>
    <w:p>
      <w:pPr>
        <w:ind w:firstLine="451"/>
        <w:spacing w:after="0" w:line="268" w:lineRule="auto"/>
        <w:rPr>
          <w:sz w:val="20"/>
          <w:szCs w:val="20"/>
          <w:color w:val="auto"/>
        </w:rPr>
      </w:pPr>
      <w:r>
        <w:rPr>
          <w:rFonts w:ascii="Times New Roman" w:cs="Times New Roman" w:eastAsia="Times New Roman" w:hAnsi="Times New Roman"/>
          <w:sz w:val="15"/>
          <w:szCs w:val="15"/>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beneficiary designation or the laws of descent and distribution. If a Participant in any manner attempts to transfer, assign or otherwise encumber his or her rights or interest under the Plan, other than by beneficiary designation or the laws of descent and distribution, then such act shall be treated as an election by the Participant to withdraw from the Plan under Section 6(a).</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11. NO RIGHTS AS AN EMPLOYEE.</w:t>
      </w:r>
    </w:p>
    <w:p>
      <w:pPr>
        <w:spacing w:after="0" w:line="108" w:lineRule="exact"/>
        <w:rPr>
          <w:sz w:val="20"/>
          <w:szCs w:val="20"/>
          <w:color w:val="auto"/>
        </w:rPr>
      </w:pPr>
    </w:p>
    <w:p>
      <w:pPr>
        <w:ind w:right="100" w:firstLine="451"/>
        <w:spacing w:after="0" w:line="275" w:lineRule="auto"/>
        <w:rPr>
          <w:sz w:val="20"/>
          <w:szCs w:val="20"/>
          <w:color w:val="auto"/>
        </w:rPr>
      </w:pPr>
      <w:r>
        <w:rPr>
          <w:rFonts w:ascii="Times New Roman" w:cs="Times New Roman" w:eastAsia="Times New Roman" w:hAnsi="Times New Roman"/>
          <w:sz w:val="15"/>
          <w:szCs w:val="15"/>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12. NO RIGHTS AS A STOCKHOLDER.</w:t>
      </w:r>
    </w:p>
    <w:p>
      <w:pPr>
        <w:spacing w:after="0" w:line="108" w:lineRule="exact"/>
        <w:rPr>
          <w:sz w:val="20"/>
          <w:szCs w:val="20"/>
          <w:color w:val="auto"/>
        </w:rPr>
      </w:pPr>
    </w:p>
    <w:p>
      <w:pPr>
        <w:ind w:right="200" w:firstLine="451"/>
        <w:spacing w:after="0" w:line="293" w:lineRule="auto"/>
        <w:rPr>
          <w:sz w:val="20"/>
          <w:szCs w:val="20"/>
          <w:color w:val="auto"/>
        </w:rPr>
      </w:pPr>
      <w:r>
        <w:rPr>
          <w:rFonts w:ascii="Times New Roman" w:cs="Times New Roman" w:eastAsia="Times New Roman" w:hAnsi="Times New Roman"/>
          <w:sz w:val="15"/>
          <w:szCs w:val="15"/>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13. SECURITIES LAW REQUIREMENTS.</w:t>
      </w:r>
    </w:p>
    <w:p>
      <w:pPr>
        <w:spacing w:after="0" w:line="108" w:lineRule="exact"/>
        <w:rPr>
          <w:sz w:val="20"/>
          <w:szCs w:val="20"/>
          <w:color w:val="auto"/>
        </w:rPr>
      </w:pPr>
    </w:p>
    <w:p>
      <w:pPr>
        <w:ind w:right="100" w:firstLine="451"/>
        <w:spacing w:after="0" w:line="275" w:lineRule="auto"/>
        <w:rPr>
          <w:sz w:val="20"/>
          <w:szCs w:val="20"/>
          <w:color w:val="auto"/>
        </w:rPr>
      </w:pPr>
      <w:r>
        <w:rPr>
          <w:rFonts w:ascii="Times New Roman" w:cs="Times New Roman" w:eastAsia="Times New Roman" w:hAnsi="Times New Roman"/>
          <w:sz w:val="15"/>
          <w:szCs w:val="15"/>
          <w:color w:val="auto"/>
        </w:rPr>
        <w:t>Shares of Stock shall not be issued, and the Company shall have no liability for failure to issue shares of Stock,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14. AMENDMENT OR DISCONTINUANCE.</w:t>
      </w:r>
    </w:p>
    <w:p>
      <w:pPr>
        <w:spacing w:after="0" w:line="196" w:lineRule="exact"/>
        <w:rPr>
          <w:sz w:val="20"/>
          <w:szCs w:val="20"/>
          <w:color w:val="auto"/>
        </w:rPr>
      </w:pPr>
    </w:p>
    <w:p>
      <w:pPr>
        <w:ind w:firstLine="443"/>
        <w:spacing w:after="0" w:line="267" w:lineRule="auto"/>
        <w:tabs>
          <w:tab w:leader="none" w:pos="659" w:val="left"/>
        </w:tabs>
        <w:numPr>
          <w:ilvl w:val="0"/>
          <w:numId w:val="3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General Rule</w:t>
      </w:r>
      <w:r>
        <w:rPr>
          <w:rFonts w:ascii="Times New Roman" w:cs="Times New Roman" w:eastAsia="Times New Roman" w:hAnsi="Times New Roman"/>
          <w:sz w:val="15"/>
          <w:szCs w:val="15"/>
          <w:color w:val="auto"/>
        </w:rPr>
        <w:t>. The Administrator, in its sole discretion, may amend, suspend, or terminate the Plan, or any part thereof, at any time and for any reason. If the Plan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terminated, the Administrator, in its discretion, may elect to terminate all outstanding Offering Periods either immediately or upon completion of the purchase of shares of Stock on the next Purchase Date, or may elect to permit Offering Periods to expire in accordance with their terms (and subject to any adjustment pursuant to Section 3(c) or (d)). If the Offering Periods are terminated prior to expiration, all amounts then credited to Participants’ accounts which have not been used to purchase shares of Stock will be returned to the Participants (without interest thereon, except as otherwise required by the laws of the local jurisdiction) as soon as administratively practicable.</w:t>
      </w:r>
    </w:p>
    <w:p>
      <w:pPr>
        <w:spacing w:after="0" w:line="147" w:lineRule="exact"/>
        <w:rPr>
          <w:rFonts w:ascii="Times New Roman" w:cs="Times New Roman" w:eastAsia="Times New Roman" w:hAnsi="Times New Roman"/>
          <w:sz w:val="15"/>
          <w:szCs w:val="15"/>
          <w:color w:val="auto"/>
        </w:rPr>
      </w:pPr>
    </w:p>
    <w:p>
      <w:pPr>
        <w:ind w:right="100" w:firstLine="443"/>
        <w:spacing w:after="0" w:line="277" w:lineRule="auto"/>
        <w:tabs>
          <w:tab w:leader="none" w:pos="668" w:val="left"/>
        </w:tabs>
        <w:numPr>
          <w:ilvl w:val="0"/>
          <w:numId w:val="3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Administrator’s Discretion</w:t>
      </w:r>
      <w:r>
        <w:rPr>
          <w:rFonts w:ascii="Times New Roman" w:cs="Times New Roman" w:eastAsia="Times New Roman" w:hAnsi="Times New Roman"/>
          <w:sz w:val="15"/>
          <w:szCs w:val="15"/>
          <w:color w:val="auto"/>
        </w:rPr>
        <w:t>. Without stockholder consent and without limiting Subsection (a) above, the Administrator will be entitled to change the Offering Periods,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limit the frequency and/or number of changes in the amount withheld during an Offering Period, establish the exchange ratio applicable to amounts withheld in a currency other than U.S. dollars, permit payroll</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20"/>
          </w:cols>
          <w:pgMar w:left="320" w:top="248" w:right="359" w:bottom="1440" w:gutter="0" w:footer="0" w:header="0"/>
        </w:sectPr>
      </w:pPr>
    </w:p>
    <w:bookmarkStart w:id="462" w:name="page463"/>
    <w:bookmarkEnd w:id="462"/>
    <w:p>
      <w:pPr>
        <w:ind w:right="180"/>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Stock for each Participant properly correspond with amounts withheld from the Participant’s Compensation, amend any outstanding purchase rights or clarify any ambiguities regarding the terms of any Offering Period to enable the purchase rights to qualify under and/or comply with Section 423 of the Code, and establish such other limitations or procedures as it determines in its sole discretion advisable which are consistent with the Plan.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49" w:lineRule="exact"/>
        <w:rPr>
          <w:sz w:val="20"/>
          <w:szCs w:val="20"/>
          <w:color w:val="auto"/>
        </w:rPr>
      </w:pPr>
    </w:p>
    <w:p>
      <w:pPr>
        <w:ind w:right="20" w:firstLine="443"/>
        <w:spacing w:after="0" w:line="277" w:lineRule="auto"/>
        <w:tabs>
          <w:tab w:leader="none" w:pos="659"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Accounting Consideration</w:t>
      </w:r>
      <w:r>
        <w:rPr>
          <w:rFonts w:ascii="Times New Roman" w:cs="Times New Roman" w:eastAsia="Times New Roman" w:hAnsi="Times New Roman"/>
          <w:sz w:val="15"/>
          <w:szCs w:val="15"/>
          <w:color w:val="auto"/>
        </w:rPr>
        <w:t>. In the event the Administrator determines that the ongoing operation of the Plan may result in unfavorable financial accounting consequences,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Administrator may, in its discretion and, to the extent necessary or desirable, modify, amend or terminate the Plan to reduce or eliminate such accounting consequence including, but not limited to:</w:t>
      </w:r>
    </w:p>
    <w:p>
      <w:pPr>
        <w:spacing w:after="0" w:line="63" w:lineRule="exact"/>
        <w:rPr>
          <w:rFonts w:ascii="Times New Roman" w:cs="Times New Roman" w:eastAsia="Times New Roman" w:hAnsi="Times New Roman"/>
          <w:sz w:val="15"/>
          <w:szCs w:val="15"/>
          <w:color w:val="auto"/>
        </w:rPr>
      </w:pPr>
    </w:p>
    <w:p>
      <w:pPr>
        <w:ind w:left="1440" w:right="100" w:hanging="445"/>
        <w:spacing w:after="0" w:line="293" w:lineRule="auto"/>
        <w:tabs>
          <w:tab w:leader="none" w:pos="1440" w:val="left"/>
        </w:tabs>
        <w:numPr>
          <w:ilvl w:val="1"/>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Amending the Plan to conform with the safe harbor definition under Financial Accounting Standards Board Accounting Standards Codification Topic 718 (or successor provision), including with respect to an Offering Period underway at the time;</w:t>
      </w:r>
    </w:p>
    <w:p>
      <w:pPr>
        <w:spacing w:after="0" w:line="51"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Altering the Purchase Price for any Offering Period including an Offering Period underway at the time of the change in Purchase Price;</w:t>
      </w:r>
    </w:p>
    <w:p>
      <w:pPr>
        <w:spacing w:after="0" w:line="115" w:lineRule="exact"/>
        <w:rPr>
          <w:rFonts w:ascii="Times New Roman" w:cs="Times New Roman" w:eastAsia="Times New Roman" w:hAnsi="Times New Roman"/>
          <w:sz w:val="15"/>
          <w:szCs w:val="15"/>
          <w:color w:val="auto"/>
        </w:rPr>
      </w:pPr>
    </w:p>
    <w:p>
      <w:pPr>
        <w:ind w:left="1440" w:hanging="445"/>
        <w:spacing w:after="0" w:line="293" w:lineRule="auto"/>
        <w:tabs>
          <w:tab w:leader="none" w:pos="1440" w:val="left"/>
        </w:tabs>
        <w:numPr>
          <w:ilvl w:val="1"/>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Shortening any Offering Period (and any Purchase Periods encompassed by such Offering Period) by setting a new Purchase Date, including with respect to an Offering Period underway at the time of the Administrator’s action;</w:t>
      </w:r>
    </w:p>
    <w:p>
      <w:pPr>
        <w:spacing w:after="0" w:line="51"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maximum percentage of Compensation a Participant may elect to set aside as payroll deductions; and</w:t>
      </w:r>
    </w:p>
    <w:p>
      <w:pPr>
        <w:spacing w:after="0" w:line="115"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maximum number of shares of Stock a Participant may purchase during any Purchase Period.</w:t>
      </w:r>
    </w:p>
    <w:p>
      <w:pPr>
        <w:spacing w:after="0" w:line="196"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5"/>
          <w:szCs w:val="15"/>
          <w:color w:val="auto"/>
        </w:rPr>
        <w:t>Such modifications or amendments will not require stockholder approval or the consent of any Plan Participants. The actions of the Administrator pursuant to this paragraph will not be considered to alter or impair the purchase rights granted under an Offering Period as they are to be deemed part of the initial terms of such Offering Period and purchase rights.</w:t>
      </w:r>
    </w:p>
    <w:p>
      <w:pPr>
        <w:spacing w:after="0" w:line="128" w:lineRule="exact"/>
        <w:rPr>
          <w:sz w:val="20"/>
          <w:szCs w:val="20"/>
          <w:color w:val="auto"/>
        </w:rPr>
      </w:pPr>
    </w:p>
    <w:p>
      <w:pPr>
        <w:ind w:right="100" w:firstLine="443"/>
        <w:spacing w:after="0" w:line="277" w:lineRule="auto"/>
        <w:tabs>
          <w:tab w:leader="none" w:pos="668" w:val="left"/>
        </w:tabs>
        <w:numPr>
          <w:ilvl w:val="0"/>
          <w:numId w:val="3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Stockholder Approval</w:t>
      </w:r>
      <w:r>
        <w:rPr>
          <w:rFonts w:ascii="Times New Roman" w:cs="Times New Roman" w:eastAsia="Times New Roman" w:hAnsi="Times New Roman"/>
          <w:sz w:val="15"/>
          <w:szCs w:val="15"/>
          <w:color w:val="auto"/>
        </w:rPr>
        <w:t>. Except as provided in Section 3, any increase in the aggregate number of shares of Stock that may be issued under the Plan shall be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approval of the Company’s stockholders. In addition, any other amendment of the Plan shall be subject to the approval of the Company’s stockholders to the extent required under Section 14(e) or by any applicable law or regulation.</w:t>
      </w:r>
    </w:p>
    <w:p>
      <w:pPr>
        <w:spacing w:after="0" w:line="140" w:lineRule="exact"/>
        <w:rPr>
          <w:rFonts w:ascii="Times New Roman" w:cs="Times New Roman" w:eastAsia="Times New Roman" w:hAnsi="Times New Roman"/>
          <w:sz w:val="15"/>
          <w:szCs w:val="15"/>
          <w:color w:val="auto"/>
        </w:rPr>
      </w:pPr>
    </w:p>
    <w:p>
      <w:pPr>
        <w:ind w:right="280" w:firstLine="443"/>
        <w:spacing w:after="0" w:line="298" w:lineRule="auto"/>
        <w:tabs>
          <w:tab w:leader="none" w:pos="659" w:val="left"/>
        </w:tabs>
        <w:numPr>
          <w:ilvl w:val="0"/>
          <w:numId w:val="3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Plan Termination</w:t>
      </w:r>
      <w:r>
        <w:rPr>
          <w:rFonts w:ascii="Times New Roman" w:cs="Times New Roman" w:eastAsia="Times New Roman" w:hAnsi="Times New Roman"/>
          <w:sz w:val="15"/>
          <w:szCs w:val="15"/>
          <w:color w:val="auto"/>
        </w:rPr>
        <w:t>. The Plan shall terminate automatically 20 years after its adoption by the Board, unless (i) the Plan is extended by the Board and (ii) the extension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approved within 12 months by a vote of the stockholders of the Company.</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20"/>
          </w:cols>
          <w:pgMar w:left="320" w:top="252" w:right="3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SECTION 15. DEFINITIONS.</w:t>
      </w:r>
    </w:p>
    <w:p>
      <w:pPr>
        <w:spacing w:after="0" w:line="104" w:lineRule="exact"/>
        <w:rPr>
          <w:sz w:val="20"/>
          <w:szCs w:val="20"/>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Administrator</w:t>
      </w:r>
      <w:r>
        <w:rPr>
          <w:rFonts w:ascii="Times New Roman" w:cs="Times New Roman" w:eastAsia="Times New Roman" w:hAnsi="Times New Roman"/>
          <w:sz w:val="15"/>
          <w:szCs w:val="15"/>
          <w:color w:val="auto"/>
        </w:rPr>
        <w:t>” means the Board or any Committee administering the Plan in accordance with Section 2.</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Board of Directors of the Company, as constituted from time to time.</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Committee</w:t>
      </w:r>
      <w:r>
        <w:rPr>
          <w:rFonts w:ascii="Times New Roman" w:cs="Times New Roman" w:eastAsia="Times New Roman" w:hAnsi="Times New Roman"/>
          <w:sz w:val="15"/>
          <w:szCs w:val="15"/>
          <w:color w:val="auto"/>
        </w:rPr>
        <w:t>” means a committee of one or more members of the Board, or of other individuals satisfying applicable laws, appointed by the Board to administer the Plan.</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Tarsus Pharmaceuticals, Inc., a Delaware corporation.</w:t>
      </w:r>
    </w:p>
    <w:p>
      <w:pPr>
        <w:spacing w:after="0" w:line="196" w:lineRule="exact"/>
        <w:rPr>
          <w:rFonts w:ascii="Times New Roman" w:cs="Times New Roman" w:eastAsia="Times New Roman" w:hAnsi="Times New Roman"/>
          <w:sz w:val="15"/>
          <w:szCs w:val="15"/>
          <w:color w:val="auto"/>
        </w:rPr>
      </w:pPr>
    </w:p>
    <w:p>
      <w:pPr>
        <w:ind w:right="80" w:firstLine="443"/>
        <w:spacing w:after="0" w:line="265" w:lineRule="auto"/>
        <w:tabs>
          <w:tab w:leader="none" w:pos="642"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15"/>
          <w:szCs w:val="15"/>
          <w:color w:val="auto"/>
        </w:rPr>
        <w:t xml:space="preserve">” means, unless otherwise determined by the Administrator with respect to an Offering Period, those components of a Participant’s cash compensation (prior to reductions pursuant to Code Sections 125, 132(f) or 401(k)) that are regular and recurring, </w:t>
      </w:r>
      <w:r>
        <w:rPr>
          <w:rFonts w:ascii="Times New Roman" w:cs="Times New Roman" w:eastAsia="Times New Roman" w:hAnsi="Times New Roman"/>
          <w:sz w:val="15"/>
          <w:szCs w:val="15"/>
          <w:i w:val="1"/>
          <w:iCs w:val="1"/>
          <w:color w:val="auto"/>
        </w:rPr>
        <w:t>including</w:t>
      </w:r>
      <w:r>
        <w:rPr>
          <w:rFonts w:ascii="Times New Roman" w:cs="Times New Roman" w:eastAsia="Times New Roman" w:hAnsi="Times New Roman"/>
          <w:sz w:val="15"/>
          <w:szCs w:val="15"/>
          <w:color w:val="auto"/>
        </w:rPr>
        <w:t xml:space="preserve"> cash base salary or base hourly pay </w:t>
      </w:r>
      <w:r>
        <w:rPr>
          <w:rFonts w:ascii="Times New Roman" w:cs="Times New Roman" w:eastAsia="Times New Roman" w:hAnsi="Times New Roman"/>
          <w:sz w:val="15"/>
          <w:szCs w:val="15"/>
          <w:i w:val="1"/>
          <w:iCs w:val="1"/>
          <w:color w:val="auto"/>
        </w:rPr>
        <w:t>but</w:t>
      </w:r>
      <w:r>
        <w:rPr>
          <w:rFonts w:ascii="Times New Roman" w:cs="Times New Roman" w:eastAsia="Times New Roman" w:hAnsi="Times New Roman"/>
          <w:sz w:val="15"/>
          <w:szCs w:val="15"/>
          <w:color w:val="auto"/>
        </w:rPr>
        <w:t xml:space="preserve"> excluding any overtime pay or shift differentials, commissions, annual cash incentive compensation, and annual cash bonuses, and </w:t>
      </w:r>
      <w:r>
        <w:rPr>
          <w:rFonts w:ascii="Times New Roman" w:cs="Times New Roman" w:eastAsia="Times New Roman" w:hAnsi="Times New Roman"/>
          <w:sz w:val="15"/>
          <w:szCs w:val="15"/>
          <w:i w:val="1"/>
          <w:iCs w:val="1"/>
          <w:color w:val="auto"/>
        </w:rPr>
        <w:t>further excluding</w:t>
      </w:r>
      <w:r>
        <w:rPr>
          <w:rFonts w:ascii="Times New Roman" w:cs="Times New Roman" w:eastAsia="Times New Roman" w:hAnsi="Times New Roman"/>
          <w:sz w:val="15"/>
          <w:szCs w:val="15"/>
          <w:color w:val="auto"/>
        </w:rPr>
        <w:t xml:space="preserve"> extraordinary cash items (such as one-time bonuses), as well as all non-cash items, moving or relocation allowances, cost-of-living or tax equalization payments, car allowances, tuition reimbursements, imputed income attributable to cars or life insurance, severance pay, fringe benefits, contributions or benefits received under employee benefit plans, payments for or related to equity compensation, and any similar items. The Administrator shall determine whether a particular item is included in Compensation.</w:t>
      </w:r>
    </w:p>
    <w:p>
      <w:pPr>
        <w:spacing w:after="0" w:line="148"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Reorganization</w:t>
      </w:r>
      <w:r>
        <w:rPr>
          <w:rFonts w:ascii="Times New Roman" w:cs="Times New Roman" w:eastAsia="Times New Roman" w:hAnsi="Times New Roman"/>
          <w:sz w:val="15"/>
          <w:szCs w:val="15"/>
          <w:color w:val="auto"/>
        </w:rPr>
        <w:t>” means:</w:t>
      </w:r>
    </w:p>
    <w:p>
      <w:pPr>
        <w:spacing w:after="0" w:line="119"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consummation of a merger or consolidation of the Company with or into another entity or any other corporate reorganization; or</w:t>
      </w:r>
    </w:p>
    <w:p>
      <w:pPr>
        <w:spacing w:after="0" w:line="115" w:lineRule="exact"/>
        <w:rPr>
          <w:rFonts w:ascii="Times New Roman" w:cs="Times New Roman" w:eastAsia="Times New Roman" w:hAnsi="Times New Roman"/>
          <w:sz w:val="15"/>
          <w:szCs w:val="15"/>
          <w:color w:val="auto"/>
        </w:rPr>
      </w:pPr>
    </w:p>
    <w:p>
      <w:pPr>
        <w:ind w:left="1440" w:hanging="445"/>
        <w:spacing w:after="0"/>
        <w:tabs>
          <w:tab w:leader="none" w:pos="1440" w:val="left"/>
        </w:tabs>
        <w:numPr>
          <w:ilvl w:val="1"/>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transfer or other disposition of all or substantially all of the Company’s assets or the complete liquidation or dissolution of the Company.</w:t>
      </w:r>
    </w:p>
    <w:p>
      <w:pPr>
        <w:spacing w:after="0" w:line="192" w:lineRule="exact"/>
        <w:rPr>
          <w:rFonts w:ascii="Times New Roman" w:cs="Times New Roman" w:eastAsia="Times New Roman" w:hAnsi="Times New Roman"/>
          <w:sz w:val="15"/>
          <w:szCs w:val="15"/>
          <w:color w:val="auto"/>
        </w:rPr>
      </w:pPr>
    </w:p>
    <w:p>
      <w:pPr>
        <w:ind w:firstLine="443"/>
        <w:spacing w:after="0" w:line="261" w:lineRule="auto"/>
        <w:tabs>
          <w:tab w:leader="none" w:pos="668" w:val="left"/>
        </w:tabs>
        <w:numPr>
          <w:ilvl w:val="0"/>
          <w:numId w:val="3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Eligible Employee</w:t>
      </w:r>
      <w:r>
        <w:rPr>
          <w:rFonts w:ascii="Times New Roman" w:cs="Times New Roman" w:eastAsia="Times New Roman" w:hAnsi="Times New Roman"/>
          <w:sz w:val="15"/>
          <w:szCs w:val="15"/>
          <w:color w:val="auto"/>
        </w:rPr>
        <w:t>” means a common law employee of a Participating Company, provided, however, that the Administrator may exclude one or more of the following categories of employees (where exclusion of such employees is permitted by applicable law) from any Offering Period: (i) employees who have been employed less than two years (or any shorter period of time established for an Offering Period), (ii) employees who are customarily employed twenty (20) or less hours per week (or any lesser number of hours per week established for an Offering Period), (iii) employees who are customarily employed for five (5) months or less in a calendar year (or any lesser number of months in a calendar year established for an Offering Period), (iv) “highly compensated employees” (within the meaning of Code Section 414(q)) or (v) “highly compensated employees” (within the meaning of Code Section 414(q)) with compensation above a certain level and/or who are subject to the disclosure requirements of Section 16(a) of the Exchange Act. In addition, an individual shall not be considered an Eligible Employee if his or her participation in the Plan is prohibited by the law of any country that has jurisdiction over him or her or if complying with the laws of the applicable foreign jurisdiction would cause the Plan or an Offering Period to violate the requirements of Code Section 423. With respect to a Base Offering Period, any criteria used to determine Eligible Employees shall be determined in a manner consistent with Code Section 423. In the case of an Offering Period that is not intended to qualify under Code Section 423, the Administrator may exclude any individual(s) from participation if the Administrator determines the participation of such individual(s) is not advisable or practicable.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248" w:right="339" w:bottom="1440" w:gutter="0" w:footer="0" w:header="0"/>
        </w:sectPr>
      </w:pPr>
    </w:p>
    <w:bookmarkStart w:id="464" w:name="page465"/>
    <w:bookmarkEnd w:id="464"/>
    <w:p>
      <w:pPr>
        <w:jc w:val="both"/>
        <w:ind w:right="120" w:firstLine="443"/>
        <w:spacing w:after="0" w:line="277" w:lineRule="auto"/>
        <w:tabs>
          <w:tab w:leader="none" w:pos="634"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w:t>
      </w:r>
      <w:r>
        <w:rPr>
          <w:rFonts w:ascii="Times New Roman" w:cs="Times New Roman" w:eastAsia="Times New Roman" w:hAnsi="Times New Roman"/>
          <w:sz w:val="15"/>
          <w:szCs w:val="15"/>
          <w:b w:val="1"/>
          <w:bCs w:val="1"/>
          <w:color w:val="auto"/>
        </w:rPr>
        <w:t>Enrollment Period</w:t>
      </w:r>
      <w:r>
        <w:rPr>
          <w:rFonts w:ascii="Times New Roman" w:cs="Times New Roman" w:eastAsia="Times New Roman" w:hAnsi="Times New Roman"/>
          <w:sz w:val="15"/>
          <w:szCs w:val="15"/>
          <w:color w:val="auto"/>
        </w:rPr>
        <w:t>” means a period prior to the start of an Offering Period during which Eligible Employees must submit the required enrollment forms to participate in such Offering Period, which period shall end at least five (5) business days (or such other date as may be specified in advance by the Administrator) prior to the start of the Offering Period.</w:t>
      </w:r>
    </w:p>
    <w:p>
      <w:pPr>
        <w:spacing w:after="0" w:line="140" w:lineRule="exact"/>
        <w:rPr>
          <w:rFonts w:ascii="Times New Roman" w:cs="Times New Roman" w:eastAsia="Times New Roman" w:hAnsi="Times New Roman"/>
          <w:sz w:val="15"/>
          <w:szCs w:val="15"/>
          <w:color w:val="auto"/>
        </w:rPr>
      </w:pPr>
    </w:p>
    <w:p>
      <w:pPr>
        <w:ind w:left="620" w:hanging="177"/>
        <w:spacing w:after="0"/>
        <w:tabs>
          <w:tab w:leader="none" w:pos="62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6" w:lineRule="exact"/>
        <w:rPr>
          <w:rFonts w:ascii="Times New Roman" w:cs="Times New Roman" w:eastAsia="Times New Roman" w:hAnsi="Times New Roman"/>
          <w:sz w:val="15"/>
          <w:szCs w:val="15"/>
          <w:color w:val="auto"/>
        </w:rPr>
      </w:pPr>
    </w:p>
    <w:p>
      <w:pPr>
        <w:ind w:right="320" w:firstLine="443"/>
        <w:spacing w:after="0" w:line="277" w:lineRule="auto"/>
        <w:tabs>
          <w:tab w:leader="none" w:pos="668"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Fair Market Value</w:t>
      </w:r>
      <w:r>
        <w:rPr>
          <w:rFonts w:ascii="Times New Roman" w:cs="Times New Roman" w:eastAsia="Times New Roman" w:hAnsi="Times New Roman"/>
          <w:sz w:val="15"/>
          <w:szCs w:val="15"/>
          <w:color w:val="auto"/>
        </w:rPr>
        <w:t>” means the price at which Stock was last sold in the principal U.S. market for the Stock on the applicable date or, if the applicable date was not a trading day, on the last trading day prior to the applicable date. If Stock is no longer traded on a public U.S. securities market, the Fair Market Value shall be determined by the Administrator in good faith on such basis as it deems appropriate. The Administrator’s determination shall be conclusive and binding on all persons.</w:t>
      </w:r>
    </w:p>
    <w:p>
      <w:pPr>
        <w:spacing w:after="0" w:line="140" w:lineRule="exact"/>
        <w:rPr>
          <w:rFonts w:ascii="Times New Roman" w:cs="Times New Roman" w:eastAsia="Times New Roman" w:hAnsi="Times New Roman"/>
          <w:sz w:val="15"/>
          <w:szCs w:val="15"/>
          <w:color w:val="auto"/>
        </w:rPr>
      </w:pPr>
    </w:p>
    <w:p>
      <w:pPr>
        <w:ind w:left="620" w:hanging="177"/>
        <w:spacing w:after="0"/>
        <w:tabs>
          <w:tab w:leader="none" w:pos="62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IPO Date</w:t>
      </w:r>
      <w:r>
        <w:rPr>
          <w:rFonts w:ascii="Times New Roman" w:cs="Times New Roman" w:eastAsia="Times New Roman" w:hAnsi="Times New Roman"/>
          <w:sz w:val="15"/>
          <w:szCs w:val="15"/>
          <w:color w:val="auto"/>
        </w:rPr>
        <w:t>” means the effective date of the registration statement filed by the Company with the Securities and Exchange Commission for its initial offering of Stock to the</w:t>
      </w:r>
    </w:p>
    <w:p>
      <w:pPr>
        <w:spacing w:after="0" w:line="3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w:t>
      </w:r>
    </w:p>
    <w:p>
      <w:pPr>
        <w:spacing w:after="0" w:line="177" w:lineRule="exact"/>
        <w:rPr>
          <w:rFonts w:ascii="Times New Roman" w:cs="Times New Roman" w:eastAsia="Times New Roman" w:hAnsi="Times New Roman"/>
          <w:sz w:val="15"/>
          <w:szCs w:val="15"/>
          <w:color w:val="auto"/>
        </w:rPr>
      </w:pPr>
    </w:p>
    <w:p>
      <w:pPr>
        <w:ind w:right="400" w:firstLine="443"/>
        <w:spacing w:after="0" w:line="298" w:lineRule="auto"/>
        <w:tabs>
          <w:tab w:leader="none" w:pos="711"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Offering Period</w:t>
      </w:r>
      <w:r>
        <w:rPr>
          <w:rFonts w:ascii="Times New Roman" w:cs="Times New Roman" w:eastAsia="Times New Roman" w:hAnsi="Times New Roman"/>
          <w:sz w:val="15"/>
          <w:szCs w:val="15"/>
          <w:color w:val="auto"/>
        </w:rPr>
        <w:t>” means any period, including as the context requires the Base Offering Periods and Additional Offering Periods, with respect to which the right to purchase Stock may be granted under the Plan, as determined pursuant to Section 4(a).</w:t>
      </w:r>
    </w:p>
    <w:p>
      <w:pPr>
        <w:spacing w:after="0" w:line="125"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means an Eligible Employee who participates in the Plan or any Sub-Plan, as provided in Section 4.</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Participating Company</w:t>
      </w:r>
      <w:r>
        <w:rPr>
          <w:rFonts w:ascii="Times New Roman" w:cs="Times New Roman" w:eastAsia="Times New Roman" w:hAnsi="Times New Roman"/>
          <w:sz w:val="15"/>
          <w:szCs w:val="15"/>
          <w:color w:val="auto"/>
        </w:rPr>
        <w:t>” means (i) the Company and (ii) each present or future Subsidiary designated by the Administrator as a Participating Company.</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means this Tarsus Pharmaceuticals, Inc. 2020 Employee Stock Purchase Plan, as it may be amended from time to time.</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Plan Account</w:t>
      </w:r>
      <w:r>
        <w:rPr>
          <w:rFonts w:ascii="Times New Roman" w:cs="Times New Roman" w:eastAsia="Times New Roman" w:hAnsi="Times New Roman"/>
          <w:sz w:val="15"/>
          <w:szCs w:val="15"/>
          <w:color w:val="auto"/>
        </w:rPr>
        <w:t>” means the account established for each Participant pursuant to Section 8(a).</w:t>
      </w:r>
    </w:p>
    <w:p>
      <w:pPr>
        <w:spacing w:after="0" w:line="196" w:lineRule="exact"/>
        <w:rPr>
          <w:rFonts w:ascii="Times New Roman" w:cs="Times New Roman" w:eastAsia="Times New Roman" w:hAnsi="Times New Roman"/>
          <w:sz w:val="15"/>
          <w:szCs w:val="15"/>
          <w:color w:val="auto"/>
        </w:rPr>
      </w:pPr>
    </w:p>
    <w:p>
      <w:pPr>
        <w:ind w:left="640" w:hanging="197"/>
        <w:spacing w:after="0"/>
        <w:tabs>
          <w:tab w:leader="none" w:pos="64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 Date</w:t>
      </w:r>
      <w:r>
        <w:rPr>
          <w:rFonts w:ascii="Times New Roman" w:cs="Times New Roman" w:eastAsia="Times New Roman" w:hAnsi="Times New Roman"/>
          <w:sz w:val="15"/>
          <w:szCs w:val="15"/>
          <w:color w:val="auto"/>
        </w:rPr>
        <w:t>” means the last trading day of a Purchase Period.</w:t>
      </w:r>
    </w:p>
    <w:p>
      <w:pPr>
        <w:spacing w:after="0" w:line="196" w:lineRule="exact"/>
        <w:rPr>
          <w:rFonts w:ascii="Times New Roman" w:cs="Times New Roman" w:eastAsia="Times New Roman" w:hAnsi="Times New Roman"/>
          <w:sz w:val="15"/>
          <w:szCs w:val="15"/>
          <w:color w:val="auto"/>
        </w:rPr>
      </w:pPr>
    </w:p>
    <w:p>
      <w:pPr>
        <w:ind w:right="240" w:firstLine="443"/>
        <w:spacing w:after="0" w:line="298" w:lineRule="auto"/>
        <w:tabs>
          <w:tab w:leader="none" w:pos="651"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 Period</w:t>
      </w:r>
      <w:r>
        <w:rPr>
          <w:rFonts w:ascii="Times New Roman" w:cs="Times New Roman" w:eastAsia="Times New Roman" w:hAnsi="Times New Roman"/>
          <w:sz w:val="15"/>
          <w:szCs w:val="15"/>
          <w:color w:val="auto"/>
        </w:rPr>
        <w:t>” means a period within an Offering Period (which for an Offering Period with only a single Purchase Period would be coterminous with the Offering Period) during which contributions may be made toward the purchase of Stock under the Plan, as determined pursuant to Section 4(a).</w:t>
      </w:r>
    </w:p>
    <w:p>
      <w:pPr>
        <w:spacing w:after="0" w:line="125" w:lineRule="exact"/>
        <w:rPr>
          <w:rFonts w:ascii="Times New Roman" w:cs="Times New Roman" w:eastAsia="Times New Roman" w:hAnsi="Times New Roman"/>
          <w:sz w:val="15"/>
          <w:szCs w:val="15"/>
          <w:color w:val="auto"/>
        </w:rPr>
      </w:pPr>
    </w:p>
    <w:p>
      <w:pPr>
        <w:ind w:left="620" w:hanging="177"/>
        <w:spacing w:after="0"/>
        <w:tabs>
          <w:tab w:leader="none" w:pos="62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Purchase Price</w:t>
      </w:r>
      <w:r>
        <w:rPr>
          <w:rFonts w:ascii="Times New Roman" w:cs="Times New Roman" w:eastAsia="Times New Roman" w:hAnsi="Times New Roman"/>
          <w:sz w:val="15"/>
          <w:szCs w:val="15"/>
          <w:color w:val="auto"/>
        </w:rPr>
        <w:t>” means the price at which Participants may purchase Stock under the Plan, as determined pursuant to Section 8(b).</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Related Corporation</w:t>
      </w:r>
      <w:r>
        <w:rPr>
          <w:rFonts w:ascii="Times New Roman" w:cs="Times New Roman" w:eastAsia="Times New Roman" w:hAnsi="Times New Roman"/>
          <w:sz w:val="15"/>
          <w:szCs w:val="15"/>
          <w:color w:val="auto"/>
        </w:rPr>
        <w:t>” means any “parent corporation” of the Company as defined in Code Section 424(e) or any Subsidiary.</w:t>
      </w:r>
    </w:p>
    <w:p>
      <w:pPr>
        <w:spacing w:after="0" w:line="196"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15"/>
          <w:szCs w:val="15"/>
          <w:color w:val="auto"/>
        </w:rPr>
        <w:t>” means the common stock of the Company.</w:t>
      </w:r>
    </w:p>
    <w:p>
      <w:pPr>
        <w:spacing w:after="0" w:line="196" w:lineRule="exact"/>
        <w:rPr>
          <w:rFonts w:ascii="Times New Roman" w:cs="Times New Roman" w:eastAsia="Times New Roman" w:hAnsi="Times New Roman"/>
          <w:sz w:val="15"/>
          <w:szCs w:val="15"/>
          <w:color w:val="auto"/>
        </w:rPr>
      </w:pPr>
    </w:p>
    <w:p>
      <w:pPr>
        <w:ind w:firstLine="443"/>
        <w:spacing w:after="0" w:line="298" w:lineRule="auto"/>
        <w:tabs>
          <w:tab w:leader="none" w:pos="702" w:val="left"/>
        </w:tabs>
        <w:numPr>
          <w:ilvl w:val="0"/>
          <w:numId w:val="3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0"/>
          </w:cols>
          <w:pgMar w:left="320" w:top="248" w:right="359" w:bottom="1440" w:gutter="0" w:footer="0" w:header="0"/>
        </w:sectPr>
      </w:pPr>
    </w:p>
    <w:bookmarkStart w:id="465" w:name="page466"/>
    <w:bookmarkEnd w:id="465"/>
    <w:p>
      <w:pPr>
        <w:jc w:val="right"/>
        <w:spacing w:after="0"/>
        <w:rPr>
          <w:sz w:val="20"/>
          <w:szCs w:val="20"/>
          <w:color w:val="auto"/>
        </w:rPr>
      </w:pPr>
      <w:r>
        <w:rPr>
          <w:rFonts w:ascii="Times New Roman" w:cs="Times New Roman" w:eastAsia="Times New Roman" w:hAnsi="Times New Roman"/>
          <w:sz w:val="15"/>
          <w:szCs w:val="15"/>
          <w:b w:val="1"/>
          <w:bCs w:val="1"/>
          <w:color w:val="auto"/>
        </w:rPr>
        <w:t>Exhibit 10.5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October 8, 2020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1574165"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157416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133985</wp:posOffset>
            </wp:positionV>
            <wp:extent cx="157416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15741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Bobby:</w:t>
      </w:r>
    </w:p>
    <w:p>
      <w:pPr>
        <w:spacing w:after="0" w:line="104" w:lineRule="exact"/>
        <w:rPr>
          <w:sz w:val="20"/>
          <w:szCs w:val="20"/>
          <w:color w:val="auto"/>
        </w:rPr>
      </w:pPr>
    </w:p>
    <w:p>
      <w:pPr>
        <w:ind w:right="100" w:firstLine="1014"/>
        <w:spacing w:after="0" w:line="267" w:lineRule="auto"/>
        <w:rPr>
          <w:sz w:val="20"/>
          <w:szCs w:val="20"/>
          <w:color w:val="auto"/>
        </w:rPr>
      </w:pPr>
      <w:r>
        <w:rPr>
          <w:rFonts w:ascii="Times New Roman" w:cs="Times New Roman" w:eastAsia="Times New Roman" w:hAnsi="Times New Roman"/>
          <w:sz w:val="15"/>
          <w:szCs w:val="15"/>
          <w:color w:val="auto"/>
        </w:rPr>
        <w:t xml:space="preserve">Tarsus Pharmaceuticals, Inc. (the “Company”) is pleased to offer you continuing employment on the following terms pursuant to the terms of this letter agreement, which (together with </w:t>
      </w:r>
      <w:r>
        <w:rPr>
          <w:rFonts w:ascii="Times New Roman" w:cs="Times New Roman" w:eastAsia="Times New Roman" w:hAnsi="Times New Roman"/>
          <w:sz w:val="15"/>
          <w:szCs w:val="15"/>
          <w:b w:val="1"/>
          <w:bCs w:val="1"/>
          <w:color w:val="auto"/>
        </w:rPr>
        <w:t>Exhibit A attached hereto) supersedes and replaces any prior agreements, representations or understandings (whether written, oral, implied 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otherwise) between you and the Company (except as otherwise described herein) and constitutes the complete agreement between you and the Company regarding the subject matter set forth herein. This letter agreement will become effective, and is contingent upon, the completion of the initial public offering of the Company’s Common Stock.</w:t>
      </w:r>
    </w:p>
    <w:p>
      <w:pPr>
        <w:spacing w:after="0" w:line="335" w:lineRule="exact"/>
        <w:rPr>
          <w:sz w:val="20"/>
          <w:szCs w:val="20"/>
          <w:color w:val="auto"/>
        </w:rPr>
      </w:pPr>
    </w:p>
    <w:p>
      <w:pPr>
        <w:ind w:right="40" w:firstLine="443"/>
        <w:spacing w:after="0" w:line="267" w:lineRule="auto"/>
        <w:tabs>
          <w:tab w:leader="none" w:pos="604"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Position</w:t>
      </w:r>
      <w:r>
        <w:rPr>
          <w:rFonts w:ascii="Times New Roman" w:cs="Times New Roman" w:eastAsia="Times New Roman" w:hAnsi="Times New Roman"/>
          <w:sz w:val="15"/>
          <w:szCs w:val="15"/>
          <w:color w:val="auto"/>
        </w:rPr>
        <w:t>. Your title will remain President and Chief Executive Officer. This is a full-time position, reporting to the Company’s Board of Directors (the “Board”). While you</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 The Company acknowledges that you may serve on other boards of directors or provide consulting services while you render services to the Company, so long as those positions does not create a conflict of interest with the Company.</w:t>
      </w:r>
    </w:p>
    <w:p>
      <w:pPr>
        <w:spacing w:after="0" w:line="147" w:lineRule="exact"/>
        <w:rPr>
          <w:rFonts w:ascii="Times New Roman" w:cs="Times New Roman" w:eastAsia="Times New Roman" w:hAnsi="Times New Roman"/>
          <w:sz w:val="15"/>
          <w:szCs w:val="15"/>
          <w:color w:val="auto"/>
        </w:rPr>
      </w:pPr>
    </w:p>
    <w:p>
      <w:pPr>
        <w:ind w:right="40" w:firstLine="443"/>
        <w:spacing w:after="0" w:line="230" w:lineRule="auto"/>
        <w:tabs>
          <w:tab w:leader="none" w:pos="604"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Cash Compensation</w:t>
      </w:r>
      <w:r>
        <w:rPr>
          <w:rFonts w:ascii="Times New Roman" w:cs="Times New Roman" w:eastAsia="Times New Roman" w:hAnsi="Times New Roman"/>
          <w:sz w:val="15"/>
          <w:szCs w:val="15"/>
          <w:color w:val="auto"/>
        </w:rPr>
        <w:t>. The Company will pay you a base salary at the rate of $532,000 per year, payable in accordance with the Company’s standard payroll schedule.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salary will be subject to adjustment pursuant to the Company’s employee compensation policies in effect from time to time. In addition, you will continue to be eligible to be considered for an incentive bonus for each fiscal year of the Company. The bonus (if any) will be awarded based on objective or subjective criteria established and approved by the Board. Your annual target bonus will be equal to 50% of your annual base salary. Any bonus for a fiscal year will be paid within 2</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5"/>
          <w:szCs w:val="15"/>
          <w:color w:val="auto"/>
        </w:rPr>
        <w:t xml:space="preserve"> months after the close of that fiscal year, but only if you are still providing services to the Company at the time of payment. The determinations of the Board with respect to your bonus will be final and binding.</w:t>
      </w:r>
    </w:p>
    <w:p>
      <w:pPr>
        <w:spacing w:after="0" w:line="170" w:lineRule="exact"/>
        <w:rPr>
          <w:rFonts w:ascii="Times New Roman" w:cs="Times New Roman" w:eastAsia="Times New Roman" w:hAnsi="Times New Roman"/>
          <w:sz w:val="15"/>
          <w:szCs w:val="15"/>
          <w:color w:val="auto"/>
        </w:rPr>
      </w:pPr>
    </w:p>
    <w:p>
      <w:pPr>
        <w:ind w:right="180" w:firstLine="443"/>
        <w:spacing w:after="0" w:line="298" w:lineRule="auto"/>
        <w:tabs>
          <w:tab w:leader="none" w:pos="604"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Employee Benefits</w:t>
      </w:r>
      <w:r>
        <w:rPr>
          <w:rFonts w:ascii="Times New Roman" w:cs="Times New Roman" w:eastAsia="Times New Roman" w:hAnsi="Times New Roman"/>
          <w:sz w:val="15"/>
          <w:szCs w:val="15"/>
          <w:color w:val="auto"/>
        </w:rPr>
        <w:t>. As a regular employee of the Company, you will continue be eligible to participate in a number of Company-sponsored benefits. In addition, you 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entitled to paid vacation in accordance with the Company’s vacation policy, as in effect from time to time.</w:t>
      </w:r>
    </w:p>
    <w:p>
      <w:pPr>
        <w:spacing w:after="0" w:line="125" w:lineRule="exact"/>
        <w:rPr>
          <w:rFonts w:ascii="Times New Roman" w:cs="Times New Roman" w:eastAsia="Times New Roman" w:hAnsi="Times New Roman"/>
          <w:sz w:val="15"/>
          <w:szCs w:val="15"/>
          <w:color w:val="auto"/>
        </w:rPr>
      </w:pPr>
    </w:p>
    <w:p>
      <w:pPr>
        <w:ind w:left="600" w:hanging="157"/>
        <w:spacing w:after="0"/>
        <w:tabs>
          <w:tab w:leader="none" w:pos="600"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Equity Awards</w:t>
      </w:r>
      <w:r>
        <w:rPr>
          <w:rFonts w:ascii="Times New Roman" w:cs="Times New Roman" w:eastAsia="Times New Roman" w:hAnsi="Times New Roman"/>
          <w:sz w:val="15"/>
          <w:szCs w:val="15"/>
          <w:color w:val="auto"/>
        </w:rPr>
        <w:t>. Equity awards granted to you by the Company will remain in full force and effect and you will continue to vest in such awards in accordance with their</w:t>
      </w:r>
    </w:p>
    <w:p>
      <w:pPr>
        <w:spacing w:after="0" w:line="3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terms.</w:t>
      </w:r>
    </w:p>
    <w:p>
      <w:pPr>
        <w:spacing w:after="0" w:line="177" w:lineRule="exact"/>
        <w:rPr>
          <w:rFonts w:ascii="Times New Roman" w:cs="Times New Roman" w:eastAsia="Times New Roman" w:hAnsi="Times New Roman"/>
          <w:sz w:val="15"/>
          <w:szCs w:val="15"/>
          <w:color w:val="auto"/>
        </w:rPr>
      </w:pPr>
    </w:p>
    <w:p>
      <w:pPr>
        <w:ind w:right="140" w:firstLine="443"/>
        <w:spacing w:after="0" w:line="298" w:lineRule="auto"/>
        <w:tabs>
          <w:tab w:leader="none" w:pos="604" w:val="left"/>
        </w:tabs>
        <w:numPr>
          <w:ilvl w:val="0"/>
          <w:numId w:val="3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Severance Benefits Outside of a Change in Control</w:t>
      </w:r>
      <w:r>
        <w:rPr>
          <w:rFonts w:ascii="Times New Roman" w:cs="Times New Roman" w:eastAsia="Times New Roman" w:hAnsi="Times New Roman"/>
          <w:sz w:val="15"/>
          <w:szCs w:val="15"/>
          <w:color w:val="auto"/>
        </w:rPr>
        <w:t>. In the event you are subject to an Involuntary Termination other than in connection with or within 12 months after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Change in Control, provided you satisfy the conditions described in Section 5(c) below, you will be entitled to the following benefits: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121" w:right="319" w:bottom="1440" w:gutter="0" w:footer="0" w:header="0"/>
        </w:sectPr>
      </w:pPr>
    </w:p>
    <w:bookmarkStart w:id="466" w:name="page467"/>
    <w:bookmarkEnd w:id="466"/>
    <w:p>
      <w:pPr>
        <w:ind w:left="8"/>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Bobak Azamian</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Page 2</w:t>
      </w:r>
    </w:p>
    <w:p>
      <w:pPr>
        <w:spacing w:after="0" w:line="120" w:lineRule="exact"/>
        <w:rPr>
          <w:sz w:val="20"/>
          <w:szCs w:val="20"/>
          <w:color w:val="auto"/>
        </w:rPr>
      </w:pPr>
    </w:p>
    <w:p>
      <w:pPr>
        <w:jc w:val="both"/>
        <w:ind w:left="8" w:firstLine="1006"/>
        <w:spacing w:after="0" w:line="270" w:lineRule="auto"/>
        <w:tabs>
          <w:tab w:leader="none" w:pos="1230" w:val="left"/>
        </w:tabs>
        <w:numPr>
          <w:ilvl w:val="2"/>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Salary Continuation</w:t>
      </w:r>
      <w:r>
        <w:rPr>
          <w:rFonts w:ascii="Times New Roman" w:cs="Times New Roman" w:eastAsia="Times New Roman" w:hAnsi="Times New Roman"/>
          <w:sz w:val="15"/>
          <w:szCs w:val="15"/>
          <w:color w:val="auto"/>
        </w:rPr>
        <w:t>. The Company will continue to pay your base salary for a period of 12 months after your Separation. Your base salary will be paid at the rate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46" w:lineRule="exact"/>
        <w:rPr>
          <w:rFonts w:ascii="Times New Roman" w:cs="Times New Roman" w:eastAsia="Times New Roman" w:hAnsi="Times New Roman"/>
          <w:sz w:val="15"/>
          <w:szCs w:val="15"/>
          <w:color w:val="auto"/>
        </w:rPr>
      </w:pPr>
    </w:p>
    <w:p>
      <w:pPr>
        <w:ind w:left="8" w:right="60" w:firstLine="1006"/>
        <w:spacing w:after="0" w:line="269" w:lineRule="auto"/>
        <w:tabs>
          <w:tab w:leader="none" w:pos="1239" w:val="left"/>
        </w:tabs>
        <w:numPr>
          <w:ilvl w:val="2"/>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COBRA</w:t>
      </w:r>
      <w:r>
        <w:rPr>
          <w:rFonts w:ascii="Times New Roman" w:cs="Times New Roman" w:eastAsia="Times New Roman" w:hAnsi="Times New Roman"/>
          <w:sz w:val="15"/>
          <w:szCs w:val="15"/>
          <w:color w:val="auto"/>
        </w:rPr>
        <w:t>. Provided you elect to continue your health insurance coverage under the Consolidated Omnibus Budget Reconciliation Act (“COBRA”) following your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Separation, the Company will pay or reimburse you for your monthly premium under COBRA until the earliest of (i) the close of the 12 month period following your Separation,</w:t>
      </w:r>
    </w:p>
    <w:p>
      <w:pPr>
        <w:ind w:left="8" w:right="20" w:hanging="8"/>
        <w:spacing w:after="0" w:line="264" w:lineRule="auto"/>
        <w:tabs>
          <w:tab w:leader="none" w:pos="234" w:val="left"/>
        </w:tabs>
        <w:numPr>
          <w:ilvl w:val="0"/>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50" w:lineRule="exact"/>
        <w:rPr>
          <w:rFonts w:ascii="Times New Roman" w:cs="Times New Roman" w:eastAsia="Times New Roman" w:hAnsi="Times New Roman"/>
          <w:sz w:val="15"/>
          <w:szCs w:val="15"/>
          <w:color w:val="auto"/>
        </w:rPr>
      </w:pPr>
    </w:p>
    <w:p>
      <w:pPr>
        <w:ind w:left="8" w:right="80" w:firstLine="1006"/>
        <w:spacing w:after="0" w:line="267" w:lineRule="auto"/>
        <w:tabs>
          <w:tab w:leader="none" w:pos="1230" w:val="left"/>
        </w:tabs>
        <w:numPr>
          <w:ilvl w:val="2"/>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w:t>
      </w:r>
      <w:r>
        <w:rPr>
          <w:rFonts w:ascii="Times New Roman" w:cs="Times New Roman" w:eastAsia="Times New Roman" w:hAnsi="Times New Roman"/>
          <w:sz w:val="15"/>
          <w:szCs w:val="15"/>
          <w:color w:val="auto"/>
        </w:rPr>
        <w:t>. This Section 5 will not apply unless you (i) have returned all Company property in your possession, (ii) have resigned as a member of the Boards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5.</w:t>
      </w:r>
    </w:p>
    <w:p>
      <w:pPr>
        <w:spacing w:after="0" w:line="147" w:lineRule="exact"/>
        <w:rPr>
          <w:rFonts w:ascii="Times New Roman" w:cs="Times New Roman" w:eastAsia="Times New Roman" w:hAnsi="Times New Roman"/>
          <w:sz w:val="15"/>
          <w:szCs w:val="15"/>
          <w:color w:val="auto"/>
        </w:rPr>
      </w:pPr>
    </w:p>
    <w:p>
      <w:pPr>
        <w:ind w:left="8" w:right="20" w:firstLine="443"/>
        <w:spacing w:after="0" w:line="265" w:lineRule="auto"/>
        <w:tabs>
          <w:tab w:leader="none" w:pos="612" w:val="left"/>
        </w:tabs>
        <w:numPr>
          <w:ilvl w:val="1"/>
          <w:numId w:val="3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Severance Benefits in Connection With a Change in Control</w:t>
      </w:r>
      <w:r>
        <w:rPr>
          <w:rFonts w:ascii="Times New Roman" w:cs="Times New Roman" w:eastAsia="Times New Roman" w:hAnsi="Times New Roman"/>
          <w:sz w:val="15"/>
          <w:szCs w:val="15"/>
          <w:color w:val="auto"/>
        </w:rPr>
        <w:t>. In the event you are subject to an Involuntary Termination in connection with or within 12 months after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Change in Control, provided you satisfy the conditions described in Section 5(c) above, you will be entitled to the benefits described in Sections 5(a) and 5(b) above (provided that the time periods applicable to each of the severance and COBRA benefits will be increased from 12 months to 18 months) plus the Bonus Payment. The Bonus Payment 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the preceding sentence you will not also be entitled to additional the benefits provided for in Sections 5(a) and (b) above.</w:t>
      </w:r>
    </w:p>
    <w:p>
      <w:pPr>
        <w:spacing w:after="0" w:line="152" w:lineRule="exact"/>
        <w:rPr>
          <w:sz w:val="20"/>
          <w:szCs w:val="20"/>
          <w:color w:val="auto"/>
        </w:rPr>
      </w:pPr>
    </w:p>
    <w:p>
      <w:pPr>
        <w:ind w:left="8" w:right="80" w:firstLine="451"/>
        <w:spacing w:after="0" w:line="268" w:lineRule="auto"/>
        <w:rPr>
          <w:sz w:val="20"/>
          <w:szCs w:val="20"/>
          <w:color w:val="auto"/>
        </w:rPr>
      </w:pPr>
      <w:r>
        <w:rPr>
          <w:rFonts w:ascii="Times New Roman" w:cs="Times New Roman" w:eastAsia="Times New Roman" w:hAnsi="Times New Roman"/>
          <w:sz w:val="15"/>
          <w:szCs w:val="15"/>
          <w:color w:val="auto"/>
        </w:rPr>
        <w:t>In addition, in the event that you are subject to an Involuntary Termination in connection with or within 12 months after a Change in Control, you will vest in 100% of your remaining unvested equity awards to the extent such equity awards vest solely upon your completion of specified periods of continuous service with the Company (that is, time-based equity awards). For the avoidance of doubt, if any of your equity awards provides for more favorable treatment than described in this paragraph, such more favorable treatment will apply.</w:t>
      </w:r>
    </w:p>
    <w:p>
      <w:pPr>
        <w:spacing w:after="0" w:line="148" w:lineRule="exact"/>
        <w:rPr>
          <w:sz w:val="20"/>
          <w:szCs w:val="20"/>
          <w:color w:val="auto"/>
        </w:rPr>
      </w:pPr>
    </w:p>
    <w:p>
      <w:pPr>
        <w:ind w:left="8" w:right="460" w:firstLine="443"/>
        <w:spacing w:after="0" w:line="298" w:lineRule="auto"/>
        <w:tabs>
          <w:tab w:leader="none" w:pos="612" w:val="left"/>
        </w:tabs>
        <w:numPr>
          <w:ilvl w:val="0"/>
          <w:numId w:val="3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Proprietary Information and Inventions Agreement</w:t>
      </w:r>
      <w:r>
        <w:rPr>
          <w:rFonts w:ascii="Times New Roman" w:cs="Times New Roman" w:eastAsia="Times New Roman" w:hAnsi="Times New Roman"/>
          <w:sz w:val="15"/>
          <w:szCs w:val="15"/>
          <w:color w:val="auto"/>
        </w:rPr>
        <w:t>. Your Proprietary Information and Inventions Agreement, which you previously signed and a copy of which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attached as </w:t>
      </w:r>
      <w:r>
        <w:rPr>
          <w:rFonts w:ascii="Times New Roman" w:cs="Times New Roman" w:eastAsia="Times New Roman" w:hAnsi="Times New Roman"/>
          <w:sz w:val="15"/>
          <w:szCs w:val="15"/>
          <w:b w:val="1"/>
          <w:bCs w:val="1"/>
          <w:color w:val="auto"/>
        </w:rPr>
        <w:t>Exhibit A</w:t>
      </w:r>
      <w:r>
        <w:rPr>
          <w:rFonts w:ascii="Times New Roman" w:cs="Times New Roman" w:eastAsia="Times New Roman" w:hAnsi="Times New Roman"/>
          <w:sz w:val="15"/>
          <w:szCs w:val="15"/>
          <w:color w:val="auto"/>
        </w:rPr>
        <w:t>, will remain in full force and effect.</w:t>
      </w:r>
    </w:p>
    <w:p>
      <w:pPr>
        <w:spacing w:after="0" w:line="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8"/>
          </w:cols>
          <w:pgMar w:left="312" w:top="252" w:right="31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Bobak Azamian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3</w:t>
      </w:r>
    </w:p>
    <w:p>
      <w:pPr>
        <w:spacing w:after="0" w:line="120" w:lineRule="exact"/>
        <w:rPr>
          <w:sz w:val="20"/>
          <w:szCs w:val="20"/>
          <w:color w:val="auto"/>
        </w:rPr>
      </w:pPr>
    </w:p>
    <w:p>
      <w:pPr>
        <w:ind w:firstLine="443"/>
        <w:spacing w:after="0" w:line="267" w:lineRule="auto"/>
        <w:tabs>
          <w:tab w:leader="none" w:pos="604"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Employment Relationship</w:t>
      </w:r>
      <w:r>
        <w:rPr>
          <w:rFonts w:ascii="Times New Roman" w:cs="Times New Roman" w:eastAsia="Times New Roman" w:hAnsi="Times New Roman"/>
          <w:sz w:val="15"/>
          <w:szCs w:val="15"/>
          <w:color w:val="auto"/>
        </w:rPr>
        <w:t>. Employment with the Company is for no specific period of time. Your employment with the Company remains “at will,” meaning that either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47" w:lineRule="exact"/>
        <w:rPr>
          <w:rFonts w:ascii="Times New Roman" w:cs="Times New Roman" w:eastAsia="Times New Roman" w:hAnsi="Times New Roman"/>
          <w:sz w:val="15"/>
          <w:szCs w:val="15"/>
          <w:color w:val="auto"/>
        </w:rPr>
      </w:pPr>
    </w:p>
    <w:p>
      <w:pPr>
        <w:ind w:left="600" w:hanging="157"/>
        <w:spacing w:after="0"/>
        <w:tabs>
          <w:tab w:leader="none" w:pos="600"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 Matters</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color w:val="auto"/>
        </w:rPr>
      </w:pPr>
    </w:p>
    <w:p>
      <w:pPr>
        <w:ind w:right="120" w:firstLine="1006"/>
        <w:spacing w:after="0" w:line="298" w:lineRule="auto"/>
        <w:tabs>
          <w:tab w:leader="none" w:pos="1222"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Withholding</w:t>
      </w:r>
      <w:r>
        <w:rPr>
          <w:rFonts w:ascii="Times New Roman" w:cs="Times New Roman" w:eastAsia="Times New Roman" w:hAnsi="Times New Roman"/>
          <w:sz w:val="15"/>
          <w:szCs w:val="15"/>
          <w:color w:val="auto"/>
        </w:rPr>
        <w:t>. All forms of compensation referred to in this letter agreement are subject to reduction to reflect applicable withholding and payroll taxes and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deductions required by law.</w:t>
      </w:r>
    </w:p>
    <w:p>
      <w:pPr>
        <w:spacing w:after="0" w:line="125" w:lineRule="exact"/>
        <w:rPr>
          <w:rFonts w:ascii="Times New Roman" w:cs="Times New Roman" w:eastAsia="Times New Roman" w:hAnsi="Times New Roman"/>
          <w:sz w:val="15"/>
          <w:szCs w:val="15"/>
          <w:color w:val="auto"/>
        </w:rPr>
      </w:pPr>
    </w:p>
    <w:p>
      <w:pPr>
        <w:ind w:right="100" w:firstLine="1006"/>
        <w:spacing w:after="0" w:line="263" w:lineRule="auto"/>
        <w:tabs>
          <w:tab w:leader="none" w:pos="1231"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 The payments and benefits provided for under this letter agreement are intended to be exempt from Section 409A of the Internal Revenue Code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the earlier of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described under Section 5(a) and Section 6 is hereby designated as a separate payment.</w:t>
      </w:r>
    </w:p>
    <w:p>
      <w:pPr>
        <w:spacing w:after="0" w:line="152" w:lineRule="exact"/>
        <w:rPr>
          <w:rFonts w:ascii="Times New Roman" w:cs="Times New Roman" w:eastAsia="Times New Roman" w:hAnsi="Times New Roman"/>
          <w:sz w:val="15"/>
          <w:szCs w:val="15"/>
          <w:color w:val="auto"/>
        </w:rPr>
      </w:pPr>
    </w:p>
    <w:p>
      <w:pPr>
        <w:ind w:right="120" w:firstLine="1006"/>
        <w:spacing w:after="0" w:line="277" w:lineRule="auto"/>
        <w:tabs>
          <w:tab w:leader="none" w:pos="1222" w:val="left"/>
        </w:tabs>
        <w:numPr>
          <w:ilvl w:val="1"/>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 Advice</w:t>
      </w:r>
      <w:r>
        <w:rPr>
          <w:rFonts w:ascii="Times New Roman" w:cs="Times New Roman" w:eastAsia="Times New Roman" w:hAnsi="Times New Roman"/>
          <w:sz w:val="15"/>
          <w:szCs w:val="15"/>
          <w:color w:val="auto"/>
        </w:rPr>
        <w:t>. You are encouraged to obtain your own tax advice regarding your compensation from the Company. You agree that the Company does not have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duty to design its compensation policies in a manner that minimizes your tax liabilities, and you will not make any claim against the Company or its Board of Directors related to tax liabilities arising from your compensation.</w:t>
      </w:r>
    </w:p>
    <w:p>
      <w:pPr>
        <w:spacing w:after="0" w:line="140" w:lineRule="exact"/>
        <w:rPr>
          <w:rFonts w:ascii="Times New Roman" w:cs="Times New Roman" w:eastAsia="Times New Roman" w:hAnsi="Times New Roman"/>
          <w:sz w:val="15"/>
          <w:szCs w:val="15"/>
          <w:color w:val="auto"/>
        </w:rPr>
      </w:pPr>
    </w:p>
    <w:p>
      <w:pPr>
        <w:ind w:right="640" w:firstLine="443"/>
        <w:spacing w:after="0" w:line="298" w:lineRule="auto"/>
        <w:tabs>
          <w:tab w:leader="none" w:pos="681"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Interpretation and Amendment</w:t>
      </w:r>
      <w:r>
        <w:rPr>
          <w:rFonts w:ascii="Times New Roman" w:cs="Times New Roman" w:eastAsia="Times New Roman" w:hAnsi="Times New Roman"/>
          <w:sz w:val="15"/>
          <w:szCs w:val="15"/>
          <w:color w:val="auto"/>
        </w:rPr>
        <w:t>. This letter agreement may not be amended or modified, except by an express written agreement signed by both you and a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officer of the Company.</w:t>
      </w:r>
    </w:p>
    <w:p>
      <w:pPr>
        <w:spacing w:after="0" w:line="125"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3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The following terms have the meaning set forth below wherever they are used in this letter agreement:</w:t>
      </w:r>
    </w:p>
    <w:p>
      <w:pPr>
        <w:spacing w:after="0" w:line="196" w:lineRule="exact"/>
        <w:rPr>
          <w:sz w:val="20"/>
          <w:szCs w:val="20"/>
          <w:color w:val="auto"/>
        </w:rPr>
      </w:pPr>
    </w:p>
    <w:p>
      <w:pPr>
        <w:ind w:right="260" w:firstLine="1014"/>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Bonus Payment</w:t>
      </w:r>
      <w:r>
        <w:rPr>
          <w:rFonts w:ascii="Times New Roman" w:cs="Times New Roman" w:eastAsia="Times New Roman" w:hAnsi="Times New Roman"/>
          <w:sz w:val="15"/>
          <w:szCs w:val="15"/>
          <w:color w:val="auto"/>
        </w:rPr>
        <w:t>” means the sum of (a) a pro-rated portion of your target bonus amount for the year in which your Separation occurs and (b) 150% of your target bonus amount for the year in which your Separation occurs.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252"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Bobak Azamian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4</w:t>
      </w:r>
    </w:p>
    <w:p>
      <w:pPr>
        <w:spacing w:after="0" w:line="120" w:lineRule="exact"/>
        <w:rPr>
          <w:sz w:val="20"/>
          <w:szCs w:val="20"/>
          <w:color w:val="auto"/>
        </w:rPr>
      </w:pPr>
    </w:p>
    <w:p>
      <w:pPr>
        <w:ind w:firstLine="1014"/>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47" w:lineRule="exact"/>
        <w:rPr>
          <w:sz w:val="20"/>
          <w:szCs w:val="20"/>
          <w:color w:val="auto"/>
        </w:rPr>
      </w:pPr>
    </w:p>
    <w:p>
      <w:pPr>
        <w:ind w:right="60" w:firstLine="1014"/>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Involuntary Termination</w:t>
      </w:r>
      <w:r>
        <w:rPr>
          <w:rFonts w:ascii="Times New Roman" w:cs="Times New Roman" w:eastAsia="Times New Roman" w:hAnsi="Times New Roman"/>
          <w:sz w:val="15"/>
          <w:szCs w:val="15"/>
          <w:color w:val="auto"/>
        </w:rPr>
        <w:t>” means either (a) your Termination Without Cause or (b) your Resignation for Good Reason.</w:t>
      </w:r>
    </w:p>
    <w:p>
      <w:pPr>
        <w:spacing w:after="0" w:line="196" w:lineRule="exact"/>
        <w:rPr>
          <w:sz w:val="20"/>
          <w:szCs w:val="20"/>
          <w:color w:val="auto"/>
        </w:rPr>
      </w:pPr>
    </w:p>
    <w:p>
      <w:pPr>
        <w:ind w:right="180" w:firstLine="1014"/>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Resignation for Good Reason</w:t>
      </w:r>
      <w:r>
        <w:rPr>
          <w:rFonts w:ascii="Times New Roman" w:cs="Times New Roman" w:eastAsia="Times New Roman" w:hAnsi="Times New Roman"/>
          <w:sz w:val="15"/>
          <w:szCs w:val="15"/>
          <w:color w:val="auto"/>
        </w:rPr>
        <w:t>” means a Separation as a result of your resignation within 12 months after one of the following conditions has come into existence without your consent:</w:t>
      </w:r>
    </w:p>
    <w:p>
      <w:pPr>
        <w:spacing w:after="0" w:line="37" w:lineRule="exact"/>
        <w:rPr>
          <w:sz w:val="20"/>
          <w:szCs w:val="20"/>
          <w:color w:val="auto"/>
        </w:rPr>
      </w:pPr>
    </w:p>
    <w:p>
      <w:pPr>
        <w:ind w:left="1620" w:hanging="204"/>
        <w:spacing w:after="0"/>
        <w:tabs>
          <w:tab w:leader="none" w:pos="162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diminution of your base salary;</w:t>
      </w:r>
    </w:p>
    <w:p>
      <w:pPr>
        <w:spacing w:after="0" w:line="104" w:lineRule="exact"/>
        <w:rPr>
          <w:rFonts w:ascii="Times New Roman" w:cs="Times New Roman" w:eastAsia="Times New Roman" w:hAnsi="Times New Roman"/>
          <w:sz w:val="15"/>
          <w:szCs w:val="15"/>
          <w:color w:val="auto"/>
        </w:rPr>
      </w:pPr>
    </w:p>
    <w:p>
      <w:pPr>
        <w:ind w:left="1640" w:hanging="224"/>
        <w:spacing w:after="0"/>
        <w:tabs>
          <w:tab w:leader="none" w:pos="164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diminution of your authority, duties or responsibilities; or</w:t>
      </w:r>
    </w:p>
    <w:p>
      <w:pPr>
        <w:spacing w:after="0" w:line="104" w:lineRule="exact"/>
        <w:rPr>
          <w:rFonts w:ascii="Times New Roman" w:cs="Times New Roman" w:eastAsia="Times New Roman" w:hAnsi="Times New Roman"/>
          <w:sz w:val="15"/>
          <w:szCs w:val="15"/>
          <w:color w:val="auto"/>
        </w:rPr>
      </w:pPr>
    </w:p>
    <w:p>
      <w:pPr>
        <w:ind w:left="1620" w:hanging="204"/>
        <w:spacing w:after="0"/>
        <w:tabs>
          <w:tab w:leader="none" w:pos="162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change in the geographic location at which you must perform your services for the Company.</w:t>
      </w:r>
    </w:p>
    <w:p>
      <w:pPr>
        <w:spacing w:after="0" w:line="196" w:lineRule="exact"/>
        <w:rPr>
          <w:sz w:val="20"/>
          <w:szCs w:val="20"/>
          <w:color w:val="auto"/>
        </w:rPr>
      </w:pPr>
    </w:p>
    <w:p>
      <w:pPr>
        <w:ind w:right="120" w:firstLine="1014"/>
        <w:spacing w:after="0" w:line="293" w:lineRule="auto"/>
        <w:rPr>
          <w:sz w:val="20"/>
          <w:szCs w:val="20"/>
          <w:color w:val="auto"/>
        </w:rPr>
      </w:pPr>
      <w:r>
        <w:rPr>
          <w:rFonts w:ascii="Times New Roman" w:cs="Times New Roman" w:eastAsia="Times New Roman" w:hAnsi="Times New Roman"/>
          <w:sz w:val="15"/>
          <w:szCs w:val="15"/>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Separation</w:t>
      </w:r>
      <w:r>
        <w:rPr>
          <w:rFonts w:ascii="Times New Roman" w:cs="Times New Roman" w:eastAsia="Times New Roman" w:hAnsi="Times New Roman"/>
          <w:sz w:val="15"/>
          <w:szCs w:val="15"/>
          <w:color w:val="auto"/>
        </w:rPr>
        <w:t>” means a “separation from service,” as defined in the regulations under Section 409A of the Code.</w:t>
      </w:r>
    </w:p>
    <w:p>
      <w:pPr>
        <w:spacing w:after="0" w:line="196" w:lineRule="exact"/>
        <w:rPr>
          <w:sz w:val="20"/>
          <w:szCs w:val="20"/>
          <w:color w:val="auto"/>
        </w:rPr>
      </w:pPr>
    </w:p>
    <w:p>
      <w:pPr>
        <w:ind w:right="240" w:firstLine="1014"/>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Termination Without Cause</w:t>
      </w:r>
      <w:r>
        <w:rPr>
          <w:rFonts w:ascii="Times New Roman" w:cs="Times New Roman" w:eastAsia="Times New Roman" w:hAnsi="Times New Roman"/>
          <w:sz w:val="15"/>
          <w:szCs w:val="15"/>
          <w:color w:val="auto"/>
        </w:rPr>
        <w:t>” means a Separation as a result of a termination of your employment by the Company without Cause, provided you are willing and able to continue performing services within the meaning of Treasury Regulation 1.409A-1(n)(1).</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252" w:right="33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Bobak Azamian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5</w:t>
      </w:r>
    </w:p>
    <w:p>
      <w:pPr>
        <w:spacing w:after="0" w:line="1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You may indicate your agreement with these terms by signing and dating the enclosed duplicate original of this letter agreement and returning it to me.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If you have any questions, please call me.</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2"/>
          <w:szCs w:val="12"/>
          <w:color w:val="auto"/>
        </w:rPr>
        <w:t>ARSUS</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HARMACEUTICALS</w:t>
      </w:r>
      <w:r>
        <w:rPr>
          <w:rFonts w:ascii="Times New Roman" w:cs="Times New Roman" w:eastAsia="Times New Roman" w:hAnsi="Times New Roman"/>
          <w:sz w:val="15"/>
          <w:szCs w:val="15"/>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Bobak Azamian</w:t>
      </w:r>
    </w:p>
    <w:p>
      <w:pPr>
        <w:spacing w:after="0" w:line="26"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-108585</wp:posOffset>
            </wp:positionV>
            <wp:extent cx="2569845"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256984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have read and accept this employment offer: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Bobak Azamian</w:t>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Signature of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285496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28549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October 8, 2020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Attachment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A: Proprietary Information and Inventions Agreement</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280"/>
          </w:cols>
          <w:pgMar w:left="320" w:top="252" w:right="129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5"/>
          <w:szCs w:val="15"/>
          <w:b w:val="1"/>
          <w:bCs w:val="1"/>
          <w:color w:val="auto"/>
        </w:rPr>
        <w:t>Exhibit 10.10</w:t>
      </w:r>
    </w:p>
    <w:p>
      <w:pPr>
        <w:spacing w:after="0" w:line="196" w:lineRule="exact"/>
        <w:rPr>
          <w:sz w:val="20"/>
          <w:szCs w:val="20"/>
          <w:color w:val="auto"/>
        </w:rPr>
      </w:pPr>
    </w:p>
    <w:p>
      <w:pPr>
        <w:jc w:val="center"/>
        <w:ind w:left="320" w:right="1100"/>
        <w:spacing w:after="0" w:line="277" w:lineRule="auto"/>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ERTAIN IDENTIFIED INFORMATION HAS BEEN OMITTED FROM THIS DOCUMENT BECAUSE IT IS BOTH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2"/>
          <w:szCs w:val="12"/>
          <w:b w:val="1"/>
          <w:bCs w:val="1"/>
          <w:color w:val="auto"/>
        </w:rPr>
        <w:t>MATERIAL AND WOULD LIKELY CAUSE COMPETITIVE HARM TO THE REGISTRANT IF PUBLICLY DISCLOSED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 xml:space="preserve"> AND HAS BEEN MARKED WITH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2"/>
          <w:szCs w:val="12"/>
          <w:b w:val="1"/>
          <w:bCs w:val="1"/>
          <w:color w:val="auto"/>
        </w:rPr>
        <w:t>TO INDICATE WHERE OMISSIONS HAVE BEEN MADE</w:t>
      </w:r>
      <w:r>
        <w:rPr>
          <w:rFonts w:ascii="Times New Roman" w:cs="Times New Roman" w:eastAsia="Times New Roman" w:hAnsi="Times New Roman"/>
          <w:sz w:val="15"/>
          <w:szCs w:val="15"/>
          <w:b w:val="1"/>
          <w:bCs w:val="1"/>
          <w:color w:val="auto"/>
        </w:rPr>
        <w:t>.</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LICENSE AGREEMENT</w:t>
      </w:r>
    </w:p>
    <w:p>
      <w:pPr>
        <w:spacing w:after="0" w:line="196" w:lineRule="exact"/>
        <w:rPr>
          <w:sz w:val="20"/>
          <w:szCs w:val="20"/>
          <w:color w:val="auto"/>
        </w:rPr>
      </w:pPr>
    </w:p>
    <w:p>
      <w:pPr>
        <w:ind w:left="8" w:right="40"/>
        <w:spacing w:after="0" w:line="277" w:lineRule="auto"/>
        <w:rPr>
          <w:sz w:val="20"/>
          <w:szCs w:val="20"/>
          <w:color w:val="auto"/>
        </w:rPr>
      </w:pPr>
      <w:r>
        <w:rPr>
          <w:rFonts w:ascii="Times New Roman" w:cs="Times New Roman" w:eastAsia="Times New Roman" w:hAnsi="Times New Roman"/>
          <w:sz w:val="15"/>
          <w:szCs w:val="15"/>
          <w:color w:val="auto"/>
        </w:rPr>
        <w:t>THIS LICENSE AGREEMENT (the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dated as of January 31, 2019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is made and entered into by and between Elanco Tiergesundheit AG, a Swiss corporation having place of business at Mattenstrasse 24A, 4058 Basel, Switzerland (“</w:t>
      </w:r>
      <w:r>
        <w:rPr>
          <w:rFonts w:ascii="Times New Roman" w:cs="Times New Roman" w:eastAsia="Times New Roman" w:hAnsi="Times New Roman"/>
          <w:sz w:val="15"/>
          <w:szCs w:val="15"/>
          <w:b w:val="1"/>
          <w:bCs w:val="1"/>
          <w:i w:val="1"/>
          <w:iCs w:val="1"/>
          <w:color w:val="auto"/>
        </w:rPr>
        <w:t>Elanco</w:t>
      </w:r>
      <w:r>
        <w:rPr>
          <w:rFonts w:ascii="Times New Roman" w:cs="Times New Roman" w:eastAsia="Times New Roman" w:hAnsi="Times New Roman"/>
          <w:sz w:val="15"/>
          <w:szCs w:val="15"/>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15"/>
          <w:szCs w:val="15"/>
          <w:b w:val="1"/>
          <w:bCs w:val="1"/>
          <w:i w:val="1"/>
          <w:iCs w:val="1"/>
          <w:color w:val="auto"/>
        </w:rPr>
        <w:t>Tarsus</w:t>
      </w:r>
      <w:r>
        <w:rPr>
          <w:rFonts w:ascii="Times New Roman" w:cs="Times New Roman" w:eastAsia="Times New Roman" w:hAnsi="Times New Roman"/>
          <w:sz w:val="15"/>
          <w:szCs w:val="15"/>
          <w:color w:val="auto"/>
        </w:rPr>
        <w:t>”). Each of Elanco and Tarsus may be referred to herein as a “</w:t>
      </w:r>
      <w:r>
        <w:rPr>
          <w:rFonts w:ascii="Times New Roman" w:cs="Times New Roman" w:eastAsia="Times New Roman" w:hAnsi="Times New Roman"/>
          <w:sz w:val="15"/>
          <w:szCs w:val="15"/>
          <w:b w:val="1"/>
          <w:bCs w:val="1"/>
          <w:i w:val="1"/>
          <w:iCs w:val="1"/>
          <w:color w:val="auto"/>
        </w:rPr>
        <w:t>Party</w:t>
      </w:r>
      <w:r>
        <w:rPr>
          <w:rFonts w:ascii="Times New Roman" w:cs="Times New Roman" w:eastAsia="Times New Roman" w:hAnsi="Times New Roman"/>
          <w:sz w:val="15"/>
          <w:szCs w:val="15"/>
          <w:color w:val="auto"/>
        </w:rPr>
        <w:t>” and collectively as the “</w:t>
      </w:r>
      <w:r>
        <w:rPr>
          <w:rFonts w:ascii="Times New Roman" w:cs="Times New Roman" w:eastAsia="Times New Roman" w:hAnsi="Times New Roman"/>
          <w:sz w:val="15"/>
          <w:szCs w:val="15"/>
          <w:b w:val="1"/>
          <w:bCs w:val="1"/>
          <w:i w:val="1"/>
          <w:iCs w:val="1"/>
          <w:color w:val="auto"/>
        </w:rPr>
        <w:t>Parties.</w:t>
      </w:r>
      <w:r>
        <w:rPr>
          <w:rFonts w:ascii="Times New Roman" w:cs="Times New Roman" w:eastAsia="Times New Roman" w:hAnsi="Times New Roman"/>
          <w:sz w:val="15"/>
          <w:szCs w:val="15"/>
          <w:color w:val="auto"/>
        </w:rPr>
        <w:t>”</w:t>
      </w:r>
    </w:p>
    <w:p>
      <w:pPr>
        <w:spacing w:after="0" w:line="3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u w:val="single" w:color="auto"/>
          <w:color w:val="auto"/>
        </w:rPr>
        <w:t>BACKGROUND</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 Elanco is the owner, and has the right to license the Licensed IP (as defined below) on and subject to the terms and conditions set forth in this Agreement.</w:t>
      </w:r>
    </w:p>
    <w:p>
      <w:pPr>
        <w:spacing w:after="0" w:line="196" w:lineRule="exact"/>
        <w:rPr>
          <w:sz w:val="20"/>
          <w:szCs w:val="20"/>
          <w:color w:val="auto"/>
        </w:rPr>
      </w:pPr>
    </w:p>
    <w:p>
      <w:pPr>
        <w:ind w:left="8" w:right="580"/>
        <w:spacing w:after="0" w:line="293" w:lineRule="auto"/>
        <w:rPr>
          <w:sz w:val="20"/>
          <w:szCs w:val="20"/>
          <w:color w:val="auto"/>
        </w:rPr>
      </w:pPr>
      <w:r>
        <w:rPr>
          <w:rFonts w:ascii="Times New Roman" w:cs="Times New Roman" w:eastAsia="Times New Roman" w:hAnsi="Times New Roman"/>
          <w:sz w:val="15"/>
          <w:szCs w:val="15"/>
          <w:color w:val="auto"/>
        </w:rPr>
        <w:t>B. Tarsus wishes to license the Licensed IP, and Elanco is willing to grant to Tarsus a license under the Licensed IP, on and subject to the terms and conditions set forth in this Agreement.</w:t>
      </w:r>
    </w:p>
    <w:p>
      <w:pPr>
        <w:spacing w:after="0" w:line="132" w:lineRule="exact"/>
        <w:rPr>
          <w:sz w:val="20"/>
          <w:szCs w:val="20"/>
          <w:color w:val="auto"/>
        </w:rPr>
      </w:pPr>
    </w:p>
    <w:p>
      <w:pPr>
        <w:ind w:left="8" w:right="460"/>
        <w:spacing w:after="0" w:line="293"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covenants and agreements of the Parties contained in this Agreement, the Parties, intending to be legally bound, hereby agree as follows:</w:t>
      </w:r>
    </w:p>
    <w:p>
      <w:pPr>
        <w:spacing w:after="0" w:line="36" w:lineRule="exact"/>
        <w:rPr>
          <w:sz w:val="20"/>
          <w:szCs w:val="20"/>
          <w:color w:val="auto"/>
        </w:rPr>
      </w:pPr>
    </w:p>
    <w:p>
      <w:pPr>
        <w:ind w:left="8" w:right="120" w:hanging="8"/>
        <w:spacing w:after="0" w:line="298" w:lineRule="auto"/>
        <w:tabs>
          <w:tab w:leader="none" w:pos="161" w:val="left"/>
        </w:tabs>
        <w:numPr>
          <w:ilvl w:val="0"/>
          <w:numId w:val="3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5"/>
          <w:szCs w:val="15"/>
          <w:color w:val="auto"/>
        </w:rPr>
        <w:t>. In addition to any terms defined elsewhere in this Agreement, the following terms, when used in this Agreement, shall have the meanings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 1.</w:t>
      </w:r>
    </w:p>
    <w:p>
      <w:pPr>
        <w:spacing w:after="0" w:line="125" w:lineRule="exact"/>
        <w:rPr>
          <w:sz w:val="20"/>
          <w:szCs w:val="20"/>
          <w:color w:val="auto"/>
        </w:rPr>
      </w:pPr>
    </w:p>
    <w:p>
      <w:pPr>
        <w:ind w:left="8" w:right="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means, with respect to an entity, any other entity which controls, is controlled by, or is under common control with such first entity (but only so long as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 exists), whether as of the Effective Date or any time after the Effective Date. The term “</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in relation to an entity, means the ownership or control, directly or indirectly, of fifty percent (50%) or more of the shares (or other securities or rights) entitled to vote for the election of directors or other governing authority of such entity.</w:t>
      </w:r>
    </w:p>
    <w:p>
      <w:pPr>
        <w:spacing w:after="0" w:line="141" w:lineRule="exact"/>
        <w:rPr>
          <w:sz w:val="20"/>
          <w:szCs w:val="20"/>
          <w:color w:val="auto"/>
        </w:rPr>
      </w:pPr>
    </w:p>
    <w:p>
      <w:pPr>
        <w:ind w:left="8"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Applicable Law</w:t>
      </w:r>
      <w:r>
        <w:rPr>
          <w:rFonts w:ascii="Times New Roman" w:cs="Times New Roman" w:eastAsia="Times New Roman" w:hAnsi="Times New Roman"/>
          <w:sz w:val="15"/>
          <w:szCs w:val="15"/>
          <w:color w:val="auto"/>
        </w:rPr>
        <w:t>” means, with respect to any Person or matter, any and all laws, ordinances, constitutions, regulations, statutes, treaties, rules, codes, licenses, requirements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injunctions adopted, enacted, implemented, promulgated, issued, entered by or under the authority of any governmental body having jurisdiction over such Person or matter or any Person’s properties or assets.</w:t>
      </w:r>
    </w:p>
    <w:p>
      <w:pPr>
        <w:spacing w:after="0" w:line="141" w:lineRule="exact"/>
        <w:rPr>
          <w:sz w:val="20"/>
          <w:szCs w:val="20"/>
          <w:color w:val="auto"/>
        </w:rPr>
      </w:pPr>
    </w:p>
    <w:p>
      <w:pPr>
        <w:ind w:left="8" w:right="8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Commercially Reasonable Efforts</w:t>
      </w:r>
      <w:r>
        <w:rPr>
          <w:rFonts w:ascii="Times New Roman" w:cs="Times New Roman" w:eastAsia="Times New Roman" w:hAnsi="Times New Roman"/>
          <w:sz w:val="15"/>
          <w:szCs w:val="15"/>
          <w:color w:val="auto"/>
        </w:rPr>
        <w:t>” of a Party means, with respect to an objective, the reasonable, diligent, good faith efforts of a Party, (which it may effect through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efforts of its Affiliates, and sublicensees) of the type to accomplish such objective as a similarly situated (with respect to size, stage of development, and assets) pharmaceutical company, as the case may be, would normally use to accomplish a similar objective under similar circumstances, it being understood and agreed that, with respect to efforts to be expended in relation to a product (including implementation of development and commercialization strategies), such efforts shall be substantially equivalent to those efforts and resources that a similarly situated pharmaceutical company, as the case may be, would typically devote to its own internally discovered compound or product, which compound or product is at a similar stage in its development or product life and is of similar market and economic potential as products expected to result from the Compounds at a similar stage in their development or product life, taking into account the risks of development, the commercial potential for the Product, its proprietary position and other relevant factors.</w:t>
      </w:r>
    </w:p>
    <w:p>
      <w:pPr>
        <w:sectPr>
          <w:pgSz w:w="11900" w:h="16838" w:orient="portrait"/>
          <w:cols w:equalWidth="0" w:num="1">
            <w:col w:w="11268"/>
          </w:cols>
          <w:pgMar w:left="312" w:top="121" w:right="319" w:bottom="1440" w:gutter="0" w:footer="0" w:header="0"/>
        </w:sectPr>
      </w:pPr>
    </w:p>
    <w:bookmarkStart w:id="471" w:name="page472"/>
    <w:bookmarkEnd w:id="471"/>
    <w:p>
      <w:pPr>
        <w:ind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Compound</w:t>
      </w:r>
      <w:r>
        <w:rPr>
          <w:rFonts w:ascii="Times New Roman" w:cs="Times New Roman" w:eastAsia="Times New Roman" w:hAnsi="Times New Roman"/>
          <w:sz w:val="15"/>
          <w:szCs w:val="15"/>
          <w:color w:val="auto"/>
        </w:rPr>
        <w:t>” means Lotilaner and any salts, stereo isomers, prodrug, ester, metabolite, solvate, or polymorph thereof, and any derivative of the foregoing containing one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more atoms substituted with a radioisotope (including a derivative containing deuterium).</w:t>
      </w:r>
    </w:p>
    <w:p>
      <w:pPr>
        <w:spacing w:after="0" w:line="125" w:lineRule="exact"/>
        <w:rPr>
          <w:sz w:val="20"/>
          <w:szCs w:val="20"/>
          <w:color w:val="auto"/>
        </w:rPr>
      </w:pPr>
    </w:p>
    <w:p>
      <w:pPr>
        <w:ind w:right="10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Confidential Information</w:t>
      </w:r>
      <w:r>
        <w:rPr>
          <w:rFonts w:ascii="Times New Roman" w:cs="Times New Roman" w:eastAsia="Times New Roman" w:hAnsi="Times New Roman"/>
          <w:sz w:val="15"/>
          <w:szCs w:val="15"/>
          <w:color w:val="auto"/>
        </w:rPr>
        <w:t>” means information that is disclosed by one Party (the “</w:t>
      </w:r>
      <w:r>
        <w:rPr>
          <w:rFonts w:ascii="Times New Roman" w:cs="Times New Roman" w:eastAsia="Times New Roman" w:hAnsi="Times New Roman"/>
          <w:sz w:val="15"/>
          <w:szCs w:val="15"/>
          <w:b w:val="1"/>
          <w:bCs w:val="1"/>
          <w:i w:val="1"/>
          <w:iCs w:val="1"/>
          <w:color w:val="auto"/>
        </w:rPr>
        <w:t>Disclosing Party</w:t>
      </w:r>
      <w:r>
        <w:rPr>
          <w:rFonts w:ascii="Times New Roman" w:cs="Times New Roman" w:eastAsia="Times New Roman" w:hAnsi="Times New Roman"/>
          <w:sz w:val="15"/>
          <w:szCs w:val="15"/>
          <w:color w:val="auto"/>
        </w:rPr>
        <w:t>”) to the other Party (the “</w:t>
      </w:r>
      <w:r>
        <w:rPr>
          <w:rFonts w:ascii="Times New Roman" w:cs="Times New Roman" w:eastAsia="Times New Roman" w:hAnsi="Times New Roman"/>
          <w:sz w:val="15"/>
          <w:szCs w:val="15"/>
          <w:b w:val="1"/>
          <w:bCs w:val="1"/>
          <w:i w:val="1"/>
          <w:iCs w:val="1"/>
          <w:color w:val="auto"/>
        </w:rPr>
        <w:t>Receiving Party</w:t>
      </w:r>
      <w:r>
        <w:rPr>
          <w:rFonts w:ascii="Times New Roman" w:cs="Times New Roman" w:eastAsia="Times New Roman" w:hAnsi="Times New Roman"/>
          <w:sz w:val="15"/>
          <w:szCs w:val="15"/>
          <w:color w:val="auto"/>
        </w:rPr>
        <w:t>”) in connection with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(which may include, without limitation, trade secrets, technology, information pertaining to business operations and strategies, and information pertaining to customers, pricing and marketing information) or considered confidential under the Confidentiality Agreement as well as all information provided in the data room by Elanco as of the Effective Date. Confidential Information does not include information that: (a) was already known to the Receiving Party prior to disclosure by the Disclosing Party; (b) is independently developed by the Receiving Party; (c) was or becomes generally known by the public other than as a result of a breach of this Agreement or the Confidentiality Agreement by the Receiving Party; or (d) was received by the Receiving Party from a Third Party who was not, at the time of disclosure, under any obligation to the Disclosing Party or any of its Affiliates to maintain the confidentiality of such information.</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Confidentiality Agreement</w:t>
      </w:r>
      <w:r>
        <w:rPr>
          <w:rFonts w:ascii="Times New Roman" w:cs="Times New Roman" w:eastAsia="Times New Roman" w:hAnsi="Times New Roman"/>
          <w:sz w:val="15"/>
          <w:szCs w:val="15"/>
          <w:color w:val="auto"/>
        </w:rPr>
        <w:t>” means that certain Confidentiality Agreement by and between Elanco and Tarsus effective May 3, 2018.</w:t>
      </w:r>
    </w:p>
    <w:p>
      <w:pPr>
        <w:spacing w:after="0" w:line="196" w:lineRule="exact"/>
        <w:rPr>
          <w:sz w:val="20"/>
          <w:szCs w:val="20"/>
          <w:color w:val="auto"/>
        </w:rPr>
      </w:pPr>
    </w:p>
    <w:p>
      <w:pPr>
        <w:jc w:val="both"/>
        <w:ind w:right="2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Controls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Controlled by</w:t>
      </w:r>
      <w:r>
        <w:rPr>
          <w:rFonts w:ascii="Times New Roman" w:cs="Times New Roman" w:eastAsia="Times New Roman" w:hAnsi="Times New Roman"/>
          <w:sz w:val="15"/>
          <w:szCs w:val="15"/>
          <w:color w:val="auto"/>
        </w:rPr>
        <w:t>” means, with respect to any item of or right under any intellectual property, as the context requires, the possession (whether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ownership or license, other than pursuant to this Agreement) or ability of a Party to grant access to, or a license or sublicense of, such items or rights.</w:t>
      </w:r>
    </w:p>
    <w:p>
      <w:pPr>
        <w:spacing w:after="0" w:line="125" w:lineRule="exact"/>
        <w:rPr>
          <w:sz w:val="20"/>
          <w:szCs w:val="20"/>
          <w:color w:val="auto"/>
        </w:rPr>
      </w:pPr>
    </w:p>
    <w:p>
      <w:pPr>
        <w:ind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w:t>
      </w:r>
      <w:r>
        <w:rPr>
          <w:rFonts w:ascii="Times New Roman" w:cs="Times New Roman" w:eastAsia="Times New Roman" w:hAnsi="Times New Roman"/>
          <w:sz w:val="15"/>
          <w:szCs w:val="15"/>
          <w:color w:val="auto"/>
        </w:rPr>
        <w:t>” with respect to any subject matter (e.g. a Licensed Product), means that absent a license, the making, having made, using, importing, offering to sell or selling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matter would infringe a Valid Claim.</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Cut-off Date</w:t>
      </w:r>
      <w:r>
        <w:rPr>
          <w:rFonts w:ascii="Times New Roman" w:cs="Times New Roman" w:eastAsia="Times New Roman" w:hAnsi="Times New Roman"/>
          <w:sz w:val="15"/>
          <w:szCs w:val="15"/>
          <w:color w:val="auto"/>
        </w:rPr>
        <w:t>” means the second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5"/>
          <w:szCs w:val="15"/>
          <w:color w:val="auto"/>
        </w:rPr>
        <w:t>) anniversary of the Effective Date.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Enroll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Enrollment</w:t>
      </w:r>
      <w:r>
        <w:rPr>
          <w:rFonts w:ascii="Times New Roman" w:cs="Times New Roman" w:eastAsia="Times New Roman" w:hAnsi="Times New Roman"/>
          <w:sz w:val="15"/>
          <w:szCs w:val="15"/>
          <w:color w:val="auto"/>
        </w:rPr>
        <w:t>” with respect to a clinical trial means a patient is dosed with the applicable investigatory drug.</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FDA</w:t>
      </w:r>
      <w:r>
        <w:rPr>
          <w:rFonts w:ascii="Times New Roman" w:cs="Times New Roman" w:eastAsia="Times New Roman" w:hAnsi="Times New Roman"/>
          <w:sz w:val="15"/>
          <w:szCs w:val="15"/>
          <w:color w:val="auto"/>
        </w:rPr>
        <w:t>” means the U.S. Food and Drug Administration and any successor agency thereto.</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Field</w:t>
      </w:r>
      <w:r>
        <w:rPr>
          <w:rFonts w:ascii="Times New Roman" w:cs="Times New Roman" w:eastAsia="Times New Roman" w:hAnsi="Times New Roman"/>
          <w:sz w:val="15"/>
          <w:szCs w:val="15"/>
          <w:color w:val="auto"/>
        </w:rPr>
        <w:t>” means the treatment, palliation, prevention, or cure of any disease or condition in eye care or dermatology in humans.</w:t>
      </w:r>
    </w:p>
    <w:p>
      <w:pPr>
        <w:spacing w:after="0" w:line="196" w:lineRule="exact"/>
        <w:rPr>
          <w:sz w:val="20"/>
          <w:szCs w:val="20"/>
          <w:color w:val="auto"/>
        </w:rPr>
      </w:pPr>
    </w:p>
    <w:p>
      <w:pPr>
        <w:jc w:val="both"/>
        <w:ind w:right="24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First Commercial Sale</w:t>
      </w:r>
      <w:r>
        <w:rPr>
          <w:rFonts w:ascii="Times New Roman" w:cs="Times New Roman" w:eastAsia="Times New Roman" w:hAnsi="Times New Roman"/>
          <w:sz w:val="15"/>
          <w:szCs w:val="15"/>
          <w:color w:val="auto"/>
        </w:rPr>
        <w:t>” for a country means the first commercial sale of a Licensed Product to a Third Party by Tarsus or any of its Affiliates or sublicensees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Product after final approval by the applicable government authority to market such product for human use in such country (e.g. NDA approval). “First Commercial Sale” excludes the sale of a Licensed Product for use in a clinical trial or for expanded access (or similar term) and any sale of any Licensed Product by Tarsus or any of its Affiliates or sublicensees to or among themselves.</w:t>
      </w:r>
    </w:p>
    <w:p>
      <w:pPr>
        <w:spacing w:after="0" w:line="146" w:lineRule="exact"/>
        <w:rPr>
          <w:sz w:val="20"/>
          <w:szCs w:val="20"/>
          <w:color w:val="auto"/>
        </w:rPr>
      </w:pPr>
    </w:p>
    <w:p>
      <w:pPr>
        <w:jc w:val="both"/>
        <w:ind w:right="1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INAD</w:t>
      </w:r>
      <w:r>
        <w:rPr>
          <w:rFonts w:ascii="Times New Roman" w:cs="Times New Roman" w:eastAsia="Times New Roman" w:hAnsi="Times New Roman"/>
          <w:sz w:val="15"/>
          <w:szCs w:val="15"/>
          <w:color w:val="auto"/>
        </w:rPr>
        <w:t>” means an Investigational New Animal Drug filed with the FDA or the equivalent application or filing filed with any equivalent agency or government authority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outside of the United States (including any supra-national agency such as in the European Union) necessary to commence animal clinical trials in such jurisdiction, and including all regulations at 21 CFR § 511.1, and equivalent foreign regulations.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248" w:right="339" w:bottom="1440" w:gutter="0" w:footer="0" w:header="0"/>
        </w:sectPr>
      </w:pPr>
    </w:p>
    <w:bookmarkStart w:id="472" w:name="page473"/>
    <w:bookmarkEnd w:id="472"/>
    <w:p>
      <w:pPr>
        <w:ind w:right="3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1.15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IND</w:t>
      </w:r>
      <w:r>
        <w:rPr>
          <w:rFonts w:ascii="Times New Roman" w:cs="Times New Roman" w:eastAsia="Times New Roman" w:hAnsi="Times New Roman"/>
          <w:sz w:val="15"/>
          <w:szCs w:val="15"/>
          <w:color w:val="auto"/>
        </w:rPr>
        <w:t>” means an Investigational New Drug Application filed with the FDA or the equivalent application or filing filed with any equivalent agency or government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authority outside of the United States (including any supra-national agency such as in the European Union) necessary to commence human clinical trials in such jurisdiction, and including all regulations at 21 CFR § 312 et. esq., and equivalent foreign regulations.</w:t>
      </w:r>
    </w:p>
    <w:p>
      <w:pPr>
        <w:spacing w:after="0" w:line="141" w:lineRule="exact"/>
        <w:rPr>
          <w:sz w:val="20"/>
          <w:szCs w:val="20"/>
          <w:color w:val="auto"/>
        </w:rPr>
      </w:pPr>
    </w:p>
    <w:p>
      <w:pPr>
        <w:ind w:right="10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Know-How</w:t>
      </w:r>
      <w:r>
        <w:rPr>
          <w:rFonts w:ascii="Times New Roman" w:cs="Times New Roman" w:eastAsia="Times New Roman" w:hAnsi="Times New Roman"/>
          <w:sz w:val="15"/>
          <w:szCs w:val="15"/>
          <w:color w:val="auto"/>
        </w:rPr>
        <w:t>” means all know-how relating to the Compound or any Licensed Product, including, without limitation, inventions (whether patentable or not), technology,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discoveries, methods, techniques, and scientific information, medical information, all manufacturing, preclinical, and clinical data, materials, samples, protocols, specifications, processes, structures, trade secrets, analytical and quality control information and procedures, pharmacological, toxicological, and clinical test data and results, stability data, and studies and procedures.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Know-How</w:t>
      </w:r>
      <w:r>
        <w:rPr>
          <w:rFonts w:ascii="Times New Roman" w:cs="Times New Roman" w:eastAsia="Times New Roman" w:hAnsi="Times New Roman"/>
          <w:sz w:val="15"/>
          <w:szCs w:val="15"/>
          <w:color w:val="auto"/>
        </w:rPr>
        <w:t>” means all Know-How Controlled by Elanco as of the Effective Date.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IP</w:t>
      </w:r>
      <w:r>
        <w:rPr>
          <w:rFonts w:ascii="Times New Roman" w:cs="Times New Roman" w:eastAsia="Times New Roman" w:hAnsi="Times New Roman"/>
          <w:sz w:val="15"/>
          <w:szCs w:val="15"/>
          <w:color w:val="auto"/>
        </w:rPr>
        <w:t>” means the Licensed Patents and the Licensed Know-How.</w:t>
      </w:r>
    </w:p>
    <w:p>
      <w:pPr>
        <w:spacing w:after="0" w:line="196"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1.19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Patents</w:t>
      </w:r>
      <w:r>
        <w:rPr>
          <w:rFonts w:ascii="Times New Roman" w:cs="Times New Roman" w:eastAsia="Times New Roman" w:hAnsi="Times New Roman"/>
          <w:sz w:val="15"/>
          <w:szCs w:val="15"/>
          <w:color w:val="auto"/>
        </w:rPr>
        <w:t>” means (a) the patents and patent applications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hereto or otherwise Controlled by Elanco or any of its Affiliates as of the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and Covering any product that contains a Compound as an active pharmaceutical ingredient (alone or with other active ingredients) in any forms, presentations, formulations or dosage strengths, or any manufacture or use of the foregoing, (b) any patent or patent application Covering any product that contains a Compound as an active pharmaceutical ingredient (alone or with other active ingredients) in any forms, presentations, formulations or dosage strengths, or any manufacture or use of the foregoing where the patent or patent application Covers Know-How Controlled by Elanco or any of its Affiliates and arises after the Effective Date and prior to the Cut-off Date; (c) any patent application filed after the Effective Date on any of the Licensed Know-How; (d) any patent applications claiming priority to any of the foregoing, including continuations, divisionals, continuation-in-part and foreign patent applications, (e) all patents issuing from any of the foregoing patent applications described in (a) through (d); and (f) all reissues, reexaminations, renewals, re-validations, re-registrations, patents of addition, supplementary patent certificates and extensions of any of the foregoing. Notwithstanding the foregoing, the Licensed Patents do not include the Tarsus Patents.</w:t>
      </w:r>
    </w:p>
    <w:p>
      <w:pPr>
        <w:spacing w:after="0" w:line="156" w:lineRule="exact"/>
        <w:rPr>
          <w:sz w:val="20"/>
          <w:szCs w:val="20"/>
          <w:color w:val="auto"/>
        </w:rPr>
      </w:pPr>
    </w:p>
    <w:p>
      <w:pPr>
        <w:ind w:right="3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Product</w:t>
      </w:r>
      <w:r>
        <w:rPr>
          <w:rFonts w:ascii="Times New Roman" w:cs="Times New Roman" w:eastAsia="Times New Roman" w:hAnsi="Times New Roman"/>
          <w:sz w:val="15"/>
          <w:szCs w:val="15"/>
          <w:color w:val="auto"/>
        </w:rPr>
        <w:t>” means any product that: (a) contains a Compound as an active pharmaceutical ingredient (alone or with other active ingredients) in any forms,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presentations, formulations or dosage strengths; or (b) the manufacture, sale, use or importation of which, absent the license granted to Tarsus from Elanco under this Agreement, would infringe a Valid Claim of a Licensed Patent.</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Major European Country</w:t>
      </w:r>
      <w:r>
        <w:rPr>
          <w:rFonts w:ascii="Times New Roman" w:cs="Times New Roman" w:eastAsia="Times New Roman" w:hAnsi="Times New Roman"/>
          <w:sz w:val="15"/>
          <w:szCs w:val="15"/>
          <w:color w:val="auto"/>
        </w:rPr>
        <w:t>” means any of Germany, France, Spain, Italy, and the United Kingdom.</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MTA</w:t>
      </w:r>
      <w:r>
        <w:rPr>
          <w:rFonts w:ascii="Times New Roman" w:cs="Times New Roman" w:eastAsia="Times New Roman" w:hAnsi="Times New Roman"/>
          <w:sz w:val="15"/>
          <w:szCs w:val="15"/>
          <w:color w:val="auto"/>
        </w:rPr>
        <w:t>” means that certain Material Transfer Agreement dated on or around September 25, 2018.</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NADA</w:t>
      </w:r>
      <w:r>
        <w:rPr>
          <w:rFonts w:ascii="Times New Roman" w:cs="Times New Roman" w:eastAsia="Times New Roman" w:hAnsi="Times New Roman"/>
          <w:sz w:val="15"/>
          <w:szCs w:val="15"/>
          <w:color w:val="auto"/>
        </w:rPr>
        <w:t>” means a New Animal Drug Application, or any successor applications or procedures, filed with the FDA for approval to market and sell a product in the United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NDA</w:t>
      </w:r>
      <w:r>
        <w:rPr>
          <w:rFonts w:ascii="Times New Roman" w:cs="Times New Roman" w:eastAsia="Times New Roman" w:hAnsi="Times New Roman"/>
          <w:sz w:val="15"/>
          <w:szCs w:val="15"/>
          <w:color w:val="auto"/>
        </w:rPr>
        <w:t>” means a New Drug Application, or any successor applications or procedures, filed with the FDA for approval to market and sell a product in the United States.</w:t>
      </w:r>
    </w:p>
    <w:p>
      <w:pPr>
        <w:spacing w:after="0" w:line="196" w:lineRule="exact"/>
        <w:rPr>
          <w:sz w:val="20"/>
          <w:szCs w:val="20"/>
          <w:color w:val="auto"/>
        </w:rPr>
      </w:pPr>
    </w:p>
    <w:p>
      <w:pPr>
        <w:ind w:right="1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Net Sales</w:t>
      </w:r>
      <w:r>
        <w:rPr>
          <w:rFonts w:ascii="Times New Roman" w:cs="Times New Roman" w:eastAsia="Times New Roman" w:hAnsi="Times New Roman"/>
          <w:sz w:val="15"/>
          <w:szCs w:val="15"/>
          <w:color w:val="auto"/>
        </w:rPr>
        <w:t>” means, with respect to a Licensed Product, the gross amount invoiced by Tarsus (including a Tarsus Affiliate) or any sublicensee thereof to unrelated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Parties, excluding any sublicensee, for such Licensed Product in the Territory during the Royalty Term in the country of sale,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the following items applied consistent with U.S. Generally Accepted Accounting Principles:</w:t>
      </w:r>
    </w:p>
    <w:p>
      <w:pPr>
        <w:spacing w:after="0" w:line="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(a) Trade, quantity and cash discounts allowed;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0"/>
          </w:cols>
          <w:pgMar w:left="320" w:top="248" w:right="359" w:bottom="1440" w:gutter="0" w:footer="0" w:header="0"/>
        </w:sectPr>
      </w:pPr>
    </w:p>
    <w:bookmarkStart w:id="473" w:name="page474"/>
    <w:bookmarkEnd w:id="473"/>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Discounts, refunds, rebates, chargebacks, retroactive price adjustments, and any other allowances which effectively reduce the net selling price;</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Licensed Product returns and allowances;</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portion of the sales value associated with drug delivery systems, where applicable;</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tax imposed on the production, sale, delivery or use of the Licensed Product, including, without limitation, sales, use, excise or value added taxes;</w:t>
      </w:r>
    </w:p>
    <w:p>
      <w:pPr>
        <w:spacing w:after="0" w:line="104" w:lineRule="exact"/>
        <w:rPr>
          <w:rFonts w:ascii="Times New Roman" w:cs="Times New Roman" w:eastAsia="Times New Roman" w:hAnsi="Times New Roman"/>
          <w:sz w:val="15"/>
          <w:szCs w:val="15"/>
          <w:color w:val="auto"/>
        </w:rPr>
      </w:pPr>
    </w:p>
    <w:p>
      <w:pPr>
        <w:ind w:left="1200" w:hanging="194"/>
        <w:spacing w:after="0"/>
        <w:tabs>
          <w:tab w:leader="none" w:pos="120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Wholesaler inventory management fees;</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Allowance for distribution expenses; and</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similar and customary deductions which are in accordance with GAAP.</w:t>
      </w:r>
    </w:p>
    <w:p>
      <w:pPr>
        <w:spacing w:after="0" w:line="1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Such amounts shall be determined from the books and records of Tarsus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Affiliates of Tarsus or any sublicensee maintained in accordance with U. S. Generally Accepted Accounting Principles consistently applied. Tarsus further agrees in determining such amounts, it will use Tarsus’s then current standard procedures and methodology, including Tarsus’s then current standard exchange rate methodology, utilizing a reputable source such as the </w:t>
      </w:r>
      <w:r>
        <w:rPr>
          <w:rFonts w:ascii="Times New Roman" w:cs="Times New Roman" w:eastAsia="Times New Roman" w:hAnsi="Times New Roman"/>
          <w:sz w:val="15"/>
          <w:szCs w:val="15"/>
          <w:i w:val="1"/>
          <w:iCs w:val="1"/>
          <w:color w:val="auto"/>
        </w:rPr>
        <w:t>Wall Street Journal</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i w:val="1"/>
          <w:iCs w:val="1"/>
          <w:color w:val="auto"/>
        </w:rPr>
        <w:t>Reuters</w:t>
      </w:r>
      <w:r>
        <w:rPr>
          <w:rFonts w:ascii="Times New Roman" w:cs="Times New Roman" w:eastAsia="Times New Roman" w:hAnsi="Times New Roman"/>
          <w:sz w:val="15"/>
          <w:szCs w:val="15"/>
          <w:color w:val="auto"/>
        </w:rPr>
        <w:t>, for the translation of foreign currency sales into U.S. Dollars. For purposes of determining Net Sales, (i) sales of a Licensed Product shall not include transfers, uses or dispositions for charitable, promotional, pre-clinical, clinical, regulatory or governmental purposes, and (ii) sales between or among Tarsus, its Affiliates and sublicensees for re-sale shall be excluded from the computation of Net Sales, but subsequent sales by Tarsus or its Affiliates to third parties shall be included in the computation of Net Sales.</w:t>
      </w:r>
    </w:p>
    <w:p>
      <w:pPr>
        <w:spacing w:after="0" w:line="148" w:lineRule="exact"/>
        <w:rPr>
          <w:sz w:val="20"/>
          <w:szCs w:val="20"/>
          <w:color w:val="auto"/>
        </w:rPr>
      </w:pPr>
    </w:p>
    <w:p>
      <w:pPr>
        <w:ind w:right="1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means any individual, corporation, partnership, joint venture, limited liability company, governmental authority, unincorporated organization, trust, association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other entity.</w:t>
      </w:r>
    </w:p>
    <w:p>
      <w:pPr>
        <w:spacing w:after="0" w:line="125" w:lineRule="exact"/>
        <w:rPr>
          <w:sz w:val="20"/>
          <w:szCs w:val="20"/>
          <w:color w:val="auto"/>
        </w:rPr>
      </w:pPr>
    </w:p>
    <w:p>
      <w:pPr>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2 Clinical Trial</w:t>
      </w:r>
      <w:r>
        <w:rPr>
          <w:rFonts w:ascii="Times New Roman" w:cs="Times New Roman" w:eastAsia="Times New Roman" w:hAnsi="Times New Roman"/>
          <w:sz w:val="15"/>
          <w:szCs w:val="15"/>
          <w:color w:val="auto"/>
        </w:rPr>
        <w:t>” means a clinical trial phase 2a, 2b or adaptive design that is both (a) designed to evaluate clinical efficacy and safety for a pharmaceutical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 in a manner that is generally consistent with 21 C.F.R. § 312.21(b), as amended (or its successor regulation) and/or any analogous applicable law outside of the United States, as applicable, and (b) is necessary to enable Regulatory Approval in the United States or any Major European Country.</w:t>
      </w:r>
    </w:p>
    <w:p>
      <w:pPr>
        <w:spacing w:after="0" w:line="141" w:lineRule="exact"/>
        <w:rPr>
          <w:sz w:val="20"/>
          <w:szCs w:val="20"/>
          <w:color w:val="auto"/>
        </w:rPr>
      </w:pPr>
    </w:p>
    <w:p>
      <w:pPr>
        <w:ind w:right="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3 Clinical Trial</w:t>
      </w:r>
      <w:r>
        <w:rPr>
          <w:rFonts w:ascii="Times New Roman" w:cs="Times New Roman" w:eastAsia="Times New Roman" w:hAnsi="Times New Roman"/>
          <w:sz w:val="15"/>
          <w:szCs w:val="15"/>
          <w:color w:val="auto"/>
        </w:rPr>
        <w:t>” means a pivotal clinical trial that both (a) has a defined dose or a set of defined doses of a pharmaceutical product designed to ascertain efficacy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safety of such product, in a manner that is generally consistent with 21 C.F.R. § 312.21(c), as amended (or its successor regulation) and/or any analogous applicable law outside of the United States, as applicable, and (b) is necessary to enable Marketing Approval in the United States or any Major European Country.</w:t>
      </w:r>
    </w:p>
    <w:p>
      <w:pPr>
        <w:spacing w:after="0" w:line="141" w:lineRule="exact"/>
        <w:rPr>
          <w:sz w:val="20"/>
          <w:szCs w:val="20"/>
          <w:color w:val="auto"/>
        </w:rPr>
      </w:pPr>
    </w:p>
    <w:p>
      <w:pPr>
        <w:jc w:val="both"/>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Approval</w:t>
      </w:r>
      <w:r>
        <w:rPr>
          <w:rFonts w:ascii="Times New Roman" w:cs="Times New Roman" w:eastAsia="Times New Roman" w:hAnsi="Times New Roman"/>
          <w:sz w:val="15"/>
          <w:szCs w:val="15"/>
          <w:color w:val="auto"/>
        </w:rPr>
        <w:t>” in a particular country means all approvals (including any applicable governmental price and reimbursement approvals), licenses, registrations,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authorizations of any federal, national, multinational, state, provincial or local Regulatory Authority, department, bureau and other governmental entity that are necessary for the marketing and sale of a Licensed Product in a country.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52" w:right="319" w:bottom="1440" w:gutter="0" w:footer="0" w:header="0"/>
        </w:sectPr>
      </w:pPr>
    </w:p>
    <w:bookmarkStart w:id="474" w:name="page475"/>
    <w:bookmarkEnd w:id="474"/>
    <w:p>
      <w:pPr>
        <w:ind w:right="5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Authority</w:t>
      </w:r>
      <w:r>
        <w:rPr>
          <w:rFonts w:ascii="Times New Roman" w:cs="Times New Roman" w:eastAsia="Times New Roman" w:hAnsi="Times New Roman"/>
          <w:sz w:val="15"/>
          <w:szCs w:val="15"/>
          <w:color w:val="auto"/>
        </w:rPr>
        <w:t>” means any applicable governmental authority responsible for granting Regulatory Approvals or pricing approvals for Licensed Products,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the FDA, the European Medicines Agency and any corresponding national or regional regulatory authorities.</w:t>
      </w:r>
    </w:p>
    <w:p>
      <w:pPr>
        <w:spacing w:after="0" w:line="125" w:lineRule="exact"/>
        <w:rPr>
          <w:sz w:val="20"/>
          <w:szCs w:val="20"/>
          <w:color w:val="auto"/>
        </w:rPr>
      </w:pPr>
    </w:p>
    <w:p>
      <w:pPr>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Materials</w:t>
      </w:r>
      <w:r>
        <w:rPr>
          <w:rFonts w:ascii="Times New Roman" w:cs="Times New Roman" w:eastAsia="Times New Roman" w:hAnsi="Times New Roman"/>
          <w:sz w:val="15"/>
          <w:szCs w:val="15"/>
          <w:color w:val="auto"/>
        </w:rPr>
        <w:t>” means any regulatory application, submission, notification, communication, correspondence, registrations, approvals and other filings made to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received from a Regulatory Authority relating to any Licensed Product, including, without limitation, INADs, INDs clinical trial applications, NADAs, NDAs and any other marketing authorizations.</w:t>
      </w:r>
    </w:p>
    <w:p>
      <w:pPr>
        <w:spacing w:after="0" w:line="141" w:lineRule="exact"/>
        <w:rPr>
          <w:sz w:val="20"/>
          <w:szCs w:val="20"/>
          <w:color w:val="auto"/>
        </w:rPr>
      </w:pPr>
    </w:p>
    <w:p>
      <w:pPr>
        <w:jc w:val="both"/>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Materials Receipt</w:t>
      </w:r>
      <w:r>
        <w:rPr>
          <w:rFonts w:ascii="Times New Roman" w:cs="Times New Roman" w:eastAsia="Times New Roman" w:hAnsi="Times New Roman"/>
          <w:sz w:val="15"/>
          <w:szCs w:val="15"/>
          <w:color w:val="auto"/>
        </w:rPr>
        <w:t>” means the date on which Elanco provides Tarsus with the Regulatory Materials in existence as of the Effective Date that are reasonably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necessary to research, develop, make, use or otherwise exploit Licensed Products in the Field in the Territory. Such materials include, without limitation, [***], FDA approval letter, and FDA correspondence related to 21 Sep 18 Safety Communication.</w:t>
      </w:r>
    </w:p>
    <w:p>
      <w:pPr>
        <w:spacing w:after="0" w:line="141" w:lineRule="exact"/>
        <w:rPr>
          <w:sz w:val="20"/>
          <w:szCs w:val="20"/>
          <w:color w:val="auto"/>
        </w:rPr>
      </w:pPr>
    </w:p>
    <w:p>
      <w:pPr>
        <w:ind w:right="2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1.33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Royalty Term</w:t>
      </w:r>
      <w:r>
        <w:rPr>
          <w:rFonts w:ascii="Times New Roman" w:cs="Times New Roman" w:eastAsia="Times New Roman" w:hAnsi="Times New Roman"/>
          <w:sz w:val="15"/>
          <w:szCs w:val="15"/>
          <w:color w:val="auto"/>
        </w:rPr>
        <w:t>” means, with respect to any Licensed Product in a given country, the period of time commencing on the date of the First Commercial Sale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Product in such country and ending on the latest of: (a) expiry of the last-to-expire of the Licensed Patents which has at least one (1) Valid Claim Covering such Licensed Product in such country; (b) the expiration of regulatory exclusivity for such Licensed Product in such country; and (c) ten (10) years after first commercial sale of such Licensed Product in such country.</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1.34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Sensitive Transfer</w:t>
      </w:r>
      <w:r>
        <w:rPr>
          <w:rFonts w:ascii="Times New Roman" w:cs="Times New Roman" w:eastAsia="Times New Roman" w:hAnsi="Times New Roman"/>
          <w:sz w:val="15"/>
          <w:szCs w:val="15"/>
          <w:color w:val="auto"/>
        </w:rPr>
        <w:t>” means a transfer to a new supplier requiring either a technology transfer, a method transfer or another form of transfer of Licensed Know-How.</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1.35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Sublicense Revenue</w:t>
      </w:r>
      <w:r>
        <w:rPr>
          <w:rFonts w:ascii="Times New Roman" w:cs="Times New Roman" w:eastAsia="Times New Roman" w:hAnsi="Times New Roman"/>
          <w:sz w:val="15"/>
          <w:szCs w:val="15"/>
          <w:color w:val="auto"/>
        </w:rPr>
        <w:t>” means payments that Tarsus receives in consideration for a sublicense of rights under the Licensed IP.</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IP</w:t>
      </w:r>
      <w:r>
        <w:rPr>
          <w:rFonts w:ascii="Times New Roman" w:cs="Times New Roman" w:eastAsia="Times New Roman" w:hAnsi="Times New Roman"/>
          <w:sz w:val="15"/>
          <w:szCs w:val="15"/>
          <w:color w:val="auto"/>
        </w:rPr>
        <w:t>” means the Tarsus Patents and the Tarsus Know-How. Tarsus IP does not include the Licensed IP.</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1.37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Know-How</w:t>
      </w:r>
      <w:r>
        <w:rPr>
          <w:rFonts w:ascii="Times New Roman" w:cs="Times New Roman" w:eastAsia="Times New Roman" w:hAnsi="Times New Roman"/>
          <w:sz w:val="15"/>
          <w:szCs w:val="15"/>
          <w:color w:val="auto"/>
        </w:rPr>
        <w:t>” means Know-How Controlled by Tarsus as of the Effective Date, excluding Licensed Know-How.</w:t>
      </w:r>
    </w:p>
    <w:p>
      <w:pPr>
        <w:spacing w:after="0" w:line="196" w:lineRule="exact"/>
        <w:rPr>
          <w:sz w:val="20"/>
          <w:szCs w:val="20"/>
          <w:color w:val="auto"/>
        </w:rPr>
      </w:pPr>
    </w:p>
    <w:p>
      <w:pPr>
        <w:ind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1.38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Patents</w:t>
      </w:r>
      <w:r>
        <w:rPr>
          <w:rFonts w:ascii="Times New Roman" w:cs="Times New Roman" w:eastAsia="Times New Roman" w:hAnsi="Times New Roman"/>
          <w:sz w:val="15"/>
          <w:szCs w:val="15"/>
          <w:color w:val="auto"/>
        </w:rPr>
        <w:t>” means (a) patents and patent applications Controlled by Tarsus as of the Effective Date and related to the Compound and Licensed Product; (b)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 applications claiming priority to any of the foregoing, including continuations, divisionals, continuation-in-part (to the extent the claims thereof are entitled to such priority) and foreign patent applications, and (c) all patents issuing from any of the foregoing patent applications described in (a) through (b), including all reissues, reexaminations and extensions thereof. Notwithstanding the foregoing, the Tarsus Patents do not include the Licensed Patents.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Territory</w:t>
      </w:r>
      <w:r>
        <w:rPr>
          <w:rFonts w:ascii="Times New Roman" w:cs="Times New Roman" w:eastAsia="Times New Roman" w:hAnsi="Times New Roman"/>
          <w:sz w:val="15"/>
          <w:szCs w:val="15"/>
          <w:color w:val="auto"/>
        </w:rPr>
        <w:t>” means the entire world.</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1.40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Third Party</w:t>
      </w:r>
      <w:r>
        <w:rPr>
          <w:rFonts w:ascii="Times New Roman" w:cs="Times New Roman" w:eastAsia="Times New Roman" w:hAnsi="Times New Roman"/>
          <w:sz w:val="15"/>
          <w:szCs w:val="15"/>
          <w:color w:val="auto"/>
        </w:rPr>
        <w:t>” means any Person other than a Party or an Affiliate of a Party.</w:t>
      </w:r>
    </w:p>
    <w:p>
      <w:pPr>
        <w:spacing w:after="0" w:line="196" w:lineRule="exact"/>
        <w:rPr>
          <w:sz w:val="20"/>
          <w:szCs w:val="20"/>
          <w:color w:val="auto"/>
        </w:rPr>
      </w:pPr>
    </w:p>
    <w:p>
      <w:pPr>
        <w:ind w:right="2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Valid Claim</w:t>
      </w:r>
      <w:r>
        <w:rPr>
          <w:rFonts w:ascii="Times New Roman" w:cs="Times New Roman" w:eastAsia="Times New Roman" w:hAnsi="Times New Roman"/>
          <w:sz w:val="15"/>
          <w:szCs w:val="15"/>
          <w:color w:val="auto"/>
        </w:rPr>
        <w:t>” means any claim of any issued and unexpired Licensed Patent that has not been disclaimed, abandoned, revoked or held unpatentable, invalid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unenforceable by final decision of a court or other governmental body of competent jurisdiction, which decision is unappealable or unappealed within the time allowed for appeal. “Valid Claim” shall include any pending claim of any Licensed Patent that has been pending for less than seven (7) years but shall exclude pending claims that have been pending, without approval, for seven (7) years or more.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248" w:right="339" w:bottom="1440" w:gutter="0" w:footer="0" w:header="0"/>
        </w:sectPr>
      </w:pPr>
    </w:p>
    <w:bookmarkStart w:id="475" w:name="page476"/>
    <w:bookmarkEnd w:id="475"/>
    <w:p>
      <w:pPr>
        <w:ind w:left="148" w:hanging="148"/>
        <w:spacing w:after="0"/>
        <w:tabs>
          <w:tab w:leader="none" w:pos="148" w:val="left"/>
        </w:tabs>
        <w:numPr>
          <w:ilvl w:val="0"/>
          <w:numId w:val="3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5"/>
          <w:szCs w:val="15"/>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5"/>
          <w:szCs w:val="15"/>
          <w:b w:val="1"/>
          <w:bCs w:val="1"/>
          <w:color w:val="auto"/>
        </w:rPr>
        <w:t>; U</w:t>
      </w:r>
      <w:r>
        <w:rPr>
          <w:rFonts w:ascii="Times New Roman" w:cs="Times New Roman" w:eastAsia="Times New Roman" w:hAnsi="Times New Roman"/>
          <w:sz w:val="12"/>
          <w:szCs w:val="12"/>
          <w:b w:val="1"/>
          <w:bCs w:val="1"/>
          <w:color w:val="auto"/>
        </w:rPr>
        <w:t>PSTREAM</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40" w:firstLine="451"/>
        <w:spacing w:after="0" w:line="269" w:lineRule="auto"/>
        <w:rPr>
          <w:sz w:val="20"/>
          <w:szCs w:val="20"/>
          <w:color w:val="auto"/>
        </w:rPr>
      </w:pPr>
      <w:r>
        <w:rPr>
          <w:rFonts w:ascii="Times New Roman" w:cs="Times New Roman" w:eastAsia="Times New Roman" w:hAnsi="Times New Roman"/>
          <w:sz w:val="15"/>
          <w:szCs w:val="15"/>
          <w:b w:val="1"/>
          <w:bCs w:val="1"/>
          <w:color w:val="auto"/>
        </w:rPr>
        <w:t>2.1 Elanco License</w:t>
      </w:r>
      <w:r>
        <w:rPr>
          <w:rFonts w:ascii="Times New Roman" w:cs="Times New Roman" w:eastAsia="Times New Roman" w:hAnsi="Times New Roman"/>
          <w:sz w:val="15"/>
          <w:szCs w:val="15"/>
          <w:color w:val="auto"/>
        </w:rPr>
        <w:t>. Elanco hereby grants to Tarsus and its Affiliates an exclusive (even as to Elanco), perpetual, sublicensable (through multiple tiers), royalty-bearing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 under the Licensed IP, to research, develop, make, use, sell, offer for sale, import and otherwise exploit Licensed Products in the Field in the Territory. Each sublicensee shall agree to comply with the following terms and conditions of this Agreement: Section 2.3, allowing an audit pursuant to Section 6.6, Section 9.2(b) (with respect to the activities of sublicensee and its Affiliates), and Section 10 (with respect to the Confidential Information of Elanco). Tarsus remains fully responsible and liable under this Agreement irrespective of any sublicense.</w:t>
      </w:r>
    </w:p>
    <w:p>
      <w:pPr>
        <w:spacing w:after="0" w:line="333" w:lineRule="exact"/>
        <w:rPr>
          <w:sz w:val="20"/>
          <w:szCs w:val="20"/>
          <w:color w:val="auto"/>
        </w:rPr>
      </w:pPr>
    </w:p>
    <w:p>
      <w:pPr>
        <w:ind w:left="8"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2.2 Tarsus License</w:t>
      </w:r>
      <w:r>
        <w:rPr>
          <w:rFonts w:ascii="Times New Roman" w:cs="Times New Roman" w:eastAsia="Times New Roman" w:hAnsi="Times New Roman"/>
          <w:sz w:val="15"/>
          <w:szCs w:val="15"/>
          <w:color w:val="auto"/>
        </w:rPr>
        <w:t>. Tarsus hereby grants to Elanco a worldwide non-exclusive, perpetual, sublicensable (through multiple tiers), royalty-free license, under the Tarsus IP,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research, develop, make, use, sell, offer for sale, import and otherwise exploit Compounds and Licensed Products outside the Field. Tarsus may sublicense any or all rights and/or obligations under this Agreement.</w:t>
      </w:r>
    </w:p>
    <w:p>
      <w:pPr>
        <w:spacing w:after="0" w:line="141" w:lineRule="exact"/>
        <w:rPr>
          <w:sz w:val="20"/>
          <w:szCs w:val="20"/>
          <w:color w:val="auto"/>
        </w:rPr>
      </w:pPr>
    </w:p>
    <w:p>
      <w:pPr>
        <w:ind w:left="8" w:right="38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2.3 Right of Reference; Samples</w:t>
      </w:r>
      <w:r>
        <w:rPr>
          <w:rFonts w:ascii="Times New Roman" w:cs="Times New Roman" w:eastAsia="Times New Roman" w:hAnsi="Times New Roman"/>
          <w:sz w:val="15"/>
          <w:szCs w:val="15"/>
          <w:color w:val="auto"/>
        </w:rPr>
        <w:t>. Each Party has right to reference and receive access to all Regulatory Materials for the Compound (and any chemical alteration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improvement of the Compound (e.g. pursuant to Section 8.3)) that are Controlled by the other Party, its Affiliates, or its sublicensees, whether existing as of the Effective Date, generated from any activities of the Parties in connection with this Agreement, solely for the purposes set forth in this Agreement, or otherwise existing after the Effective Date. Elanco will provide Tarsus with reasonable samples of (a) Elanco’s chemical alterations or improvements of the Compound, (b) the Compound’s related substances, and/or</w:t>
      </w:r>
    </w:p>
    <w:p>
      <w:pPr>
        <w:ind w:left="8" w:right="340" w:hanging="8"/>
        <w:spacing w:after="0" w:line="273" w:lineRule="auto"/>
        <w:tabs>
          <w:tab w:leader="none" w:pos="217" w:val="left"/>
        </w:tabs>
        <w:numPr>
          <w:ilvl w:val="0"/>
          <w:numId w:val="3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standards for the Compound, in each case, after Tarsus’s request(s) from time to time. Tarsus shall pay Elanco for such samples at an amount equal to [***] paid by Elanco for such samples plus [***]% thereof.</w:t>
      </w:r>
    </w:p>
    <w:p>
      <w:pPr>
        <w:spacing w:after="0" w:line="142" w:lineRule="exact"/>
        <w:rPr>
          <w:sz w:val="20"/>
          <w:szCs w:val="20"/>
          <w:color w:val="auto"/>
        </w:rPr>
      </w:pPr>
    </w:p>
    <w:p>
      <w:pPr>
        <w:ind w:left="148" w:hanging="148"/>
        <w:spacing w:after="0"/>
        <w:tabs>
          <w:tab w:leader="none" w:pos="148" w:val="left"/>
        </w:tabs>
        <w:numPr>
          <w:ilvl w:val="0"/>
          <w:numId w:val="3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2"/>
          <w:szCs w:val="12"/>
          <w:b w:val="1"/>
          <w:bCs w:val="1"/>
          <w:color w:val="auto"/>
        </w:rPr>
        <w:t>EGULATORY</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5"/>
          <w:szCs w:val="15"/>
          <w:b w:val="1"/>
          <w:bCs w:val="1"/>
          <w:color w:val="auto"/>
        </w:rPr>
        <w:t>; K</w:t>
      </w: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3.1 </w:t>
      </w:r>
      <w:r>
        <w:rPr>
          <w:rFonts w:ascii="Times New Roman" w:cs="Times New Roman" w:eastAsia="Times New Roman" w:hAnsi="Times New Roman"/>
          <w:sz w:val="15"/>
          <w:szCs w:val="15"/>
          <w:color w:val="auto"/>
        </w:rPr>
        <w:t>Within [***] days following the date Tarsus pays Elanco the Upfront Payment, Elanco shall provide all information regarding the Licensed Know-How that is Controlled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 Tarsus shall pay Elanco $[***] within thirty (30) days after its receipt of all of such Know-How. Provided in any case that Elanco shall only be obliged to provide information to a third party that has been selected in compliance with Section 8.4.</w:t>
      </w:r>
    </w:p>
    <w:p>
      <w:pPr>
        <w:spacing w:after="0" w:line="147" w:lineRule="exact"/>
        <w:rPr>
          <w:sz w:val="20"/>
          <w:szCs w:val="20"/>
          <w:color w:val="auto"/>
        </w:rPr>
      </w:pPr>
    </w:p>
    <w:p>
      <w:pPr>
        <w:ind w:left="8" w:right="1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3.2 </w:t>
      </w:r>
      <w:r>
        <w:rPr>
          <w:rFonts w:ascii="Times New Roman" w:cs="Times New Roman" w:eastAsia="Times New Roman" w:hAnsi="Times New Roman"/>
          <w:sz w:val="15"/>
          <w:szCs w:val="15"/>
          <w:color w:val="auto"/>
        </w:rPr>
        <w:t>Promptly after the Effective Date, Elanco shall provide Tarsus with all Regulatory Materials that are reasonably necessary to research, develop, make, use or otherwise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exploit Licensed Products in the Field in the Territory, but, in any case, Elanco shall not be required to provide any particular Regulatory Material to Tarsus more than once. Elanco shall continually provide Tarsus with any relevant updates to the Regulatory Materials promptly after their creation or receipt (as the case may be).</w:t>
      </w:r>
    </w:p>
    <w:p>
      <w:pPr>
        <w:spacing w:after="0" w:line="141" w:lineRule="exact"/>
        <w:rPr>
          <w:sz w:val="20"/>
          <w:szCs w:val="20"/>
          <w:color w:val="auto"/>
        </w:rPr>
      </w:pPr>
    </w:p>
    <w:p>
      <w:pPr>
        <w:ind w:left="148" w:hanging="148"/>
        <w:spacing w:after="0"/>
        <w:tabs>
          <w:tab w:leader="none" w:pos="148" w:val="left"/>
        </w:tabs>
        <w:numPr>
          <w:ilvl w:val="0"/>
          <w:numId w:val="3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EVELOPMENT AND</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OMMERCIALIZATION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0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4.1 General; Diligence</w:t>
      </w:r>
      <w:r>
        <w:rPr>
          <w:rFonts w:ascii="Times New Roman" w:cs="Times New Roman" w:eastAsia="Times New Roman" w:hAnsi="Times New Roman"/>
          <w:sz w:val="15"/>
          <w:szCs w:val="15"/>
          <w:color w:val="auto"/>
        </w:rPr>
        <w:t>. Following the Effective Date, as between the Parties, Tarsus, at its expense, shall be responsible for conducting (or causing its Affiliates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sublicensees to conduct) the development and commercialization of the Licensed Products in the Field in the Territory. Tarsus shall use Commercially Reasonable Efforts to develop the Licensed Products and seek and obtain Regulatory Approval for Licensed Products in the Field in the Territory. A summary of the currently intended development activities is attached as Exhibit D. Elanco’s sole and exclusive remedy for Tarsus’s breach of the foregoing sentence is termination of this Agreement pursuant Section 11.2.</w:t>
      </w:r>
    </w:p>
    <w:p>
      <w:pPr>
        <w:spacing w:after="0" w:line="9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08"/>
          </w:cols>
          <w:pgMar w:left="312" w:top="248" w:right="379" w:bottom="1440" w:gutter="0" w:footer="0" w:header="0"/>
        </w:sectPr>
      </w:pPr>
    </w:p>
    <w:bookmarkStart w:id="476" w:name="page477"/>
    <w:bookmarkEnd w:id="476"/>
    <w:p>
      <w:pPr>
        <w:ind w:left="8" w:right="10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4.2 Regulatory</w:t>
      </w:r>
      <w:r>
        <w:rPr>
          <w:rFonts w:ascii="Times New Roman" w:cs="Times New Roman" w:eastAsia="Times New Roman" w:hAnsi="Times New Roman"/>
          <w:sz w:val="15"/>
          <w:szCs w:val="15"/>
          <w:color w:val="auto"/>
        </w:rPr>
        <w:t>. As between the Parties, Tarsus (or its Affiliates or sublicensees) shall be solely responsible, for all regulatory matters relating to the development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commercialization of the Licensed Products in the Field in the Territory and shall coordinate and control the related regulatory strategy and interactions with Regulatory Authorities for the Licensed Products at its own cost. Each Party shall keep the other Party informed about the regulatory process and status for Licensed Products and shall immediately or no later than five (5) business days inform the other Party of any human exposure serious adverse event (as defined in 21 CFR 312.32 and CFR 514.3) or such other matters agreed to in any pharmacovigilance or that would otherwise reasonably be expected to materially adversely affect the other Party’s regulatory process for the Licensed Products.</w:t>
      </w:r>
    </w:p>
    <w:p>
      <w:pPr>
        <w:spacing w:after="0" w:line="147" w:lineRule="exact"/>
        <w:rPr>
          <w:sz w:val="20"/>
          <w:szCs w:val="20"/>
          <w:color w:val="auto"/>
        </w:rPr>
      </w:pPr>
    </w:p>
    <w:p>
      <w:pPr>
        <w:ind w:left="8" w:right="2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4.3 Progress Reports</w:t>
      </w:r>
      <w:r>
        <w:rPr>
          <w:rFonts w:ascii="Times New Roman" w:cs="Times New Roman" w:eastAsia="Times New Roman" w:hAnsi="Times New Roman"/>
          <w:sz w:val="15"/>
          <w:szCs w:val="15"/>
          <w:color w:val="auto"/>
        </w:rPr>
        <w:t>. Within [***] days after January 1 of each year prior to First Commercial Sale, Tarsus shall submit to Elanco a progress report covering in reasonable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detail the activities of Tarsus including a listing of serious adverse events, its Affiliates and sublicensees, as applicable, related to the development, regulatory status and commercialization of the Licensed Products in the Territory. All reports provided by Tarsus to Elanco under this Section 4.3 shall be considered Tarsus’s Confidential Information.</w:t>
      </w:r>
    </w:p>
    <w:p>
      <w:pPr>
        <w:spacing w:after="0" w:line="14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4.4 Reversion of Rights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20" w:firstLine="1006"/>
        <w:spacing w:after="0" w:line="277" w:lineRule="auto"/>
        <w:tabs>
          <w:tab w:leader="none" w:pos="1239" w:val="left"/>
        </w:tabs>
        <w:numPr>
          <w:ilvl w:val="0"/>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If neither Tarsus nor any of its Affiliates or sublicensees achieve any of the milestones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b w:val="1"/>
          <w:bCs w:val="1"/>
          <w:i w:val="1"/>
          <w:iCs w:val="1"/>
          <w:color w:val="auto"/>
        </w:rPr>
        <w:t>Diligence Milestone</w:t>
      </w:r>
      <w:r>
        <w:rPr>
          <w:rFonts w:ascii="Times New Roman" w:cs="Times New Roman" w:eastAsia="Times New Roman" w:hAnsi="Times New Roman"/>
          <w:sz w:val="15"/>
          <w:szCs w:val="15"/>
          <w:color w:val="auto"/>
        </w:rPr>
        <w:t xml:space="preserve">”) by the corresponding achievement deadline date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except for reasons outside of Tarsus’ reasonable control, Elanco shall (as its sole and exclusive remedy for such failure) have the right to terminate the Agreement if such Diligence Milestone remains unmet one hundred twenty (120) days after Elanco provides Tarsus notice of such failure.</w:t>
      </w:r>
    </w:p>
    <w:p>
      <w:pPr>
        <w:spacing w:after="0" w:line="140" w:lineRule="exact"/>
        <w:rPr>
          <w:rFonts w:ascii="Times New Roman" w:cs="Times New Roman" w:eastAsia="Times New Roman" w:hAnsi="Times New Roman"/>
          <w:sz w:val="15"/>
          <w:szCs w:val="15"/>
          <w:b w:val="1"/>
          <w:bCs w:val="1"/>
          <w:color w:val="auto"/>
        </w:rPr>
      </w:pPr>
    </w:p>
    <w:p>
      <w:pPr>
        <w:ind w:left="8" w:right="220" w:firstLine="1006"/>
        <w:spacing w:after="0" w:line="270" w:lineRule="auto"/>
        <w:tabs>
          <w:tab w:leader="none" w:pos="1248" w:val="left"/>
        </w:tabs>
        <w:numPr>
          <w:ilvl w:val="0"/>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If neither Tarsus nor any of its Affiliates or sublicensees achieve any of the milestones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b w:val="1"/>
          <w:bCs w:val="1"/>
          <w:i w:val="1"/>
          <w:iCs w:val="1"/>
          <w:color w:val="auto"/>
        </w:rPr>
        <w:t>Dermatology Milestone</w:t>
      </w:r>
      <w:r>
        <w:rPr>
          <w:rFonts w:ascii="Times New Roman" w:cs="Times New Roman" w:eastAsia="Times New Roman" w:hAnsi="Times New Roman"/>
          <w:sz w:val="15"/>
          <w:szCs w:val="15"/>
          <w:color w:val="auto"/>
        </w:rPr>
        <w:t xml:space="preserve">”) by the corresponding achievement deadline date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except for reasons outside of Tarsus’ reasonable control, Elanco shall (as its sole and exclusive remedy for such failure) have the right to reduce the Field of Use to “the treatment, palliation, prevention, or cure of any disease or condition in eye care in humans” if such Dermatology Milestone remains unmet one hundred twenty (120) days after Elanco provides Tarsus notice of such failure.</w:t>
      </w:r>
    </w:p>
    <w:p>
      <w:pPr>
        <w:spacing w:after="0" w:line="150" w:lineRule="exact"/>
        <w:rPr>
          <w:rFonts w:ascii="Times New Roman" w:cs="Times New Roman" w:eastAsia="Times New Roman" w:hAnsi="Times New Roman"/>
          <w:sz w:val="15"/>
          <w:szCs w:val="15"/>
          <w:b w:val="1"/>
          <w:bCs w:val="1"/>
          <w:color w:val="auto"/>
        </w:rPr>
      </w:pPr>
    </w:p>
    <w:p>
      <w:pPr>
        <w:ind w:left="1228" w:hanging="214"/>
        <w:spacing w:after="0"/>
        <w:tabs>
          <w:tab w:leader="none" w:pos="1228" w:val="left"/>
        </w:tabs>
        <w:numPr>
          <w:ilvl w:val="0"/>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may, at its option, increase all of the milestone dates set forth in Exhibit B and Exhibit C one time by [***] months by making a one-time payment of</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t>
      </w:r>
    </w:p>
    <w:p>
      <w:pPr>
        <w:spacing w:after="0" w:line="182" w:lineRule="exact"/>
        <w:rPr>
          <w:sz w:val="20"/>
          <w:szCs w:val="20"/>
          <w:color w:val="auto"/>
        </w:rPr>
      </w:pPr>
    </w:p>
    <w:p>
      <w:pPr>
        <w:ind w:left="8" w:right="280" w:firstLine="1006"/>
        <w:spacing w:after="0" w:line="275" w:lineRule="auto"/>
        <w:tabs>
          <w:tab w:leader="none" w:pos="1248" w:val="left"/>
        </w:tabs>
        <w:numPr>
          <w:ilvl w:val="1"/>
          <w:numId w:val="3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termination pursuant to Section 4.4(a), Elanco shall be granted nonexclusive, sublicensable rights to the Tarsus Know-How and Tarsus Licensed Patents to develop, manufacture, and commercialize the Compound and Licensed Products in the Field and be provided with Tarsus Know-How (including such regulatory documentation corresponding to the Licensed Product) but not any other assets of Tarsus. Such rights shall be fully paid and royalty free.</w:t>
      </w:r>
    </w:p>
    <w:p>
      <w:pPr>
        <w:spacing w:after="0" w:line="140" w:lineRule="exact"/>
        <w:rPr>
          <w:rFonts w:ascii="Times New Roman" w:cs="Times New Roman" w:eastAsia="Times New Roman" w:hAnsi="Times New Roman"/>
          <w:sz w:val="15"/>
          <w:szCs w:val="15"/>
          <w:b w:val="1"/>
          <w:bCs w:val="1"/>
          <w:color w:val="auto"/>
        </w:rPr>
      </w:pPr>
    </w:p>
    <w:p>
      <w:pPr>
        <w:ind w:left="148" w:hanging="148"/>
        <w:spacing w:after="0"/>
        <w:tabs>
          <w:tab w:leader="none" w:pos="148" w:val="left"/>
        </w:tabs>
        <w:numPr>
          <w:ilvl w:val="0"/>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J</w:t>
      </w:r>
      <w:r>
        <w:rPr>
          <w:rFonts w:ascii="Times New Roman" w:cs="Times New Roman" w:eastAsia="Times New Roman" w:hAnsi="Times New Roman"/>
          <w:sz w:val="12"/>
          <w:szCs w:val="12"/>
          <w:b w:val="1"/>
          <w:bCs w:val="1"/>
          <w:color w:val="auto"/>
        </w:rPr>
        <w:t>OINT</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TEERING</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b w:val="1"/>
          <w:bCs w:val="1"/>
          <w:color w:val="auto"/>
        </w:rPr>
      </w:pPr>
    </w:p>
    <w:p>
      <w:pPr>
        <w:ind w:left="8" w:firstLine="1006"/>
        <w:spacing w:after="0" w:line="270" w:lineRule="auto"/>
        <w:tabs>
          <w:tab w:leader="none" w:pos="1239" w:val="left"/>
        </w:tabs>
        <w:numPr>
          <w:ilvl w:val="1"/>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parties shall establish a joint steering committee (the “</w:t>
      </w:r>
      <w:r>
        <w:rPr>
          <w:rFonts w:ascii="Times New Roman" w:cs="Times New Roman" w:eastAsia="Times New Roman" w:hAnsi="Times New Roman"/>
          <w:sz w:val="15"/>
          <w:szCs w:val="15"/>
          <w:b w:val="1"/>
          <w:bCs w:val="1"/>
          <w:i w:val="1"/>
          <w:iCs w:val="1"/>
          <w:color w:val="auto"/>
        </w:rPr>
        <w:t>Joint Steering Committee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JSC</w:t>
      </w:r>
      <w:r>
        <w:rPr>
          <w:rFonts w:ascii="Times New Roman" w:cs="Times New Roman" w:eastAsia="Times New Roman" w:hAnsi="Times New Roman"/>
          <w:sz w:val="15"/>
          <w:szCs w:val="15"/>
          <w:color w:val="auto"/>
        </w:rPr>
        <w:t>”) consisting of two (2) representatives from each party, which shall serve as a way for Tarsus to inform (and seek advice from) Elanco in the development and Regulatory Approval efforts for the Licensed Product in the Territory and other efforts under this License Agreement. Each party will provide the other Party Notice with the name, title, email address, telephone number of their respective Steering Committee Members. The JSC shall meet as needed but not less than on a quarterly basis (or such other frequency as determined by the JSC).</w:t>
      </w:r>
    </w:p>
    <w:p>
      <w:pPr>
        <w:spacing w:after="0" w:line="9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8"/>
          </w:cols>
          <w:pgMar w:left="312" w:top="248" w:right="339" w:bottom="1440" w:gutter="0" w:footer="0" w:header="0"/>
        </w:sectPr>
      </w:pPr>
    </w:p>
    <w:bookmarkStart w:id="477" w:name="page478"/>
    <w:bookmarkEnd w:id="477"/>
    <w:p>
      <w:pPr>
        <w:ind w:left="8" w:right="80" w:firstLine="1006"/>
        <w:spacing w:after="0" w:line="293" w:lineRule="auto"/>
        <w:tabs>
          <w:tab w:leader="none" w:pos="1248" w:val="left"/>
        </w:tabs>
        <w:numPr>
          <w:ilvl w:val="1"/>
          <w:numId w:val="3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Steering Committee meetings will be at times agreed by the Parties and will be in such form (e.g. in person, telephone, or video conference) as the members of the Steering Committee agree.</w:t>
      </w:r>
    </w:p>
    <w:p>
      <w:pPr>
        <w:spacing w:after="0" w:line="132" w:lineRule="exact"/>
        <w:rPr>
          <w:rFonts w:ascii="Times New Roman" w:cs="Times New Roman" w:eastAsia="Times New Roman" w:hAnsi="Times New Roman"/>
          <w:sz w:val="15"/>
          <w:szCs w:val="15"/>
          <w:b w:val="1"/>
          <w:bCs w:val="1"/>
          <w:color w:val="auto"/>
        </w:rPr>
      </w:pPr>
    </w:p>
    <w:p>
      <w:pPr>
        <w:ind w:left="8" w:right="340" w:firstLine="1006"/>
        <w:spacing w:after="0" w:line="268" w:lineRule="auto"/>
        <w:tabs>
          <w:tab w:leader="none" w:pos="1230" w:val="left"/>
        </w:tabs>
        <w:numPr>
          <w:ilvl w:val="1"/>
          <w:numId w:val="3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party may change one or more of its representatives to the Steering Committee at any time. Members of the Steering committee may be represented at any meeting by another member of the Steering committee or by a proxy. Either Party may permit additional employees and consultants to attend and participate in the Steering Committee, subject to the confidentiality provisions of the agreement. Each Party is responsible for travel costs for their representatives associated with attending in person JSC meetings.</w:t>
      </w:r>
    </w:p>
    <w:p>
      <w:pPr>
        <w:spacing w:after="0" w:line="151" w:lineRule="exact"/>
        <w:rPr>
          <w:rFonts w:ascii="Times New Roman" w:cs="Times New Roman" w:eastAsia="Times New Roman" w:hAnsi="Times New Roman"/>
          <w:sz w:val="15"/>
          <w:szCs w:val="15"/>
          <w:b w:val="1"/>
          <w:bCs w:val="1"/>
          <w:color w:val="auto"/>
        </w:rPr>
      </w:pPr>
    </w:p>
    <w:p>
      <w:pPr>
        <w:ind w:left="8" w:right="40" w:firstLine="1006"/>
        <w:spacing w:after="0" w:line="268" w:lineRule="auto"/>
        <w:tabs>
          <w:tab w:leader="none" w:pos="1248" w:val="left"/>
        </w:tabs>
        <w:numPr>
          <w:ilvl w:val="1"/>
          <w:numId w:val="3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Steering Committee will be responsible for keeping accurate minutes of its deliberations that record decisions and all actions recommended or taken. Within thirty (15) business days of each JSC meeting, the Parties will be provided with draft minutes of such meeting. Minutes will be deemed approved unless a Steering Committee representative of either Party objects to the accuracy of such minutes. In the event that any such objection is not resolved by the Steering Committee such minutes will be amended to reflect the unresolved objection. All records of the Steering Committee will be considered confidential information and available to both Parties.</w:t>
      </w:r>
    </w:p>
    <w:p>
      <w:pPr>
        <w:spacing w:after="0" w:line="147" w:lineRule="exact"/>
        <w:rPr>
          <w:rFonts w:ascii="Times New Roman" w:cs="Times New Roman" w:eastAsia="Times New Roman" w:hAnsi="Times New Roman"/>
          <w:sz w:val="15"/>
          <w:szCs w:val="15"/>
          <w:b w:val="1"/>
          <w:bCs w:val="1"/>
          <w:color w:val="auto"/>
        </w:rPr>
      </w:pPr>
    </w:p>
    <w:p>
      <w:pPr>
        <w:ind w:left="148" w:hanging="148"/>
        <w:spacing w:after="0"/>
        <w:tabs>
          <w:tab w:leader="none" w:pos="148" w:val="left"/>
        </w:tabs>
        <w:numPr>
          <w:ilvl w:val="0"/>
          <w:numId w:val="3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2"/>
          <w:szCs w:val="12"/>
          <w:b w:val="1"/>
          <w:bCs w:val="1"/>
          <w:color w:val="auto"/>
        </w:rPr>
        <w:t>AYMENTS TO</w:t>
      </w:r>
      <w:r>
        <w:rPr>
          <w:rFonts w:ascii="Times New Roman" w:cs="Times New Roman" w:eastAsia="Times New Roman" w:hAnsi="Times New Roman"/>
          <w:sz w:val="15"/>
          <w:szCs w:val="15"/>
          <w:b w:val="1"/>
          <w:bCs w:val="1"/>
          <w:color w:val="auto"/>
        </w:rPr>
        <w:t xml:space="preserve"> E</w:t>
      </w:r>
      <w:r>
        <w:rPr>
          <w:rFonts w:ascii="Times New Roman" w:cs="Times New Roman" w:eastAsia="Times New Roman" w:hAnsi="Times New Roman"/>
          <w:sz w:val="12"/>
          <w:szCs w:val="12"/>
          <w:b w:val="1"/>
          <w:bCs w:val="1"/>
          <w:color w:val="auto"/>
        </w:rPr>
        <w:t>LANCO</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6.1 Upfront Payment</w:t>
      </w:r>
      <w:r>
        <w:rPr>
          <w:rFonts w:ascii="Times New Roman" w:cs="Times New Roman" w:eastAsia="Times New Roman" w:hAnsi="Times New Roman"/>
          <w:sz w:val="15"/>
          <w:szCs w:val="15"/>
          <w:color w:val="auto"/>
        </w:rPr>
        <w:t>. Tarsus shall pay to Elanco an upfront fee of one million dollars (US$1,000,000) (the “</w:t>
      </w:r>
      <w:r>
        <w:rPr>
          <w:rFonts w:ascii="Times New Roman" w:cs="Times New Roman" w:eastAsia="Times New Roman" w:hAnsi="Times New Roman"/>
          <w:sz w:val="15"/>
          <w:szCs w:val="15"/>
          <w:b w:val="1"/>
          <w:bCs w:val="1"/>
          <w:i w:val="1"/>
          <w:iCs w:val="1"/>
          <w:color w:val="auto"/>
        </w:rPr>
        <w:t>Upfront Payment</w:t>
      </w:r>
      <w:r>
        <w:rPr>
          <w:rFonts w:ascii="Times New Roman" w:cs="Times New Roman" w:eastAsia="Times New Roman" w:hAnsi="Times New Roman"/>
          <w:sz w:val="15"/>
          <w:szCs w:val="15"/>
          <w:color w:val="auto"/>
        </w:rPr>
        <w:t>”) within [***] days after the Effective Date.</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Upfront Payment shall not apply if Tarsus does terminate this Agreement pursuant to Section 11.2(c).</w:t>
      </w:r>
    </w:p>
    <w:p>
      <w:pPr>
        <w:spacing w:after="0" w:line="17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6.2 Milestones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8" w:right="320" w:firstLine="1006"/>
        <w:spacing w:after="0" w:line="293" w:lineRule="auto"/>
        <w:tabs>
          <w:tab w:leader="none" w:pos="1239" w:val="left"/>
        </w:tabs>
        <w:numPr>
          <w:ilvl w:val="0"/>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First Indication Development Milestones</w:t>
      </w:r>
      <w:r>
        <w:rPr>
          <w:rFonts w:ascii="Times New Roman" w:cs="Times New Roman" w:eastAsia="Times New Roman" w:hAnsi="Times New Roman"/>
          <w:sz w:val="15"/>
          <w:szCs w:val="15"/>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51"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of a Licensed Product;</w:t>
      </w:r>
    </w:p>
    <w:p>
      <w:pPr>
        <w:spacing w:after="0" w:line="115"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 of [***] of a Licensed Product;</w:t>
      </w:r>
    </w:p>
    <w:p>
      <w:pPr>
        <w:spacing w:after="0" w:line="115"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15"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15"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 and</w:t>
      </w:r>
    </w:p>
    <w:p>
      <w:pPr>
        <w:spacing w:after="0" w:line="115" w:lineRule="exact"/>
        <w:rPr>
          <w:rFonts w:ascii="Times New Roman" w:cs="Times New Roman" w:eastAsia="Times New Roman" w:hAnsi="Times New Roman"/>
          <w:sz w:val="15"/>
          <w:szCs w:val="15"/>
          <w:b w:val="1"/>
          <w:bCs w:val="1"/>
          <w:color w:val="auto"/>
        </w:rPr>
      </w:pPr>
    </w:p>
    <w:p>
      <w:pPr>
        <w:ind w:left="2008" w:hanging="544"/>
        <w:spacing w:after="0"/>
        <w:tabs>
          <w:tab w:leader="none" w:pos="2008" w:val="left"/>
        </w:tabs>
        <w:numPr>
          <w:ilvl w:val="1"/>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96" w:lineRule="exact"/>
        <w:rPr>
          <w:sz w:val="20"/>
          <w:szCs w:val="20"/>
          <w:color w:val="auto"/>
        </w:rPr>
      </w:pPr>
    </w:p>
    <w:p>
      <w:pPr>
        <w:ind w:left="8"/>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6.2(a) shall be paid no more than once, irrespective of how many Licensed Products achieve each milestone or how many times a Licensed Product achieves such milestone. Accordingly, in no event shall Tarsus pay Elanco more than ten million dollars ($10,000,000) in the aggregate pursuant to this Section 6.2(a). Each milestone payment due pursuant to this Section 6.2(a) shall be paid within [***] days after the achievement of the applicable milestone.</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For all purposes of Section 6.2, all indications for the treatment of any type of Blepharitis shall be deemed the same indication. For example, [***].</w:t>
      </w:r>
    </w:p>
    <w:p>
      <w:pPr>
        <w:spacing w:after="0" w:line="139"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08"/>
          </w:cols>
          <w:pgMar w:left="312" w:top="252" w:right="379" w:bottom="1440" w:gutter="0" w:footer="0" w:header="0"/>
        </w:sectPr>
      </w:pPr>
    </w:p>
    <w:bookmarkStart w:id="478" w:name="page479"/>
    <w:bookmarkEnd w:id="478"/>
    <w:p>
      <w:pPr>
        <w:ind w:firstLine="1006"/>
        <w:spacing w:after="0" w:line="293" w:lineRule="auto"/>
        <w:tabs>
          <w:tab w:leader="none" w:pos="1240" w:val="left"/>
        </w:tabs>
        <w:numPr>
          <w:ilvl w:val="0"/>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Development Milestones for Other Indications</w:t>
      </w:r>
      <w:r>
        <w:rPr>
          <w:rFonts w:ascii="Times New Roman" w:cs="Times New Roman" w:eastAsia="Times New Roman" w:hAnsi="Times New Roman"/>
          <w:sz w:val="15"/>
          <w:szCs w:val="15"/>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51"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of a Licensed Product for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of a Licensed Product for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 and</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a Licensed Product in [***].</w:t>
      </w:r>
    </w:p>
    <w:p>
      <w:pPr>
        <w:spacing w:after="0" w:line="19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6.2(b) shall be paid no more than once, irrespective of how many Licensed Products achieve each milestone or how many times a Licensed Product achieves such milestone. Accordingly, in no event shall Tarsus pay Elanco more than ten million dollars ($10,000,000) in the aggregate pursuant to this Section 6.2(b). Each milestone payment due pursuant to this Section 6.2(b) shall be paid within [***] days after the achievement of the applicable milestone.</w:t>
      </w:r>
    </w:p>
    <w:p>
      <w:pPr>
        <w:spacing w:after="0" w:line="145" w:lineRule="exact"/>
        <w:rPr>
          <w:sz w:val="20"/>
          <w:szCs w:val="20"/>
          <w:color w:val="auto"/>
        </w:rPr>
      </w:pPr>
    </w:p>
    <w:p>
      <w:pPr>
        <w:ind w:left="1220" w:hanging="214"/>
        <w:spacing w:after="0"/>
        <w:tabs>
          <w:tab w:leader="none" w:pos="1220" w:val="left"/>
        </w:tabs>
        <w:numPr>
          <w:ilvl w:val="0"/>
          <w:numId w:val="37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Sales Milestones. Tarsus shall pay to Elanco the following one-time milestone payments upon the first achievement of the applicable milestone event set forth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below:</w:t>
      </w:r>
    </w:p>
    <w:p>
      <w:pPr>
        <w:spacing w:after="0" w:line="90" w:lineRule="exact"/>
        <w:rPr>
          <w:sz w:val="20"/>
          <w:szCs w:val="20"/>
          <w:color w:val="auto"/>
        </w:rPr>
      </w:pPr>
    </w:p>
    <w:p>
      <w:pPr>
        <w:ind w:left="1640" w:hanging="184"/>
        <w:spacing w:after="0"/>
        <w:tabs>
          <w:tab w:leader="none" w:pos="1640" w:val="left"/>
        </w:tabs>
        <w:numPr>
          <w:ilvl w:val="0"/>
          <w:numId w:val="3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after the first calendar year in which Net Sales for such calendar year exceed [***] dollars;</w:t>
      </w:r>
    </w:p>
    <w:p>
      <w:pPr>
        <w:spacing w:after="0" w:line="196" w:lineRule="exact"/>
        <w:rPr>
          <w:rFonts w:ascii="Times New Roman" w:cs="Times New Roman" w:eastAsia="Times New Roman" w:hAnsi="Times New Roman"/>
          <w:sz w:val="15"/>
          <w:szCs w:val="15"/>
          <w:b w:val="1"/>
          <w:bCs w:val="1"/>
          <w:color w:val="auto"/>
        </w:rPr>
      </w:pPr>
    </w:p>
    <w:p>
      <w:pPr>
        <w:ind w:left="1680" w:hanging="224"/>
        <w:spacing w:after="0"/>
        <w:tabs>
          <w:tab w:leader="none" w:pos="1680" w:val="left"/>
        </w:tabs>
        <w:numPr>
          <w:ilvl w:val="0"/>
          <w:numId w:val="3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after the first calendar year in which Net Sales for such calendar year exceed [***] dollars; and</w:t>
      </w:r>
    </w:p>
    <w:p>
      <w:pPr>
        <w:spacing w:after="0" w:line="196" w:lineRule="exact"/>
        <w:rPr>
          <w:rFonts w:ascii="Times New Roman" w:cs="Times New Roman" w:eastAsia="Times New Roman" w:hAnsi="Times New Roman"/>
          <w:sz w:val="15"/>
          <w:szCs w:val="15"/>
          <w:b w:val="1"/>
          <w:bCs w:val="1"/>
          <w:color w:val="auto"/>
        </w:rPr>
      </w:pPr>
    </w:p>
    <w:p>
      <w:pPr>
        <w:ind w:left="1720" w:hanging="264"/>
        <w:spacing w:after="0"/>
        <w:tabs>
          <w:tab w:leader="none" w:pos="1720" w:val="left"/>
        </w:tabs>
        <w:numPr>
          <w:ilvl w:val="0"/>
          <w:numId w:val="37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 after the first calendar year in which Net Sales for such calendar year exceed [***] dollars.</w:t>
      </w:r>
    </w:p>
    <w:p>
      <w:pPr>
        <w:spacing w:after="0" w:line="19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6.2(c) shall be paid no more than once, irrespective of how many times each milestone is achieved. Accordingly, in no event shall Tarsus pay Elanco more than sixty five million dollars ($65,000,000) in the aggregate pursuant to this Section 6.2(c). Each milestone payments due pursuant to this Section 6.2(c) shall be paid within [***] days after the close of the calendar quarter in which such milestone is achieved.</w:t>
      </w:r>
    </w:p>
    <w:p>
      <w:pPr>
        <w:spacing w:after="0" w:line="141" w:lineRule="exact"/>
        <w:rPr>
          <w:sz w:val="20"/>
          <w:szCs w:val="20"/>
          <w:color w:val="auto"/>
        </w:rPr>
      </w:pPr>
    </w:p>
    <w:p>
      <w:pPr>
        <w:ind w:right="2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6.3 Sublicense Income</w:t>
      </w:r>
      <w:r>
        <w:rPr>
          <w:rFonts w:ascii="Times New Roman" w:cs="Times New Roman" w:eastAsia="Times New Roman" w:hAnsi="Times New Roman"/>
          <w:sz w:val="15"/>
          <w:szCs w:val="15"/>
          <w:color w:val="auto"/>
        </w:rPr>
        <w:t>. Tarsus shall pay Elanco a percentage of all Sublicense Revenue. The percentage of such Sublicense Revenue that shall be paid to Elanco shall be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follows:</w:t>
      </w:r>
    </w:p>
    <w:p>
      <w:pPr>
        <w:spacing w:after="0" w:line="129" w:lineRule="exact"/>
        <w:rPr>
          <w:sz w:val="20"/>
          <w:szCs w:val="20"/>
          <w:color w:val="auto"/>
        </w:rPr>
      </w:pPr>
    </w:p>
    <w:p>
      <w:pPr>
        <w:ind w:left="1220" w:hanging="214"/>
        <w:spacing w:after="0"/>
        <w:tabs>
          <w:tab w:leader="none" w:pos="1220"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Until first dosing of a Licensed Product in a [***]: [***]%;</w:t>
      </w:r>
    </w:p>
    <w:p>
      <w:pPr>
        <w:spacing w:after="0" w:line="196" w:lineRule="exact"/>
        <w:rPr>
          <w:rFonts w:ascii="Times New Roman" w:cs="Times New Roman" w:eastAsia="Times New Roman" w:hAnsi="Times New Roman"/>
          <w:sz w:val="15"/>
          <w:szCs w:val="15"/>
          <w:b w:val="1"/>
          <w:bCs w:val="1"/>
          <w:color w:val="auto"/>
        </w:rPr>
      </w:pPr>
    </w:p>
    <w:p>
      <w:pPr>
        <w:ind w:left="1240" w:hanging="234"/>
        <w:spacing w:after="0"/>
        <w:tabs>
          <w:tab w:leader="none" w:pos="1240"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After first dosing of a Licensed Product in a [***] until first dosing of a [***]: [***]%;</w:t>
      </w:r>
    </w:p>
    <w:p>
      <w:pPr>
        <w:spacing w:after="0" w:line="196" w:lineRule="exact"/>
        <w:rPr>
          <w:rFonts w:ascii="Times New Roman" w:cs="Times New Roman" w:eastAsia="Times New Roman" w:hAnsi="Times New Roman"/>
          <w:sz w:val="15"/>
          <w:szCs w:val="15"/>
          <w:b w:val="1"/>
          <w:bCs w:val="1"/>
          <w:color w:val="auto"/>
        </w:rPr>
      </w:pPr>
    </w:p>
    <w:p>
      <w:pPr>
        <w:ind w:left="1220" w:hanging="214"/>
        <w:spacing w:after="0"/>
        <w:tabs>
          <w:tab w:leader="none" w:pos="1220"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After first dosing of a Licensed Product in a [***] until first [***] of a Licensed Product: [***]%; or</w:t>
      </w:r>
    </w:p>
    <w:p>
      <w:pPr>
        <w:spacing w:after="0" w:line="196" w:lineRule="exact"/>
        <w:rPr>
          <w:rFonts w:ascii="Times New Roman" w:cs="Times New Roman" w:eastAsia="Times New Roman" w:hAnsi="Times New Roman"/>
          <w:sz w:val="15"/>
          <w:szCs w:val="15"/>
          <w:b w:val="1"/>
          <w:bCs w:val="1"/>
          <w:color w:val="auto"/>
        </w:rPr>
      </w:pPr>
    </w:p>
    <w:p>
      <w:pPr>
        <w:ind w:left="1240" w:hanging="234"/>
        <w:spacing w:after="0"/>
        <w:tabs>
          <w:tab w:leader="none" w:pos="1240"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After first [***] of a Licensed Product and thereafter: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0"/>
          </w:cols>
          <w:pgMar w:left="320" w:top="252" w:right="339" w:bottom="1440" w:gutter="0" w:footer="0" w:header="0"/>
        </w:sectPr>
      </w:pPr>
    </w:p>
    <w:bookmarkStart w:id="479" w:name="page480"/>
    <w:bookmarkEnd w:id="479"/>
    <w:p>
      <w:pPr>
        <w:ind w:left="8"/>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For clarity, and without limitation, none of the following shall be deemed Sublicense Revenue: [***]</w:t>
      </w:r>
    </w:p>
    <w:p>
      <w:pPr>
        <w:spacing w:after="0" w:line="19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6.4 Royalties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228" w:hanging="214"/>
        <w:spacing w:after="0"/>
        <w:tabs>
          <w:tab w:leader="none" w:pos="1228" w:val="left"/>
        </w:tabs>
        <w:numPr>
          <w:ilvl w:val="1"/>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Royalty Rate</w:t>
      </w:r>
      <w:r>
        <w:rPr>
          <w:rFonts w:ascii="Times New Roman" w:cs="Times New Roman" w:eastAsia="Times New Roman" w:hAnsi="Times New Roman"/>
          <w:sz w:val="15"/>
          <w:szCs w:val="15"/>
          <w:color w:val="auto"/>
        </w:rPr>
        <w:t>. Subject to the other terms of this Section 6.4, for each calendar year during the Royalty Term Tarsus shall pay:</w:t>
      </w:r>
    </w:p>
    <w:p>
      <w:pPr>
        <w:spacing w:after="0" w:line="104" w:lineRule="exact"/>
        <w:rPr>
          <w:rFonts w:ascii="Times New Roman" w:cs="Times New Roman" w:eastAsia="Times New Roman" w:hAnsi="Times New Roman"/>
          <w:sz w:val="15"/>
          <w:szCs w:val="15"/>
          <w:b w:val="1"/>
          <w:bCs w:val="1"/>
          <w:color w:val="auto"/>
        </w:rPr>
      </w:pPr>
    </w:p>
    <w:p>
      <w:pPr>
        <w:ind w:left="1648" w:hanging="184"/>
        <w:spacing w:after="0"/>
        <w:tabs>
          <w:tab w:leader="none" w:pos="1648" w:val="left"/>
        </w:tabs>
        <w:numPr>
          <w:ilvl w:val="2"/>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first [***] dollars of Net Sales of a Licensed Product in such calendar year;</w:t>
      </w:r>
    </w:p>
    <w:p>
      <w:pPr>
        <w:spacing w:after="0" w:line="196" w:lineRule="exact"/>
        <w:rPr>
          <w:rFonts w:ascii="Times New Roman" w:cs="Times New Roman" w:eastAsia="Times New Roman" w:hAnsi="Times New Roman"/>
          <w:sz w:val="15"/>
          <w:szCs w:val="15"/>
          <w:b w:val="1"/>
          <w:bCs w:val="1"/>
          <w:color w:val="auto"/>
        </w:rPr>
      </w:pPr>
    </w:p>
    <w:p>
      <w:pPr>
        <w:ind w:left="8" w:right="360" w:firstLine="1456"/>
        <w:spacing w:after="0" w:line="293" w:lineRule="auto"/>
        <w:tabs>
          <w:tab w:leader="none" w:pos="1698" w:val="left"/>
        </w:tabs>
        <w:numPr>
          <w:ilvl w:val="2"/>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next [***] dollars of Net Sales of a Licensed Product in such calendar year (i.e. the portion of such Net Sales between US$[***] and $US[***] in such calendar year);</w:t>
      </w:r>
    </w:p>
    <w:p>
      <w:pPr>
        <w:spacing w:after="0" w:line="132" w:lineRule="exact"/>
        <w:rPr>
          <w:rFonts w:ascii="Times New Roman" w:cs="Times New Roman" w:eastAsia="Times New Roman" w:hAnsi="Times New Roman"/>
          <w:sz w:val="15"/>
          <w:szCs w:val="15"/>
          <w:b w:val="1"/>
          <w:bCs w:val="1"/>
          <w:color w:val="auto"/>
        </w:rPr>
      </w:pPr>
    </w:p>
    <w:p>
      <w:pPr>
        <w:ind w:left="8" w:right="320" w:firstLine="1456"/>
        <w:spacing w:after="0" w:line="293" w:lineRule="auto"/>
        <w:tabs>
          <w:tab w:leader="none" w:pos="1741" w:val="left"/>
        </w:tabs>
        <w:numPr>
          <w:ilvl w:val="2"/>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next [***] dollars of Net Sales of a Licensed Product in such calendar year (i.e. the portion of such Net Sales between US$[***] and $[***] in such calendar year); and</w:t>
      </w:r>
    </w:p>
    <w:p>
      <w:pPr>
        <w:spacing w:after="0" w:line="132" w:lineRule="exact"/>
        <w:rPr>
          <w:rFonts w:ascii="Times New Roman" w:cs="Times New Roman" w:eastAsia="Times New Roman" w:hAnsi="Times New Roman"/>
          <w:sz w:val="15"/>
          <w:szCs w:val="15"/>
          <w:b w:val="1"/>
          <w:bCs w:val="1"/>
          <w:color w:val="auto"/>
        </w:rPr>
      </w:pPr>
    </w:p>
    <w:p>
      <w:pPr>
        <w:ind w:left="8" w:right="320" w:firstLine="1456"/>
        <w:spacing w:after="0" w:line="293" w:lineRule="auto"/>
        <w:tabs>
          <w:tab w:leader="none" w:pos="1732" w:val="left"/>
        </w:tabs>
        <w:numPr>
          <w:ilvl w:val="2"/>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all Net Sales of a Licensed Product in such calendar year in excess of [***] dollars (i.e. the portion of such Net Sales over $[***] in such calendar year).</w:t>
      </w:r>
    </w:p>
    <w:p>
      <w:pPr>
        <w:spacing w:after="0" w:line="132"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1"/>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Multiple Royalties</w:t>
      </w:r>
      <w:r>
        <w:rPr>
          <w:rFonts w:ascii="Times New Roman" w:cs="Times New Roman" w:eastAsia="Times New Roman" w:hAnsi="Times New Roman"/>
          <w:sz w:val="15"/>
          <w:szCs w:val="15"/>
          <w:color w:val="auto"/>
        </w:rPr>
        <w:t>. No multiple royalties shall be payable hereunder because the use, manufacture or sale of any Licensed Product is Covered by more than</w:t>
      </w:r>
    </w:p>
    <w:p>
      <w:pPr>
        <w:spacing w:after="0" w:line="26" w:lineRule="exact"/>
        <w:rPr>
          <w:rFonts w:ascii="Times New Roman" w:cs="Times New Roman" w:eastAsia="Times New Roman" w:hAnsi="Times New Roman"/>
          <w:sz w:val="15"/>
          <w:szCs w:val="15"/>
          <w:b w:val="1"/>
          <w:bCs w:val="1"/>
          <w:color w:val="auto"/>
        </w:rPr>
      </w:pPr>
    </w:p>
    <w:p>
      <w:pPr>
        <w:ind w:left="8"/>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one Valid Claim.</w:t>
      </w:r>
    </w:p>
    <w:p>
      <w:pPr>
        <w:spacing w:after="0" w:line="181" w:lineRule="exact"/>
        <w:rPr>
          <w:rFonts w:ascii="Times New Roman" w:cs="Times New Roman" w:eastAsia="Times New Roman" w:hAnsi="Times New Roman"/>
          <w:sz w:val="15"/>
          <w:szCs w:val="15"/>
          <w:b w:val="1"/>
          <w:bCs w:val="1"/>
          <w:color w:val="auto"/>
        </w:rPr>
      </w:pPr>
    </w:p>
    <w:p>
      <w:pPr>
        <w:ind w:left="8" w:right="60" w:firstLine="1006"/>
        <w:spacing w:after="0" w:line="261" w:lineRule="auto"/>
        <w:tabs>
          <w:tab w:leader="none" w:pos="1230" w:val="left"/>
        </w:tabs>
        <w:numPr>
          <w:ilvl w:val="1"/>
          <w:numId w:val="3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Timing of Payments; Reports</w:t>
      </w:r>
      <w:r>
        <w:rPr>
          <w:rFonts w:ascii="Times New Roman" w:cs="Times New Roman" w:eastAsia="Times New Roman" w:hAnsi="Times New Roman"/>
          <w:sz w:val="15"/>
          <w:szCs w:val="15"/>
          <w:color w:val="auto"/>
        </w:rPr>
        <w:t>. Commencing with the calendar quarter during which the First Commercial Sale of the first Licensed Product is made anywhere in the Territory, and for each calendar quarter thereafter during the Royalty Term during which royalties are due hereunder, Tarsus shall provide Elanco with a report that contains the following information for the applicable calendar quarter, on a Licensed Product-by-Licensed Product and country-by-country basis: (i) the amount of gross sales of the Licensed Products, (ii) an itemized calculation of Net Sales showing deductions provided for in the definition of “Net Sales”, (iii) a calculation of the royalty payment due on such sales, and</w:t>
      </w:r>
    </w:p>
    <w:p>
      <w:pPr>
        <w:spacing w:after="0" w:line="1" w:lineRule="exact"/>
        <w:rPr>
          <w:rFonts w:ascii="Times New Roman" w:cs="Times New Roman" w:eastAsia="Times New Roman" w:hAnsi="Times New Roman"/>
          <w:sz w:val="15"/>
          <w:szCs w:val="15"/>
          <w:b w:val="1"/>
          <w:bCs w:val="1"/>
          <w:color w:val="auto"/>
        </w:rPr>
      </w:pPr>
    </w:p>
    <w:p>
      <w:pPr>
        <w:ind w:left="268" w:hanging="268"/>
        <w:spacing w:after="0"/>
        <w:tabs>
          <w:tab w:leader="none" w:pos="268" w:val="left"/>
        </w:tabs>
        <w:numPr>
          <w:ilvl w:val="0"/>
          <w:numId w:val="3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rate for such country. Tarsus shall provide such report and make corresponding payment to Elanco within forty five (45) days after the end of each calendar quarter.</w:t>
      </w:r>
    </w:p>
    <w:p>
      <w:pPr>
        <w:spacing w:after="0" w:line="181" w:lineRule="exact"/>
        <w:rPr>
          <w:rFonts w:ascii="Times New Roman" w:cs="Times New Roman" w:eastAsia="Times New Roman" w:hAnsi="Times New Roman"/>
          <w:sz w:val="15"/>
          <w:szCs w:val="15"/>
          <w:color w:val="auto"/>
        </w:rPr>
      </w:pPr>
    </w:p>
    <w:p>
      <w:pPr>
        <w:ind w:left="8" w:firstLine="1006"/>
        <w:spacing w:after="0" w:line="293" w:lineRule="auto"/>
        <w:tabs>
          <w:tab w:leader="none" w:pos="1248" w:val="left"/>
        </w:tabs>
        <w:numPr>
          <w:ilvl w:val="1"/>
          <w:numId w:val="3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Exchange Rate</w:t>
      </w:r>
      <w:r>
        <w:rPr>
          <w:rFonts w:ascii="Times New Roman" w:cs="Times New Roman" w:eastAsia="Times New Roman" w:hAnsi="Times New Roman"/>
          <w:sz w:val="15"/>
          <w:szCs w:val="15"/>
          <w:color w:val="auto"/>
        </w:rPr>
        <w:t>. When conversion of payments from any foreign currency is required, such conversion shall be calculated using an exchange rate equal to the rate of exchange published in the Wall Street Journal on the last business day of the applicable calendar quarter for which payment is due.</w:t>
      </w:r>
    </w:p>
    <w:p>
      <w:pPr>
        <w:spacing w:after="0" w:line="132" w:lineRule="exact"/>
        <w:rPr>
          <w:rFonts w:ascii="Times New Roman" w:cs="Times New Roman" w:eastAsia="Times New Roman" w:hAnsi="Times New Roman"/>
          <w:sz w:val="15"/>
          <w:szCs w:val="15"/>
          <w:b w:val="1"/>
          <w:bCs w:val="1"/>
          <w:color w:val="auto"/>
        </w:rPr>
      </w:pPr>
    </w:p>
    <w:p>
      <w:pPr>
        <w:ind w:left="8" w:right="380" w:firstLine="1006"/>
        <w:spacing w:after="0" w:line="293" w:lineRule="auto"/>
        <w:tabs>
          <w:tab w:leader="none" w:pos="1230" w:val="left"/>
        </w:tabs>
        <w:numPr>
          <w:ilvl w:val="1"/>
          <w:numId w:val="3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deductions for third party licenses</w:t>
      </w:r>
      <w:r>
        <w:rPr>
          <w:rFonts w:ascii="Times New Roman" w:cs="Times New Roman" w:eastAsia="Times New Roman" w:hAnsi="Times New Roman"/>
          <w:sz w:val="15"/>
          <w:szCs w:val="15"/>
          <w:color w:val="auto"/>
        </w:rPr>
        <w:t>. No deductions from any payments under this agreement shall be made because Tarsus is required to make payments, royalty payments or otherwise, to third parties to obtain rights or licenses to intellectual property rights in respect of a Licensed Product.</w:t>
      </w:r>
    </w:p>
    <w:p>
      <w:pPr>
        <w:spacing w:after="0" w:line="132" w:lineRule="exact"/>
        <w:rPr>
          <w:rFonts w:ascii="Times New Roman" w:cs="Times New Roman" w:eastAsia="Times New Roman" w:hAnsi="Times New Roman"/>
          <w:sz w:val="15"/>
          <w:szCs w:val="15"/>
          <w:b w:val="1"/>
          <w:bCs w:val="1"/>
          <w:color w:val="auto"/>
        </w:rPr>
      </w:pPr>
    </w:p>
    <w:p>
      <w:pPr>
        <w:ind w:left="8" w:right="380" w:firstLine="1006"/>
        <w:spacing w:after="0" w:line="293" w:lineRule="auto"/>
        <w:tabs>
          <w:tab w:leader="none" w:pos="1213" w:val="left"/>
        </w:tabs>
        <w:numPr>
          <w:ilvl w:val="1"/>
          <w:numId w:val="3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Royalty Reduction</w:t>
      </w:r>
      <w:r>
        <w:rPr>
          <w:rFonts w:ascii="Times New Roman" w:cs="Times New Roman" w:eastAsia="Times New Roman" w:hAnsi="Times New Roman"/>
          <w:sz w:val="15"/>
          <w:szCs w:val="15"/>
          <w:color w:val="auto"/>
        </w:rPr>
        <w:t>. If at any time during the Royalty Term for a given Licensed Product in a given country, there is no Valid Claim Covering such Licensed Product in such country, then the royalty rate payable by Tarsus pursuant to Section 6.4(a) shall be reduced to [***] percent of the rates set forth in Section 6.4(a).</w:t>
      </w:r>
    </w:p>
    <w:p>
      <w:pPr>
        <w:spacing w:after="0" w:line="75"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168"/>
          </w:cols>
          <w:pgMar w:left="312" w:top="252" w:right="419" w:bottom="1440" w:gutter="0" w:footer="0" w:header="0"/>
        </w:sectPr>
      </w:pPr>
    </w:p>
    <w:bookmarkStart w:id="480" w:name="page481"/>
    <w:bookmarkEnd w:id="480"/>
    <w:p>
      <w:pPr>
        <w:ind w:left="8" w:right="4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6.5 Mode of Payment</w:t>
      </w:r>
      <w:r>
        <w:rPr>
          <w:rFonts w:ascii="Times New Roman" w:cs="Times New Roman" w:eastAsia="Times New Roman" w:hAnsi="Times New Roman"/>
          <w:sz w:val="15"/>
          <w:szCs w:val="15"/>
          <w:color w:val="auto"/>
        </w:rPr>
        <w:t>. Tarsus shall pay all payments to Elanco under this Agreement by wire transfer of immediately available funds to a USD functional bank account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designated in writing by Elanco, in U.S. Dollars or such other currency as the Parties may mutually agree in writing.</w:t>
      </w:r>
    </w:p>
    <w:p>
      <w:pPr>
        <w:spacing w:after="0" w:line="125" w:lineRule="exact"/>
        <w:rPr>
          <w:sz w:val="20"/>
          <w:szCs w:val="20"/>
          <w:color w:val="auto"/>
        </w:rPr>
      </w:pPr>
    </w:p>
    <w:p>
      <w:pPr>
        <w:ind w:left="8" w:right="20"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6.6 Audit</w:t>
      </w:r>
      <w:r>
        <w:rPr>
          <w:rFonts w:ascii="Times New Roman" w:cs="Times New Roman" w:eastAsia="Times New Roman" w:hAnsi="Times New Roman"/>
          <w:sz w:val="15"/>
          <w:szCs w:val="15"/>
          <w:color w:val="auto"/>
        </w:rPr>
        <w:t>. Tarsus shall keep or cause to be kept books of account containing all information that may be necessary for the purpose of calculating amounts payable by Tarsus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connection with this Agreement for a period of three (3) calendar years following the end of the calendar year during which such amounts were payable. Elanco may appoint an independent public accountant (on a non-contingency basis and reasonably acceptable to Tarsus; any “Big 4” accountant shall be deemed acceptable to Tarsus), at Elanco’s expense and subject to such accountant entering into a confidentiality agreement with Tarsus, to inspect such books of account in order to verify the calculation of any amounts payable to Elanco hereunder. Such inspections shall be performed not more frequently than once in any twelve (12) month period and upon reasonable prior written notice, and shall be conducted during regular business hours in such a manner as to not unreasonably interfere with Tarsus’s normal business activities. Elanco’s accountant may only share with Elanco the report containing the summary results of its inspection, but not the books of account reviewed by the accountant during the audit, and such report shall constitute Tarsus’s Confidential Information. If any such inspection reveals that any payment which should have been paid by Tarsus is greater than those which were actually paid by it and such underpayment is not disputed by Tarsus, then Tarsus shall promptly pay the underpaid amount to Elanco. If the undisputed payments which should have been paid by Tarsus are at least [***] percent greater than those which were actually paid by Tarsus, then Tarsus shall also reimburse Elanco for the reasonable out-of-pocket costs of such inspection.</w:t>
      </w:r>
    </w:p>
    <w:p>
      <w:pPr>
        <w:spacing w:after="0" w:line="153" w:lineRule="exact"/>
        <w:rPr>
          <w:sz w:val="20"/>
          <w:szCs w:val="20"/>
          <w:color w:val="auto"/>
        </w:rPr>
      </w:pPr>
    </w:p>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6.7 Taxes</w:t>
      </w:r>
      <w:r>
        <w:rPr>
          <w:rFonts w:ascii="Times New Roman" w:cs="Times New Roman" w:eastAsia="Times New Roman" w:hAnsi="Times New Roman"/>
          <w:sz w:val="15"/>
          <w:szCs w:val="15"/>
          <w:color w:val="auto"/>
        </w:rPr>
        <w:t>. Each Party shall be solely responsible for the payment of all taxes imposed on its share of income arising directly or indirectly from its activities or receipt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payments under this Agreement. To the extent Tarsus is required to deduct and withhold taxes on any payment to Elanco hereunder, it shall deduct such amounts from payments to Elanco and pay the amounts of such taxes to the proper governmental authority in a timely manner and promptly transmit to Elanco an official tax certificate or other evidence of such withholding sufficient to enable Elanco to claim such payment of taxes. Elanco shall provide Tarsus any tax forms that may be reasonably necessary in order for Tarsus not to withhold tax or to withhold tax at a reduced rate under an Applicable Law or bilateral income tax treaty.</w:t>
      </w:r>
    </w:p>
    <w:p>
      <w:pPr>
        <w:spacing w:after="0" w:line="147"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6.8 Sales Forecast</w:t>
      </w:r>
      <w:r>
        <w:rPr>
          <w:rFonts w:ascii="Times New Roman" w:cs="Times New Roman" w:eastAsia="Times New Roman" w:hAnsi="Times New Roman"/>
          <w:sz w:val="15"/>
          <w:szCs w:val="15"/>
          <w:color w:val="auto"/>
        </w:rPr>
        <w:t>. Within [***] days after January 1 of each calendar year, Tarsus shall provide Elanco with Tarsus’s projected Net Sales over the next [***] calendar years.</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For clarity, such projections would be for informational purposes only and the foregoing is not binding on Tarsus in any way.</w:t>
      </w:r>
    </w:p>
    <w:p>
      <w:pPr>
        <w:spacing w:after="0" w:line="178" w:lineRule="exact"/>
        <w:rPr>
          <w:sz w:val="20"/>
          <w:szCs w:val="20"/>
          <w:color w:val="auto"/>
        </w:rPr>
      </w:pPr>
    </w:p>
    <w:p>
      <w:pPr>
        <w:ind w:left="148" w:hanging="148"/>
        <w:spacing w:after="0"/>
        <w:tabs>
          <w:tab w:leader="none" w:pos="148" w:val="left"/>
        </w:tabs>
        <w:numPr>
          <w:ilvl w:val="0"/>
          <w:numId w:val="3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NTELLECTUAL</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ROPERTY</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7.1 Prosecution and Maintenance of Licensed Patents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left="8" w:right="80" w:firstLine="1006"/>
        <w:spacing w:after="0" w:line="275" w:lineRule="auto"/>
        <w:tabs>
          <w:tab w:leader="none" w:pos="1239" w:val="left"/>
        </w:tabs>
        <w:numPr>
          <w:ilvl w:val="0"/>
          <w:numId w:val="3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shall be solely responsible for prosecution and maintenance of the Licensed Patents including, but not limited to, the filing of patent applications included therein. Elanco shall keep Tarsus reasonably informed with respect to the status and progress of any such applications, prosecutions and maintenance activities. Elanco shall consider in good faith the comments of Tarsus with respect to any such applications and prosecutions and maintenance activities.</w:t>
      </w:r>
    </w:p>
    <w:p>
      <w:pPr>
        <w:spacing w:after="0" w:line="144" w:lineRule="exact"/>
        <w:rPr>
          <w:rFonts w:ascii="Times New Roman" w:cs="Times New Roman" w:eastAsia="Times New Roman" w:hAnsi="Times New Roman"/>
          <w:sz w:val="15"/>
          <w:szCs w:val="15"/>
          <w:b w:val="1"/>
          <w:bCs w:val="1"/>
          <w:color w:val="auto"/>
        </w:rPr>
      </w:pPr>
    </w:p>
    <w:p>
      <w:pPr>
        <w:jc w:val="both"/>
        <w:ind w:left="8" w:right="560" w:firstLine="1006"/>
        <w:spacing w:after="0" w:line="268" w:lineRule="auto"/>
        <w:tabs>
          <w:tab w:leader="none" w:pos="1248" w:val="left"/>
        </w:tabs>
        <w:numPr>
          <w:ilvl w:val="0"/>
          <w:numId w:val="38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may, in its sole discretion, elect to abandon any issued patent or pending patent application included in the Licensed Patents, or not file any patent application with respect thereto in any country. Prior to any such abandonment or decision not to file in any country, Elanco shall give Tarsus at least [***] days’ notice and a reasonable opportunity to take over such maintenance, prosecution or filing. In such event, Tarsus shall have the right, but not the obligation, to commence or continue such maintenance, prosecution or filing under its own control and at its sole</w:t>
      </w:r>
    </w:p>
    <w:p>
      <w:pPr>
        <w:spacing w:after="0" w:line="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28"/>
          </w:cols>
          <w:pgMar w:left="312" w:top="248" w:right="359" w:bottom="1440" w:gutter="0" w:footer="0" w:header="0"/>
        </w:sectPr>
      </w:pPr>
    </w:p>
    <w:bookmarkStart w:id="481" w:name="page482"/>
    <w:bookmarkEnd w:id="481"/>
    <w:p>
      <w:pPr>
        <w:ind w:left="8" w:right="6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expense. Tarsus shall have no further payment obligations (including with respect to royalties and milestone payments) or other obligations to Elanco with respect to any such patents or patent applications or patents issuing from such applications.</w:t>
      </w:r>
    </w:p>
    <w:p>
      <w:pPr>
        <w:spacing w:after="0" w:line="12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7.2 Enforcement of Licensed IP</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8" w:right="20" w:firstLine="1006"/>
        <w:spacing w:after="0" w:line="259" w:lineRule="auto"/>
        <w:tabs>
          <w:tab w:leader="none" w:pos="1239" w:val="left"/>
        </w:tabs>
        <w:numPr>
          <w:ilvl w:val="1"/>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Royalty Term, each Party shall promptly provide written notice to the other Party of any actual or alleged infringement or misappropriation in the Field by any Third Party of any intellectual property rights included in the Licensed IP of which it becomes aware. Elanco shall have the first right, but not the obligation, to enforce the Licensed IP against any such infringement or misappropriation claim in the Field at its own expense and utilizing counsel of its choice. Elanco shall neither settle nor voluntarily dispose of any action to enforce the Licensed IP in the Field without Tarsus’s written consent. If Elanco desires to voluntarily dispose of any action to enforce the Licensed IP in the Field then Elanco shall notify Tarsus and offer Tarsus the opportunity to assume control of such enforcement action (“</w:t>
      </w:r>
      <w:r>
        <w:rPr>
          <w:rFonts w:ascii="Times New Roman" w:cs="Times New Roman" w:eastAsia="Times New Roman" w:hAnsi="Times New Roman"/>
          <w:sz w:val="15"/>
          <w:szCs w:val="15"/>
          <w:b w:val="1"/>
          <w:bCs w:val="1"/>
          <w:i w:val="1"/>
          <w:iCs w:val="1"/>
          <w:color w:val="auto"/>
        </w:rPr>
        <w:t>Voluntary Disposal Notice</w:t>
      </w:r>
      <w:r>
        <w:rPr>
          <w:rFonts w:ascii="Times New Roman" w:cs="Times New Roman" w:eastAsia="Times New Roman" w:hAnsi="Times New Roman"/>
          <w:sz w:val="15"/>
          <w:szCs w:val="15"/>
          <w:color w:val="auto"/>
        </w:rPr>
        <w:t>”). If Tarsus notifies Elanco of its election to assume control of such enforcement action then Elanco shall take all reasonable actions necessary to allow Tarsus to properly do so. Elanco may voluntarily dispose of such enforcement action if: (i) Tarsus notifies Elanco that it does not desire to assume control of such enforcement action; or (ii) Tarsus does not notify Elanco of any election within</w:t>
      </w:r>
    </w:p>
    <w:p>
      <w:pPr>
        <w:spacing w:after="0" w:line="2" w:lineRule="exact"/>
        <w:rPr>
          <w:rFonts w:ascii="Times New Roman" w:cs="Times New Roman" w:eastAsia="Times New Roman" w:hAnsi="Times New Roman"/>
          <w:sz w:val="15"/>
          <w:szCs w:val="15"/>
          <w:b w:val="1"/>
          <w:bCs w:val="1"/>
          <w:color w:val="auto"/>
        </w:rPr>
      </w:pPr>
    </w:p>
    <w:p>
      <w:pPr>
        <w:ind w:left="368" w:hanging="368"/>
        <w:spacing w:after="0"/>
        <w:tabs>
          <w:tab w:leader="none" w:pos="368"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Elanco provides Voluntary Disposal Notice.</w:t>
      </w:r>
    </w:p>
    <w:p>
      <w:pPr>
        <w:spacing w:after="0" w:line="181" w:lineRule="exact"/>
        <w:rPr>
          <w:rFonts w:ascii="Times New Roman" w:cs="Times New Roman" w:eastAsia="Times New Roman" w:hAnsi="Times New Roman"/>
          <w:sz w:val="15"/>
          <w:szCs w:val="15"/>
          <w:color w:val="auto"/>
        </w:rPr>
      </w:pPr>
    </w:p>
    <w:p>
      <w:pPr>
        <w:ind w:left="8" w:right="20" w:firstLine="1006"/>
        <w:spacing w:after="0" w:line="266" w:lineRule="auto"/>
        <w:tabs>
          <w:tab w:leader="none" w:pos="1248" w:val="left"/>
        </w:tabs>
        <w:numPr>
          <w:ilvl w:val="1"/>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 respect to any potential enforcement under subsection (a) above, if Elanco does not notify Tarsus of its intention to enforce against such alleged infringement or misappropriation within [***] days of the date Elanco becomes aware of such alleged infringement or misappropriation, or does not commence prosecution of such claim within</w:t>
      </w:r>
    </w:p>
    <w:p>
      <w:pPr>
        <w:spacing w:after="0" w:line="1" w:lineRule="exact"/>
        <w:rPr>
          <w:rFonts w:ascii="Times New Roman" w:cs="Times New Roman" w:eastAsia="Times New Roman" w:hAnsi="Times New Roman"/>
          <w:sz w:val="15"/>
          <w:szCs w:val="15"/>
          <w:b w:val="1"/>
          <w:bCs w:val="1"/>
          <w:color w:val="auto"/>
        </w:rPr>
      </w:pPr>
    </w:p>
    <w:p>
      <w:pPr>
        <w:ind w:left="8" w:right="160" w:hanging="8"/>
        <w:spacing w:after="0" w:line="273" w:lineRule="auto"/>
        <w:tabs>
          <w:tab w:leader="none" w:pos="379" w:val="left"/>
        </w:tabs>
        <w:numPr>
          <w:ilvl w:val="0"/>
          <w:numId w:val="3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the date Elanco becomes aware of such alleged infringement or misappropriation, then, Tarsus shall have the right, but not the obligation, to prosecute such claim at its own expense and utilizing counsel of its choice.</w:t>
      </w:r>
    </w:p>
    <w:p>
      <w:pPr>
        <w:spacing w:after="0" w:line="146" w:lineRule="exact"/>
        <w:rPr>
          <w:rFonts w:ascii="Times New Roman" w:cs="Times New Roman" w:eastAsia="Times New Roman" w:hAnsi="Times New Roman"/>
          <w:sz w:val="15"/>
          <w:szCs w:val="15"/>
          <w:color w:val="auto"/>
        </w:rPr>
      </w:pPr>
    </w:p>
    <w:p>
      <w:pPr>
        <w:ind w:left="8" w:right="80" w:firstLine="1006"/>
        <w:spacing w:after="0" w:line="265" w:lineRule="auto"/>
        <w:tabs>
          <w:tab w:leader="none" w:pos="1230" w:val="left"/>
        </w:tabs>
        <w:numPr>
          <w:ilvl w:val="1"/>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enforcing Party shall regularly update the other Party in writing with respect to the status of any such enforcement actions. Any recovery of damages by shall be applied (i) first, in satisfaction of any unreimbursed expenses and legal fees of the enforcing Party, (ii) second, in satisfaction of any unreimbursed expenses and legal fees of the other Party, and (iii) third, if additional recoveries remain after all of the unreimbursed expenses and legal fees are fully paid as set forth in (i) and (ii), the balance remaining with respect to any such recovery shall be retained by (or paid by Elanco to, as the case may be) Tarsus and such amount shall be treated as Net Sales and subject to the payment of royalties pursuant to Section 6.3.</w:t>
      </w:r>
    </w:p>
    <w:p>
      <w:pPr>
        <w:spacing w:after="0" w:line="154" w:lineRule="exact"/>
        <w:rPr>
          <w:rFonts w:ascii="Times New Roman" w:cs="Times New Roman" w:eastAsia="Times New Roman" w:hAnsi="Times New Roman"/>
          <w:sz w:val="15"/>
          <w:szCs w:val="15"/>
          <w:b w:val="1"/>
          <w:bCs w:val="1"/>
          <w:color w:val="auto"/>
        </w:rPr>
      </w:pPr>
    </w:p>
    <w:p>
      <w:pPr>
        <w:ind w:left="8" w:right="340" w:firstLine="1006"/>
        <w:spacing w:after="0" w:line="293" w:lineRule="auto"/>
        <w:tabs>
          <w:tab w:leader="none" w:pos="1248" w:val="left"/>
        </w:tabs>
        <w:numPr>
          <w:ilvl w:val="1"/>
          <w:numId w:val="38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the request of the Party bringing the action, the other Party shall provide reasonable assistance in connection therewith, including by executing reasonably appropriate documents, cooperating in discovery and joining as a party plaintiff to the action if required to obtain necessary standing.</w:t>
      </w:r>
    </w:p>
    <w:p>
      <w:pPr>
        <w:spacing w:after="0" w:line="12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7.3 Improvements. </w:t>
      </w:r>
      <w:r>
        <w:rPr>
          <w:rFonts w:ascii="Times New Roman" w:cs="Times New Roman" w:eastAsia="Times New Roman" w:hAnsi="Times New Roman"/>
          <w:sz w:val="15"/>
          <w:szCs w:val="15"/>
          <w:color w:val="auto"/>
        </w:rPr>
        <w:t>Elanco shall own any invention conceived by or for Elanco from the use of the Compound or otherwise derived by or for Elanco from the Compound</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Elanco Improvements</w:t>
      </w:r>
      <w:r>
        <w:rPr>
          <w:rFonts w:ascii="Times New Roman" w:cs="Times New Roman" w:eastAsia="Times New Roman" w:hAnsi="Times New Roman"/>
          <w:sz w:val="15"/>
          <w:szCs w:val="15"/>
          <w:color w:val="auto"/>
        </w:rPr>
        <w:t>”). Tarsus shall own any invention conceived by or for Tarsus from the use of the Compound or otherwise derived by or for Tarsus from the Compound</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Improvements</w:t>
      </w:r>
      <w:r>
        <w:rPr>
          <w:rFonts w:ascii="Times New Roman" w:cs="Times New Roman" w:eastAsia="Times New Roman" w:hAnsi="Times New Roman"/>
          <w:sz w:val="15"/>
          <w:szCs w:val="15"/>
          <w:color w:val="auto"/>
        </w:rPr>
        <w:t>”). To the extent any Research Invention (as such term is defined in the MTA) exists, Elanco hereby assigns such Research Invention to Tarsus. Tarsus hereby</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grants Elanco a royalty-free, perpetual license to the Research Inventions and Tarsus Improvements for applications outside the Field). Such license shall be exclusive in animal health</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(which, for the avoidance of doubt, excludes any applications in humans) and non-exclusive in all other applications outside the Field. This Section 7.3 amends and supersedes</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Section 7 of the MTA entirely, such that Section 7 of the MTA shall have no further force or effect.</w:t>
      </w:r>
    </w:p>
    <w:p>
      <w:pPr>
        <w:spacing w:after="0" w:line="12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48"/>
          </w:cols>
          <w:pgMar w:left="312" w:top="252" w:right="339" w:bottom="1440" w:gutter="0" w:footer="0" w:header="0"/>
        </w:sectPr>
      </w:pPr>
    </w:p>
    <w:bookmarkStart w:id="482" w:name="page483"/>
    <w:bookmarkEnd w:id="482"/>
    <w:p>
      <w:pPr>
        <w:ind w:left="148" w:hanging="148"/>
        <w:spacing w:after="0"/>
        <w:tabs>
          <w:tab w:leader="none" w:pos="148" w:val="left"/>
        </w:tabs>
        <w:numPr>
          <w:ilvl w:val="0"/>
          <w:numId w:val="38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M</w:t>
      </w:r>
      <w:r>
        <w:rPr>
          <w:rFonts w:ascii="Times New Roman" w:cs="Times New Roman" w:eastAsia="Times New Roman" w:hAnsi="Times New Roman"/>
          <w:sz w:val="12"/>
          <w:szCs w:val="12"/>
          <w:b w:val="1"/>
          <w:bCs w:val="1"/>
          <w:color w:val="auto"/>
        </w:rPr>
        <w:t>ANUFACTURE AND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5"/>
          <w:szCs w:val="15"/>
          <w:b w:val="1"/>
          <w:bCs w:val="1"/>
          <w:color w:val="auto"/>
        </w:rPr>
        <w:t>.</w:t>
      </w:r>
    </w:p>
    <w:p>
      <w:pPr>
        <w:spacing w:after="0" w:line="104" w:lineRule="exact"/>
        <w:rPr>
          <w:sz w:val="20"/>
          <w:szCs w:val="20"/>
          <w:color w:val="auto"/>
        </w:rPr>
      </w:pPr>
    </w:p>
    <w:p>
      <w:pPr>
        <w:ind w:left="8" w:right="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8.1 Initial Supply Terms</w:t>
      </w:r>
      <w:r>
        <w:rPr>
          <w:rFonts w:ascii="Times New Roman" w:cs="Times New Roman" w:eastAsia="Times New Roman" w:hAnsi="Times New Roman"/>
          <w:sz w:val="15"/>
          <w:szCs w:val="15"/>
          <w:color w:val="auto"/>
        </w:rPr>
        <w:t>. Each calendar quarter, Tarsus shall supply Elanco with a written, non-binding forecast showing good faith estimations of its (and its Affiliates’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sublicensees’) quarterly requirements for the Compound for the following four (4) calendar quarters (the “</w:t>
      </w:r>
      <w:r>
        <w:rPr>
          <w:rFonts w:ascii="Times New Roman" w:cs="Times New Roman" w:eastAsia="Times New Roman" w:hAnsi="Times New Roman"/>
          <w:sz w:val="15"/>
          <w:szCs w:val="15"/>
          <w:b w:val="1"/>
          <w:bCs w:val="1"/>
          <w:i w:val="1"/>
          <w:iCs w:val="1"/>
          <w:color w:val="auto"/>
        </w:rPr>
        <w:t>Forecast</w:t>
      </w:r>
      <w:r>
        <w:rPr>
          <w:rFonts w:ascii="Times New Roman" w:cs="Times New Roman" w:eastAsia="Times New Roman" w:hAnsi="Times New Roman"/>
          <w:sz w:val="15"/>
          <w:szCs w:val="15"/>
          <w:color w:val="auto"/>
        </w:rPr>
        <w:t>”). Elanco shall manufacture (or have manufactured) and supply to Tarsus quantities of the Compound as and when reasonably requested by Tarsus to the extent within the Forecast. Tarsus’s price for all Compounds purchased pursuant to this Section 8.1 shall be the price at which Elanco purchases such Compound plus [***] percent thereof.</w:t>
      </w:r>
    </w:p>
    <w:p>
      <w:pPr>
        <w:spacing w:after="0" w:line="14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8.2 Manufacturing and Supply Agreement</w:t>
      </w:r>
      <w:r>
        <w:rPr>
          <w:rFonts w:ascii="Times New Roman" w:cs="Times New Roman" w:eastAsia="Times New Roman" w:hAnsi="Times New Roman"/>
          <w:sz w:val="15"/>
          <w:szCs w:val="15"/>
          <w:color w:val="auto"/>
        </w:rPr>
        <w:t>. The Parties agree to enter into a good-faith more detailed manufacturing and supply agreement within a reasonable timeframe.</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supply agreement should provide for a stated supply price (which price shall represent a small markup over Elanco’s costs).</w:t>
      </w:r>
    </w:p>
    <w:p>
      <w:pPr>
        <w:spacing w:after="0" w:line="17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8.3 Change of chemistry</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228" w:hanging="214"/>
        <w:spacing w:after="0"/>
        <w:tabs>
          <w:tab w:leader="none" w:pos="1228" w:val="left"/>
        </w:tabs>
        <w:numPr>
          <w:ilvl w:val="0"/>
          <w:numId w:val="3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acknowledges and agrees that Elanco shall be free to use alternate chemistry and improve the Compound in its sole discretion without Tarsus consent.</w:t>
      </w:r>
    </w:p>
    <w:p>
      <w:pPr>
        <w:spacing w:after="0" w:line="192" w:lineRule="exact"/>
        <w:rPr>
          <w:rFonts w:ascii="Times New Roman" w:cs="Times New Roman" w:eastAsia="Times New Roman" w:hAnsi="Times New Roman"/>
          <w:sz w:val="15"/>
          <w:szCs w:val="15"/>
          <w:b w:val="1"/>
          <w:bCs w:val="1"/>
          <w:color w:val="auto"/>
        </w:rPr>
      </w:pPr>
    </w:p>
    <w:p>
      <w:pPr>
        <w:jc w:val="both"/>
        <w:ind w:left="8" w:firstLine="1006"/>
        <w:spacing w:after="0" w:line="277" w:lineRule="auto"/>
        <w:tabs>
          <w:tab w:leader="none" w:pos="1248" w:val="left"/>
        </w:tabs>
        <w:numPr>
          <w:ilvl w:val="0"/>
          <w:numId w:val="38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shall provide Tarsus with [***] days prior notice (the “</w:t>
      </w:r>
      <w:r>
        <w:rPr>
          <w:rFonts w:ascii="Times New Roman" w:cs="Times New Roman" w:eastAsia="Times New Roman" w:hAnsi="Times New Roman"/>
          <w:sz w:val="15"/>
          <w:szCs w:val="15"/>
          <w:b w:val="1"/>
          <w:bCs w:val="1"/>
          <w:i w:val="1"/>
          <w:iCs w:val="1"/>
          <w:color w:val="auto"/>
        </w:rPr>
        <w:t>Compound Change Period</w:t>
      </w:r>
      <w:r>
        <w:rPr>
          <w:rFonts w:ascii="Times New Roman" w:cs="Times New Roman" w:eastAsia="Times New Roman" w:hAnsi="Times New Roman"/>
          <w:sz w:val="15"/>
          <w:szCs w:val="15"/>
          <w:color w:val="auto"/>
        </w:rPr>
        <w:t>”) if Elanco will cease to provide any Compound previously provided to Tarsus pursuant to a chemical change and will supply Tarsus with any quantities of such Compound requested by Tarsus during the Compound Change Period (even if such quantities exceed the amount projected in the Forecast).</w:t>
      </w:r>
    </w:p>
    <w:p>
      <w:pPr>
        <w:spacing w:after="0" w:line="14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8.4 Have Made Rights</w:t>
      </w:r>
      <w:r>
        <w:rPr>
          <w:rFonts w:ascii="Times New Roman" w:cs="Times New Roman" w:eastAsia="Times New Roman" w:hAnsi="Times New Roman"/>
          <w:sz w:val="15"/>
          <w:szCs w:val="15"/>
          <w:color w:val="auto"/>
        </w:rPr>
        <w:t>. For clarity, Section 2.1 grants Tarsus the right to have a third party make the Compound for Tarsus. Elanco must approve such third party supplier</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unless: (a) the transfer to the supplier qualifies as Sensitive Transfer); or (b) such supplier is reputable and credible. Such approval shall not be unreasonably withheld, conditioned, or</w:t>
      </w:r>
    </w:p>
    <w:p>
      <w:pPr>
        <w:spacing w:after="0" w:line="12" w:lineRule="exact"/>
        <w:rPr>
          <w:sz w:val="20"/>
          <w:szCs w:val="20"/>
          <w:color w:val="auto"/>
        </w:rPr>
      </w:pPr>
    </w:p>
    <w:p>
      <w:pPr>
        <w:ind w:left="8" w:right="360"/>
        <w:spacing w:after="0" w:line="273" w:lineRule="auto"/>
        <w:rPr>
          <w:sz w:val="20"/>
          <w:szCs w:val="20"/>
          <w:color w:val="auto"/>
        </w:rPr>
      </w:pPr>
      <w:r>
        <w:rPr>
          <w:rFonts w:ascii="Times New Roman" w:cs="Times New Roman" w:eastAsia="Times New Roman" w:hAnsi="Times New Roman"/>
          <w:sz w:val="15"/>
          <w:szCs w:val="15"/>
          <w:color w:val="auto"/>
        </w:rPr>
        <w:t>delayed. For all purposes of the foregoing, the following entities and their Affiliates shall be deemed credible and reputable (and shall not require Elanco consent): [***] (or any Affiliate of the foregoing), [***].</w:t>
      </w:r>
    </w:p>
    <w:p>
      <w:pPr>
        <w:spacing w:after="0" w:line="142" w:lineRule="exact"/>
        <w:rPr>
          <w:sz w:val="20"/>
          <w:szCs w:val="20"/>
          <w:color w:val="auto"/>
        </w:rPr>
      </w:pPr>
    </w:p>
    <w:p>
      <w:pPr>
        <w:ind w:left="148" w:hanging="148"/>
        <w:spacing w:after="0"/>
        <w:tabs>
          <w:tab w:leader="none" w:pos="148" w:val="left"/>
        </w:tabs>
        <w:numPr>
          <w:ilvl w:val="0"/>
          <w:numId w:val="3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NSURANCE</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280"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9.1 Indemnification by Elanco</w:t>
      </w:r>
      <w:r>
        <w:rPr>
          <w:rFonts w:ascii="Times New Roman" w:cs="Times New Roman" w:eastAsia="Times New Roman" w:hAnsi="Times New Roman"/>
          <w:sz w:val="15"/>
          <w:szCs w:val="15"/>
          <w:color w:val="auto"/>
        </w:rPr>
        <w:t>. Elanco shall indemnify, defend and hold harmless Tarsus, its Affiliates, and its and their respective officers, directors, employees, agents,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successors and assigns against all third party losses, damages, liabilities, deficiencies, claims, actions, judgments, settlements, interest, awards, penalties, fines, costs or expenses (collectively, “</w:t>
      </w:r>
      <w:r>
        <w:rPr>
          <w:rFonts w:ascii="Times New Roman" w:cs="Times New Roman" w:eastAsia="Times New Roman" w:hAnsi="Times New Roman"/>
          <w:sz w:val="15"/>
          <w:szCs w:val="15"/>
          <w:b w:val="1"/>
          <w:bCs w:val="1"/>
          <w:i w:val="1"/>
          <w:iCs w:val="1"/>
          <w:color w:val="auto"/>
        </w:rPr>
        <w:t>Losses</w:t>
      </w:r>
      <w:r>
        <w:rPr>
          <w:rFonts w:ascii="Times New Roman" w:cs="Times New Roman" w:eastAsia="Times New Roman" w:hAnsi="Times New Roman"/>
          <w:sz w:val="15"/>
          <w:szCs w:val="15"/>
          <w:color w:val="auto"/>
        </w:rPr>
        <w:t>”), resulting from (a) any action instituted against any of them by any Third Party arising out of from Elanco’s breach of any representation, warranty or obligations pursuant to this Agreement, or (b) the gross negligence or willful misconduct of Elanco, except, in each case, to the extent such Losses are Losses for which Tarsus is obligated to indemnify Elanco pursuant to Section 9.2 or to the extent such Losses arise from the breach by Tarsus or its Affiliates of its representations, warranties or obligations under this Agreement or from the failure of any sublicensees to comply with any obligations required of sublicensees under this Agreement.</w:t>
      </w:r>
    </w:p>
    <w:p>
      <w:pPr>
        <w:spacing w:after="0" w:line="148" w:lineRule="exact"/>
        <w:rPr>
          <w:sz w:val="20"/>
          <w:szCs w:val="20"/>
          <w:color w:val="auto"/>
        </w:rPr>
      </w:pPr>
    </w:p>
    <w:p>
      <w:pPr>
        <w:ind w:left="8"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9.2 Indemnification by Tarsus</w:t>
      </w:r>
      <w:r>
        <w:rPr>
          <w:rFonts w:ascii="Times New Roman" w:cs="Times New Roman" w:eastAsia="Times New Roman" w:hAnsi="Times New Roman"/>
          <w:sz w:val="15"/>
          <w:szCs w:val="15"/>
          <w:color w:val="auto"/>
        </w:rPr>
        <w:t>. Tarsus shall indemnify, defend and hold harmless Elanco, its Affiliates, and its and their respective officers, directors, employees, agents,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successors and assigns against all Losses resulting from (a) Tarsus’s breach of any representation, warranty or obligations pursuant to this Agreement, ,(b) the gross negligence or willful misconduct of Tarsus; or (c) the development, making, having made, using, having used, leasing, importing, offering to sell, selling and/or having sold, any Compound or Licensed Product by Tarsus, its Affiliates and sublicensees or the failure of any of them to comply with Applicable Law in connection with any such activities, except, in each case, to the extent Elanco is required to indemnify Tarsus under Section 9.1 for such Losses or to the extent such Losses arise from the breach by Elanco or its Affiliates of its representations, warranties or obligations under this Agreement.</w:t>
      </w:r>
    </w:p>
    <w:p>
      <w:pPr>
        <w:spacing w:after="0" w:line="95"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08"/>
          </w:cols>
          <w:pgMar w:left="312" w:top="248" w:right="379" w:bottom="1440" w:gutter="0" w:footer="0" w:header="0"/>
        </w:sectPr>
      </w:pPr>
    </w:p>
    <w:bookmarkStart w:id="483" w:name="page484"/>
    <w:bookmarkEnd w:id="483"/>
    <w:p>
      <w:pPr>
        <w:ind w:left="8"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9.3 Indemnification Procedure</w:t>
      </w:r>
      <w:r>
        <w:rPr>
          <w:rFonts w:ascii="Times New Roman" w:cs="Times New Roman" w:eastAsia="Times New Roman" w:hAnsi="Times New Roman"/>
          <w:sz w:val="15"/>
          <w:szCs w:val="15"/>
          <w:color w:val="auto"/>
        </w:rPr>
        <w:t>. The indemnified party shall promptly notify the indemnifying party in writing of any action for which it intends to seek indemnification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hereunder and cooperate reasonably with the indemnifying party at the indemnifying party’s sole cost and expense. The indemnifying party shall have the right, within thirty (20) days after being so notified, to assume the defense of any action with counsel of its choice that is reasonably satisfactory to the indemnified party. The indemnifying party shall not settle any action in a manner that adversely affects the rights of any indemnified party without the indemnified party’s prior written consent, which consent shall not be unreasonably withheld or delayed. The indemnified party’s failure to provide prompt notice to the indemnifying party of any action shall not relieve the indemnifying party of its obligations under this Section 9.3 except to the extent that the indemnifying party can demonstrate that it has been materially prejudiced as a result of the failure. Subject to the indemnifying party’s right to control the defense and settlement thereof, the indemnified party may participate in and observe the proceedings at its own cost and expense with counsel of its own choosing. A Party shall not be responsible for the indemnification or defense of the other Party to the extent arising from any negligent or intentional acts by such Party, or the breach by such Party of any representations, obligations or warranty under this Agreement, or any claims compromised or settled without prior written consent.</w:t>
      </w:r>
    </w:p>
    <w:p>
      <w:pPr>
        <w:spacing w:after="0" w:line="156" w:lineRule="exact"/>
        <w:rPr>
          <w:sz w:val="20"/>
          <w:szCs w:val="20"/>
          <w:color w:val="auto"/>
        </w:rPr>
      </w:pPr>
    </w:p>
    <w:p>
      <w:pPr>
        <w:ind w:left="8"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9.4 Limitation of Liability. </w:t>
      </w:r>
      <w:r>
        <w:rPr>
          <w:rFonts w:ascii="Times New Roman" w:cs="Times New Roman" w:eastAsia="Times New Roman" w:hAnsi="Times New Roman"/>
          <w:sz w:val="15"/>
          <w:szCs w:val="15"/>
          <w:color w:val="auto"/>
        </w:rPr>
        <w:t>Except with respect to a breach of Section 10, or a Party’s liability pursuant to Section 9 or Section 7.2, neither Party shall be liable for 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incidental, consequential, exemplary, punitive, or other indirect or remote damages, or loss of profits, loss of data or loss of use damages arising in any way out of this Agreement or the exercise of its rights hereunder, whether based upon warranty, contract, tort, strict liability or otherwise.</w:t>
      </w:r>
    </w:p>
    <w:p>
      <w:pPr>
        <w:spacing w:after="0" w:line="141" w:lineRule="exact"/>
        <w:rPr>
          <w:sz w:val="20"/>
          <w:szCs w:val="20"/>
          <w:color w:val="auto"/>
        </w:rPr>
      </w:pPr>
    </w:p>
    <w:p>
      <w:pPr>
        <w:ind w:left="228" w:hanging="228"/>
        <w:spacing w:after="0"/>
        <w:tabs>
          <w:tab w:leader="none" w:pos="228" w:val="left"/>
        </w:tabs>
        <w:numPr>
          <w:ilvl w:val="0"/>
          <w:numId w:val="3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ONFIDENTIALITY</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10.1 Non-Disclosure and Non-Use</w:t>
      </w:r>
      <w:r>
        <w:rPr>
          <w:rFonts w:ascii="Times New Roman" w:cs="Times New Roman" w:eastAsia="Times New Roman" w:hAnsi="Times New Roman"/>
          <w:sz w:val="15"/>
          <w:szCs w:val="15"/>
          <w:color w:val="auto"/>
        </w:rPr>
        <w:t>. Each Receiving Party shall:</w:t>
      </w:r>
    </w:p>
    <w:p>
      <w:pPr>
        <w:spacing w:after="0" w:line="108" w:lineRule="exact"/>
        <w:rPr>
          <w:sz w:val="20"/>
          <w:szCs w:val="20"/>
          <w:color w:val="auto"/>
        </w:rPr>
      </w:pPr>
    </w:p>
    <w:p>
      <w:pPr>
        <w:ind w:left="8" w:firstLine="1006"/>
        <w:spacing w:after="0" w:line="268" w:lineRule="auto"/>
        <w:tabs>
          <w:tab w:leader="none" w:pos="1239" w:val="left"/>
        </w:tabs>
        <w:numPr>
          <w:ilvl w:val="0"/>
          <w:numId w:val="3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 disclose any Confidential Information of the Disclosing Party to any Person other than (i) Persons who have a “need to know” such information for purposes of the Receiving Party’s performance or exercise of rights under this Agreement, and (ii) any Affiliates or sublicensees (or potential sublicensees) of the Receiving Party or other Persons working on the Receiving Party’s behalf (including without limitation consultants, contract manufacturers, and independent contractors), provided that any such Person agrees to be bound by terms and conditions no less stringent than those set forth in this Section 10; and</w:t>
      </w:r>
    </w:p>
    <w:p>
      <w:pPr>
        <w:spacing w:after="0" w:line="151"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0"/>
          <w:numId w:val="3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 use any Confidential Information of the Disclosing Party for any purpose other than in connection with performing its obligations or exercising its rights under</w:t>
      </w:r>
    </w:p>
    <w:p>
      <w:pPr>
        <w:spacing w:after="0" w:line="26" w:lineRule="exact"/>
        <w:rPr>
          <w:rFonts w:ascii="Times New Roman" w:cs="Times New Roman" w:eastAsia="Times New Roman" w:hAnsi="Times New Roman"/>
          <w:sz w:val="15"/>
          <w:szCs w:val="15"/>
          <w:b w:val="1"/>
          <w:bCs w:val="1"/>
          <w:color w:val="auto"/>
        </w:rPr>
      </w:pPr>
    </w:p>
    <w:p>
      <w:pPr>
        <w:ind w:left="8"/>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w:t>
      </w:r>
    </w:p>
    <w:p>
      <w:pPr>
        <w:spacing w:after="0" w:line="178" w:lineRule="exact"/>
        <w:rPr>
          <w:sz w:val="20"/>
          <w:szCs w:val="20"/>
          <w:color w:val="auto"/>
        </w:rPr>
      </w:pPr>
    </w:p>
    <w:p>
      <w:pPr>
        <w:jc w:val="both"/>
        <w:ind w:left="8" w:right="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10.2 Disclosure Required by Applicable Law</w:t>
      </w:r>
      <w:r>
        <w:rPr>
          <w:rFonts w:ascii="Times New Roman" w:cs="Times New Roman" w:eastAsia="Times New Roman" w:hAnsi="Times New Roman"/>
          <w:sz w:val="15"/>
          <w:szCs w:val="15"/>
          <w:color w:val="auto"/>
        </w:rPr>
        <w:t>. Section 10.1 shall not apply to Confidential Information which the Receiving Party is required by Applicable Law (including,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without limitation, any reporting requirements arising under the federal securities laws or the regulations promulgated by any national securities exchange on which securities of the Receiving Party are traded), court order, or similar requirements to disclose, provided that the Receiving Party:</w:t>
      </w:r>
    </w:p>
    <w:p>
      <w:pPr>
        <w:spacing w:after="0" w:line="52" w:lineRule="exact"/>
        <w:rPr>
          <w:sz w:val="20"/>
          <w:szCs w:val="20"/>
          <w:color w:val="auto"/>
        </w:rPr>
      </w:pPr>
    </w:p>
    <w:p>
      <w:pPr>
        <w:ind w:left="8" w:right="40" w:firstLine="1006"/>
        <w:spacing w:after="0" w:line="275" w:lineRule="auto"/>
        <w:tabs>
          <w:tab w:leader="none" w:pos="1239" w:val="left"/>
        </w:tabs>
        <w:numPr>
          <w:ilvl w:val="0"/>
          <w:numId w:val="3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provides the Disclosing Party with prompt written notice thereof such that the Disclosing Party may seek a protective order or other appropriate remedy with respect to such Confidential Information, including, without limitation, confidential treatment to the extent available under any Applicable Law, and the Receiving Party shall provide the Disclosing Party with reasonable cooperation in order to obtain such a protective order or other remedy, including confidential treatment, and</w:t>
      </w:r>
    </w:p>
    <w:p>
      <w:pPr>
        <w:spacing w:after="0" w:line="144"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0"/>
          <w:numId w:val="3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discloses only that portion of the Confidential Information that is legally compelled to disclose.</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48"/>
          </w:cols>
          <w:pgMar w:left="312" w:top="248" w:right="339" w:bottom="1440" w:gutter="0" w:footer="0" w:header="0"/>
        </w:sectPr>
      </w:pPr>
    </w:p>
    <w:bookmarkStart w:id="484" w:name="page485"/>
    <w:bookmarkEnd w:id="484"/>
    <w:p>
      <w:pPr>
        <w:ind w:left="8" w:right="8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10.3 Permitted Disclosures</w:t>
      </w:r>
      <w:r>
        <w:rPr>
          <w:rFonts w:ascii="Times New Roman" w:cs="Times New Roman" w:eastAsia="Times New Roman" w:hAnsi="Times New Roman"/>
          <w:sz w:val="15"/>
          <w:szCs w:val="15"/>
          <w:color w:val="auto"/>
        </w:rPr>
        <w:t>. Section 10.1 shall not prevent either Party from (a) preparing, filing, prosecuting, defending or maintaining Licensed Patents, (b) disclosing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Confidential Information to Regulatory Authorities to the extent the Receiving Party reasonably believes it is required or desirable in connection with clinical testing of any Licensed Product or to secure Regulatory Approval for the development or marketing of any Licensed Product, (c) disclosing Confidential Information to the extent required by the Securities and Exchange Commission or applicable tax authorities, (d) disclosure to a Third Party in connection with due diligence by such Third Party, and disclosure to potential Third Party investors in confidential financing documents, provided that any such Third Party agrees to be bound by reasonable obligations of confidentiality and non-use, to the extent possible.</w:t>
      </w:r>
    </w:p>
    <w:p>
      <w:pPr>
        <w:spacing w:after="0" w:line="147" w:lineRule="exact"/>
        <w:rPr>
          <w:sz w:val="20"/>
          <w:szCs w:val="20"/>
          <w:color w:val="auto"/>
        </w:rPr>
      </w:pPr>
    </w:p>
    <w:p>
      <w:pPr>
        <w:ind w:left="228" w:hanging="228"/>
        <w:spacing w:after="0"/>
        <w:tabs>
          <w:tab w:leader="none" w:pos="228"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ERM</w:t>
      </w:r>
      <w:r>
        <w:rPr>
          <w:rFonts w:ascii="Times New Roman" w:cs="Times New Roman" w:eastAsia="Times New Roman" w:hAnsi="Times New Roman"/>
          <w:sz w:val="15"/>
          <w:szCs w:val="15"/>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11.1 Term; Expiration</w:t>
      </w:r>
      <w:r>
        <w:rPr>
          <w:rFonts w:ascii="Times New Roman" w:cs="Times New Roman" w:eastAsia="Times New Roman" w:hAnsi="Times New Roman"/>
          <w:sz w:val="15"/>
          <w:szCs w:val="15"/>
          <w:color w:val="auto"/>
        </w:rPr>
        <w:t>. This Agreement shall commence on the Effective Date and, unless sooner terminated as provided hereunder, shall expire on a Licensed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Product-by-Licensed Product and country-by-country basis upon the expiration of the Royalty Term with respect to such Licensed Product in such country. Following such expiration of the Royalty Term, the license granted by Elanco to Tarsus in Section 2.1 with respect to such Licensed Product in such country shall become fully-paid, royalty-free, worldwide, exclusive, and perpetual.</w:t>
      </w:r>
    </w:p>
    <w:p>
      <w:pPr>
        <w:spacing w:after="0" w:line="14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11.2 Termination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8" w:right="40" w:firstLine="1006"/>
        <w:spacing w:after="0" w:line="264" w:lineRule="auto"/>
        <w:tabs>
          <w:tab w:leader="none" w:pos="1239"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any material breach or default of this Agreement by a Party, the other Party shall have the right to terminate this Agreement upon giving sixty (60) days’ prior written notice thereof to the breaching Party. Such termination shall become effective thirty (30) days after at the end of such sixty (60) day period unless the breaching Party shall have cured any such breach or default prior to the expiration of such sixty (60) day period; or if such breach cannot be reasonably cured within sixty (60) days, but the breaching Party has commenced reasonable actions to cure such breach, then such longer period as may be required to cure such breach provided that the breaching Party continues to diligently cure such breach. If the material breach or default by the breaching Party applies only to a given country, the other Party may only terminate this Agreement with respect to such country and thereafter the Territory shall no longer include the country in which such termination has occurred.</w:t>
      </w:r>
    </w:p>
    <w:p>
      <w:pPr>
        <w:spacing w:after="0" w:line="152" w:lineRule="exact"/>
        <w:rPr>
          <w:rFonts w:ascii="Times New Roman" w:cs="Times New Roman" w:eastAsia="Times New Roman" w:hAnsi="Times New Roman"/>
          <w:sz w:val="15"/>
          <w:szCs w:val="15"/>
          <w:b w:val="1"/>
          <w:bCs w:val="1"/>
          <w:color w:val="auto"/>
        </w:rPr>
      </w:pPr>
    </w:p>
    <w:p>
      <w:pPr>
        <w:ind w:left="8" w:firstLine="1006"/>
        <w:spacing w:after="0" w:line="264" w:lineRule="auto"/>
        <w:tabs>
          <w:tab w:leader="none" w:pos="1248"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such termination by a Party pursuant to Section 11.2(a) shall be effective prior to the resolution of any dispute with respect to the occurrence of any material breach of or default under this Agreement as to which such Party seeks to exercise such right of termination. If as a result of such dispute resolution process it is determined that a Party’s notice of breach was proper, then such notice shall be deemed to have been effective if the breaching Party fails thereafter to cure such breach in accordance with the determination made in the resolution process within the applicable cure period following such determination. If as a result of such dispute resolution process it is determined that the notice of breach was improper, then no such notice shall be deemed to have been effective and this Agreement shall remain in effect. All of the terms and conditions of this Agreement shall remain in full force and effect during the pendency of such dispute resolution process.</w:t>
      </w:r>
    </w:p>
    <w:p>
      <w:pPr>
        <w:spacing w:after="0" w:line="152" w:lineRule="exact"/>
        <w:rPr>
          <w:rFonts w:ascii="Times New Roman" w:cs="Times New Roman" w:eastAsia="Times New Roman" w:hAnsi="Times New Roman"/>
          <w:sz w:val="15"/>
          <w:szCs w:val="15"/>
          <w:b w:val="1"/>
          <w:bCs w:val="1"/>
          <w:color w:val="auto"/>
        </w:rPr>
      </w:pPr>
    </w:p>
    <w:p>
      <w:pPr>
        <w:ind w:left="8" w:right="280" w:firstLine="1006"/>
        <w:spacing w:after="0" w:line="275" w:lineRule="auto"/>
        <w:tabs>
          <w:tab w:leader="none" w:pos="1228" w:val="left"/>
        </w:tabs>
        <w:numPr>
          <w:ilvl w:val="0"/>
          <w:numId w:val="3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may terminate this Agreement immediately upon notice to Elanco within thirty (30) business days after the Effective Date: (a) if, in Tarsus’s reasonable discretion, the Regulatory Materials reveal any fact that would adversely affect the development and/or regulatory approval of a Licensed Product in any way; or (b) Regulatory Materials Receipt does not occur within twenty (20) days after the Effective Date.</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48"/>
          </w:cols>
          <w:pgMar w:left="312" w:top="248" w:right="339" w:bottom="1440" w:gutter="0" w:footer="0" w:header="0"/>
        </w:sectPr>
      </w:pPr>
    </w:p>
    <w:bookmarkStart w:id="485" w:name="page486"/>
    <w:bookmarkEnd w:id="485"/>
    <w:p>
      <w:pPr>
        <w:ind w:firstLine="1006"/>
        <w:spacing w:after="0" w:line="264" w:lineRule="auto"/>
        <w:tabs>
          <w:tab w:leader="none" w:pos="1240" w:val="left"/>
        </w:tabs>
        <w:numPr>
          <w:ilvl w:val="0"/>
          <w:numId w:val="3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If Tarsus or any of its Affiliates or sublicensees, directly or indirectly, (i) initiates or requests an interference or opposition proceeding with respect to any Licensed Patents; (ii) makes, files or maintains any claim, demand, lawsuit, or cause of action to challenge the validity or enforceability of any Licensed Patents; or (iii) opposes any extension of, or the grant of a supplementary protection certificate with respect to, any Licensed Patents (any of (i) – (iii) a “Challenge”), Elanco shall have the right to terminate this Agreement upon thirty (30) days written notice to Tarsus. Any such termination shall only become effective if Tarsus or its Affiliate or sublicensee, as applicable, has not withdrawn such action before the end of the above notice period. Notwithstanding the foregoing, Elanco may not terminate this Agreement for a direct or indirect Challenge made by a sublicensee if Tarsus terminates the sublicense to such sublicensee within thirty (30) days after Elanco notifies Tarsus of such Challenge.</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11.3 Effect of Expiration or Termination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right="360" w:firstLine="1006"/>
        <w:spacing w:after="0" w:line="293" w:lineRule="auto"/>
        <w:tabs>
          <w:tab w:leader="none" w:pos="1231"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for any reason, the license (and sublicense) granted to Tarsus under Section 2.1 shall terminate in full with respect to the country(ies) and Licensed Product(s) which are the subject of such termination.</w:t>
      </w:r>
    </w:p>
    <w:p>
      <w:pPr>
        <w:spacing w:after="0" w:line="132" w:lineRule="exact"/>
        <w:rPr>
          <w:rFonts w:ascii="Times New Roman" w:cs="Times New Roman" w:eastAsia="Times New Roman" w:hAnsi="Times New Roman"/>
          <w:sz w:val="15"/>
          <w:szCs w:val="15"/>
          <w:b w:val="1"/>
          <w:bCs w:val="1"/>
          <w:color w:val="auto"/>
        </w:rPr>
      </w:pPr>
    </w:p>
    <w:p>
      <w:pPr>
        <w:ind w:right="260" w:firstLine="1006"/>
        <w:spacing w:after="0" w:line="275" w:lineRule="auto"/>
        <w:tabs>
          <w:tab w:leader="none" w:pos="1240"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subsection (a) above, Tarsus, its Affiliates and/or any sublicensee thereof may elect to sell all finished Licensed Products and any Licensed Products in the process of manufacture at the time of such termination for a period not to exceed [***] months after such termination, provided that Tarsus shall pay or cause to be paid to Elanco all royalty payments in accordance with Section 6.3 with respect thereto.</w:t>
      </w:r>
    </w:p>
    <w:p>
      <w:pPr>
        <w:spacing w:after="0" w:line="144" w:lineRule="exact"/>
        <w:rPr>
          <w:rFonts w:ascii="Times New Roman" w:cs="Times New Roman" w:eastAsia="Times New Roman" w:hAnsi="Times New Roman"/>
          <w:sz w:val="15"/>
          <w:szCs w:val="15"/>
          <w:b w:val="1"/>
          <w:bCs w:val="1"/>
          <w:color w:val="auto"/>
        </w:rPr>
      </w:pPr>
    </w:p>
    <w:p>
      <w:pPr>
        <w:jc w:val="both"/>
        <w:ind w:right="160" w:firstLine="1006"/>
        <w:spacing w:after="0" w:line="268" w:lineRule="auto"/>
        <w:tabs>
          <w:tab w:leader="none" w:pos="1222"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for any reason and following any request by the relevant sublicensee (provided that such sublicensee is then in compliance with the applicable terms of this Agreement in all material respects), any sublicense of the Licensed IP shall become a direct license between such sublicensee and Elanco (but shall not obligate Elanco beyond the terms of this Agreement) and such sublicensee shall assume all of Tarsus’s payment obligations to Elanco under this Agreement with respect to such sublicensee’s activities (and those of its Affiliates and sublicensees).</w:t>
      </w:r>
    </w:p>
    <w:p>
      <w:pPr>
        <w:spacing w:after="0" w:line="151" w:lineRule="exact"/>
        <w:rPr>
          <w:rFonts w:ascii="Times New Roman" w:cs="Times New Roman" w:eastAsia="Times New Roman" w:hAnsi="Times New Roman"/>
          <w:sz w:val="15"/>
          <w:szCs w:val="15"/>
          <w:b w:val="1"/>
          <w:bCs w:val="1"/>
          <w:color w:val="auto"/>
        </w:rPr>
      </w:pPr>
    </w:p>
    <w:p>
      <w:pPr>
        <w:ind w:right="20" w:firstLine="1006"/>
        <w:spacing w:after="0" w:line="265" w:lineRule="auto"/>
        <w:tabs>
          <w:tab w:leader="none" w:pos="1240"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Termination or expiration of this Agreement for any reason shall be without prejudice to any rights that shall have accrued to the benefit of either Party prior to such termination or expiration. Additionally, the following terms shall survive termination or expiration of this Agreement: Sections 2.2 (unless terminated by Tarsus pursuant to Section 11.2(a)), 6.6, 6.7, 9, 10, 11, and 13. Termination or expiration of this Agreement shall not affect or prejudice any right of either Party to receive payments due hereunder or for which the event giving rise to such payment obligation has occurred prior the effectiveness of such termination or expiration or preclude or hinder the terminating Party from also bringing, amending or pursuing an action against the other Party for damages and all other available legal and equitable remedies.</w:t>
      </w:r>
    </w:p>
    <w:p>
      <w:pPr>
        <w:spacing w:after="0" w:line="154" w:lineRule="exact"/>
        <w:rPr>
          <w:rFonts w:ascii="Times New Roman" w:cs="Times New Roman" w:eastAsia="Times New Roman" w:hAnsi="Times New Roman"/>
          <w:sz w:val="15"/>
          <w:szCs w:val="15"/>
          <w:b w:val="1"/>
          <w:bCs w:val="1"/>
          <w:color w:val="auto"/>
        </w:rPr>
      </w:pPr>
    </w:p>
    <w:p>
      <w:pPr>
        <w:ind w:right="40" w:firstLine="1006"/>
        <w:spacing w:after="0" w:line="267" w:lineRule="auto"/>
        <w:tabs>
          <w:tab w:leader="none" w:pos="1222"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by Elanco under Section 4.4 (a) or Section 11.2 (a) Tarsus shall as soon as reasonably practicable provide Elanco with copies of all documented technical and other information Controlled by Tarsus that is both: (i) specific to preclinical documentation and technical information with respect to a Licensed Product; and (ii) which are necessary for the development, manufacture and commercialization of the Licensed Product. Notwithstanding the foregoing, Tarsus shall have no obligation to provide any Regulatory Materials or clinical information or data and Elanco shall have no right to (and shall not) reference any Regulatory Materials of Tarsus after such termination.</w:t>
      </w:r>
    </w:p>
    <w:p>
      <w:pPr>
        <w:spacing w:after="0" w:line="339" w:lineRule="exact"/>
        <w:rPr>
          <w:rFonts w:ascii="Times New Roman" w:cs="Times New Roman" w:eastAsia="Times New Roman" w:hAnsi="Times New Roman"/>
          <w:sz w:val="15"/>
          <w:szCs w:val="15"/>
          <w:b w:val="1"/>
          <w:bCs w:val="1"/>
          <w:color w:val="auto"/>
        </w:rPr>
      </w:pPr>
    </w:p>
    <w:p>
      <w:pPr>
        <w:ind w:left="1200" w:hanging="194"/>
        <w:spacing w:after="0"/>
        <w:tabs>
          <w:tab w:leader="none" w:pos="1200"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by Elanco under Section 4.4(a) or Section 11.2(a) or Section 11.2(d), Tarsus shall promptly return all Confidential Information</w:t>
      </w:r>
    </w:p>
    <w:p>
      <w:pPr>
        <w:spacing w:after="0" w:line="26" w:lineRule="exact"/>
        <w:rPr>
          <w:rFonts w:ascii="Times New Roman" w:cs="Times New Roman" w:eastAsia="Times New Roman" w:hAnsi="Times New Roman"/>
          <w:sz w:val="15"/>
          <w:szCs w:val="15"/>
          <w:b w:val="1"/>
          <w:bCs w:val="1"/>
          <w:color w:val="auto"/>
        </w:rPr>
      </w:pP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of Elanco.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0"/>
          </w:cols>
          <w:pgMar w:left="320" w:top="252" w:right="339" w:bottom="1440" w:gutter="0" w:footer="0" w:header="0"/>
        </w:sectPr>
      </w:pPr>
    </w:p>
    <w:bookmarkStart w:id="486" w:name="page487"/>
    <w:bookmarkEnd w:id="486"/>
    <w:p>
      <w:pPr>
        <w:ind w:left="228" w:hanging="228"/>
        <w:spacing w:after="0"/>
        <w:tabs>
          <w:tab w:leader="none" w:pos="228" w:val="left"/>
        </w:tabs>
        <w:numPr>
          <w:ilvl w:val="0"/>
          <w:numId w:val="3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12.1 Mutual Representations and Warranties</w:t>
      </w:r>
      <w:r>
        <w:rPr>
          <w:rFonts w:ascii="Times New Roman" w:cs="Times New Roman" w:eastAsia="Times New Roman" w:hAnsi="Times New Roman"/>
          <w:sz w:val="15"/>
          <w:szCs w:val="15"/>
          <w:color w:val="auto"/>
        </w:rPr>
        <w:t>. Each Party hereby represents and warrants to the other Party as follows:</w:t>
      </w:r>
    </w:p>
    <w:p>
      <w:pPr>
        <w:spacing w:after="0" w:line="108" w:lineRule="exact"/>
        <w:rPr>
          <w:sz w:val="20"/>
          <w:szCs w:val="20"/>
          <w:color w:val="auto"/>
        </w:rPr>
      </w:pPr>
    </w:p>
    <w:p>
      <w:pPr>
        <w:ind w:left="8" w:right="40" w:firstLine="1006"/>
        <w:spacing w:after="0" w:line="275" w:lineRule="auto"/>
        <w:tabs>
          <w:tab w:leader="none" w:pos="1239" w:val="left"/>
        </w:tabs>
        <w:numPr>
          <w:ilvl w:val="0"/>
          <w:numId w:val="3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Corporate Existence and Power</w:t>
      </w:r>
      <w:r>
        <w:rPr>
          <w:rFonts w:ascii="Times New Roman" w:cs="Times New Roman" w:eastAsia="Times New Roman" w:hAnsi="Times New Roman"/>
          <w:sz w:val="15"/>
          <w:szCs w:val="15"/>
          <w:color w:val="auto"/>
        </w:rPr>
        <w:t>.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44" w:lineRule="exact"/>
        <w:rPr>
          <w:rFonts w:ascii="Times New Roman" w:cs="Times New Roman" w:eastAsia="Times New Roman" w:hAnsi="Times New Roman"/>
          <w:sz w:val="15"/>
          <w:szCs w:val="15"/>
          <w:b w:val="1"/>
          <w:bCs w:val="1"/>
          <w:color w:val="auto"/>
        </w:rPr>
      </w:pPr>
    </w:p>
    <w:p>
      <w:pPr>
        <w:ind w:left="8" w:firstLine="1006"/>
        <w:spacing w:after="0" w:line="268" w:lineRule="auto"/>
        <w:tabs>
          <w:tab w:leader="none" w:pos="1248" w:val="left"/>
        </w:tabs>
        <w:numPr>
          <w:ilvl w:val="0"/>
          <w:numId w:val="3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Authority and Binding Agreement</w:t>
      </w:r>
      <w:r>
        <w:rPr>
          <w:rFonts w:ascii="Times New Roman" w:cs="Times New Roman" w:eastAsia="Times New Roman" w:hAnsi="Times New Roman"/>
          <w:sz w:val="15"/>
          <w:szCs w:val="15"/>
          <w:color w:val="auto"/>
        </w:rPr>
        <w:t>. 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51" w:lineRule="exact"/>
        <w:rPr>
          <w:rFonts w:ascii="Times New Roman" w:cs="Times New Roman" w:eastAsia="Times New Roman" w:hAnsi="Times New Roman"/>
          <w:sz w:val="15"/>
          <w:szCs w:val="15"/>
          <w:b w:val="1"/>
          <w:bCs w:val="1"/>
          <w:color w:val="auto"/>
        </w:rPr>
      </w:pPr>
    </w:p>
    <w:p>
      <w:pPr>
        <w:ind w:left="8" w:right="580" w:firstLine="1006"/>
        <w:spacing w:after="0" w:line="293" w:lineRule="auto"/>
        <w:tabs>
          <w:tab w:leader="none" w:pos="1230" w:val="left"/>
        </w:tabs>
        <w:numPr>
          <w:ilvl w:val="0"/>
          <w:numId w:val="3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Conflict</w:t>
      </w:r>
      <w:r>
        <w:rPr>
          <w:rFonts w:ascii="Times New Roman" w:cs="Times New Roman" w:eastAsia="Times New Roman" w:hAnsi="Times New Roman"/>
          <w:sz w:val="15"/>
          <w:szCs w:val="15"/>
          <w:color w:val="auto"/>
        </w:rPr>
        <w:t>. It is not a party to any agreement that would materially prevent it from granting the rights granted to the other Party under this Agreement or performing its obligations under the Agreement.</w:t>
      </w:r>
    </w:p>
    <w:p>
      <w:pPr>
        <w:spacing w:after="0" w:line="12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12.2 Additional Representations and Warranties of Elanco</w:t>
      </w:r>
      <w:r>
        <w:rPr>
          <w:rFonts w:ascii="Times New Roman" w:cs="Times New Roman" w:eastAsia="Times New Roman" w:hAnsi="Times New Roman"/>
          <w:sz w:val="15"/>
          <w:szCs w:val="15"/>
          <w:color w:val="auto"/>
        </w:rPr>
        <w:t>. Elanco represents and warrants to Tarsus as of the Effective Date that:</w:t>
      </w:r>
    </w:p>
    <w:p>
      <w:pPr>
        <w:spacing w:after="0" w:line="108" w:lineRule="exact"/>
        <w:rPr>
          <w:sz w:val="20"/>
          <w:szCs w:val="20"/>
          <w:color w:val="auto"/>
        </w:rPr>
      </w:pPr>
    </w:p>
    <w:p>
      <w:pPr>
        <w:ind w:left="8" w:right="120" w:firstLine="1006"/>
        <w:spacing w:after="0" w:line="293" w:lineRule="auto"/>
        <w:tabs>
          <w:tab w:leader="none" w:pos="1239"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it has all rights under the Licensed IP to grant the licenses to Tarsus as purported to be granted pursuant to this Agreement (including, without limitation, without any payment to any Third Party);</w:t>
      </w:r>
    </w:p>
    <w:p>
      <w:pPr>
        <w:spacing w:after="0" w:line="132" w:lineRule="exact"/>
        <w:rPr>
          <w:rFonts w:ascii="Times New Roman" w:cs="Times New Roman" w:eastAsia="Times New Roman" w:hAnsi="Times New Roman"/>
          <w:sz w:val="15"/>
          <w:szCs w:val="15"/>
          <w:b w:val="1"/>
          <w:bCs w:val="1"/>
          <w:color w:val="auto"/>
        </w:rPr>
      </w:pPr>
    </w:p>
    <w:p>
      <w:pPr>
        <w:ind w:left="8" w:right="360" w:firstLine="1006"/>
        <w:spacing w:after="0" w:line="293" w:lineRule="auto"/>
        <w:tabs>
          <w:tab w:leader="none" w:pos="1248"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it has not received any written notice from any Third Party asserting or alleging that any research or development of any Licensed Product by or on behalf of Elanco prior to the Effective Date infringed or misappropriated the intellectual property rights of such Third Party;</w:t>
      </w:r>
    </w:p>
    <w:p>
      <w:pPr>
        <w:spacing w:after="0" w:line="132" w:lineRule="exact"/>
        <w:rPr>
          <w:rFonts w:ascii="Times New Roman" w:cs="Times New Roman" w:eastAsia="Times New Roman" w:hAnsi="Times New Roman"/>
          <w:sz w:val="15"/>
          <w:szCs w:val="15"/>
          <w:b w:val="1"/>
          <w:bCs w:val="1"/>
          <w:color w:val="auto"/>
        </w:rPr>
      </w:pPr>
    </w:p>
    <w:p>
      <w:pPr>
        <w:ind w:left="8" w:right="380" w:firstLine="1006"/>
        <w:spacing w:after="0" w:line="293" w:lineRule="auto"/>
        <w:tabs>
          <w:tab w:leader="none" w:pos="1230"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actual, pending, alleged or, to Elanco’s knowledge, threatened adverse actions, suits, claims, interferences or formal governmental investigations involving the Licensed Products and/or the Licensed IP by or against Elanco in or before any court or governmental authority;</w:t>
      </w:r>
    </w:p>
    <w:p>
      <w:pPr>
        <w:spacing w:after="0" w:line="132" w:lineRule="exact"/>
        <w:rPr>
          <w:rFonts w:ascii="Times New Roman" w:cs="Times New Roman" w:eastAsia="Times New Roman" w:hAnsi="Times New Roman"/>
          <w:sz w:val="15"/>
          <w:szCs w:val="15"/>
          <w:b w:val="1"/>
          <w:bCs w:val="1"/>
          <w:color w:val="auto"/>
        </w:rPr>
      </w:pPr>
    </w:p>
    <w:p>
      <w:pPr>
        <w:ind w:left="8" w:right="340" w:firstLine="1006"/>
        <w:spacing w:after="0" w:line="293" w:lineRule="auto"/>
        <w:tabs>
          <w:tab w:leader="none" w:pos="1248"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patents or patent applications Controlled by Elanco or its Affiliates, other than the Licensed Patents, that would prevent Tarsus or its Affiliates or sublicensees from developing, manufacturing and/or commercializing Licensed Products as set forth herein or from exploiting the rights granted under Section 2.1; and</w:t>
      </w:r>
    </w:p>
    <w:p>
      <w:pPr>
        <w:spacing w:after="0" w:line="132" w:lineRule="exact"/>
        <w:rPr>
          <w:rFonts w:ascii="Times New Roman" w:cs="Times New Roman" w:eastAsia="Times New Roman" w:hAnsi="Times New Roman"/>
          <w:sz w:val="15"/>
          <w:szCs w:val="15"/>
          <w:b w:val="1"/>
          <w:bCs w:val="1"/>
          <w:color w:val="auto"/>
        </w:rPr>
      </w:pPr>
    </w:p>
    <w:p>
      <w:pPr>
        <w:ind w:left="1228" w:hanging="214"/>
        <w:spacing w:after="0"/>
        <w:tabs>
          <w:tab w:leader="none" w:pos="1228" w:val="left"/>
        </w:tabs>
        <w:numPr>
          <w:ilvl w:val="0"/>
          <w:numId w:val="3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Licensed Patents cover the Compound.</w:t>
      </w:r>
    </w:p>
    <w:p>
      <w:pPr>
        <w:spacing w:after="0" w:line="19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12.3 </w:t>
      </w:r>
      <w:r>
        <w:rPr>
          <w:rFonts w:ascii="Times New Roman" w:cs="Times New Roman" w:eastAsia="Times New Roman" w:hAnsi="Times New Roman"/>
          <w:sz w:val="15"/>
          <w:szCs w:val="15"/>
          <w:u w:val="single" w:color="auto"/>
          <w:color w:val="auto"/>
        </w:rPr>
        <w:t>Additional Representations, Warranties and Covenants of Tarsus.</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Tarsus represents, warrants and covenants that:</w:t>
      </w:r>
    </w:p>
    <w:p>
      <w:pPr>
        <w:spacing w:after="0" w:line="104" w:lineRule="exact"/>
        <w:rPr>
          <w:sz w:val="20"/>
          <w:szCs w:val="20"/>
          <w:color w:val="auto"/>
        </w:rPr>
      </w:pPr>
    </w:p>
    <w:p>
      <w:pPr>
        <w:ind w:left="8" w:right="140" w:firstLine="1006"/>
        <w:spacing w:after="0" w:line="275" w:lineRule="auto"/>
        <w:tabs>
          <w:tab w:leader="none" w:pos="1239" w:val="left"/>
        </w:tabs>
        <w:numPr>
          <w:ilvl w:val="0"/>
          <w:numId w:val="3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its knowledge, no employee, consultant, contractor, agent, or other representative performing services under this Agreement or any agreement between Tarsus and any other Party contracted by Tarsus to perform work hereunder has been debarred or disqualified, or is under investigation for being debarred or disqualified by the FDA, EMEA, or other regulatory authority. Tarsus agrees to promptly notify Elanco if it learns of any such action; and</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48"/>
          </w:cols>
          <w:pgMar w:left="312" w:top="248" w:right="339" w:bottom="1440" w:gutter="0" w:footer="0" w:header="0"/>
        </w:sectPr>
      </w:pPr>
    </w:p>
    <w:bookmarkStart w:id="487" w:name="page488"/>
    <w:bookmarkEnd w:id="487"/>
    <w:p>
      <w:pPr>
        <w:ind w:left="8" w:firstLine="1006"/>
        <w:spacing w:after="0" w:line="275" w:lineRule="auto"/>
        <w:tabs>
          <w:tab w:leader="none" w:pos="1248" w:val="left"/>
        </w:tabs>
        <w:numPr>
          <w:ilvl w:val="0"/>
          <w:numId w:val="3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as of the Effective Date, it has (or reasonably believes it can obtain or contract third parties to provide) the capability, resources, and expertise to fulfill its obligations under this Agreement in compliance with Applicable Law to the extent such capability, resources, and expertise would reasonably be possessed by a company in a similar stage of financing and development as Tarsus.</w:t>
      </w:r>
    </w:p>
    <w:p>
      <w:pPr>
        <w:spacing w:after="0" w:line="141" w:lineRule="exact"/>
        <w:rPr>
          <w:sz w:val="20"/>
          <w:szCs w:val="20"/>
          <w:color w:val="auto"/>
        </w:rPr>
      </w:pPr>
    </w:p>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12.4 No Other Representations or Warranties</w:t>
      </w:r>
      <w:r>
        <w:rPr>
          <w:rFonts w:ascii="Times New Roman" w:cs="Times New Roman" w:eastAsia="Times New Roman" w:hAnsi="Times New Roman"/>
          <w:sz w:val="15"/>
          <w:szCs w:val="15"/>
          <w:color w:val="auto"/>
        </w:rPr>
        <w:t>. EXCEPT AS EXPRESSLY STATED IN THIS ARTICLE 12, NO REPRESENTATIONS OR WARRANTIES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WHATSOEVER, WHETHER EXPRESS OR IMPLIED, INCLUDING, WITHOUT LIMITATION, WARRANTIES OF MERCHANTABILITY, FITNESS FOR A PARTICULAR PURPOSE, NON-INFRINGEMENT, OR NON-MISAPPROPRIATION OF THIRD PARTY INTELLECTUAL PROPERTY RIGHTS, IS MADE OR GIVEN BY OR ON BEHALF OF EITHER PARTY. ALL OTHER REPRESENTATIONS AND WARRANTIES, WHETHER ARISING BY OPERATION OF LAW OR OTHERWISE, ARE HEREBY EXPRESSLY EXCLUDED.</w:t>
      </w:r>
    </w:p>
    <w:p>
      <w:pPr>
        <w:spacing w:after="0" w:line="147" w:lineRule="exact"/>
        <w:rPr>
          <w:sz w:val="20"/>
          <w:szCs w:val="20"/>
          <w:color w:val="auto"/>
        </w:rPr>
      </w:pPr>
    </w:p>
    <w:p>
      <w:pPr>
        <w:ind w:left="228" w:hanging="228"/>
        <w:spacing w:after="0"/>
        <w:tabs>
          <w:tab w:leader="none" w:pos="228" w:val="left"/>
        </w:tabs>
        <w:numPr>
          <w:ilvl w:val="0"/>
          <w:numId w:val="4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13.1 Relationship of Parties</w:t>
      </w:r>
      <w:r>
        <w:rPr>
          <w:rFonts w:ascii="Times New Roman" w:cs="Times New Roman" w:eastAsia="Times New Roman" w:hAnsi="Times New Roman"/>
          <w:sz w:val="15"/>
          <w:szCs w:val="15"/>
          <w:color w:val="auto"/>
        </w:rPr>
        <w:t>. Nothing in this Agreement is intended or shall be deemed to constitute a partnership, agency, employer-employee or joint venture relationship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between the Parties. Each Party’s performance under this Agreement is that of a separate entity.</w:t>
      </w:r>
    </w:p>
    <w:p>
      <w:pPr>
        <w:spacing w:after="0" w:line="125" w:lineRule="exact"/>
        <w:rPr>
          <w:sz w:val="20"/>
          <w:szCs w:val="20"/>
          <w:color w:val="auto"/>
        </w:rPr>
      </w:pPr>
    </w:p>
    <w:p>
      <w:pPr>
        <w:jc w:val="both"/>
        <w:ind w:left="8"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13.2 Assignment</w:t>
      </w:r>
      <w:r>
        <w:rPr>
          <w:rFonts w:ascii="Times New Roman" w:cs="Times New Roman" w:eastAsia="Times New Roman" w:hAnsi="Times New Roman"/>
          <w:sz w:val="15"/>
          <w:szCs w:val="15"/>
          <w:color w:val="auto"/>
        </w:rPr>
        <w:t>. Elanco shall be entitled to freely assign this Agreement or any portion thereof. Tarsus shall not be entitled to assign its rights hereunder without the express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written consent of the other Party, except that Tarsus may assign this Agreement: (a) to any of the following entities or any of their Affiliates: [***]; or any entity listed on a publicly traded exchange and with a market capitalization in excess of $[***] (each of the foregoing, a “</w:t>
      </w:r>
      <w:r>
        <w:rPr>
          <w:rFonts w:ascii="Times New Roman" w:cs="Times New Roman" w:eastAsia="Times New Roman" w:hAnsi="Times New Roman"/>
          <w:sz w:val="15"/>
          <w:szCs w:val="15"/>
          <w:b w:val="1"/>
          <w:bCs w:val="1"/>
          <w:i w:val="1"/>
          <w:iCs w:val="1"/>
          <w:color w:val="auto"/>
        </w:rPr>
        <w:t>Permitted Assignee</w:t>
      </w:r>
      <w:r>
        <w:rPr>
          <w:rFonts w:ascii="Times New Roman" w:cs="Times New Roman" w:eastAsia="Times New Roman" w:hAnsi="Times New Roman"/>
          <w:sz w:val="15"/>
          <w:szCs w:val="15"/>
          <w:color w:val="auto"/>
        </w:rPr>
        <w:t>”); or (b) to an Affiliate.</w:t>
      </w:r>
    </w:p>
    <w:p>
      <w:pPr>
        <w:spacing w:after="0" w:line="141" w:lineRule="exact"/>
        <w:rPr>
          <w:sz w:val="20"/>
          <w:szCs w:val="20"/>
          <w:color w:val="auto"/>
        </w:rPr>
      </w:pPr>
    </w:p>
    <w:p>
      <w:pPr>
        <w:jc w:val="both"/>
        <w:ind w:left="8" w:right="1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13.3 Further Assurances</w:t>
      </w:r>
      <w:r>
        <w:rPr>
          <w:rFonts w:ascii="Times New Roman" w:cs="Times New Roman" w:eastAsia="Times New Roman" w:hAnsi="Times New Roman"/>
          <w:sz w:val="15"/>
          <w:szCs w:val="15"/>
          <w:color w:val="auto"/>
        </w:rPr>
        <w:t>. At any time or from time to time after the Effective Date, each Party, at the other Party’s reasonable request, shall execute and deliver such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documents, agreements and instruments (including instruments of sale, transfer, conveyance, assignment and confirmation), provide such materials and information and take such other actions as the other Party may reasonably deem necessary or desirable in order more effectively effectuate the transactions contemplated by this Agreement.</w:t>
      </w:r>
    </w:p>
    <w:p>
      <w:pPr>
        <w:spacing w:after="0" w:line="141" w:lineRule="exact"/>
        <w:rPr>
          <w:sz w:val="20"/>
          <w:szCs w:val="20"/>
          <w:color w:val="auto"/>
        </w:rPr>
      </w:pPr>
    </w:p>
    <w:p>
      <w:pPr>
        <w:ind w:left="8"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13.4 Notice</w:t>
      </w:r>
      <w:r>
        <w:rPr>
          <w:rFonts w:ascii="Times New Roman" w:cs="Times New Roman" w:eastAsia="Times New Roman" w:hAnsi="Times New Roman"/>
          <w:sz w:val="15"/>
          <w:szCs w:val="15"/>
          <w:color w:val="auto"/>
        </w:rPr>
        <w:t>. Any notice or request required or permitted to be given under or in connection with this Agreement shall be deemed to have been sufficiently given if in writing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personally delivered or sent by certified mail (return receipt requested), or overnight express courier service (signature required), prepaid, to the Party for which such notice is intended, at the address set forth for such Party below:</w:t>
      </w:r>
    </w:p>
    <w:p>
      <w:pPr>
        <w:spacing w:after="0" w:line="52" w:lineRule="exact"/>
        <w:rPr>
          <w:sz w:val="20"/>
          <w:szCs w:val="20"/>
          <w:color w:val="auto"/>
        </w:rPr>
      </w:pPr>
    </w:p>
    <w:p>
      <w:pPr>
        <w:ind w:left="1228" w:hanging="214"/>
        <w:spacing w:after="0"/>
        <w:tabs>
          <w:tab w:leader="none" w:pos="1228" w:val="left"/>
        </w:tabs>
        <w:numPr>
          <w:ilvl w:val="0"/>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Tarsus,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156210</wp:posOffset>
            </wp:positionV>
            <wp:extent cx="64452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644525" cy="7620"/>
                    </a:xfrm>
                    <a:prstGeom prst="rect">
                      <a:avLst/>
                    </a:prstGeom>
                    <a:noFill/>
                  </pic:spPr>
                </pic:pic>
              </a:graphicData>
            </a:graphic>
          </wp:anchor>
        </w:drawing>
      </w:r>
    </w:p>
    <w:p>
      <w:pPr>
        <w:spacing w:after="0" w:line="257"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Attn:</w:t>
      </w:r>
    </w:p>
    <w:p>
      <w:pPr>
        <w:spacing w:after="0" w:line="104"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with a copy to:</w:t>
      </w:r>
    </w:p>
    <w:p>
      <w:pPr>
        <w:spacing w:after="0" w:line="104"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Gunderson Dettmer Stough Villeneuve Franklin and Hachigian LLP</w:t>
      </w:r>
    </w:p>
    <w:p>
      <w:pPr>
        <w:spacing w:after="0" w:line="26"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3570 Carmel Mountain Rd</w:t>
      </w:r>
    </w:p>
    <w:p>
      <w:pPr>
        <w:spacing w:after="0" w:line="12"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San Diego, CA 92130</w:t>
      </w:r>
    </w:p>
    <w:p>
      <w:pPr>
        <w:spacing w:after="0" w:line="12"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Attn: Brendan C. McCarthy</w:t>
      </w:r>
    </w:p>
    <w:p>
      <w:pPr>
        <w:spacing w:after="0" w:line="12" w:lineRule="exact"/>
        <w:rPr>
          <w:sz w:val="20"/>
          <w:szCs w:val="20"/>
          <w:color w:val="auto"/>
        </w:rPr>
      </w:pPr>
    </w:p>
    <w:p>
      <w:pPr>
        <w:ind w:left="1468"/>
        <w:spacing w:after="0"/>
        <w:rPr>
          <w:sz w:val="20"/>
          <w:szCs w:val="20"/>
          <w:color w:val="auto"/>
        </w:rPr>
      </w:pPr>
      <w:r>
        <w:rPr>
          <w:rFonts w:ascii="Times New Roman" w:cs="Times New Roman" w:eastAsia="Times New Roman" w:hAnsi="Times New Roman"/>
          <w:sz w:val="15"/>
          <w:szCs w:val="15"/>
          <w:color w:val="auto"/>
        </w:rPr>
        <w:t>Email: [***]</w:t>
      </w:r>
    </w:p>
    <w:p>
      <w:pPr>
        <w:spacing w:after="0" w:line="124"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188"/>
          </w:cols>
          <w:pgMar w:left="312" w:top="252" w:right="399" w:bottom="1440" w:gutter="0" w:footer="0" w:header="0"/>
        </w:sectPr>
      </w:pPr>
    </w:p>
    <w:bookmarkStart w:id="488" w:name="page489"/>
    <w:bookmarkEnd w:id="488"/>
    <w:p>
      <w:pPr>
        <w:ind w:left="1240" w:hanging="234"/>
        <w:spacing w:after="0"/>
        <w:tabs>
          <w:tab w:leader="none" w:pos="1240"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the case of Elanco, to:</w:t>
      </w:r>
    </w:p>
    <w:p>
      <w:pPr>
        <w:spacing w:after="0" w:line="1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Elanco US Inc.</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2500 Innovation Way N</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Greenfield IN 46140</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Attn: Edward D McGruder</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Email: [***]</w:t>
      </w:r>
    </w:p>
    <w:p>
      <w:pPr>
        <w:spacing w:after="0" w:line="18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with a copy to:</w:t>
      </w:r>
    </w:p>
    <w:p>
      <w:pPr>
        <w:spacing w:after="0" w:line="1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Elanco US Inc.</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2500 Innovation Way N</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Greenfield IN 46140</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Attn: General Patent Counsel</w:t>
      </w:r>
    </w:p>
    <w:p>
      <w:pPr>
        <w:spacing w:after="0" w:line="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146685</wp:posOffset>
            </wp:positionV>
            <wp:extent cx="64452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644525" cy="7620"/>
                    </a:xfrm>
                    <a:prstGeom prst="rect">
                      <a:avLst/>
                    </a:prstGeom>
                    <a:noFill/>
                  </pic:spPr>
                </pic:pic>
              </a:graphicData>
            </a:graphic>
          </wp:anchor>
        </w:drawing>
      </w:r>
    </w:p>
    <w:p>
      <w:pPr>
        <w:spacing w:after="0" w:line="3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or to such other address for such Party as it shall have specified by like notice to the other Party. If delivered personally, the date of delivery shall be deemed to be the date on which such notice or request was given, unless otherwise set forth in this Agreement. If sent by overnight express courier service, the date of delivery shall be deemed to be the next business day after such notice or request was deposited with such service, unless otherwise set forth in this Agreement. If sent by certified mail, the date of delivery shall be deemed to be the third business day after such notice or request was deposited with the U.S. Postal Service, or the foreign equivalent thereto, unless otherwise set forth in this Agreement.</w:t>
      </w:r>
    </w:p>
    <w:p>
      <w:pPr>
        <w:spacing w:after="0" w:line="148" w:lineRule="exact"/>
        <w:rPr>
          <w:sz w:val="20"/>
          <w:szCs w:val="20"/>
          <w:color w:val="auto"/>
        </w:rPr>
      </w:pPr>
    </w:p>
    <w:p>
      <w:pPr>
        <w:ind w:right="4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13.5 Public Announcements</w:t>
      </w:r>
      <w:r>
        <w:rPr>
          <w:rFonts w:ascii="Times New Roman" w:cs="Times New Roman" w:eastAsia="Times New Roman" w:hAnsi="Times New Roman"/>
          <w:sz w:val="15"/>
          <w:szCs w:val="15"/>
          <w:color w:val="auto"/>
        </w:rPr>
        <w:t>. Except as required by Applicable Law (including, without limitation, disclosure requirements of the U.S. Securities and Exchange Commission,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Nasdaq or any other stock exchange on which securities issued by Elanco are traded) and as permitted by Section 10.3, neither Party shall make any public announcement that the Parties have entered into this Agreement, without the prior written consent of the other Party (which shall not be unreasonably withheld). A Party shall be deemed to provide consent to any public announcement if it does not notify the other Party of its rejection within ten (10) days after receiving such proposed public announcement.</w:t>
      </w:r>
    </w:p>
    <w:p>
      <w:pPr>
        <w:spacing w:after="0" w:line="146"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13.6 Waiver; Remedies</w:t>
      </w:r>
      <w:r>
        <w:rPr>
          <w:rFonts w:ascii="Times New Roman" w:cs="Times New Roman" w:eastAsia="Times New Roman" w:hAnsi="Times New Roman"/>
          <w:sz w:val="15"/>
          <w:szCs w:val="15"/>
          <w:color w:val="auto"/>
        </w:rPr>
        <w:t>. A waiver by either Party of any of the terms and conditions of this Agreement in any instance must be made expressly in writing and signed by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representative of such Party. Any such waiver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46" w:lineRule="exact"/>
        <w:rPr>
          <w:sz w:val="20"/>
          <w:szCs w:val="20"/>
          <w:color w:val="auto"/>
        </w:rPr>
      </w:pPr>
    </w:p>
    <w:p>
      <w:pPr>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13.7 Severability</w:t>
      </w:r>
      <w:r>
        <w:rPr>
          <w:rFonts w:ascii="Times New Roman" w:cs="Times New Roman" w:eastAsia="Times New Roman" w:hAnsi="Times New Roman"/>
          <w:sz w:val="15"/>
          <w:szCs w:val="15"/>
          <w:color w:val="auto"/>
        </w:rPr>
        <w:t>. Each provision of this Agreement will be interpreted in such manner as to be effective and valid under Applicable Law, but if any provision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is held to be prohibited by or invalid under Applicable Law, such provision will be ineffective only to the extent of such prohibition or invalidity, without invalidating the remainder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40"/>
          </w:cols>
          <w:pgMar w:left="320" w:top="251" w:right="339" w:bottom="1440" w:gutter="0" w:footer="0" w:header="0"/>
        </w:sectPr>
      </w:pPr>
    </w:p>
    <w:bookmarkStart w:id="489" w:name="page490"/>
    <w:bookmarkEnd w:id="489"/>
    <w:p>
      <w:pPr>
        <w:ind w:right="2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13.8 Amendment</w:t>
      </w:r>
      <w:r>
        <w:rPr>
          <w:rFonts w:ascii="Times New Roman" w:cs="Times New Roman" w:eastAsia="Times New Roman" w:hAnsi="Times New Roman"/>
          <w:sz w:val="15"/>
          <w:szCs w:val="15"/>
          <w:color w:val="auto"/>
        </w:rPr>
        <w:t>. No amendment, modification or supplement of any provisions of this Agreement shall be valid or effective unless made in writing and signed by a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officer of each Party.</w:t>
      </w:r>
    </w:p>
    <w:p>
      <w:pPr>
        <w:spacing w:after="0" w:line="125" w:lineRule="exact"/>
        <w:rPr>
          <w:sz w:val="20"/>
          <w:szCs w:val="20"/>
          <w:color w:val="auto"/>
        </w:rPr>
      </w:pPr>
    </w:p>
    <w:p>
      <w:pPr>
        <w:ind w:right="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13.9 Governing Law</w:t>
      </w:r>
      <w:r>
        <w:rPr>
          <w:rFonts w:ascii="Times New Roman" w:cs="Times New Roman" w:eastAsia="Times New Roman" w:hAnsi="Times New Roman"/>
          <w:sz w:val="15"/>
          <w:szCs w:val="15"/>
          <w:color w:val="auto"/>
        </w:rPr>
        <w:t>. This Agreement shall be governed by and interpreted in accordance with the laws of the State of New York without regard to its principles of conflicts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laws.</w:t>
      </w:r>
    </w:p>
    <w:p>
      <w:pPr>
        <w:spacing w:after="0" w:line="125" w:lineRule="exact"/>
        <w:rPr>
          <w:sz w:val="20"/>
          <w:szCs w:val="20"/>
          <w:color w:val="auto"/>
        </w:rPr>
      </w:pPr>
    </w:p>
    <w:p>
      <w:pPr>
        <w:ind w:right="2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13.10 Entire Agreement</w:t>
      </w:r>
      <w:r>
        <w:rPr>
          <w:rFonts w:ascii="Times New Roman" w:cs="Times New Roman" w:eastAsia="Times New Roman" w:hAnsi="Times New Roman"/>
          <w:sz w:val="15"/>
          <w:szCs w:val="15"/>
          <w:color w:val="auto"/>
        </w:rPr>
        <w:t>. This Agreement, together with the Exhibits hereto, sets forth the entire agreement and understanding between the Parties as to the subject matter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merges all prior discussions, negotiations and agreements between them related to the subject matter hereof. For clarity, this Agreement supersedes and replaces the Confidentiality Agreement as of the Effective Date.</w:t>
      </w:r>
    </w:p>
    <w:p>
      <w:pPr>
        <w:spacing w:after="0" w:line="141" w:lineRule="exact"/>
        <w:rPr>
          <w:sz w:val="20"/>
          <w:szCs w:val="20"/>
          <w:color w:val="auto"/>
        </w:rPr>
      </w:pPr>
    </w:p>
    <w:p>
      <w:pPr>
        <w:ind w:right="20" w:firstLine="451"/>
        <w:spacing w:after="0" w:line="274" w:lineRule="auto"/>
        <w:rPr>
          <w:sz w:val="20"/>
          <w:szCs w:val="20"/>
          <w:color w:val="auto"/>
        </w:rPr>
      </w:pPr>
      <w:r>
        <w:rPr>
          <w:rFonts w:ascii="Times New Roman" w:cs="Times New Roman" w:eastAsia="Times New Roman" w:hAnsi="Times New Roman"/>
          <w:sz w:val="15"/>
          <w:szCs w:val="15"/>
          <w:b w:val="1"/>
          <w:bCs w:val="1"/>
          <w:color w:val="auto"/>
        </w:rPr>
        <w:t>13.11 Parties in Interest</w:t>
      </w:r>
      <w:r>
        <w:rPr>
          <w:rFonts w:ascii="Times New Roman" w:cs="Times New Roman" w:eastAsia="Times New Roman" w:hAnsi="Times New Roman"/>
          <w:sz w:val="15"/>
          <w:szCs w:val="15"/>
          <w:color w:val="auto"/>
        </w:rPr>
        <w:t>. All the terms and provisions of this Agreement shall be binding upon, inure to the benefit of and be enforceable by the Parties hereto and their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respective permitted successors and permitted assigns. Nothing in this Agreement, either express or implied, is intended to or shall confer upon any Third Party any legal or equitable right, benefit or remedy of any nature whatsoever under or by reason of this Agreement, which right, benefit or remedy such Third Party would not have independent of this Agreement.</w:t>
      </w:r>
    </w:p>
    <w:p>
      <w:pPr>
        <w:spacing w:after="0" w:line="332" w:lineRule="exact"/>
        <w:rPr>
          <w:sz w:val="20"/>
          <w:szCs w:val="20"/>
          <w:color w:val="auto"/>
        </w:rPr>
      </w:pPr>
    </w:p>
    <w:p>
      <w:pPr>
        <w:ind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13.12 Counterparts</w:t>
      </w:r>
      <w:r>
        <w:rPr>
          <w:rFonts w:ascii="Times New Roman" w:cs="Times New Roman" w:eastAsia="Times New Roman" w:hAnsi="Times New Roman"/>
          <w:sz w:val="15"/>
          <w:szCs w:val="15"/>
          <w:color w:val="auto"/>
        </w:rPr>
        <w:t>. This Agreement may be executed simultaneously in any number of counterparts, any one of which need not contain the signature of more than one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but all such counterparts taken together shall constitute one and the same agreement.</w:t>
      </w:r>
    </w:p>
    <w:p>
      <w:pPr>
        <w:spacing w:after="0" w:line="125" w:lineRule="exact"/>
        <w:rPr>
          <w:sz w:val="20"/>
          <w:szCs w:val="20"/>
          <w:color w:val="auto"/>
        </w:rPr>
      </w:pPr>
    </w:p>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13.13 Interpretations and Definitions</w:t>
      </w:r>
      <w:r>
        <w:rPr>
          <w:rFonts w:ascii="Times New Roman" w:cs="Times New Roman" w:eastAsia="Times New Roman" w:hAnsi="Times New Roman"/>
          <w:sz w:val="15"/>
          <w:szCs w:val="15"/>
          <w:color w:val="auto"/>
        </w:rPr>
        <w:t>. The descriptive headings of this Agreement are for convenience only, and shall be of no force or effect in construing or interpreting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of the provisions of this Agreement. All words and defined terms used in this Agreement shall have the same meaning whether used in the singular or plural form. When used in this Agreement, (a) the term “day” or “days” shall mean calendar days, unless otherwise indicated herein, and (b) the term “including” means “including, without limitation.” This Agreement has been prepared jointly and shall not be strictly construed against either Party.</w:t>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2"/>
          <w:szCs w:val="12"/>
          <w:b w:val="1"/>
          <w:bCs w:val="1"/>
          <w:color w:val="auto"/>
        </w:rPr>
        <w:t>EMAINDER OF</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5"/>
          <w:szCs w:val="15"/>
          <w:b w:val="1"/>
          <w:bCs w:val="1"/>
          <w:color w:val="auto"/>
        </w:rPr>
        <w:t>.</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180"/>
          </w:cols>
          <w:pgMar w:left="320" w:top="247" w:right="39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IN WITNESS WHEREOF, each of the undersigned has caused this Agreement to be executed by its duly authorized representative as of the Effective Date.</w:t>
      </w:r>
    </w:p>
    <w:p>
      <w:pPr>
        <w:sectPr>
          <w:pgSz w:w="11900" w:h="16838" w:orient="portrait"/>
          <w:cols w:equalWidth="0" w:num="1">
            <w:col w:w="10139"/>
          </w:cols>
          <w:pgMar w:left="320" w:top="252" w:right="1440" w:bottom="1440" w:gutter="0" w:footer="0" w:header="0"/>
        </w:sectPr>
      </w:pP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188" w:lineRule="exact"/>
        <w:rPr>
          <w:sz w:val="20"/>
          <w:szCs w:val="20"/>
          <w:color w:val="auto"/>
        </w:rPr>
      </w:pPr>
    </w:p>
    <w:tbl>
      <w:tblPr>
        <w:tblLayout w:type="fixed"/>
        <w:tblInd w:w="676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Bobak Azamian</w:t>
            </w:r>
          </w:p>
        </w:tc>
      </w:tr>
      <w:tr>
        <w:trPr>
          <w:trHeight w:val="291"/>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Bobak Azamian</w:t>
            </w:r>
          </w:p>
        </w:tc>
        <w:tc>
          <w:tcPr>
            <w:tcW w:w="300" w:type="dxa"/>
            <w:vAlign w:val="bottom"/>
          </w:tcPr>
          <w:p>
            <w:pPr>
              <w:spacing w:after="0"/>
              <w:rPr>
                <w:sz w:val="24"/>
                <w:szCs w:val="24"/>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ELANCO TIERGESUNDHEIT AG</w:t>
      </w:r>
    </w:p>
    <w:p>
      <w:pPr>
        <w:spacing w:after="0" w:line="188" w:lineRule="exact"/>
        <w:rPr>
          <w:sz w:val="20"/>
          <w:szCs w:val="20"/>
          <w:color w:val="auto"/>
        </w:rPr>
      </w:pPr>
    </w:p>
    <w:tbl>
      <w:tblPr>
        <w:tblLayout w:type="fixed"/>
        <w:tblInd w:w="676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Nilesh Ambani</w:t>
            </w:r>
          </w:p>
        </w:tc>
      </w:tr>
      <w:tr>
        <w:trPr>
          <w:trHeight w:val="291"/>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Nilesh Ambani</w:t>
            </w: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bl>
    <w:p>
      <w:pPr>
        <w:sectPr>
          <w:pgSz w:w="11900" w:h="16838" w:orient="portrait"/>
          <w:cols w:equalWidth="0" w:num="1">
            <w:col w:w="10139"/>
          </w:cols>
          <w:pgMar w:left="320" w:top="252" w:right="1440" w:bottom="1440" w:gutter="0" w:footer="0" w:header="0"/>
          <w:type w:val="continuous"/>
        </w:sectPr>
      </w:pPr>
    </w:p>
    <w:bookmarkStart w:id="491" w:name="page492"/>
    <w:bookmarkEnd w:id="49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Licensed Patents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92" w:name="page493"/>
    <w:bookmarkEnd w:id="492"/>
    <w:tbl>
      <w:tblPr>
        <w:tblLayout w:type="fixed"/>
        <w:tblInd w:w="9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5920" w:type="dxa"/>
            <w:vAlign w:val="bottom"/>
            <w:gridSpan w:val="3"/>
          </w:tcPr>
          <w:p>
            <w:pPr>
              <w:jc w:val="center"/>
              <w:ind w:right="743"/>
              <w:spacing w:after="0"/>
              <w:rPr>
                <w:sz w:val="20"/>
                <w:szCs w:val="20"/>
                <w:color w:val="auto"/>
              </w:rPr>
            </w:pPr>
            <w:r>
              <w:rPr>
                <w:rFonts w:ascii="Times New Roman" w:cs="Times New Roman" w:eastAsia="Times New Roman" w:hAnsi="Times New Roman"/>
                <w:sz w:val="15"/>
                <w:szCs w:val="15"/>
                <w:b w:val="1"/>
                <w:bCs w:val="1"/>
                <w:color w:val="auto"/>
              </w:rPr>
              <w:t>Exhibit B</w:t>
            </w:r>
          </w:p>
        </w:tc>
      </w:tr>
      <w:tr>
        <w:trPr>
          <w:trHeight w:val="277"/>
        </w:trPr>
        <w:tc>
          <w:tcPr>
            <w:tcW w:w="1040" w:type="dxa"/>
            <w:vAlign w:val="bottom"/>
          </w:tcPr>
          <w:p>
            <w:pPr>
              <w:spacing w:after="0"/>
              <w:rPr>
                <w:sz w:val="24"/>
                <w:szCs w:val="24"/>
                <w:color w:val="auto"/>
              </w:rPr>
            </w:pPr>
          </w:p>
        </w:tc>
        <w:tc>
          <w:tcPr>
            <w:tcW w:w="5920" w:type="dxa"/>
            <w:vAlign w:val="bottom"/>
            <w:gridSpan w:val="3"/>
          </w:tcPr>
          <w:p>
            <w:pPr>
              <w:jc w:val="center"/>
              <w:ind w:right="743"/>
              <w:spacing w:after="0"/>
              <w:rPr>
                <w:sz w:val="20"/>
                <w:szCs w:val="20"/>
                <w:color w:val="auto"/>
              </w:rPr>
            </w:pPr>
            <w:r>
              <w:rPr>
                <w:rFonts w:ascii="Times New Roman" w:cs="Times New Roman" w:eastAsia="Times New Roman" w:hAnsi="Times New Roman"/>
                <w:sz w:val="15"/>
                <w:szCs w:val="15"/>
                <w:b w:val="1"/>
                <w:bCs w:val="1"/>
                <w:color w:val="auto"/>
              </w:rPr>
              <w:t>Diligence Milestones</w:t>
            </w:r>
          </w:p>
        </w:tc>
      </w:tr>
      <w:tr>
        <w:trPr>
          <w:trHeight w:val="334"/>
        </w:trPr>
        <w:tc>
          <w:tcPr>
            <w:tcW w:w="1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Diligence Milestone</w:t>
            </w:r>
          </w:p>
        </w:tc>
        <w:tc>
          <w:tcPr>
            <w:tcW w:w="378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Achievement Deadline</w:t>
            </w:r>
          </w:p>
        </w:tc>
      </w:tr>
      <w:tr>
        <w:trPr>
          <w:trHeight w:val="161"/>
        </w:trPr>
        <w:tc>
          <w:tcPr>
            <w:tcW w:w="104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4"/>
                <w:szCs w:val="14"/>
                <w:color w:val="auto"/>
              </w:rPr>
            </w:pPr>
          </w:p>
        </w:tc>
        <w:tc>
          <w:tcPr>
            <w:tcW w:w="12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 months from</w:t>
            </w:r>
          </w:p>
        </w:tc>
        <w:tc>
          <w:tcPr>
            <w:tcW w:w="9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agreement date</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months</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years</w:t>
            </w:r>
          </w:p>
        </w:tc>
      </w:tr>
      <w:tr>
        <w:trPr>
          <w:trHeight w:val="199"/>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years</w:t>
            </w:r>
          </w:p>
        </w:tc>
      </w:tr>
    </w:tbl>
    <w:p>
      <w:pPr>
        <w:spacing w:after="0"/>
        <w:rPr>
          <w:sz w:val="20"/>
          <w:szCs w:val="20"/>
          <w:color w:val="auto"/>
        </w:rPr>
        <w:sectPr>
          <w:pgSz w:w="11900" w:h="16838" w:orient="portrait"/>
          <w:cols w:equalWidth="0" w:num="1">
            <w:col w:w="9019"/>
          </w:cols>
          <w:pgMar w:left="1440" w:top="247" w:right="1440" w:bottom="1440" w:gutter="0" w:footer="0" w:header="0"/>
        </w:sect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bookmarkStart w:id="493" w:name="page494"/>
    <w:bookmarkEnd w:id="493"/>
    <w:tbl>
      <w:tblPr>
        <w:tblLayout w:type="fixed"/>
        <w:tblInd w:w="92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5620" w:type="dxa"/>
            <w:vAlign w:val="bottom"/>
            <w:gridSpan w:val="3"/>
          </w:tcPr>
          <w:p>
            <w:pPr>
              <w:jc w:val="center"/>
              <w:ind w:right="463"/>
              <w:spacing w:after="0"/>
              <w:rPr>
                <w:sz w:val="20"/>
                <w:szCs w:val="20"/>
                <w:color w:val="auto"/>
              </w:rPr>
            </w:pPr>
            <w:r>
              <w:rPr>
                <w:rFonts w:ascii="Times New Roman" w:cs="Times New Roman" w:eastAsia="Times New Roman" w:hAnsi="Times New Roman"/>
                <w:sz w:val="15"/>
                <w:szCs w:val="15"/>
                <w:b w:val="1"/>
                <w:bCs w:val="1"/>
                <w:color w:val="auto"/>
              </w:rPr>
              <w:t>Exhibit C</w:t>
            </w:r>
          </w:p>
        </w:tc>
      </w:tr>
      <w:tr>
        <w:trPr>
          <w:trHeight w:val="277"/>
        </w:trPr>
        <w:tc>
          <w:tcPr>
            <w:tcW w:w="1040" w:type="dxa"/>
            <w:vAlign w:val="bottom"/>
          </w:tcPr>
          <w:p>
            <w:pPr>
              <w:spacing w:after="0"/>
              <w:rPr>
                <w:sz w:val="24"/>
                <w:szCs w:val="24"/>
                <w:color w:val="auto"/>
              </w:rPr>
            </w:pPr>
          </w:p>
        </w:tc>
        <w:tc>
          <w:tcPr>
            <w:tcW w:w="5620" w:type="dxa"/>
            <w:vAlign w:val="bottom"/>
            <w:gridSpan w:val="3"/>
          </w:tcPr>
          <w:p>
            <w:pPr>
              <w:jc w:val="center"/>
              <w:ind w:right="463"/>
              <w:spacing w:after="0"/>
              <w:rPr>
                <w:sz w:val="20"/>
                <w:szCs w:val="20"/>
                <w:color w:val="auto"/>
              </w:rPr>
            </w:pPr>
            <w:r>
              <w:rPr>
                <w:rFonts w:ascii="Times New Roman" w:cs="Times New Roman" w:eastAsia="Times New Roman" w:hAnsi="Times New Roman"/>
                <w:sz w:val="15"/>
                <w:szCs w:val="15"/>
                <w:b w:val="1"/>
                <w:bCs w:val="1"/>
                <w:color w:val="auto"/>
              </w:rPr>
              <w:t>Dermatology Milestones</w:t>
            </w:r>
          </w:p>
        </w:tc>
      </w:tr>
      <w:tr>
        <w:trPr>
          <w:trHeight w:val="334"/>
        </w:trPr>
        <w:tc>
          <w:tcPr>
            <w:tcW w:w="1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Diligence Milestone</w:t>
            </w:r>
          </w:p>
        </w:tc>
        <w:tc>
          <w:tcPr>
            <w:tcW w:w="378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Achievement Deadline</w:t>
            </w:r>
          </w:p>
        </w:tc>
      </w:tr>
      <w:tr>
        <w:trPr>
          <w:trHeight w:val="161"/>
        </w:trPr>
        <w:tc>
          <w:tcPr>
            <w:tcW w:w="104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4"/>
                <w:szCs w:val="14"/>
                <w:color w:val="auto"/>
              </w:rPr>
            </w:pPr>
          </w:p>
        </w:tc>
        <w:tc>
          <w:tcPr>
            <w:tcW w:w="12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 months from</w:t>
            </w:r>
          </w:p>
        </w:tc>
        <w:tc>
          <w:tcPr>
            <w:tcW w:w="6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w w:val="99"/>
              </w:rPr>
              <w:t>agreement</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months</w:t>
            </w:r>
          </w:p>
        </w:tc>
      </w:tr>
      <w:tr>
        <w:trPr>
          <w:trHeight w:val="184"/>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years</w:t>
            </w:r>
          </w:p>
        </w:tc>
      </w:tr>
      <w:tr>
        <w:trPr>
          <w:trHeight w:val="199"/>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78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years</w:t>
            </w:r>
          </w:p>
        </w:tc>
      </w:tr>
    </w:tbl>
    <w:p>
      <w:pPr>
        <w:spacing w:after="0"/>
        <w:rPr>
          <w:sz w:val="20"/>
          <w:szCs w:val="20"/>
          <w:color w:val="auto"/>
        </w:rPr>
        <w:sectPr>
          <w:pgSz w:w="11900" w:h="16838" w:orient="portrait"/>
          <w:cols w:equalWidth="0" w:num="1">
            <w:col w:w="9019"/>
          </w:cols>
          <w:pgMar w:left="1440" w:top="248" w:right="1440" w:bottom="1440" w:gutter="0" w:footer="0" w:header="0"/>
        </w:sect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7167245" cy="21590"/>
                    </a:xfrm>
                    <a:prstGeom prst="rect">
                      <a:avLst/>
                    </a:prstGeom>
                    <a:noFill/>
                  </pic:spPr>
                </pic:pic>
              </a:graphicData>
            </a:graphic>
          </wp:anchor>
        </w:drawing>
      </w:r>
    </w:p>
    <w:bookmarkStart w:id="494" w:name="page495"/>
    <w:bookmarkEnd w:id="494"/>
    <w:p>
      <w:pPr>
        <w:ind w:left="41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7167245" cy="21590"/>
                    </a:xfrm>
                    <a:prstGeom prst="rect">
                      <a:avLst/>
                    </a:prstGeom>
                    <a:noFill/>
                  </pic:spPr>
                </pic:pic>
              </a:graphicData>
            </a:graphic>
          </wp:anchor>
        </w:drawing>
        <w:t>Exhibit D</w:t>
      </w:r>
    </w:p>
    <w:p>
      <w:pPr>
        <w:spacing w:after="0" w:line="10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5"/>
          <w:szCs w:val="15"/>
          <w:color w:val="auto"/>
        </w:rPr>
        <w:t>Summary of the intended development and commercialization activities.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495" w:name="page496"/>
    <w:bookmarkEnd w:id="495"/>
    <w:p>
      <w:pPr>
        <w:jc w:val="center"/>
        <w:ind w:right="20"/>
        <w:spacing w:after="0" w:line="298" w:lineRule="auto"/>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ERTAIN IDENTIFIED INFORMATION HAS BEEN OMITTED FROM THIS DOCUMENT BECAUSE IT IS BOTH NOT MATERIAL AND WOULD LIKELY CAUSE COMPETITIVE HARM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2"/>
          <w:szCs w:val="12"/>
          <w:b w:val="1"/>
          <w:bCs w:val="1"/>
          <w:color w:val="auto"/>
        </w:rPr>
        <w:t>THE REGISTRANT IF PUBLICLY DISCLOSED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 xml:space="preserve"> AND HAS BEEN MARKED WITH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 xml:space="preserve"> TO INDICATE WHERE OMISSIONS HAVE BEEN MADE</w:t>
      </w:r>
      <w:r>
        <w:rPr>
          <w:rFonts w:ascii="Times New Roman" w:cs="Times New Roman" w:eastAsia="Times New Roman" w:hAnsi="Times New Roman"/>
          <w:sz w:val="15"/>
          <w:szCs w:val="15"/>
          <w:b w:val="1"/>
          <w:bCs w:val="1"/>
          <w:color w:val="auto"/>
        </w:rPr>
        <w:t>.</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Exhibit 10.11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AMENDMENT TO LICENSE AGREEMENT</w:t>
      </w:r>
    </w:p>
    <w:p>
      <w:pPr>
        <w:spacing w:after="0" w:line="196" w:lineRule="exact"/>
        <w:rPr>
          <w:sz w:val="20"/>
          <w:szCs w:val="20"/>
          <w:color w:val="auto"/>
        </w:rPr>
      </w:pPr>
    </w:p>
    <w:p>
      <w:pPr>
        <w:jc w:val="both"/>
        <w:ind w:firstLine="1014"/>
        <w:spacing w:after="0" w:line="277" w:lineRule="auto"/>
        <w:rPr>
          <w:sz w:val="20"/>
          <w:szCs w:val="20"/>
          <w:color w:val="auto"/>
        </w:rPr>
      </w:pPr>
      <w:r>
        <w:rPr>
          <w:rFonts w:ascii="Times New Roman" w:cs="Times New Roman" w:eastAsia="Times New Roman" w:hAnsi="Times New Roman"/>
          <w:sz w:val="15"/>
          <w:szCs w:val="15"/>
          <w:color w:val="auto"/>
        </w:rPr>
        <w:t>This Amendment to License Agreement (“</w:t>
      </w:r>
      <w:r>
        <w:rPr>
          <w:rFonts w:ascii="Times New Roman" w:cs="Times New Roman" w:eastAsia="Times New Roman" w:hAnsi="Times New Roman"/>
          <w:sz w:val="15"/>
          <w:szCs w:val="15"/>
          <w:b w:val="1"/>
          <w:bCs w:val="1"/>
          <w:i w:val="1"/>
          <w:iCs w:val="1"/>
          <w:color w:val="auto"/>
        </w:rPr>
        <w:t>Amendment</w:t>
      </w:r>
      <w:r>
        <w:rPr>
          <w:rFonts w:ascii="Times New Roman" w:cs="Times New Roman" w:eastAsia="Times New Roman" w:hAnsi="Times New Roman"/>
          <w:sz w:val="15"/>
          <w:szCs w:val="15"/>
          <w:color w:val="auto"/>
        </w:rPr>
        <w:t>”) is made and entered into as of September 3, 2020 (the “</w:t>
      </w:r>
      <w:r>
        <w:rPr>
          <w:rFonts w:ascii="Times New Roman" w:cs="Times New Roman" w:eastAsia="Times New Roman" w:hAnsi="Times New Roman"/>
          <w:sz w:val="15"/>
          <w:szCs w:val="15"/>
          <w:b w:val="1"/>
          <w:bCs w:val="1"/>
          <w:i w:val="1"/>
          <w:iCs w:val="1"/>
          <w:color w:val="auto"/>
        </w:rPr>
        <w:t>Amendment Effective Date</w:t>
      </w:r>
      <w:r>
        <w:rPr>
          <w:rFonts w:ascii="Times New Roman" w:cs="Times New Roman" w:eastAsia="Times New Roman" w:hAnsi="Times New Roman"/>
          <w:sz w:val="15"/>
          <w:szCs w:val="15"/>
          <w:color w:val="auto"/>
        </w:rPr>
        <w:t>”) by and between Elanco Tiergesundheit AG, a Swiss corporation having place of business at Mattenstrasse 24A, 4058 Basel, Switzerland (“</w:t>
      </w:r>
      <w:r>
        <w:rPr>
          <w:rFonts w:ascii="Times New Roman" w:cs="Times New Roman" w:eastAsia="Times New Roman" w:hAnsi="Times New Roman"/>
          <w:sz w:val="15"/>
          <w:szCs w:val="15"/>
          <w:b w:val="1"/>
          <w:bCs w:val="1"/>
          <w:i w:val="1"/>
          <w:iCs w:val="1"/>
          <w:color w:val="auto"/>
        </w:rPr>
        <w:t>Elanco</w:t>
      </w:r>
      <w:r>
        <w:rPr>
          <w:rFonts w:ascii="Times New Roman" w:cs="Times New Roman" w:eastAsia="Times New Roman" w:hAnsi="Times New Roman"/>
          <w:sz w:val="15"/>
          <w:szCs w:val="15"/>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15"/>
          <w:szCs w:val="15"/>
          <w:b w:val="1"/>
          <w:bCs w:val="1"/>
          <w:i w:val="1"/>
          <w:iCs w:val="1"/>
          <w:color w:val="auto"/>
        </w:rPr>
        <w:t>Tarsus</w:t>
      </w:r>
      <w:r>
        <w:rPr>
          <w:rFonts w:ascii="Times New Roman" w:cs="Times New Roman" w:eastAsia="Times New Roman" w:hAnsi="Times New Roman"/>
          <w:sz w:val="15"/>
          <w:szCs w:val="15"/>
          <w:color w:val="auto"/>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WHEREAS, Elanco and Tarsus entered into that certain License Agreement, dated January 31, 2019 (the “</w:t>
      </w:r>
      <w:r>
        <w:rPr>
          <w:rFonts w:ascii="Times New Roman" w:cs="Times New Roman" w:eastAsia="Times New Roman" w:hAnsi="Times New Roman"/>
          <w:sz w:val="15"/>
          <w:szCs w:val="15"/>
          <w:b w:val="1"/>
          <w:bCs w:val="1"/>
          <w:i w:val="1"/>
          <w:iCs w:val="1"/>
          <w:color w:val="auto"/>
        </w:rPr>
        <w:t>License Agreement</w:t>
      </w:r>
      <w:r>
        <w:rPr>
          <w:rFonts w:ascii="Times New Roman" w:cs="Times New Roman" w:eastAsia="Times New Roman" w:hAnsi="Times New Roman"/>
          <w:sz w:val="15"/>
          <w:szCs w:val="15"/>
          <w:color w:val="auto"/>
        </w:rPr>
        <w:t>”); and</w:t>
      </w:r>
    </w:p>
    <w:p>
      <w:pPr>
        <w:spacing w:after="0" w:line="2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WHEREAS, Elanco and Tarsus desire to modify the License Agreement in accordance with the terms and conditions of this Amendment.</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NOW, THEREFORE, in consideration of the foregoing, and for other good and valuable consideration, the receipt and sufficiency of which is hereby acknowledged,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Elanco and Tarsus agree and amend the License Agreement as follows:</w:t>
      </w:r>
    </w:p>
    <w:p>
      <w:pPr>
        <w:spacing w:after="0" w:line="182" w:lineRule="exact"/>
        <w:rPr>
          <w:sz w:val="20"/>
          <w:szCs w:val="20"/>
          <w:color w:val="auto"/>
        </w:rPr>
      </w:pPr>
    </w:p>
    <w:p>
      <w:pPr>
        <w:ind w:left="600" w:hanging="157"/>
        <w:spacing w:after="0"/>
        <w:tabs>
          <w:tab w:leader="none" w:pos="600" w:val="left"/>
        </w:tabs>
        <w:numPr>
          <w:ilvl w:val="0"/>
          <w:numId w:val="4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capitalized terms used but not otherwise defined herein shall have the meanings ascribed to such terms in the License Agreement.</w:t>
      </w:r>
    </w:p>
    <w:p>
      <w:pPr>
        <w:spacing w:after="0" w:line="196" w:lineRule="exact"/>
        <w:rPr>
          <w:rFonts w:ascii="Times New Roman" w:cs="Times New Roman" w:eastAsia="Times New Roman" w:hAnsi="Times New Roman"/>
          <w:sz w:val="15"/>
          <w:szCs w:val="15"/>
          <w:color w:val="auto"/>
        </w:rPr>
      </w:pPr>
    </w:p>
    <w:p>
      <w:pPr>
        <w:ind w:right="20" w:firstLine="443"/>
        <w:spacing w:after="0" w:line="293" w:lineRule="auto"/>
        <w:tabs>
          <w:tab w:leader="none" w:pos="607" w:val="left"/>
        </w:tabs>
        <w:numPr>
          <w:ilvl w:val="0"/>
          <w:numId w:val="4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Section 1.10 is hereby added to the License Agreement as follows (and, accordingly, the numbering of Section previous 1.10 and all other subsections of Section 1 are increased by one (1) subsection number):</w:t>
      </w:r>
    </w:p>
    <w:p>
      <w:pPr>
        <w:spacing w:after="0" w:line="36" w:lineRule="exact"/>
        <w:rPr>
          <w:sz w:val="20"/>
          <w:szCs w:val="20"/>
          <w:color w:val="auto"/>
        </w:rPr>
      </w:pPr>
    </w:p>
    <w:p>
      <w:pPr>
        <w:jc w:val="both"/>
        <w:ind w:left="440"/>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Elanco Field</w:t>
      </w:r>
      <w:r>
        <w:rPr>
          <w:rFonts w:ascii="Times New Roman" w:cs="Times New Roman" w:eastAsia="Times New Roman" w:hAnsi="Times New Roman"/>
          <w:sz w:val="15"/>
          <w:szCs w:val="15"/>
          <w:color w:val="auto"/>
        </w:rPr>
        <w:t>’ means all applications for non-human animals, agricultural applications, seed treatment applications and urban pest applications related to structural, turf, lawns and gardens, including treatment of premises and ornamental pest markets but excluding, for clarity, any mosquito vector control for human disease or any human therapeutics.”</w:t>
      </w:r>
    </w:p>
    <w:p>
      <w:pPr>
        <w:spacing w:after="0" w:line="325" w:lineRule="exact"/>
        <w:rPr>
          <w:sz w:val="20"/>
          <w:szCs w:val="20"/>
          <w:color w:val="auto"/>
        </w:rPr>
      </w:pPr>
    </w:p>
    <w:p>
      <w:pPr>
        <w:ind w:right="20" w:firstLine="443"/>
        <w:spacing w:after="0" w:line="293" w:lineRule="auto"/>
        <w:tabs>
          <w:tab w:leader="none" w:pos="606"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Section 1.12 is hereby added to the License Agreement as follows (and, accordingly, the numbering of Section 1.12 and all other subsections of Section 1 are increased by one (1) subsection number):</w:t>
      </w:r>
    </w:p>
    <w:p>
      <w:pPr>
        <w:spacing w:after="0" w:line="36" w:lineRule="exact"/>
        <w:rPr>
          <w:sz w:val="20"/>
          <w:szCs w:val="20"/>
          <w:color w:val="auto"/>
        </w:rPr>
      </w:pPr>
    </w:p>
    <w:p>
      <w:pPr>
        <w:ind w:left="440" w:right="20"/>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Existing Manufacturer</w:t>
      </w:r>
      <w:r>
        <w:rPr>
          <w:rFonts w:ascii="Times New Roman" w:cs="Times New Roman" w:eastAsia="Times New Roman" w:hAnsi="Times New Roman"/>
          <w:sz w:val="15"/>
          <w:szCs w:val="15"/>
          <w:color w:val="auto"/>
        </w:rPr>
        <w:t>” means a third party that manufactures for which Tarsus pays (or has paid) Elanco $[***] pursuant to Section 3.1 of that certain License Agreement entered into by and between Tarsus and Elanco on or around even date herewith (the “</w:t>
      </w:r>
      <w:r>
        <w:rPr>
          <w:rFonts w:ascii="Times New Roman" w:cs="Times New Roman" w:eastAsia="Times New Roman" w:hAnsi="Times New Roman"/>
          <w:sz w:val="15"/>
          <w:szCs w:val="15"/>
          <w:b w:val="1"/>
          <w:bCs w:val="1"/>
          <w:i w:val="1"/>
          <w:iCs w:val="1"/>
          <w:color w:val="auto"/>
        </w:rPr>
        <w:t>Systemic License Agreement</w:t>
      </w:r>
      <w:r>
        <w:rPr>
          <w:rFonts w:ascii="Times New Roman" w:cs="Times New Roman" w:eastAsia="Times New Roman" w:hAnsi="Times New Roman"/>
          <w:sz w:val="15"/>
          <w:szCs w:val="15"/>
          <w:color w:val="auto"/>
        </w:rPr>
        <w: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121" w:right="319" w:bottom="1440" w:gutter="0" w:footer="0" w:header="0"/>
        </w:sectPr>
      </w:pPr>
    </w:p>
    <w:bookmarkStart w:id="496" w:name="page497"/>
    <w:bookmarkEnd w:id="496"/>
    <w:p>
      <w:pPr>
        <w:ind w:firstLine="443"/>
        <w:spacing w:after="0" w:line="298" w:lineRule="auto"/>
        <w:tabs>
          <w:tab w:leader="none" w:pos="608" w:val="left"/>
        </w:tabs>
        <w:numPr>
          <w:ilvl w:val="0"/>
          <w:numId w:val="4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The first sentence of Section 1.14 (previously Section 1.13)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ind w:left="440"/>
        <w:spacing w:after="0" w:line="29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First Commercial Sale</w:t>
      </w:r>
      <w:r>
        <w:rPr>
          <w:rFonts w:ascii="Times New Roman" w:cs="Times New Roman" w:eastAsia="Times New Roman" w:hAnsi="Times New Roman"/>
          <w:sz w:val="15"/>
          <w:szCs w:val="15"/>
          <w:color w:val="auto"/>
        </w:rPr>
        <w:t xml:space="preserve">’ for a country means the first commercial sale of a Licensed Product to a Third Party by Tarsus or any of its Affiliates or sublicensees of such Licensed Product after final approval by the applicable government authority to market such product for human use in </w:t>
      </w:r>
      <w:r>
        <w:rPr>
          <w:rFonts w:ascii="Times New Roman" w:cs="Times New Roman" w:eastAsia="Times New Roman" w:hAnsi="Times New Roman"/>
          <w:sz w:val="15"/>
          <w:szCs w:val="15"/>
          <w:b w:val="1"/>
          <w:bCs w:val="1"/>
          <w:u w:val="single" w:color="auto"/>
          <w:color w:val="auto"/>
        </w:rPr>
        <w:t>the Field in</w:t>
      </w:r>
      <w:r>
        <w:rPr>
          <w:rFonts w:ascii="Times New Roman" w:cs="Times New Roman" w:eastAsia="Times New Roman" w:hAnsi="Times New Roman"/>
          <w:sz w:val="15"/>
          <w:szCs w:val="15"/>
          <w:color w:val="auto"/>
        </w:rPr>
        <w:t xml:space="preserve"> such country (e.g. NDA approval).”</w:t>
      </w:r>
    </w:p>
    <w:p>
      <w:pPr>
        <w:spacing w:after="0" w:line="125" w:lineRule="exact"/>
        <w:rPr>
          <w:sz w:val="20"/>
          <w:szCs w:val="20"/>
          <w:color w:val="auto"/>
        </w:rPr>
      </w:pPr>
    </w:p>
    <w:p>
      <w:pPr>
        <w:ind w:firstLine="443"/>
        <w:spacing w:after="0" w:line="298" w:lineRule="auto"/>
        <w:tabs>
          <w:tab w:leader="none" w:pos="608" w:val="left"/>
        </w:tabs>
        <w:numPr>
          <w:ilvl w:val="0"/>
          <w:numId w:val="4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first sentence of Section 1.26 (previously Section 1.25)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jc w:val="both"/>
        <w:ind w:left="440"/>
        <w:spacing w:after="0" w:line="277"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Net Sales</w:t>
      </w:r>
      <w:r>
        <w:rPr>
          <w:rFonts w:ascii="Times New Roman" w:cs="Times New Roman" w:eastAsia="Times New Roman" w:hAnsi="Times New Roman"/>
          <w:sz w:val="15"/>
          <w:szCs w:val="15"/>
          <w:color w:val="auto"/>
        </w:rPr>
        <w:t xml:space="preserve">’ means, with respect to a Licensed Product, the gross amount invoiced by Tarsus (including a Tarsus Affiliate) or any sublicensee thereof to unrelated Third Parties, excluding any sublicensee, for such Licensed Product </w:t>
      </w:r>
      <w:r>
        <w:rPr>
          <w:rFonts w:ascii="Times New Roman" w:cs="Times New Roman" w:eastAsia="Times New Roman" w:hAnsi="Times New Roman"/>
          <w:sz w:val="15"/>
          <w:szCs w:val="15"/>
          <w:b w:val="1"/>
          <w:bCs w:val="1"/>
          <w:u w:val="single" w:color="auto"/>
          <w:color w:val="auto"/>
        </w:rPr>
        <w:t>in the Field</w:t>
      </w:r>
      <w:r>
        <w:rPr>
          <w:rFonts w:ascii="Times New Roman" w:cs="Times New Roman" w:eastAsia="Times New Roman" w:hAnsi="Times New Roman"/>
          <w:sz w:val="15"/>
          <w:szCs w:val="15"/>
          <w:color w:val="auto"/>
        </w:rPr>
        <w:t xml:space="preserve"> in the Territory during the Royalty Term in the country of sale,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the following items applied consistent with U.S. Generally Accepted Accounting Principles:</w:t>
      </w:r>
    </w:p>
    <w:p>
      <w:pPr>
        <w:spacing w:after="0" w:line="52" w:lineRule="exact"/>
        <w:rPr>
          <w:sz w:val="20"/>
          <w:szCs w:val="20"/>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 quantity and cash discounts allowed;</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Discounts, refunds, rebates, chargebacks, retroactive price adjustments, and any other allowances which effectively reduce the net selling price;</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Licensed Product returns and allowances;</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portion of the sales value associated with drug delivery systems, where applicable;</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tax imposed on the production, sale, delivery or use of the Licensed Product, including, without limitation, sales, use, excise or value added taxes;</w:t>
      </w:r>
    </w:p>
    <w:p>
      <w:pPr>
        <w:spacing w:after="0" w:line="104" w:lineRule="exact"/>
        <w:rPr>
          <w:rFonts w:ascii="Times New Roman" w:cs="Times New Roman" w:eastAsia="Times New Roman" w:hAnsi="Times New Roman"/>
          <w:sz w:val="15"/>
          <w:szCs w:val="15"/>
          <w:color w:val="auto"/>
        </w:rPr>
      </w:pPr>
    </w:p>
    <w:p>
      <w:pPr>
        <w:ind w:left="640" w:hanging="197"/>
        <w:spacing w:after="0"/>
        <w:tabs>
          <w:tab w:leader="none" w:pos="64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Wholesaler inventory management fees;</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Allowance for distribution expenses; and</w:t>
      </w:r>
    </w:p>
    <w:p>
      <w:pPr>
        <w:spacing w:after="0" w:line="104" w:lineRule="exact"/>
        <w:rPr>
          <w:rFonts w:ascii="Times New Roman" w:cs="Times New Roman" w:eastAsia="Times New Roman" w:hAnsi="Times New Roman"/>
          <w:sz w:val="15"/>
          <w:szCs w:val="15"/>
          <w:color w:val="auto"/>
        </w:rPr>
      </w:pPr>
    </w:p>
    <w:p>
      <w:pPr>
        <w:ind w:left="660" w:hanging="217"/>
        <w:spacing w:after="0"/>
        <w:tabs>
          <w:tab w:leader="none" w:pos="660"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similar and customary deductions which are in accordance with GAAP.”</w:t>
      </w:r>
    </w:p>
    <w:p>
      <w:pPr>
        <w:spacing w:after="0" w:line="192" w:lineRule="exact"/>
        <w:rPr>
          <w:sz w:val="20"/>
          <w:szCs w:val="20"/>
          <w:color w:val="auto"/>
        </w:rPr>
      </w:pPr>
    </w:p>
    <w:p>
      <w:pPr>
        <w:ind w:right="20" w:firstLine="443"/>
        <w:spacing w:after="0" w:line="298" w:lineRule="auto"/>
        <w:tabs>
          <w:tab w:leader="none" w:pos="619" w:val="left"/>
        </w:tabs>
        <w:numPr>
          <w:ilvl w:val="0"/>
          <w:numId w:val="4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Section 1.28 (previously Section 1.27)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jc w:val="both"/>
        <w:ind w:left="440"/>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2 Clinical Trial’</w:t>
      </w:r>
      <w:r>
        <w:rPr>
          <w:rFonts w:ascii="Times New Roman" w:cs="Times New Roman" w:eastAsia="Times New Roman" w:hAnsi="Times New Roman"/>
          <w:sz w:val="15"/>
          <w:szCs w:val="15"/>
          <w:color w:val="auto"/>
        </w:rPr>
        <w:t xml:space="preserve"> means a clinical trial phase 2a, 2b or adaptive design </w:t>
      </w:r>
      <w:r>
        <w:rPr>
          <w:rFonts w:ascii="Times New Roman" w:cs="Times New Roman" w:eastAsia="Times New Roman" w:hAnsi="Times New Roman"/>
          <w:sz w:val="15"/>
          <w:szCs w:val="15"/>
          <w:b w:val="1"/>
          <w:bCs w:val="1"/>
          <w:u w:val="single" w:color="auto"/>
          <w:color w:val="auto"/>
        </w:rPr>
        <w:t>for an indication in the Field</w:t>
      </w:r>
      <w:r>
        <w:rPr>
          <w:rFonts w:ascii="Times New Roman" w:cs="Times New Roman" w:eastAsia="Times New Roman" w:hAnsi="Times New Roman"/>
          <w:sz w:val="15"/>
          <w:szCs w:val="15"/>
          <w:color w:val="auto"/>
        </w:rPr>
        <w:t xml:space="preserve"> that is both (a) designed to evaluate clinical efficacy and safety for a pharmaceutical product, in a manner that is generally consistent with 21 C.F.R. § 312.21(b), as amended (or its successor regulation) and/or any analogous applicable law outside of the United States, as applicable, and (b) is necessary to enable Regulatory Approval in the United States or any Major European Country.”</w:t>
      </w:r>
    </w:p>
    <w:p>
      <w:pPr>
        <w:spacing w:after="0" w:line="141" w:lineRule="exact"/>
        <w:rPr>
          <w:sz w:val="20"/>
          <w:szCs w:val="20"/>
          <w:color w:val="auto"/>
        </w:rPr>
      </w:pPr>
    </w:p>
    <w:p>
      <w:pPr>
        <w:ind w:right="20" w:firstLine="443"/>
        <w:spacing w:after="0" w:line="298" w:lineRule="auto"/>
        <w:tabs>
          <w:tab w:leader="none" w:pos="619" w:val="left"/>
        </w:tabs>
        <w:numPr>
          <w:ilvl w:val="0"/>
          <w:numId w:val="4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Section 1.29 (previously Section 1.28)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jc w:val="both"/>
        <w:ind w:left="440"/>
        <w:spacing w:after="0" w:line="274" w:lineRule="auto"/>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Phase 3 Clinical Trial</w:t>
      </w:r>
      <w:r>
        <w:rPr>
          <w:rFonts w:ascii="Times New Roman" w:cs="Times New Roman" w:eastAsia="Times New Roman" w:hAnsi="Times New Roman"/>
          <w:sz w:val="15"/>
          <w:szCs w:val="15"/>
          <w:color w:val="auto"/>
        </w:rPr>
        <w:t xml:space="preserve">’ means a pivotal clinical trial </w:t>
      </w:r>
      <w:r>
        <w:rPr>
          <w:rFonts w:ascii="Times New Roman" w:cs="Times New Roman" w:eastAsia="Times New Roman" w:hAnsi="Times New Roman"/>
          <w:sz w:val="15"/>
          <w:szCs w:val="15"/>
          <w:b w:val="1"/>
          <w:bCs w:val="1"/>
          <w:u w:val="single" w:color="auto"/>
          <w:color w:val="auto"/>
        </w:rPr>
        <w:t>for an indication in the Field</w:t>
      </w:r>
      <w:r>
        <w:rPr>
          <w:rFonts w:ascii="Times New Roman" w:cs="Times New Roman" w:eastAsia="Times New Roman" w:hAnsi="Times New Roman"/>
          <w:sz w:val="15"/>
          <w:szCs w:val="15"/>
          <w:color w:val="auto"/>
        </w:rPr>
        <w:t xml:space="preserve"> that both (a) has a defined dose or a set of defined doses of a pharmaceutical product designed to ascertain efficacy and safety of such product, in a manner that is generally consistent with 21 C.F.R. § 312.21(c), as amended (or its successor regulation) and/or any analogous applicable law outside of the United States, as applicable, and (b) is necessary to enable Marketing Approval in the United States or any Major European Country.”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48" w:right="319" w:bottom="1440" w:gutter="0" w:footer="0" w:header="0"/>
        </w:sectPr>
      </w:pPr>
    </w:p>
    <w:bookmarkStart w:id="497" w:name="page498"/>
    <w:bookmarkEnd w:id="497"/>
    <w:p>
      <w:pPr>
        <w:ind w:right="20" w:firstLine="443"/>
        <w:spacing w:after="0" w:line="298" w:lineRule="auto"/>
        <w:tabs>
          <w:tab w:leader="none" w:pos="619" w:val="left"/>
        </w:tabs>
        <w:numPr>
          <w:ilvl w:val="0"/>
          <w:numId w:val="4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Section 1.36 (previously Section 1.35)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Sublicense Revenue</w:t>
      </w:r>
      <w:r>
        <w:rPr>
          <w:rFonts w:ascii="Times New Roman" w:cs="Times New Roman" w:eastAsia="Times New Roman" w:hAnsi="Times New Roman"/>
          <w:sz w:val="15"/>
          <w:szCs w:val="15"/>
          <w:color w:val="auto"/>
        </w:rPr>
        <w:t xml:space="preserve">’ means payments that Tarsus receives in consideration for a sublicense of rights under the Licensed IP </w:t>
      </w:r>
      <w:r>
        <w:rPr>
          <w:rFonts w:ascii="Times New Roman" w:cs="Times New Roman" w:eastAsia="Times New Roman" w:hAnsi="Times New Roman"/>
          <w:sz w:val="15"/>
          <w:szCs w:val="15"/>
          <w:b w:val="1"/>
          <w:bCs w:val="1"/>
          <w:u w:val="single" w:color="auto"/>
          <w:color w:val="auto"/>
        </w:rPr>
        <w:t>in the Field</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9. Section 2.2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jc w:val="both"/>
        <w:ind w:left="440" w:right="20"/>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Tarsus License</w:t>
      </w:r>
      <w:r>
        <w:rPr>
          <w:rFonts w:ascii="Times New Roman" w:cs="Times New Roman" w:eastAsia="Times New Roman" w:hAnsi="Times New Roman"/>
          <w:sz w:val="15"/>
          <w:szCs w:val="15"/>
          <w:color w:val="auto"/>
        </w:rPr>
        <w:t xml:space="preserve">. Tarsus hereby grants to Elanco a worldwide non-exclusive, perpetual, sublicensable (through multiple tiers), royalty-free license, under the Tarsus IP, to research, develop, make, use, sell, offer for sale, import and otherwise exploit Compounds and Licensed Products </w:t>
      </w:r>
      <w:r>
        <w:rPr>
          <w:rFonts w:ascii="Times New Roman" w:cs="Times New Roman" w:eastAsia="Times New Roman" w:hAnsi="Times New Roman"/>
          <w:sz w:val="15"/>
          <w:szCs w:val="15"/>
          <w:color w:val="auto"/>
          <w:strike w:val="1"/>
        </w:rPr>
        <w:t>outside the Field</w:t>
      </w:r>
      <w:r>
        <w:rPr>
          <w:rFonts w:ascii="Times New Roman" w:cs="Times New Roman" w:eastAsia="Times New Roman" w:hAnsi="Times New Roman"/>
          <w:sz w:val="15"/>
          <w:szCs w:val="15"/>
          <w:b w:val="1"/>
          <w:bCs w:val="1"/>
          <w:u w:val="single" w:color="auto"/>
          <w:color w:val="auto"/>
        </w:rPr>
        <w:t>in the Elanco Field</w:t>
      </w:r>
      <w:r>
        <w:rPr>
          <w:rFonts w:ascii="Times New Roman" w:cs="Times New Roman" w:eastAsia="Times New Roman" w:hAnsi="Times New Roman"/>
          <w:sz w:val="15"/>
          <w:szCs w:val="15"/>
          <w:color w:val="auto"/>
        </w:rPr>
        <w:t>. Tarsus may sublicense any or all rights and/or obligations under this Agreement.”</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10. Section 3.1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108" w:lineRule="exact"/>
        <w:rPr>
          <w:sz w:val="20"/>
          <w:szCs w:val="20"/>
          <w:color w:val="auto"/>
        </w:rPr>
      </w:pPr>
    </w:p>
    <w:p>
      <w:pPr>
        <w:jc w:val="both"/>
        <w:ind w:left="440"/>
        <w:spacing w:after="0" w:line="264" w:lineRule="auto"/>
        <w:rPr>
          <w:sz w:val="20"/>
          <w:szCs w:val="20"/>
          <w:color w:val="auto"/>
        </w:rPr>
      </w:pPr>
      <w:r>
        <w:rPr>
          <w:rFonts w:ascii="Times New Roman" w:cs="Times New Roman" w:eastAsia="Times New Roman" w:hAnsi="Times New Roman"/>
          <w:sz w:val="15"/>
          <w:szCs w:val="15"/>
          <w:color w:val="auto"/>
        </w:rPr>
        <w:t>“Within [***] days following the date Tarsus pays Elanco the Upfront Payment, Elanco shall provide all information regarding the Licensed Know-How that is Controlled 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w:t>
      </w:r>
      <w:r>
        <w:rPr>
          <w:rFonts w:ascii="Times New Roman" w:cs="Times New Roman" w:eastAsia="Times New Roman" w:hAnsi="Times New Roman"/>
          <w:sz w:val="15"/>
          <w:szCs w:val="15"/>
          <w:b w:val="1"/>
          <w:bCs w:val="1"/>
          <w:u w:val="single" w:color="auto"/>
          <w:color w:val="auto"/>
        </w:rPr>
        <w:t>, unless such third party is an Existing Manufacturer,</w:t>
      </w:r>
      <w:r>
        <w:rPr>
          <w:rFonts w:ascii="Times New Roman" w:cs="Times New Roman" w:eastAsia="Times New Roman" w:hAnsi="Times New Roman"/>
          <w:sz w:val="15"/>
          <w:szCs w:val="15"/>
          <w:color w:val="auto"/>
        </w:rPr>
        <w:t xml:space="preserve"> Tarsus shall pay Elanco $[***] within thirty (30) days after its receipt of all of such Know-How. Provided in any case that Elanco shall only be obliged to provide information to a third party that has been selected in compliance with Section 8.4.”</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11. Section 7.3 of the License Agreement is hereby amended and restated as follows (with new text marked in </w:t>
      </w:r>
      <w:r>
        <w:rPr>
          <w:rFonts w:ascii="Times New Roman" w:cs="Times New Roman" w:eastAsia="Times New Roman" w:hAnsi="Times New Roman"/>
          <w:sz w:val="15"/>
          <w:szCs w:val="15"/>
          <w:b w:val="1"/>
          <w:bCs w:val="1"/>
          <w:u w:val="single" w:color="auto"/>
          <w:color w:val="auto"/>
        </w:rPr>
        <w:t>bold underline</w:t>
      </w:r>
      <w:r>
        <w:rPr>
          <w:rFonts w:ascii="Times New Roman" w:cs="Times New Roman" w:eastAsia="Times New Roman" w:hAnsi="Times New Roman"/>
          <w:sz w:val="15"/>
          <w:szCs w:val="15"/>
          <w:color w:val="auto"/>
        </w:rPr>
        <w:t xml:space="preserve">, and deleted text marked in </w:t>
      </w:r>
      <w:r>
        <w:rPr>
          <w:rFonts w:ascii="Times New Roman" w:cs="Times New Roman" w:eastAsia="Times New Roman" w:hAnsi="Times New Roman"/>
          <w:sz w:val="15"/>
          <w:szCs w:val="15"/>
          <w:color w:val="auto"/>
          <w:strike w:val="1"/>
        </w:rPr>
        <w:t>strikethrough</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Improvements.</w:t>
      </w:r>
      <w:r>
        <w:rPr>
          <w:rFonts w:ascii="Times New Roman" w:cs="Times New Roman" w:eastAsia="Times New Roman" w:hAnsi="Times New Roman"/>
          <w:sz w:val="15"/>
          <w:szCs w:val="15"/>
          <w:color w:val="auto"/>
        </w:rPr>
        <w:t xml:space="preserve"> Elanco shall own any invention conceived by or for Elanco from the use of the Compound or otherwise derived by or for Elanco from the Compound (“</w:t>
      </w:r>
      <w:r>
        <w:rPr>
          <w:rFonts w:ascii="Times New Roman" w:cs="Times New Roman" w:eastAsia="Times New Roman" w:hAnsi="Times New Roman"/>
          <w:sz w:val="15"/>
          <w:szCs w:val="15"/>
          <w:b w:val="1"/>
          <w:bCs w:val="1"/>
          <w:i w:val="1"/>
          <w:iCs w:val="1"/>
          <w:color w:val="auto"/>
        </w:rPr>
        <w:t>Elanco Improvements</w:t>
      </w:r>
      <w:r>
        <w:rPr>
          <w:rFonts w:ascii="Times New Roman" w:cs="Times New Roman" w:eastAsia="Times New Roman" w:hAnsi="Times New Roman"/>
          <w:sz w:val="15"/>
          <w:szCs w:val="15"/>
          <w:color w:val="auto"/>
        </w:rPr>
        <w:t>”). Tarsus shall own any invention conceived by or for Tarsus from the use of the Compound or otherwise derived by or for Tarsus from the Compound (“</w:t>
      </w:r>
      <w:r>
        <w:rPr>
          <w:rFonts w:ascii="Times New Roman" w:cs="Times New Roman" w:eastAsia="Times New Roman" w:hAnsi="Times New Roman"/>
          <w:sz w:val="15"/>
          <w:szCs w:val="15"/>
          <w:b w:val="1"/>
          <w:bCs w:val="1"/>
          <w:i w:val="1"/>
          <w:iCs w:val="1"/>
          <w:color w:val="auto"/>
        </w:rPr>
        <w:t>Tarsus Improvements</w:t>
      </w:r>
      <w:r>
        <w:rPr>
          <w:rFonts w:ascii="Times New Roman" w:cs="Times New Roman" w:eastAsia="Times New Roman" w:hAnsi="Times New Roman"/>
          <w:sz w:val="15"/>
          <w:szCs w:val="15"/>
          <w:color w:val="auto"/>
        </w:rPr>
        <w:t>”). To the extent any Research Invention (as such term is defined in the MTA) exists, Elanco hereby assigns such Research Invention to Tarsus. Tarsus hereby grants Elanco a</w:t>
      </w:r>
      <w:r>
        <w:rPr>
          <w:rFonts w:ascii="Times New Roman" w:cs="Times New Roman" w:eastAsia="Times New Roman" w:hAnsi="Times New Roman"/>
          <w:sz w:val="15"/>
          <w:szCs w:val="15"/>
          <w:b w:val="1"/>
          <w:bCs w:val="1"/>
          <w:u w:val="single" w:color="auto"/>
          <w:color w:val="auto"/>
        </w:rPr>
        <w:t>n exclusive</w:t>
      </w:r>
      <w:r>
        <w:rPr>
          <w:rFonts w:ascii="Times New Roman" w:cs="Times New Roman" w:eastAsia="Times New Roman" w:hAnsi="Times New Roman"/>
          <w:sz w:val="15"/>
          <w:szCs w:val="15"/>
          <w:color w:val="auto"/>
        </w:rPr>
        <w:t xml:space="preserve"> royalty-free, perpetual license to the Research Inventions and Tarsus Improvements for applications </w:t>
      </w:r>
      <w:r>
        <w:rPr>
          <w:rFonts w:ascii="Times New Roman" w:cs="Times New Roman" w:eastAsia="Times New Roman" w:hAnsi="Times New Roman"/>
          <w:sz w:val="15"/>
          <w:szCs w:val="15"/>
          <w:color w:val="auto"/>
          <w:strike w:val="1"/>
        </w:rPr>
        <w:t>outside the</w:t>
      </w:r>
      <w:r>
        <w:rPr>
          <w:rFonts w:ascii="Times New Roman" w:cs="Times New Roman" w:eastAsia="Times New Roman" w:hAnsi="Times New Roman"/>
          <w:sz w:val="15"/>
          <w:szCs w:val="15"/>
          <w:b w:val="1"/>
          <w:bCs w:val="1"/>
          <w:u w:val="single" w:color="auto"/>
          <w:color w:val="auto"/>
        </w:rPr>
        <w:t>in the Elanco</w:t>
      </w:r>
      <w:r>
        <w:rPr>
          <w:rFonts w:ascii="Times New Roman" w:cs="Times New Roman" w:eastAsia="Times New Roman" w:hAnsi="Times New Roman"/>
          <w:sz w:val="15"/>
          <w:szCs w:val="15"/>
          <w:color w:val="auto"/>
        </w:rPr>
        <w:t xml:space="preserve"> Field</w:t>
      </w:r>
      <w:r>
        <w:rPr>
          <w:rFonts w:ascii="Times New Roman" w:cs="Times New Roman" w:eastAsia="Times New Roman" w:hAnsi="Times New Roman"/>
          <w:sz w:val="15"/>
          <w:szCs w:val="15"/>
          <w:color w:val="auto"/>
          <w:strike w:val="1"/>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strike w:val="1"/>
        </w:rPr>
        <w:t>Such license shall be exclusive in animal health (which, for the avoidance of doubt, excludes any applications in humans) and non-exclusive in all other applications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strike w:val="1"/>
        </w:rPr>
        <w:t>outside the Field.</w:t>
      </w:r>
      <w:r>
        <w:rPr>
          <w:rFonts w:ascii="Times New Roman" w:cs="Times New Roman" w:eastAsia="Times New Roman" w:hAnsi="Times New Roman"/>
          <w:sz w:val="15"/>
          <w:szCs w:val="15"/>
          <w:color w:val="auto"/>
        </w:rPr>
        <w:t xml:space="preserve"> This Section 7.3 amends and supersedes Section 7 of the MTA entirely, such that Section 7 of the MTA shall have no further force or effect.”</w:t>
      </w:r>
    </w:p>
    <w:p>
      <w:pPr>
        <w:spacing w:after="0" w:line="152" w:lineRule="exact"/>
        <w:rPr>
          <w:sz w:val="20"/>
          <w:szCs w:val="20"/>
          <w:color w:val="auto"/>
        </w:rPr>
      </w:pPr>
    </w:p>
    <w:p>
      <w:pPr>
        <w:ind w:left="680" w:hanging="237"/>
        <w:spacing w:after="0"/>
        <w:tabs>
          <w:tab w:leader="none" w:pos="680" w:val="left"/>
        </w:tabs>
        <w:numPr>
          <w:ilvl w:val="0"/>
          <w:numId w:val="4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modified by this Amendment, the License Agreement shall remain in full force and effect consistent with its terms.</w:t>
      </w:r>
    </w:p>
    <w:p>
      <w:pPr>
        <w:spacing w:after="0" w:line="196" w:lineRule="exact"/>
        <w:rPr>
          <w:rFonts w:ascii="Times New Roman" w:cs="Times New Roman" w:eastAsia="Times New Roman" w:hAnsi="Times New Roman"/>
          <w:sz w:val="15"/>
          <w:szCs w:val="15"/>
          <w:color w:val="auto"/>
        </w:rPr>
      </w:pPr>
    </w:p>
    <w:p>
      <w:pPr>
        <w:ind w:firstLine="443"/>
        <w:spacing w:after="0" w:line="293" w:lineRule="auto"/>
        <w:tabs>
          <w:tab w:leader="none" w:pos="689" w:val="left"/>
        </w:tabs>
        <w:numPr>
          <w:ilvl w:val="0"/>
          <w:numId w:val="4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may be executed in any number of counterparts, each of which shall be deemed an original and all of which together shall constitute one and the same agreement. Copies (whether photostatic, facsimile or otherwise) of this Amendment may be made and relied upon to the same extent as an original.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FOLLOWS]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248" w:right="319" w:bottom="1440" w:gutter="0" w:footer="0" w:header="0"/>
        </w:sectPr>
      </w:pPr>
    </w:p>
    <w:bookmarkStart w:id="498" w:name="page499"/>
    <w:bookmarkEnd w:id="498"/>
    <w:p>
      <w:pPr>
        <w:ind w:left="4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 the parties have executed this Amendment to the License Agreement as of the date first above written.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Elanco Tiergesundheit AG</w:t>
            </w:r>
          </w:p>
        </w:tc>
        <w:tc>
          <w:tcPr>
            <w:tcW w:w="6000" w:type="dxa"/>
            <w:vAlign w:val="bottom"/>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Tarsus Pharmaceuticals, Inc.</w:t>
            </w:r>
          </w:p>
        </w:tc>
      </w:tr>
      <w:tr>
        <w:trPr>
          <w:trHeight w:val="369"/>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Aaron L. Schacht</w:t>
            </w:r>
          </w:p>
        </w:tc>
        <w:tc>
          <w:tcPr>
            <w:tcW w:w="1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By:</w:t>
            </w:r>
          </w:p>
        </w:tc>
        <w:tc>
          <w:tcPr>
            <w:tcW w:w="12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Bobak Azamian</w:t>
            </w:r>
          </w:p>
        </w:tc>
      </w:tr>
      <w:tr>
        <w:trPr>
          <w:trHeight w:val="372"/>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Aaron L. Schacht</w:t>
            </w:r>
          </w:p>
        </w:tc>
        <w:tc>
          <w:tcPr>
            <w:tcW w:w="1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Name:</w:t>
            </w:r>
          </w:p>
        </w:tc>
        <w:tc>
          <w:tcPr>
            <w:tcW w:w="120" w:type="dxa"/>
            <w:vAlign w:val="bottom"/>
          </w:tcPr>
          <w:p>
            <w:pPr>
              <w:spacing w:after="0"/>
              <w:rPr>
                <w:sz w:val="24"/>
                <w:szCs w:val="24"/>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Bobak Azamian</w:t>
            </w:r>
          </w:p>
        </w:tc>
      </w:tr>
      <w:tr>
        <w:trPr>
          <w:trHeight w:val="357"/>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EVP- Innovation, Regulatory &amp;</w:t>
            </w:r>
          </w:p>
        </w:tc>
        <w:tc>
          <w:tcPr>
            <w:tcW w:w="126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Title:</w:t>
            </w: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199"/>
        </w:trPr>
        <w:tc>
          <w:tcPr>
            <w:tcW w:w="640" w:type="dxa"/>
            <w:vAlign w:val="bottom"/>
          </w:tcPr>
          <w:p>
            <w:pPr>
              <w:spacing w:after="0"/>
              <w:rPr>
                <w:sz w:val="17"/>
                <w:szCs w:val="17"/>
                <w:color w:val="auto"/>
              </w:rPr>
            </w:pP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Business Development</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r>
    </w:tbl>
    <w:p>
      <w:pPr>
        <w:sectPr>
          <w:pgSz w:w="11900" w:h="16838" w:orient="portrait"/>
          <w:cols w:equalWidth="0" w:num="1">
            <w:col w:w="11260"/>
          </w:cols>
          <w:pgMar w:left="320" w:top="252" w:right="31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5"/>
          <w:szCs w:val="15"/>
          <w:b w:val="1"/>
          <w:bCs w:val="1"/>
          <w:color w:val="auto"/>
        </w:rPr>
        <w:t>Exhibit 10.12</w:t>
      </w:r>
    </w:p>
    <w:p>
      <w:pPr>
        <w:spacing w:after="0" w:line="196" w:lineRule="exact"/>
        <w:rPr>
          <w:sz w:val="20"/>
          <w:szCs w:val="20"/>
          <w:color w:val="auto"/>
        </w:rPr>
      </w:pPr>
    </w:p>
    <w:p>
      <w:pPr>
        <w:jc w:val="center"/>
        <w:ind w:right="12"/>
        <w:spacing w:after="0" w:line="274" w:lineRule="auto"/>
        <w:rPr>
          <w:sz w:val="20"/>
          <w:szCs w:val="20"/>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ERTAIN IDENTIFIED INFORMATION HAS BEEN OMITTED FROM THIS DOCUMENT BECAUSE IT IS BOTH NOT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2"/>
          <w:szCs w:val="12"/>
          <w:b w:val="1"/>
          <w:bCs w:val="1"/>
          <w:color w:val="auto"/>
        </w:rPr>
        <w:t xml:space="preserve">MATERIAL AND WOULD LIKELY CAUSE COMPETITIVE HARM TO THE REGISTRANT IF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2"/>
          <w:szCs w:val="12"/>
          <w:b w:val="1"/>
          <w:bCs w:val="1"/>
          <w:color w:val="auto"/>
        </w:rPr>
        <w:t>UBLICLY DISCLOSED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2"/>
          <w:szCs w:val="12"/>
          <w:b w:val="1"/>
          <w:bCs w:val="1"/>
          <w:color w:val="auto"/>
        </w:rPr>
        <w:t xml:space="preserve"> AND HAS BEEN MARKED WITH </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2"/>
          <w:szCs w:val="12"/>
          <w:b w:val="1"/>
          <w:bCs w:val="1"/>
          <w:color w:val="auto"/>
        </w:rPr>
        <w:t>TO INDICATE WHERE OMISSIONS HAVE BEEN MADE</w:t>
      </w:r>
      <w:r>
        <w:rPr>
          <w:rFonts w:ascii="Times New Roman" w:cs="Times New Roman" w:eastAsia="Times New Roman" w:hAnsi="Times New Roman"/>
          <w:sz w:val="15"/>
          <w:szCs w:val="15"/>
          <w:b w:val="1"/>
          <w:bCs w:val="1"/>
          <w:color w:val="auto"/>
        </w:rPr>
        <w:t>.</w:t>
      </w:r>
    </w:p>
    <w:p>
      <w:pPr>
        <w:spacing w:after="0" w:line="3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LICENSE AGREEMENT</w:t>
      </w:r>
    </w:p>
    <w:p>
      <w:pPr>
        <w:spacing w:after="0" w:line="196" w:lineRule="exact"/>
        <w:rPr>
          <w:sz w:val="20"/>
          <w:szCs w:val="20"/>
          <w:color w:val="auto"/>
        </w:rPr>
      </w:pPr>
    </w:p>
    <w:p>
      <w:pPr>
        <w:ind w:left="8" w:right="40"/>
        <w:spacing w:after="0" w:line="277" w:lineRule="auto"/>
        <w:rPr>
          <w:sz w:val="20"/>
          <w:szCs w:val="20"/>
          <w:color w:val="auto"/>
        </w:rPr>
      </w:pPr>
      <w:r>
        <w:rPr>
          <w:rFonts w:ascii="Times New Roman" w:cs="Times New Roman" w:eastAsia="Times New Roman" w:hAnsi="Times New Roman"/>
          <w:sz w:val="15"/>
          <w:szCs w:val="15"/>
          <w:color w:val="auto"/>
        </w:rPr>
        <w:t>THIS LICENSE AGREEMENT (the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dated as of September 3, 2020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is made and entered into by and between Elanco Tiergesundheit AG, a Swiss corporation having place of business at Mattenstrasse 24A, 4058 Basel, Switzerland (“</w:t>
      </w:r>
      <w:r>
        <w:rPr>
          <w:rFonts w:ascii="Times New Roman" w:cs="Times New Roman" w:eastAsia="Times New Roman" w:hAnsi="Times New Roman"/>
          <w:sz w:val="15"/>
          <w:szCs w:val="15"/>
          <w:b w:val="1"/>
          <w:bCs w:val="1"/>
          <w:i w:val="1"/>
          <w:iCs w:val="1"/>
          <w:color w:val="auto"/>
        </w:rPr>
        <w:t>Elanco</w:t>
      </w:r>
      <w:r>
        <w:rPr>
          <w:rFonts w:ascii="Times New Roman" w:cs="Times New Roman" w:eastAsia="Times New Roman" w:hAnsi="Times New Roman"/>
          <w:sz w:val="15"/>
          <w:szCs w:val="15"/>
          <w:color w:val="auto"/>
        </w:rPr>
        <w:t>”) and Tarsus Pharmaceuticals, Inc., a Delaware corporation having its principal offices at 4590 MacArthur Blvd. Suite 500, Newport Beach, CA 92660 (“</w:t>
      </w:r>
      <w:r>
        <w:rPr>
          <w:rFonts w:ascii="Times New Roman" w:cs="Times New Roman" w:eastAsia="Times New Roman" w:hAnsi="Times New Roman"/>
          <w:sz w:val="15"/>
          <w:szCs w:val="15"/>
          <w:b w:val="1"/>
          <w:bCs w:val="1"/>
          <w:i w:val="1"/>
          <w:iCs w:val="1"/>
          <w:color w:val="auto"/>
        </w:rPr>
        <w:t>Tarsus</w:t>
      </w:r>
      <w:r>
        <w:rPr>
          <w:rFonts w:ascii="Times New Roman" w:cs="Times New Roman" w:eastAsia="Times New Roman" w:hAnsi="Times New Roman"/>
          <w:sz w:val="15"/>
          <w:szCs w:val="15"/>
          <w:color w:val="auto"/>
        </w:rPr>
        <w:t>”). Each of Elanco and Tarsus may be referred to herein as a “</w:t>
      </w:r>
      <w:r>
        <w:rPr>
          <w:rFonts w:ascii="Times New Roman" w:cs="Times New Roman" w:eastAsia="Times New Roman" w:hAnsi="Times New Roman"/>
          <w:sz w:val="15"/>
          <w:szCs w:val="15"/>
          <w:b w:val="1"/>
          <w:bCs w:val="1"/>
          <w:i w:val="1"/>
          <w:iCs w:val="1"/>
          <w:color w:val="auto"/>
        </w:rPr>
        <w:t>Party</w:t>
      </w:r>
      <w:r>
        <w:rPr>
          <w:rFonts w:ascii="Times New Roman" w:cs="Times New Roman" w:eastAsia="Times New Roman" w:hAnsi="Times New Roman"/>
          <w:sz w:val="15"/>
          <w:szCs w:val="15"/>
          <w:color w:val="auto"/>
        </w:rPr>
        <w:t>” and collectively as the “</w:t>
      </w:r>
      <w:r>
        <w:rPr>
          <w:rFonts w:ascii="Times New Roman" w:cs="Times New Roman" w:eastAsia="Times New Roman" w:hAnsi="Times New Roman"/>
          <w:sz w:val="15"/>
          <w:szCs w:val="15"/>
          <w:b w:val="1"/>
          <w:bCs w:val="1"/>
          <w:i w:val="1"/>
          <w:iCs w:val="1"/>
          <w:color w:val="auto"/>
        </w:rPr>
        <w:t>Parties.</w:t>
      </w:r>
      <w:r>
        <w:rPr>
          <w:rFonts w:ascii="Times New Roman" w:cs="Times New Roman" w:eastAsia="Times New Roman" w:hAnsi="Times New Roman"/>
          <w:sz w:val="15"/>
          <w:szCs w:val="15"/>
          <w:color w:val="auto"/>
        </w:rPr>
        <w:t>”</w:t>
      </w:r>
    </w:p>
    <w:p>
      <w:pPr>
        <w:spacing w:after="0" w:line="3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i w:val="1"/>
          <w:iCs w:val="1"/>
          <w:color w:val="auto"/>
        </w:rPr>
        <w:t>BACKGROUND</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 Elanco is the owner, and has the right to license the Licensed IP (as defined below) on and subject to the terms and conditions set forth in this Agreement.</w:t>
      </w:r>
    </w:p>
    <w:p>
      <w:pPr>
        <w:spacing w:after="0" w:line="196" w:lineRule="exact"/>
        <w:rPr>
          <w:sz w:val="20"/>
          <w:szCs w:val="20"/>
          <w:color w:val="auto"/>
        </w:rPr>
      </w:pPr>
    </w:p>
    <w:p>
      <w:pPr>
        <w:ind w:left="8" w:right="580"/>
        <w:spacing w:after="0" w:line="293" w:lineRule="auto"/>
        <w:rPr>
          <w:sz w:val="20"/>
          <w:szCs w:val="20"/>
          <w:color w:val="auto"/>
        </w:rPr>
      </w:pPr>
      <w:r>
        <w:rPr>
          <w:rFonts w:ascii="Times New Roman" w:cs="Times New Roman" w:eastAsia="Times New Roman" w:hAnsi="Times New Roman"/>
          <w:sz w:val="15"/>
          <w:szCs w:val="15"/>
          <w:color w:val="auto"/>
        </w:rPr>
        <w:t>B. Tarsus wishes to license the Licensed IP, and Elanco is willing to grant to Tarsus a license under the Licensed IP, on and subject to the terms and conditions set forth in this Agreement.</w:t>
      </w:r>
    </w:p>
    <w:p>
      <w:pPr>
        <w:spacing w:after="0" w:line="132" w:lineRule="exact"/>
        <w:rPr>
          <w:sz w:val="20"/>
          <w:szCs w:val="20"/>
          <w:color w:val="auto"/>
        </w:rPr>
      </w:pPr>
    </w:p>
    <w:p>
      <w:pPr>
        <w:ind w:left="8" w:right="460"/>
        <w:spacing w:after="0" w:line="293"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covenants and agreements of the Parties contained in this Agreement, the Parties, intending to be legally bound, hereby agree as follows:</w:t>
      </w:r>
    </w:p>
    <w:p>
      <w:pPr>
        <w:spacing w:after="0" w:line="36" w:lineRule="exact"/>
        <w:rPr>
          <w:sz w:val="20"/>
          <w:szCs w:val="20"/>
          <w:color w:val="auto"/>
        </w:rPr>
      </w:pPr>
    </w:p>
    <w:p>
      <w:pPr>
        <w:ind w:left="8" w:right="120" w:hanging="8"/>
        <w:spacing w:after="0" w:line="298" w:lineRule="auto"/>
        <w:tabs>
          <w:tab w:leader="none" w:pos="161" w:val="left"/>
        </w:tabs>
        <w:numPr>
          <w:ilvl w:val="0"/>
          <w:numId w:val="4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5"/>
          <w:szCs w:val="15"/>
          <w:b w:val="1"/>
          <w:bCs w:val="1"/>
          <w:color w:val="auto"/>
        </w:rPr>
        <w:t xml:space="preserve">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5"/>
          <w:szCs w:val="15"/>
          <w:color w:val="auto"/>
        </w:rPr>
        <w:t>. In addition to any terms defined elsewhere in this Agreement, the following terms, when used in this Agreement, shall have the meanings set forth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 1.</w:t>
      </w:r>
    </w:p>
    <w:p>
      <w:pPr>
        <w:spacing w:after="0" w:line="125" w:lineRule="exact"/>
        <w:rPr>
          <w:sz w:val="20"/>
          <w:szCs w:val="20"/>
          <w:color w:val="auto"/>
        </w:rPr>
      </w:pPr>
    </w:p>
    <w:p>
      <w:pPr>
        <w:ind w:left="8" w:right="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means, with respect to an entity, any other entity which controls, is controlled by, or is under common control with such first entity (but only so long as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 exists), whether as of the Effective Date or any time after the Effective Date. The term “</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in relation to an entity, means the ownership or control, directly or indirectly, of fifty percent (50%) or more of the shares (or other securities or rights) entitled to vote for the election of directors or other governing authority of such entity.</w:t>
      </w:r>
    </w:p>
    <w:p>
      <w:pPr>
        <w:spacing w:after="0" w:line="141" w:lineRule="exact"/>
        <w:rPr>
          <w:sz w:val="20"/>
          <w:szCs w:val="20"/>
          <w:color w:val="auto"/>
        </w:rPr>
      </w:pPr>
    </w:p>
    <w:p>
      <w:pPr>
        <w:ind w:left="8"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Applicable Law</w:t>
      </w:r>
      <w:r>
        <w:rPr>
          <w:rFonts w:ascii="Times New Roman" w:cs="Times New Roman" w:eastAsia="Times New Roman" w:hAnsi="Times New Roman"/>
          <w:sz w:val="15"/>
          <w:szCs w:val="15"/>
          <w:color w:val="auto"/>
        </w:rPr>
        <w:t>” means, with respect to any Person or matter, any and all laws, ordinances, constitutions, regulations, statutes, treaties, rules, codes, licenses, requirements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injunctions adopted, enacted, implemented, promulgated, issued, entered by or under the authority of any governmental body having jurisdiction over such Person or matter or any Person’s properties or assets.</w:t>
      </w:r>
    </w:p>
    <w:p>
      <w:pPr>
        <w:spacing w:after="0" w:line="14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of Control</w:t>
      </w:r>
      <w:r>
        <w:rPr>
          <w:rFonts w:ascii="Times New Roman" w:cs="Times New Roman" w:eastAsia="Times New Roman" w:hAnsi="Times New Roman"/>
          <w:sz w:val="15"/>
          <w:szCs w:val="15"/>
          <w:color w:val="auto"/>
        </w:rPr>
        <w:t>” shall mean any transaction defined as a “Liquidation Event” in the Restated Certificate.</w:t>
      </w:r>
    </w:p>
    <w:p>
      <w:pPr>
        <w:spacing w:after="0" w:line="196" w:lineRule="exact"/>
        <w:rPr>
          <w:sz w:val="20"/>
          <w:szCs w:val="20"/>
          <w:color w:val="auto"/>
        </w:rPr>
      </w:pPr>
    </w:p>
    <w:p>
      <w:pPr>
        <w:ind w:left="8" w:right="8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Commercially Reasonable Efforts</w:t>
      </w:r>
      <w:r>
        <w:rPr>
          <w:rFonts w:ascii="Times New Roman" w:cs="Times New Roman" w:eastAsia="Times New Roman" w:hAnsi="Times New Roman"/>
          <w:sz w:val="15"/>
          <w:szCs w:val="15"/>
          <w:color w:val="auto"/>
        </w:rPr>
        <w:t>” of a Party means, with respect to an objective, the reasonable, diligent, good faith efforts of a Party, (which it may effect through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efforts of its Affiliates, and sublicensees) of the type to accomplish such objective as a similarly situated (with respect to size, stage of development, and assets) pharmaceutical company, as the case may be, would normally use to accomplish a similar objective under similar circumstances, it being understood and agreed that, with respect to efforts to be expended in relation to a product (including implementation of development and commercialization strategies), such efforts shall be substantially equivalent to those efforts and resources that a similarly situated pharmaceutical company, as the case may be, would typically devote to its own internally discovered compound or product, which compound or product is at a similar stage in its development or product life and is of similar market and economic potential as products expected to result from the Compounds at a similar stage in their development or product life, taking into account the risks of development, the commercial potential for the Product, its proprietary position and other relevant factors.</w:t>
      </w:r>
    </w:p>
    <w:p>
      <w:pPr>
        <w:sectPr>
          <w:pgSz w:w="11900" w:h="16838" w:orient="portrait"/>
          <w:cols w:equalWidth="0" w:num="1">
            <w:col w:w="11268"/>
          </w:cols>
          <w:pgMar w:left="312" w:top="121" w:right="319" w:bottom="1440" w:gutter="0" w:footer="0" w:header="0"/>
        </w:sectPr>
      </w:pPr>
    </w:p>
    <w:bookmarkStart w:id="500" w:name="page501"/>
    <w:bookmarkEnd w:id="500"/>
    <w:p>
      <w:pPr>
        <w:ind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Compound</w:t>
      </w:r>
      <w:r>
        <w:rPr>
          <w:rFonts w:ascii="Times New Roman" w:cs="Times New Roman" w:eastAsia="Times New Roman" w:hAnsi="Times New Roman"/>
          <w:sz w:val="15"/>
          <w:szCs w:val="15"/>
          <w:color w:val="auto"/>
        </w:rPr>
        <w:t>” means Lotilaner and any salts, stereo isomers, prodrug, ester, metabolite, solvate, or polymorph thereof, and any derivative of the foregoing containing one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more atoms substituted with a radioisotope (including a derivative containing deuterium).</w:t>
      </w:r>
    </w:p>
    <w:p>
      <w:pPr>
        <w:spacing w:after="0" w:line="125" w:lineRule="exact"/>
        <w:rPr>
          <w:sz w:val="20"/>
          <w:szCs w:val="20"/>
          <w:color w:val="auto"/>
        </w:rPr>
      </w:pPr>
    </w:p>
    <w:p>
      <w:pPr>
        <w:ind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Confidential Information</w:t>
      </w:r>
      <w:r>
        <w:rPr>
          <w:rFonts w:ascii="Times New Roman" w:cs="Times New Roman" w:eastAsia="Times New Roman" w:hAnsi="Times New Roman"/>
          <w:sz w:val="15"/>
          <w:szCs w:val="15"/>
          <w:color w:val="auto"/>
        </w:rPr>
        <w:t>” means information that is disclosed by one Party (the “</w:t>
      </w:r>
      <w:r>
        <w:rPr>
          <w:rFonts w:ascii="Times New Roman" w:cs="Times New Roman" w:eastAsia="Times New Roman" w:hAnsi="Times New Roman"/>
          <w:sz w:val="15"/>
          <w:szCs w:val="15"/>
          <w:b w:val="1"/>
          <w:bCs w:val="1"/>
          <w:i w:val="1"/>
          <w:iCs w:val="1"/>
          <w:color w:val="auto"/>
        </w:rPr>
        <w:t>Disclosing Party</w:t>
      </w:r>
      <w:r>
        <w:rPr>
          <w:rFonts w:ascii="Times New Roman" w:cs="Times New Roman" w:eastAsia="Times New Roman" w:hAnsi="Times New Roman"/>
          <w:sz w:val="15"/>
          <w:szCs w:val="15"/>
          <w:color w:val="auto"/>
        </w:rPr>
        <w:t>”) to the other Party (the “</w:t>
      </w:r>
      <w:r>
        <w:rPr>
          <w:rFonts w:ascii="Times New Roman" w:cs="Times New Roman" w:eastAsia="Times New Roman" w:hAnsi="Times New Roman"/>
          <w:sz w:val="15"/>
          <w:szCs w:val="15"/>
          <w:b w:val="1"/>
          <w:bCs w:val="1"/>
          <w:i w:val="1"/>
          <w:iCs w:val="1"/>
          <w:color w:val="auto"/>
        </w:rPr>
        <w:t>Receiving Party</w:t>
      </w:r>
      <w:r>
        <w:rPr>
          <w:rFonts w:ascii="Times New Roman" w:cs="Times New Roman" w:eastAsia="Times New Roman" w:hAnsi="Times New Roman"/>
          <w:sz w:val="15"/>
          <w:szCs w:val="15"/>
          <w:color w:val="auto"/>
        </w:rPr>
        <w:t>”) in connection with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(which may include, without limitation, trade secrets, technology, information pertaining to business operations and strategies, and information pertaining to customers, pricing and marketing information) or considered confidential under the Eye Care and Dermatology License Agreement as well as all information provided in the data room by Elanco as of the Effective Date. Confidential Information does not include information that: (a) was already known to the Receiving Party prior to disclosure by the Disclosing Party; (b) is independently developed by the Receiving Party; (c) was or becomes generally known by the public other than as a result of a breach of this Agreement or the Eye Care and Dermatology License Agreement by the Receiving Party; or (d) was received by the Receiving Party from a Third Party who was not, at the time of disclosure, under any obligation to the Disclosing Party or any of its Affiliates to maintain the confidentiality of such information.</w:t>
      </w:r>
    </w:p>
    <w:p>
      <w:pPr>
        <w:spacing w:after="0" w:line="153" w:lineRule="exact"/>
        <w:rPr>
          <w:sz w:val="20"/>
          <w:szCs w:val="20"/>
          <w:color w:val="auto"/>
        </w:rPr>
      </w:pPr>
    </w:p>
    <w:p>
      <w:pPr>
        <w:ind w:right="2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Controls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Controlled by</w:t>
      </w:r>
      <w:r>
        <w:rPr>
          <w:rFonts w:ascii="Times New Roman" w:cs="Times New Roman" w:eastAsia="Times New Roman" w:hAnsi="Times New Roman"/>
          <w:sz w:val="15"/>
          <w:szCs w:val="15"/>
          <w:color w:val="auto"/>
        </w:rPr>
        <w:t>” means, with respect to any item of or right under any intellectual property, as the context requires, the possession (whether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ownership or license, other than pursuant to this Agreement) or ability of a Party to grant access to, or a license or sublicense of, such items or rights.</w:t>
      </w:r>
    </w:p>
    <w:p>
      <w:pPr>
        <w:spacing w:after="0" w:line="125" w:lineRule="exact"/>
        <w:rPr>
          <w:sz w:val="20"/>
          <w:szCs w:val="20"/>
          <w:color w:val="auto"/>
        </w:rPr>
      </w:pPr>
    </w:p>
    <w:p>
      <w:pPr>
        <w:ind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Cover</w:t>
      </w:r>
      <w:r>
        <w:rPr>
          <w:rFonts w:ascii="Times New Roman" w:cs="Times New Roman" w:eastAsia="Times New Roman" w:hAnsi="Times New Roman"/>
          <w:sz w:val="15"/>
          <w:szCs w:val="15"/>
          <w:color w:val="auto"/>
        </w:rPr>
        <w:t>” with respect to any subject matter (e.g. a Licensed Product), means that absent a license, the making, having made, using, importing, offering to sell or selling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matter would infringe a Valid Claim.</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Cut-off Date</w:t>
      </w:r>
      <w:r>
        <w:rPr>
          <w:rFonts w:ascii="Times New Roman" w:cs="Times New Roman" w:eastAsia="Times New Roman" w:hAnsi="Times New Roman"/>
          <w:sz w:val="15"/>
          <w:szCs w:val="15"/>
          <w:color w:val="auto"/>
        </w:rPr>
        <w:t>” means the second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5"/>
          <w:szCs w:val="15"/>
          <w:color w:val="auto"/>
        </w:rPr>
        <w:t>) anniversary of the Effective Date.</w:t>
      </w:r>
    </w:p>
    <w:p>
      <w:pPr>
        <w:spacing w:after="0" w:line="196" w:lineRule="exact"/>
        <w:rPr>
          <w:sz w:val="20"/>
          <w:szCs w:val="20"/>
          <w:color w:val="auto"/>
        </w:rPr>
      </w:pPr>
    </w:p>
    <w:p>
      <w:pPr>
        <w:ind w:right="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1.10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Developed World</w:t>
      </w:r>
      <w:r>
        <w:rPr>
          <w:rFonts w:ascii="Times New Roman" w:cs="Times New Roman" w:eastAsia="Times New Roman" w:hAnsi="Times New Roman"/>
          <w:sz w:val="15"/>
          <w:szCs w:val="15"/>
          <w:color w:val="auto"/>
        </w:rPr>
        <w:t>” means the United States of America, Canada, the countries of the European Economic Area (which, for clarity, shall be deemed to include the United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Kingdom), Australia, New Zealand and Japan.</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Developing World</w:t>
      </w:r>
      <w:r>
        <w:rPr>
          <w:rFonts w:ascii="Times New Roman" w:cs="Times New Roman" w:eastAsia="Times New Roman" w:hAnsi="Times New Roman"/>
          <w:sz w:val="15"/>
          <w:szCs w:val="15"/>
          <w:color w:val="auto"/>
        </w:rPr>
        <w:t>” means all countries that are not countries within the Developed World.</w:t>
      </w:r>
    </w:p>
    <w:p>
      <w:pPr>
        <w:spacing w:after="0" w:line="196" w:lineRule="exact"/>
        <w:rPr>
          <w:sz w:val="20"/>
          <w:szCs w:val="20"/>
          <w:color w:val="auto"/>
        </w:rPr>
      </w:pPr>
    </w:p>
    <w:p>
      <w:pPr>
        <w:jc w:val="both"/>
        <w:ind w:right="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1.12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Elanco Field</w:t>
      </w:r>
      <w:r>
        <w:rPr>
          <w:rFonts w:ascii="Times New Roman" w:cs="Times New Roman" w:eastAsia="Times New Roman" w:hAnsi="Times New Roman"/>
          <w:sz w:val="15"/>
          <w:szCs w:val="15"/>
          <w:color w:val="auto"/>
        </w:rPr>
        <w:t>” means all applications for non-human animals, agricultural applications, seed treatment applications and urban pest applications related to structural, turf,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lawns and gardens, including treatment of premises and ornamental pest markets but excluding, for clarity, any mosquito vector control for human disease or any human therapeutics.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Enroll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Enrollment</w:t>
      </w:r>
      <w:r>
        <w:rPr>
          <w:rFonts w:ascii="Times New Roman" w:cs="Times New Roman" w:eastAsia="Times New Roman" w:hAnsi="Times New Roman"/>
          <w:sz w:val="15"/>
          <w:szCs w:val="15"/>
          <w:color w:val="auto"/>
        </w:rPr>
        <w:t>” with respect to a clinical trial means a patient is dosed with the applicable investigatory drug.</w:t>
      </w:r>
    </w:p>
    <w:p>
      <w:pPr>
        <w:spacing w:after="0" w:line="196" w:lineRule="exact"/>
        <w:rPr>
          <w:sz w:val="20"/>
          <w:szCs w:val="20"/>
          <w:color w:val="auto"/>
        </w:rPr>
      </w:pPr>
    </w:p>
    <w:p>
      <w:pPr>
        <w:ind w:right="7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1.14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Existing Manufacturer</w:t>
      </w:r>
      <w:r>
        <w:rPr>
          <w:rFonts w:ascii="Times New Roman" w:cs="Times New Roman" w:eastAsia="Times New Roman" w:hAnsi="Times New Roman"/>
          <w:sz w:val="15"/>
          <w:szCs w:val="15"/>
          <w:color w:val="auto"/>
        </w:rPr>
        <w:t>” means a third party that manufactures for which Tarsus pays (or has paid) Elanco $[***] pursuant to Section 3.1 of the Eye Care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Dermatology License Agreement.</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Eye Care and Dermatology License Agreement</w:t>
      </w:r>
      <w:r>
        <w:rPr>
          <w:rFonts w:ascii="Times New Roman" w:cs="Times New Roman" w:eastAsia="Times New Roman" w:hAnsi="Times New Roman"/>
          <w:sz w:val="15"/>
          <w:szCs w:val="15"/>
          <w:color w:val="auto"/>
        </w:rPr>
        <w:t>” means that certain License Agreement entered into by and between Elanco and Tarsus on January 31, 2019.</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FDA</w:t>
      </w:r>
      <w:r>
        <w:rPr>
          <w:rFonts w:ascii="Times New Roman" w:cs="Times New Roman" w:eastAsia="Times New Roman" w:hAnsi="Times New Roman"/>
          <w:sz w:val="15"/>
          <w:szCs w:val="15"/>
          <w:color w:val="auto"/>
        </w:rPr>
        <w:t>” means the U.S. Food and Drug Administration and any successor agency thereto.</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 xml:space="preserve">1.17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Field</w:t>
      </w:r>
      <w:r>
        <w:rPr>
          <w:rFonts w:ascii="Times New Roman" w:cs="Times New Roman" w:eastAsia="Times New Roman" w:hAnsi="Times New Roman"/>
          <w:sz w:val="15"/>
          <w:szCs w:val="15"/>
          <w:color w:val="auto"/>
        </w:rPr>
        <w:t>” means all applications for humans other than the treatment, palliation, prevention, or cure of any disease or condition in eye care or dermatology in humans.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248" w:right="339" w:bottom="1440" w:gutter="0" w:footer="0" w:header="0"/>
        </w:sectPr>
      </w:pPr>
    </w:p>
    <w:bookmarkStart w:id="501" w:name="page502"/>
    <w:bookmarkEnd w:id="501"/>
    <w:p>
      <w:pPr>
        <w:ind w:right="8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First Commercial Sale</w:t>
      </w:r>
      <w:r>
        <w:rPr>
          <w:rFonts w:ascii="Times New Roman" w:cs="Times New Roman" w:eastAsia="Times New Roman" w:hAnsi="Times New Roman"/>
          <w:sz w:val="15"/>
          <w:szCs w:val="15"/>
          <w:color w:val="auto"/>
        </w:rPr>
        <w:t>” for a country means the first commercial sale of a Licensed Product to a Third Party by Tarsus or any of its Affiliates or sublicensees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Product after final approval by the applicable government authority to market such product for human use in in the Field in such country (e.g. NDA approval). “First Commercial Sale” excludes the sale of a Licensed Product for use in a clinical trial or for expanded access (or similar term) and any sale of any Licensed Product by Tarsus or any of its Affiliates or sublicensees to or among themselves.</w:t>
      </w:r>
    </w:p>
    <w:p>
      <w:pPr>
        <w:spacing w:after="0" w:line="146" w:lineRule="exact"/>
        <w:rPr>
          <w:sz w:val="20"/>
          <w:szCs w:val="20"/>
          <w:color w:val="auto"/>
        </w:rPr>
      </w:pPr>
    </w:p>
    <w:p>
      <w:pPr>
        <w:jc w:val="both"/>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1.19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INAD</w:t>
      </w:r>
      <w:r>
        <w:rPr>
          <w:rFonts w:ascii="Times New Roman" w:cs="Times New Roman" w:eastAsia="Times New Roman" w:hAnsi="Times New Roman"/>
          <w:sz w:val="15"/>
          <w:szCs w:val="15"/>
          <w:color w:val="auto"/>
        </w:rPr>
        <w:t>” means an Investigational New Animal Drug filed with the FDA or the equivalent application or filing filed with any equivalent agency or government authority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outside of the United States (including any supra-national agency such as in the European Union) necessary to commence animal clinical trials in such jurisdiction, and including all regulations at 21 CFR § 511.1, and equivalent foreign regulations.</w:t>
      </w:r>
    </w:p>
    <w:p>
      <w:pPr>
        <w:spacing w:after="0" w:line="141" w:lineRule="exact"/>
        <w:rPr>
          <w:sz w:val="20"/>
          <w:szCs w:val="20"/>
          <w:color w:val="auto"/>
        </w:rPr>
      </w:pPr>
    </w:p>
    <w:p>
      <w:pPr>
        <w:ind w:right="3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IND</w:t>
      </w:r>
      <w:r>
        <w:rPr>
          <w:rFonts w:ascii="Times New Roman" w:cs="Times New Roman" w:eastAsia="Times New Roman" w:hAnsi="Times New Roman"/>
          <w:sz w:val="15"/>
          <w:szCs w:val="15"/>
          <w:color w:val="auto"/>
        </w:rPr>
        <w:t>” means an Investigational New Drug Application filed with the FDA or the equivalent application or filing filed with any equivalent agency or government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authority outside of the United States (including any supra-national agency such as in the European Union) necessary to commence human clinical trials in such jurisdiction, and including all regulations at 21 CFR § 312 et. esq., and equivalent foreign regulations.</w:t>
      </w:r>
    </w:p>
    <w:p>
      <w:pPr>
        <w:spacing w:after="0" w:line="141" w:lineRule="exact"/>
        <w:rPr>
          <w:sz w:val="20"/>
          <w:szCs w:val="20"/>
          <w:color w:val="auto"/>
        </w:rPr>
      </w:pPr>
    </w:p>
    <w:p>
      <w:pPr>
        <w:ind w:right="5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1.21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Initial Public Offering</w:t>
      </w:r>
      <w:r>
        <w:rPr>
          <w:rFonts w:ascii="Times New Roman" w:cs="Times New Roman" w:eastAsia="Times New Roman" w:hAnsi="Times New Roman"/>
          <w:sz w:val="15"/>
          <w:szCs w:val="15"/>
          <w:color w:val="auto"/>
        </w:rPr>
        <w:t>” shall mean the closing of the issuance and sale of shares of Tarsus’ capital stock in a public offering pursuant to an effective registration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statement under the Securities Act.</w:t>
      </w:r>
    </w:p>
    <w:p>
      <w:pPr>
        <w:spacing w:after="0" w:line="125" w:lineRule="exact"/>
        <w:rPr>
          <w:sz w:val="20"/>
          <w:szCs w:val="20"/>
          <w:color w:val="auto"/>
        </w:rPr>
      </w:pPr>
    </w:p>
    <w:p>
      <w:pPr>
        <w:ind w:right="10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1.22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Know-How</w:t>
      </w:r>
      <w:r>
        <w:rPr>
          <w:rFonts w:ascii="Times New Roman" w:cs="Times New Roman" w:eastAsia="Times New Roman" w:hAnsi="Times New Roman"/>
          <w:sz w:val="15"/>
          <w:szCs w:val="15"/>
          <w:color w:val="auto"/>
        </w:rPr>
        <w:t>” means all know-how relating to the Compound or any Licensed Product, including, without limitation, inventions (whether patentable or not), technology,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discoveries, methods, techniques, and scientific information, medical information, all manufacturing, preclinical, and clinical data, materials, samples, protocols, specifications, processes, structures, trade secrets, analytical and quality control information and procedures, pharmacological, toxicological, and clinical test data and results, stability data, and studies and procedures.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Know-How</w:t>
      </w:r>
      <w:r>
        <w:rPr>
          <w:rFonts w:ascii="Times New Roman" w:cs="Times New Roman" w:eastAsia="Times New Roman" w:hAnsi="Times New Roman"/>
          <w:sz w:val="15"/>
          <w:szCs w:val="15"/>
          <w:color w:val="auto"/>
        </w:rPr>
        <w:t>” means all Know-How Controlled by Elanco as of the Effective Date.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IP</w:t>
      </w:r>
      <w:r>
        <w:rPr>
          <w:rFonts w:ascii="Times New Roman" w:cs="Times New Roman" w:eastAsia="Times New Roman" w:hAnsi="Times New Roman"/>
          <w:sz w:val="15"/>
          <w:szCs w:val="15"/>
          <w:color w:val="auto"/>
        </w:rPr>
        <w:t>” means the Licensed Patents and the Licensed Know-How.</w:t>
      </w:r>
    </w:p>
    <w:p>
      <w:pPr>
        <w:spacing w:after="0" w:line="196"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1.25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Patents</w:t>
      </w:r>
      <w:r>
        <w:rPr>
          <w:rFonts w:ascii="Times New Roman" w:cs="Times New Roman" w:eastAsia="Times New Roman" w:hAnsi="Times New Roman"/>
          <w:sz w:val="15"/>
          <w:szCs w:val="15"/>
          <w:color w:val="auto"/>
        </w:rPr>
        <w:t>” means (a) the patents and patent applications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hereto or otherwise Controlled by Elanco or any of its Affiliates as of the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and Covering any product that contains a Compound as an active pharmaceutical ingredient (alone or with other active ingredients) in any forms, presentations, formulations or dosage strengths, or any manufacture or use of the foregoing, (b) any patent or patent application Covering any product that contains a Compound as an active pharmaceutical ingredient (alone or with other active ingredients) in any forms, presentations, formulations or dosage strengths, or any manufacture or use of the foregoing where the patent or patent application Covers Know-How Controlled by Elanco or any of its Affiliates and arises after the Effective Date and prior to the Cut-off Date; (c) any patent application filed after the Effective Date on any of the Licensed Know-How; (d) any patent applications claiming priority to any of the foregoing, including continuations, divisionals, continuation-in-part and foreign patent applications, (e) all patents issuing from any of the foregoing patent applications described in (a) through (d); and (f) all reissues, reexaminations, renewals, re-validations, re-registrations, patents of addition, supplementary patent certificates and extensions of any of the foregoing. Notwithstanding the foregoing, the Licensed Patents do not include the Tarsus Patents.</w:t>
      </w:r>
    </w:p>
    <w:p>
      <w:pPr>
        <w:spacing w:after="0" w:line="156" w:lineRule="exact"/>
        <w:rPr>
          <w:sz w:val="20"/>
          <w:szCs w:val="20"/>
          <w:color w:val="auto"/>
        </w:rPr>
      </w:pPr>
    </w:p>
    <w:p>
      <w:pPr>
        <w:ind w:right="3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1.26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Licensed Product</w:t>
      </w:r>
      <w:r>
        <w:rPr>
          <w:rFonts w:ascii="Times New Roman" w:cs="Times New Roman" w:eastAsia="Times New Roman" w:hAnsi="Times New Roman"/>
          <w:sz w:val="15"/>
          <w:szCs w:val="15"/>
          <w:color w:val="auto"/>
        </w:rPr>
        <w:t>” means any product that: (a) contains a Compound as an active pharmaceutical ingredient (alone or with other active ingredients) in any forms,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presentations, formulations or dosage strengths; or (b) the manufacture, sale, use or importation of which, absent the license granted to Tarsus from Elanco under this Agreement, would infringe a Valid Claim of a Licensed Patent.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20"/>
          </w:cols>
          <w:pgMar w:left="320" w:top="248" w:right="359" w:bottom="1440" w:gutter="0" w:footer="0" w:header="0"/>
        </w:sectPr>
      </w:pPr>
    </w:p>
    <w:bookmarkStart w:id="502" w:name="page503"/>
    <w:bookmarkEnd w:id="502"/>
    <w:p>
      <w:pPr>
        <w:ind w:left="4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1.27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Major European Country</w:t>
      </w:r>
      <w:r>
        <w:rPr>
          <w:rFonts w:ascii="Times New Roman" w:cs="Times New Roman" w:eastAsia="Times New Roman" w:hAnsi="Times New Roman"/>
          <w:sz w:val="15"/>
          <w:szCs w:val="15"/>
          <w:color w:val="auto"/>
        </w:rPr>
        <w:t>” means any of Germany, France, Spain, Italy, and the United Kingdom.</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NADA</w:t>
      </w:r>
      <w:r>
        <w:rPr>
          <w:rFonts w:ascii="Times New Roman" w:cs="Times New Roman" w:eastAsia="Times New Roman" w:hAnsi="Times New Roman"/>
          <w:sz w:val="15"/>
          <w:szCs w:val="15"/>
          <w:color w:val="auto"/>
        </w:rPr>
        <w:t>” means a New Animal Drug Application, or any successor applications or procedures, filed with the FDA for approval to market and sell a product in the United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1.29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NDA</w:t>
      </w:r>
      <w:r>
        <w:rPr>
          <w:rFonts w:ascii="Times New Roman" w:cs="Times New Roman" w:eastAsia="Times New Roman" w:hAnsi="Times New Roman"/>
          <w:sz w:val="15"/>
          <w:szCs w:val="15"/>
          <w:color w:val="auto"/>
        </w:rPr>
        <w:t>” means a New Drug Application, or any successor applications or procedures, filed with the FDA for approval to market and sell a product in the United States.</w:t>
      </w:r>
    </w:p>
    <w:p>
      <w:pPr>
        <w:spacing w:after="0" w:line="196" w:lineRule="exact"/>
        <w:rPr>
          <w:sz w:val="20"/>
          <w:szCs w:val="20"/>
          <w:color w:val="auto"/>
        </w:rPr>
      </w:pPr>
    </w:p>
    <w:p>
      <w:pPr>
        <w:jc w:val="both"/>
        <w:ind w:right="2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Net Sales</w:t>
      </w:r>
      <w:r>
        <w:rPr>
          <w:rFonts w:ascii="Times New Roman" w:cs="Times New Roman" w:eastAsia="Times New Roman" w:hAnsi="Times New Roman"/>
          <w:sz w:val="15"/>
          <w:szCs w:val="15"/>
          <w:color w:val="auto"/>
        </w:rPr>
        <w:t>” means, with respect to a Licensed Product, the gross amount invoiced by Tarsus (including a Tarsus Affiliate) or any sublicensee thereof to unrelated Third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Parties, excluding any sublicensee, for such Licensed Product in the Field in the Territory during the Royalty Term in the country of sale, </w:t>
      </w:r>
      <w:r>
        <w:rPr>
          <w:rFonts w:ascii="Times New Roman" w:cs="Times New Roman" w:eastAsia="Times New Roman" w:hAnsi="Times New Roman"/>
          <w:sz w:val="15"/>
          <w:szCs w:val="15"/>
          <w:u w:val="single" w:color="auto"/>
          <w:color w:val="auto"/>
        </w:rPr>
        <w:t>less</w:t>
      </w:r>
      <w:r>
        <w:rPr>
          <w:rFonts w:ascii="Times New Roman" w:cs="Times New Roman" w:eastAsia="Times New Roman" w:hAnsi="Times New Roman"/>
          <w:sz w:val="15"/>
          <w:szCs w:val="15"/>
          <w:color w:val="auto"/>
        </w:rPr>
        <w:t xml:space="preserve"> the following items applied consistent with U.S. Generally Accepted Accounting Principles:</w:t>
      </w:r>
    </w:p>
    <w:p>
      <w:pPr>
        <w:spacing w:after="0" w:line="52" w:lineRule="exact"/>
        <w:rPr>
          <w:sz w:val="20"/>
          <w:szCs w:val="20"/>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 quantity and cash discounts allowed;</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Discounts, refunds, rebates, chargebacks, retroactive price adjustments, and any other allowances which effectively reduce the net selling price;</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Licensed Product returns and allowances;</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portion of the sales value associated with drug delivery systems, where applicable;</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tax imposed on the production, sale, delivery or use of the Licensed Product, including, without limitation, sales, use, excise or value added taxes;</w:t>
      </w:r>
    </w:p>
    <w:p>
      <w:pPr>
        <w:spacing w:after="0" w:line="104" w:lineRule="exact"/>
        <w:rPr>
          <w:rFonts w:ascii="Times New Roman" w:cs="Times New Roman" w:eastAsia="Times New Roman" w:hAnsi="Times New Roman"/>
          <w:sz w:val="15"/>
          <w:szCs w:val="15"/>
          <w:color w:val="auto"/>
        </w:rPr>
      </w:pPr>
    </w:p>
    <w:p>
      <w:pPr>
        <w:ind w:left="1200" w:hanging="194"/>
        <w:spacing w:after="0"/>
        <w:tabs>
          <w:tab w:leader="none" w:pos="120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Wholesaler inventory management fees;</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Allowance for distribution expenses; and</w:t>
      </w:r>
    </w:p>
    <w:p>
      <w:pPr>
        <w:spacing w:after="0" w:line="104" w:lineRule="exact"/>
        <w:rPr>
          <w:rFonts w:ascii="Times New Roman" w:cs="Times New Roman" w:eastAsia="Times New Roman" w:hAnsi="Times New Roman"/>
          <w:sz w:val="15"/>
          <w:szCs w:val="15"/>
          <w:color w:val="auto"/>
        </w:rPr>
      </w:pPr>
    </w:p>
    <w:p>
      <w:pPr>
        <w:ind w:left="1220" w:hanging="214"/>
        <w:spacing w:after="0"/>
        <w:tabs>
          <w:tab w:leader="none" w:pos="1220" w:val="left"/>
        </w:tabs>
        <w:numPr>
          <w:ilvl w:val="0"/>
          <w:numId w:val="4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similar and customary deductions which are in accordance with GAAP.</w:t>
      </w:r>
    </w:p>
    <w:p>
      <w:pPr>
        <w:spacing w:after="0" w:line="1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Such amounts shall be determined from the books and records of Tarsus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Affiliates of Tarsus or any sublicensee maintained in accordance with U. S. Generally Accepted Accounting Principles consistently applied. Tarsus further agrees in determining such amounts, it will use Tarsus’s then current standard procedures and methodology, including Tarsus’s then current standard exchange rate methodology, utilizing a reputable source such as the </w:t>
      </w:r>
      <w:r>
        <w:rPr>
          <w:rFonts w:ascii="Times New Roman" w:cs="Times New Roman" w:eastAsia="Times New Roman" w:hAnsi="Times New Roman"/>
          <w:sz w:val="15"/>
          <w:szCs w:val="15"/>
          <w:i w:val="1"/>
          <w:iCs w:val="1"/>
          <w:color w:val="auto"/>
        </w:rPr>
        <w:t>Wall Street Journal</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i w:val="1"/>
          <w:iCs w:val="1"/>
          <w:color w:val="auto"/>
        </w:rPr>
        <w:t>Reuters</w:t>
      </w:r>
      <w:r>
        <w:rPr>
          <w:rFonts w:ascii="Times New Roman" w:cs="Times New Roman" w:eastAsia="Times New Roman" w:hAnsi="Times New Roman"/>
          <w:sz w:val="15"/>
          <w:szCs w:val="15"/>
          <w:color w:val="auto"/>
        </w:rPr>
        <w:t>, for the translation of foreign currency sales into U.S. Dollars. For purposes of determining Net Sales, (i) sales of a Licensed Product shall not include transfers, uses or dispositions for charitable, promotional, pre-clinical, clinical, regulatory or governmental purposes, and (ii) sales between or among Tarsus, its Affiliates and sublicensees for re-sale shall be excluded from the computation of Net Sales, but subsequent sales by Tarsus or its Affiliates to third parties shall be included in the computation of Net Sales.</w:t>
      </w:r>
    </w:p>
    <w:p>
      <w:pPr>
        <w:spacing w:after="0" w:line="148" w:lineRule="exact"/>
        <w:rPr>
          <w:sz w:val="20"/>
          <w:szCs w:val="20"/>
          <w:color w:val="auto"/>
        </w:rPr>
      </w:pPr>
    </w:p>
    <w:p>
      <w:pPr>
        <w:ind w:right="1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Person</w:t>
      </w:r>
      <w:r>
        <w:rPr>
          <w:rFonts w:ascii="Times New Roman" w:cs="Times New Roman" w:eastAsia="Times New Roman" w:hAnsi="Times New Roman"/>
          <w:sz w:val="15"/>
          <w:szCs w:val="15"/>
          <w:color w:val="auto"/>
        </w:rPr>
        <w:t>” means any individual, corporation, partnership, joint venture, limited liability company, governmental authority, unincorporated organization, trust, association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other entity.</w:t>
      </w:r>
    </w:p>
    <w:p>
      <w:pPr>
        <w:spacing w:after="0" w:line="125" w:lineRule="exact"/>
        <w:rPr>
          <w:sz w:val="20"/>
          <w:szCs w:val="20"/>
          <w:color w:val="auto"/>
        </w:rPr>
      </w:pPr>
    </w:p>
    <w:p>
      <w:pPr>
        <w:ind w:right="4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1 Clinical Trial</w:t>
      </w:r>
      <w:r>
        <w:rPr>
          <w:rFonts w:ascii="Times New Roman" w:cs="Times New Roman" w:eastAsia="Times New Roman" w:hAnsi="Times New Roman"/>
          <w:sz w:val="15"/>
          <w:szCs w:val="15"/>
          <w:color w:val="auto"/>
        </w:rPr>
        <w:t>” means a clinical trial, the principal purpose of which is preliminary determination of safety of a Licensed Product in healthy individuals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patients and that otherwise satisfies the description in 21 C.F.R. §312.21(a) in the United States or, if applicable, its foreign equivalent.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20" w:top="248" w:right="319" w:bottom="1440" w:gutter="0" w:footer="0" w:header="0"/>
        </w:sectPr>
      </w:pPr>
    </w:p>
    <w:bookmarkStart w:id="503" w:name="page504"/>
    <w:bookmarkEnd w:id="503"/>
    <w:p>
      <w:pPr>
        <w:jc w:val="both"/>
        <w:ind w:right="8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1.33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2 Clinical Trial</w:t>
      </w:r>
      <w:r>
        <w:rPr>
          <w:rFonts w:ascii="Times New Roman" w:cs="Times New Roman" w:eastAsia="Times New Roman" w:hAnsi="Times New Roman"/>
          <w:sz w:val="15"/>
          <w:szCs w:val="15"/>
          <w:color w:val="auto"/>
        </w:rPr>
        <w:t>” means a clinical trial phase 2a, 2b or adaptive design for an indication in the Field that (a) occurs after a separate Phase 1 Clinical Trial for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indication, (b) is predominantly designed to evaluate clinical efficacy for a pharmaceutical product (and is not a clinical trial that is predominantly a safety study (e.g., a phase 1b/2a clinical trial)), in a manner that is generally consistent with 21 C.F.R. § 312.21(b), as amended (or its successor regulation) and/or any analogous applicable law outside of the United States, as applicable, and (c) is necessary to enable Regulatory Approval in the United States or any Major European Country.</w:t>
      </w:r>
    </w:p>
    <w:p>
      <w:pPr>
        <w:spacing w:after="0" w:line="146" w:lineRule="exact"/>
        <w:rPr>
          <w:sz w:val="20"/>
          <w:szCs w:val="20"/>
          <w:color w:val="auto"/>
        </w:rPr>
      </w:pPr>
    </w:p>
    <w:p>
      <w:pPr>
        <w:ind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1.34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Phase 3 Clinical Trial</w:t>
      </w:r>
      <w:r>
        <w:rPr>
          <w:rFonts w:ascii="Times New Roman" w:cs="Times New Roman" w:eastAsia="Times New Roman" w:hAnsi="Times New Roman"/>
          <w:sz w:val="15"/>
          <w:szCs w:val="15"/>
          <w:color w:val="auto"/>
        </w:rPr>
        <w:t>” means a pivotal clinical trial for an indication in the Field that (a) occurs after a separate Phase 2 Clinical Trial for such indication, (b) has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defined dose or a set of defined doses of a pharmaceutical product designed to ascertain efficacy and safety of such product, in a manner that is generally consistent with 21 C.F.R. § 312.21(c), as amended (or its successor regulation) and/or any analogous applicable law outside of the United States, as applicable, and (c) is necessary to enable Regulatory Approval in the United States or any Major European Country.</w:t>
      </w:r>
    </w:p>
    <w:p>
      <w:pPr>
        <w:spacing w:after="0" w:line="146" w:lineRule="exact"/>
        <w:rPr>
          <w:sz w:val="20"/>
          <w:szCs w:val="20"/>
          <w:color w:val="auto"/>
        </w:rPr>
      </w:pPr>
    </w:p>
    <w:p>
      <w:pPr>
        <w:ind w:right="7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1.35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Prescription Product</w:t>
      </w:r>
      <w:r>
        <w:rPr>
          <w:rFonts w:ascii="Times New Roman" w:cs="Times New Roman" w:eastAsia="Times New Roman" w:hAnsi="Times New Roman"/>
          <w:sz w:val="15"/>
          <w:szCs w:val="15"/>
          <w:color w:val="auto"/>
        </w:rPr>
        <w:t>” for a Licensed Product in a country means such product cannot be sold to a consumer without a prescription from a licensed healthcare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practitioner in such country.</w:t>
      </w:r>
    </w:p>
    <w:p>
      <w:pPr>
        <w:spacing w:after="0" w:line="125" w:lineRule="exact"/>
        <w:rPr>
          <w:sz w:val="20"/>
          <w:szCs w:val="20"/>
          <w:color w:val="auto"/>
        </w:rPr>
      </w:pPr>
    </w:p>
    <w:p>
      <w:pPr>
        <w:jc w:val="both"/>
        <w:ind w:right="12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Approval</w:t>
      </w:r>
      <w:r>
        <w:rPr>
          <w:rFonts w:ascii="Times New Roman" w:cs="Times New Roman" w:eastAsia="Times New Roman" w:hAnsi="Times New Roman"/>
          <w:sz w:val="15"/>
          <w:szCs w:val="15"/>
          <w:color w:val="auto"/>
        </w:rPr>
        <w:t>” in a particular country means all approvals (including any applicable governmental price and reimbursement approvals), licenses, registrations,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authorizations of any federal, national, multinational, state, provincial or local Regulatory Authority, department, bureau and other governmental entity that are necessary for the marketing and sale of a Licensed Product in a country.</w:t>
      </w:r>
    </w:p>
    <w:p>
      <w:pPr>
        <w:spacing w:after="0" w:line="141" w:lineRule="exact"/>
        <w:rPr>
          <w:sz w:val="20"/>
          <w:szCs w:val="20"/>
          <w:color w:val="auto"/>
        </w:rPr>
      </w:pPr>
    </w:p>
    <w:p>
      <w:pPr>
        <w:ind w:right="5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 xml:space="preserve">1.37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Authority</w:t>
      </w:r>
      <w:r>
        <w:rPr>
          <w:rFonts w:ascii="Times New Roman" w:cs="Times New Roman" w:eastAsia="Times New Roman" w:hAnsi="Times New Roman"/>
          <w:sz w:val="15"/>
          <w:szCs w:val="15"/>
          <w:color w:val="auto"/>
        </w:rPr>
        <w:t>” means any applicable governmental authority responsible for granting Regulatory Approvals or pricing approvals for Licensed Products,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the FDA, the European Medicines Agency and any corresponding national or regional regulatory authorities.</w:t>
      </w:r>
    </w:p>
    <w:p>
      <w:pPr>
        <w:spacing w:after="0" w:line="125" w:lineRule="exact"/>
        <w:rPr>
          <w:sz w:val="20"/>
          <w:szCs w:val="20"/>
          <w:color w:val="auto"/>
        </w:rPr>
      </w:pPr>
    </w:p>
    <w:p>
      <w:pPr>
        <w:ind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Materials</w:t>
      </w:r>
      <w:r>
        <w:rPr>
          <w:rFonts w:ascii="Times New Roman" w:cs="Times New Roman" w:eastAsia="Times New Roman" w:hAnsi="Times New Roman"/>
          <w:sz w:val="15"/>
          <w:szCs w:val="15"/>
          <w:color w:val="auto"/>
        </w:rPr>
        <w:t>” means any regulatory application, submission, notification, communication, correspondence, registrations, approvals and other filings made to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received from a Regulatory Authority relating to any Licensed Product, including, without limitation, INADs, INDs clinical trial applications, NADAs, NDAs and any other marketing authorizations.</w:t>
      </w:r>
    </w:p>
    <w:p>
      <w:pPr>
        <w:spacing w:after="0" w:line="141" w:lineRule="exact"/>
        <w:rPr>
          <w:sz w:val="20"/>
          <w:szCs w:val="20"/>
          <w:color w:val="auto"/>
        </w:rPr>
      </w:pPr>
    </w:p>
    <w:p>
      <w:pPr>
        <w:jc w:val="both"/>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1.39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Materials Receipt</w:t>
      </w:r>
      <w:r>
        <w:rPr>
          <w:rFonts w:ascii="Times New Roman" w:cs="Times New Roman" w:eastAsia="Times New Roman" w:hAnsi="Times New Roman"/>
          <w:sz w:val="15"/>
          <w:szCs w:val="15"/>
          <w:color w:val="auto"/>
        </w:rPr>
        <w:t>” means the date on which Elanco provides Tarsus with the Regulatory Materials in existence as of the Effective Date that are reasonably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necessary to research, develop, make, use or otherwise exploit Licensed Products in the Field in the Territory. Such materials include, without limitation, [***], FDA approval letter, and FDA correspondence related to 21Sep18 Safety Communication.</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1.40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Restated Certificate</w:t>
      </w:r>
      <w:r>
        <w:rPr>
          <w:rFonts w:ascii="Times New Roman" w:cs="Times New Roman" w:eastAsia="Times New Roman" w:hAnsi="Times New Roman"/>
          <w:sz w:val="15"/>
          <w:szCs w:val="15"/>
          <w:color w:val="auto"/>
        </w:rPr>
        <w:t>” means Tarsus’ Amended and Restated Certificate of Incorporation on file with the Secretary of State of the State of Delaware.</w:t>
      </w:r>
    </w:p>
    <w:p>
      <w:pPr>
        <w:spacing w:after="0" w:line="196" w:lineRule="exact"/>
        <w:rPr>
          <w:sz w:val="20"/>
          <w:szCs w:val="20"/>
          <w:color w:val="auto"/>
        </w:rPr>
      </w:pPr>
    </w:p>
    <w:p>
      <w:pPr>
        <w:ind w:right="2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1.41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Royalty Term</w:t>
      </w:r>
      <w:r>
        <w:rPr>
          <w:rFonts w:ascii="Times New Roman" w:cs="Times New Roman" w:eastAsia="Times New Roman" w:hAnsi="Times New Roman"/>
          <w:sz w:val="15"/>
          <w:szCs w:val="15"/>
          <w:color w:val="auto"/>
        </w:rPr>
        <w:t>” means, with respect to any Licensed Product in a given country, the period of time commencing on the date of the First Commercial Sale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Licensed Product in such country and ending on the latest of: (a) expiry of the last-to-expire of the Licensed Patents which has at least one (1) Valid Claim Covering such Licensed Product in such country; (b) the expiration of regulatory exclusivity for such Licensed Product in such country; and (c) ten (10) years after first commercial sale of such Licensed Product in such country.</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1.42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means the U.S. Securities and Exchange Commission.</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 xml:space="preserve">1.43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United States Securities Act of 1933, as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248" w:right="339" w:bottom="1440" w:gutter="0" w:footer="0" w:header="0"/>
        </w:sectPr>
      </w:pPr>
    </w:p>
    <w:bookmarkStart w:id="504" w:name="page505"/>
    <w:bookmarkEnd w:id="504"/>
    <w:p>
      <w:pPr>
        <w:ind w:left="448"/>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1.44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Sensitive Transfer</w:t>
      </w:r>
      <w:r>
        <w:rPr>
          <w:rFonts w:ascii="Times New Roman" w:cs="Times New Roman" w:eastAsia="Times New Roman" w:hAnsi="Times New Roman"/>
          <w:sz w:val="15"/>
          <w:szCs w:val="15"/>
          <w:color w:val="auto"/>
        </w:rPr>
        <w:t>” means a transfer to a new supplier requiring either a technology transfer, a method transfer or another form of transfer of Licensed Know-How.</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Sublicense Revenue</w:t>
      </w:r>
      <w:r>
        <w:rPr>
          <w:rFonts w:ascii="Times New Roman" w:cs="Times New Roman" w:eastAsia="Times New Roman" w:hAnsi="Times New Roman"/>
          <w:sz w:val="15"/>
          <w:szCs w:val="15"/>
          <w:color w:val="auto"/>
        </w:rPr>
        <w:t>” means payments that Tarsus receives in consideration for a sublicense of rights under the Licensed IP in the Field.</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1.46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IP</w:t>
      </w:r>
      <w:r>
        <w:rPr>
          <w:rFonts w:ascii="Times New Roman" w:cs="Times New Roman" w:eastAsia="Times New Roman" w:hAnsi="Times New Roman"/>
          <w:sz w:val="15"/>
          <w:szCs w:val="15"/>
          <w:color w:val="auto"/>
        </w:rPr>
        <w:t>” means the Tarsus Patents and the Tarsus Know-How. Tarsus IP does not include the Licensed IP.</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1.47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Know-How</w:t>
      </w:r>
      <w:r>
        <w:rPr>
          <w:rFonts w:ascii="Times New Roman" w:cs="Times New Roman" w:eastAsia="Times New Roman" w:hAnsi="Times New Roman"/>
          <w:sz w:val="15"/>
          <w:szCs w:val="15"/>
          <w:color w:val="auto"/>
        </w:rPr>
        <w:t>” means Know-How Controlled by Tarsus as of the Effective Date, excluding Licensed Know-How.</w:t>
      </w:r>
    </w:p>
    <w:p>
      <w:pPr>
        <w:spacing w:after="0" w:line="196" w:lineRule="exact"/>
        <w:rPr>
          <w:sz w:val="20"/>
          <w:szCs w:val="20"/>
          <w:color w:val="auto"/>
        </w:rPr>
      </w:pPr>
    </w:p>
    <w:p>
      <w:pPr>
        <w:ind w:left="8"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1.48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Patents</w:t>
      </w:r>
      <w:r>
        <w:rPr>
          <w:rFonts w:ascii="Times New Roman" w:cs="Times New Roman" w:eastAsia="Times New Roman" w:hAnsi="Times New Roman"/>
          <w:sz w:val="15"/>
          <w:szCs w:val="15"/>
          <w:color w:val="auto"/>
        </w:rPr>
        <w:t>” means (a) patents and patent applications Controlled by Tarsus as of the Effective Date and related to the Compound and Licensed Product; (b)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 applications claiming priority to any of the foregoing, including continuations, divisionals, continuation-in-part (to the extent the claims thereof are entitled to such priority) and foreign patent applications, and (c) all patents issuing from any of the foregoing patent applications described in (a) through (b), including all reissues, reexaminations and extensions thereof. Notwithstanding the foregoing, the Tarsus Patents do not include the Licensed Patents.</w:t>
      </w:r>
    </w:p>
    <w:p>
      <w:pPr>
        <w:spacing w:after="0" w:line="14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1.49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Territory</w:t>
      </w:r>
      <w:r>
        <w:rPr>
          <w:rFonts w:ascii="Times New Roman" w:cs="Times New Roman" w:eastAsia="Times New Roman" w:hAnsi="Times New Roman"/>
          <w:sz w:val="15"/>
          <w:szCs w:val="15"/>
          <w:color w:val="auto"/>
        </w:rPr>
        <w:t>” means the entire world.</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1.50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Third Party</w:t>
      </w:r>
      <w:r>
        <w:rPr>
          <w:rFonts w:ascii="Times New Roman" w:cs="Times New Roman" w:eastAsia="Times New Roman" w:hAnsi="Times New Roman"/>
          <w:sz w:val="15"/>
          <w:szCs w:val="15"/>
          <w:color w:val="auto"/>
        </w:rPr>
        <w:t>” means any Person other than a Party or an Affiliate of a Party.</w:t>
      </w:r>
    </w:p>
    <w:p>
      <w:pPr>
        <w:spacing w:after="0" w:line="196" w:lineRule="exact"/>
        <w:rPr>
          <w:sz w:val="20"/>
          <w:szCs w:val="20"/>
          <w:color w:val="auto"/>
        </w:rPr>
      </w:pPr>
    </w:p>
    <w:p>
      <w:pPr>
        <w:ind w:left="8" w:right="2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1.51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Valid Claim</w:t>
      </w:r>
      <w:r>
        <w:rPr>
          <w:rFonts w:ascii="Times New Roman" w:cs="Times New Roman" w:eastAsia="Times New Roman" w:hAnsi="Times New Roman"/>
          <w:sz w:val="15"/>
          <w:szCs w:val="15"/>
          <w:color w:val="auto"/>
        </w:rPr>
        <w:t>” means any claim of any issued and unexpired Licensed Patent that has not been disclaimed, abandoned, revoked or held unpatentable, invalid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unenforceable by final decision of a court or other governmental body of competent jurisdiction, which decision is unappealable or unappealed within the time allowed for appeal. “Valid Claim” shall include any pending claim of any Licensed Patent that has been pending for less than seven (7) years but shall exclude pending claims that have been pending, without approval, for seven (7) years or more.</w:t>
      </w:r>
    </w:p>
    <w:p>
      <w:pPr>
        <w:spacing w:after="0" w:line="146" w:lineRule="exact"/>
        <w:rPr>
          <w:sz w:val="20"/>
          <w:szCs w:val="20"/>
          <w:color w:val="auto"/>
        </w:rPr>
      </w:pPr>
    </w:p>
    <w:p>
      <w:pPr>
        <w:ind w:left="148" w:hanging="148"/>
        <w:spacing w:after="0"/>
        <w:tabs>
          <w:tab w:leader="none" w:pos="148" w:val="left"/>
        </w:tabs>
        <w:numPr>
          <w:ilvl w:val="0"/>
          <w:numId w:val="4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w:t>
      </w:r>
      <w:r>
        <w:rPr>
          <w:rFonts w:ascii="Times New Roman" w:cs="Times New Roman" w:eastAsia="Times New Roman" w:hAnsi="Times New Roman"/>
          <w:sz w:val="12"/>
          <w:szCs w:val="12"/>
          <w:b w:val="1"/>
          <w:bCs w:val="1"/>
          <w:color w:val="auto"/>
        </w:rPr>
        <w:t>ICENSE</w:t>
      </w:r>
      <w:r>
        <w:rPr>
          <w:rFonts w:ascii="Times New Roman" w:cs="Times New Roman" w:eastAsia="Times New Roman" w:hAnsi="Times New Roman"/>
          <w:sz w:val="15"/>
          <w:szCs w:val="15"/>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5"/>
          <w:szCs w:val="15"/>
          <w:b w:val="1"/>
          <w:bCs w:val="1"/>
          <w:color w:val="auto"/>
        </w:rPr>
        <w:t>; U</w:t>
      </w:r>
      <w:r>
        <w:rPr>
          <w:rFonts w:ascii="Times New Roman" w:cs="Times New Roman" w:eastAsia="Times New Roman" w:hAnsi="Times New Roman"/>
          <w:sz w:val="12"/>
          <w:szCs w:val="12"/>
          <w:b w:val="1"/>
          <w:bCs w:val="1"/>
          <w:color w:val="auto"/>
        </w:rPr>
        <w:t>PSTREAM</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80" w:firstLine="451"/>
        <w:spacing w:after="0" w:line="269" w:lineRule="auto"/>
        <w:rPr>
          <w:sz w:val="20"/>
          <w:szCs w:val="20"/>
          <w:color w:val="auto"/>
        </w:rPr>
      </w:pPr>
      <w:r>
        <w:rPr>
          <w:rFonts w:ascii="Times New Roman" w:cs="Times New Roman" w:eastAsia="Times New Roman" w:hAnsi="Times New Roman"/>
          <w:sz w:val="15"/>
          <w:szCs w:val="15"/>
          <w:b w:val="1"/>
          <w:bCs w:val="1"/>
          <w:color w:val="auto"/>
        </w:rPr>
        <w:t>2.1 Elanco License</w:t>
      </w:r>
      <w:r>
        <w:rPr>
          <w:rFonts w:ascii="Times New Roman" w:cs="Times New Roman" w:eastAsia="Times New Roman" w:hAnsi="Times New Roman"/>
          <w:sz w:val="15"/>
          <w:szCs w:val="15"/>
          <w:color w:val="auto"/>
        </w:rPr>
        <w:t>. Elanco hereby grants to Tarsus and its Affiliates an exclusive (even as to Elanco), perpetual, sublicensable (through multiple tiers), royalty-bearing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license, under the Licensed IP, to research, develop, make, use, sell, offer for sale, import and otherwise exploit Licensed Products in the Field in the Territory. Each sublicensee shall agree to comply with the following terms and conditions of this Agreement: Section 2.3, allowing an audit pursuant to Section 6.6, Section 9.2(b) (with respect to the activities of sublicensee and its Affiliates), and Section 10 (with respect to the Confidential Information of Elanco). Tarsus remains fully responsible and liable under this Agreement irrespective of any sublicense.</w:t>
      </w:r>
    </w:p>
    <w:p>
      <w:pPr>
        <w:spacing w:after="0" w:line="333" w:lineRule="exact"/>
        <w:rPr>
          <w:sz w:val="20"/>
          <w:szCs w:val="20"/>
          <w:color w:val="auto"/>
        </w:rPr>
      </w:pPr>
    </w:p>
    <w:p>
      <w:pPr>
        <w:jc w:val="both"/>
        <w:ind w:left="8" w:right="1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2.2 Tarsus License</w:t>
      </w:r>
      <w:r>
        <w:rPr>
          <w:rFonts w:ascii="Times New Roman" w:cs="Times New Roman" w:eastAsia="Times New Roman" w:hAnsi="Times New Roman"/>
          <w:sz w:val="15"/>
          <w:szCs w:val="15"/>
          <w:color w:val="auto"/>
        </w:rPr>
        <w:t>. Tarsus hereby grants to Elanco a worldwide non-exclusive, perpetual, sublicensable (through multiple tiers), royalty-free license, under the Tarsus IP,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research, develop, make, use, sell, offer for sale, import and otherwise exploit Compounds and Licensed Products in the Elanco Field. Tarsus may sublicense any or all rights and/or obligations under this Agreement.</w:t>
      </w:r>
    </w:p>
    <w:p>
      <w:pPr>
        <w:spacing w:after="0" w:line="141" w:lineRule="exact"/>
        <w:rPr>
          <w:sz w:val="20"/>
          <w:szCs w:val="20"/>
          <w:color w:val="auto"/>
        </w:rPr>
      </w:pPr>
    </w:p>
    <w:p>
      <w:pPr>
        <w:ind w:left="8" w:right="420"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2.3 Right of Reference; Samples</w:t>
      </w:r>
      <w:r>
        <w:rPr>
          <w:rFonts w:ascii="Times New Roman" w:cs="Times New Roman" w:eastAsia="Times New Roman" w:hAnsi="Times New Roman"/>
          <w:sz w:val="15"/>
          <w:szCs w:val="15"/>
          <w:color w:val="auto"/>
        </w:rPr>
        <w:t>. Each Party has right to reference and receive access to all Regulatory Materials for the Compound (and any chemical alteration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improvement of the Compound (e.g. pursuant to Section 8.3)) that are Controlled by the other Party, its Affiliates, or its sublicensees, whether existing as of the Effective Date, generated from any activities of the Parties in connection with this Agreement, solely for the purposes set forth in this Agreement, or otherwise existing after the Effective Date. Elanco will provide Tarsus with reasonable samples of (a) Elanco’s chemical alterations or improvements of the Compound, (b) the Compound’s related substances, and/or</w:t>
      </w:r>
    </w:p>
    <w:p>
      <w:pPr>
        <w:ind w:left="8" w:right="380" w:hanging="8"/>
        <w:spacing w:after="0" w:line="273" w:lineRule="auto"/>
        <w:tabs>
          <w:tab w:leader="none" w:pos="217" w:val="left"/>
        </w:tabs>
        <w:numPr>
          <w:ilvl w:val="0"/>
          <w:numId w:val="4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standards for the Compound, in each case, after Tarsus’s request(s) from time to time. Tarsus shall pay Elanco for such samples at an amount equal to [***] paid by Elanco for such samples plus [***]% thereof.</w:t>
      </w:r>
    </w:p>
    <w:p>
      <w:pPr>
        <w:spacing w:after="0" w:line="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48"/>
          </w:cols>
          <w:pgMar w:left="312" w:top="248" w:right="339" w:bottom="1440" w:gutter="0" w:footer="0" w:header="0"/>
        </w:sectPr>
      </w:pPr>
    </w:p>
    <w:bookmarkStart w:id="505" w:name="page506"/>
    <w:bookmarkEnd w:id="505"/>
    <w:p>
      <w:pPr>
        <w:ind w:left="148" w:hanging="148"/>
        <w:spacing w:after="0"/>
        <w:tabs>
          <w:tab w:leader="none" w:pos="148" w:val="left"/>
        </w:tabs>
        <w:numPr>
          <w:ilvl w:val="0"/>
          <w:numId w:val="4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R</w:t>
      </w:r>
      <w:r>
        <w:rPr>
          <w:rFonts w:ascii="Times New Roman" w:cs="Times New Roman" w:eastAsia="Times New Roman" w:hAnsi="Times New Roman"/>
          <w:sz w:val="12"/>
          <w:szCs w:val="12"/>
          <w:b w:val="1"/>
          <w:bCs w:val="1"/>
          <w:color w:val="auto"/>
        </w:rPr>
        <w:t>EGULATORY</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5"/>
          <w:szCs w:val="15"/>
          <w:b w:val="1"/>
          <w:bCs w:val="1"/>
          <w:color w:val="auto"/>
        </w:rPr>
        <w:t>; K</w:t>
      </w: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5"/>
          <w:szCs w:val="15"/>
          <w:b w:val="1"/>
          <w:bCs w:val="1"/>
          <w:color w:val="auto"/>
        </w:rPr>
        <w:t xml:space="preserve"> -H</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80"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3.1 </w:t>
      </w:r>
      <w:r>
        <w:rPr>
          <w:rFonts w:ascii="Times New Roman" w:cs="Times New Roman" w:eastAsia="Times New Roman" w:hAnsi="Times New Roman"/>
          <w:sz w:val="15"/>
          <w:szCs w:val="15"/>
          <w:color w:val="auto"/>
        </w:rPr>
        <w:t>Within [***] days following the date Tarsus provided Elanco the Initial Equity Grant, Elanco shall provide all information regarding the Licensed Know-How that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Controlled by Elanco as of the Effective Date and is reasonably necessary to research, develop, make, use, or otherwise exploit Licensed Products in the Field in the Territory. Additionally, if Tarsus engages a third party other than Siegfried to manufacture the Licensed Product and such manufacture requires material manufacturing Know-How not previously provided to Tarsus then Elanco shall provide (or cause Siegfried to provide) such Know-How and, unless such third party is an Existing Manufacturer, Tarsus shall pay Elanco $[***] within thirty (30) days after its receipt of all of such Know-How. Provided in any case that Elanco shall only be obliged to provide information to a third party that has been selected in compliance with Section 8.4.</w:t>
      </w:r>
    </w:p>
    <w:p>
      <w:pPr>
        <w:spacing w:after="0" w:line="148" w:lineRule="exact"/>
        <w:rPr>
          <w:sz w:val="20"/>
          <w:szCs w:val="20"/>
          <w:color w:val="auto"/>
        </w:rPr>
      </w:pPr>
    </w:p>
    <w:p>
      <w:pPr>
        <w:ind w:left="8" w:right="1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3.2 </w:t>
      </w:r>
      <w:r>
        <w:rPr>
          <w:rFonts w:ascii="Times New Roman" w:cs="Times New Roman" w:eastAsia="Times New Roman" w:hAnsi="Times New Roman"/>
          <w:sz w:val="15"/>
          <w:szCs w:val="15"/>
          <w:color w:val="auto"/>
        </w:rPr>
        <w:t>Promptly after the Effective Date, Elanco shall provide Tarsus with all Regulatory Materials that are reasonably necessary to research, develop, make, use or otherwise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exploit Licensed Products in the Field in the Territory, but, in any case, Elanco shall not be required to provide any particular Regulatory Material to Tarsus more than once. Elanco shall continually provide Tarsus with any relevant updates to the Regulatory Materials promptly after their creation or receipt (as the case may be).</w:t>
      </w:r>
    </w:p>
    <w:p>
      <w:pPr>
        <w:spacing w:after="0" w:line="141" w:lineRule="exact"/>
        <w:rPr>
          <w:sz w:val="20"/>
          <w:szCs w:val="20"/>
          <w:color w:val="auto"/>
        </w:rPr>
      </w:pPr>
    </w:p>
    <w:p>
      <w:pPr>
        <w:ind w:left="148" w:hanging="148"/>
        <w:spacing w:after="0"/>
        <w:tabs>
          <w:tab w:leader="none" w:pos="148" w:val="left"/>
        </w:tabs>
        <w:numPr>
          <w:ilvl w:val="0"/>
          <w:numId w:val="4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2"/>
          <w:szCs w:val="12"/>
          <w:b w:val="1"/>
          <w:bCs w:val="1"/>
          <w:color w:val="auto"/>
        </w:rPr>
        <w:t>EVELOPMENT AND</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OMMERCIALIZATION</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4.1 General; Diligence</w:t>
      </w:r>
      <w:r>
        <w:rPr>
          <w:rFonts w:ascii="Times New Roman" w:cs="Times New Roman" w:eastAsia="Times New Roman" w:hAnsi="Times New Roman"/>
          <w:sz w:val="15"/>
          <w:szCs w:val="15"/>
          <w:color w:val="auto"/>
        </w:rPr>
        <w:t>. Following the Effective Date, as between the Parties, Tarsus, at its expense, shall be responsible for conducting (or causing its Affiliates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sublicensees to conduct) the development and commercialization of the Licensed Products in the Field in the Territory. Tarsus shall use Commercially Reasonable Efforts to develop the Licensed Products and seek and obtain Regulatory Approval for Licensed Products in the Field in the Territory. A summary of the currently intended development activities is attached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Elanco’s sole and exclusive remedy for Tarsus’s breach of the foregoing sentence is termination of this Agreement pursuant Section 11.2.</w:t>
      </w:r>
    </w:p>
    <w:p>
      <w:pPr>
        <w:spacing w:after="0" w:line="146" w:lineRule="exact"/>
        <w:rPr>
          <w:sz w:val="20"/>
          <w:szCs w:val="20"/>
          <w:color w:val="auto"/>
        </w:rPr>
      </w:pPr>
    </w:p>
    <w:p>
      <w:pPr>
        <w:ind w:left="8" w:right="80"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4.2 Regulatory</w:t>
      </w:r>
      <w:r>
        <w:rPr>
          <w:rFonts w:ascii="Times New Roman" w:cs="Times New Roman" w:eastAsia="Times New Roman" w:hAnsi="Times New Roman"/>
          <w:sz w:val="15"/>
          <w:szCs w:val="15"/>
          <w:color w:val="auto"/>
        </w:rPr>
        <w:t>. As between the Parties, Tarsus (or its Affiliates or sublicensees) shall be solely responsible, for all regulatory matters relating to the development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commercialization of the Licensed Products in the Field in the Territory and shall coordinate and control the related regulatory strategy and interactions with Regulatory Authorities for the Licensed Products at its own cost. Each Party shall keep the other Party informed about the regulatory process and status for Licensed Products and shall immediately or no later than five (5) business days inform the other Party of any human exposure serious adverse event (as defined in 21 CFR 312.32 and CFR 514.3) or such other matters agreed to in any pharmacovigilance or that would otherwise reasonably be expected to materially adversely affect the other Party’s regulatory process for the Licensed Products.</w:t>
      </w:r>
    </w:p>
    <w:p>
      <w:pPr>
        <w:spacing w:after="0" w:line="147" w:lineRule="exact"/>
        <w:rPr>
          <w:sz w:val="20"/>
          <w:szCs w:val="20"/>
          <w:color w:val="auto"/>
        </w:rPr>
      </w:pPr>
    </w:p>
    <w:p>
      <w:pPr>
        <w:ind w:left="8" w:right="2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4.3 Progress Reports</w:t>
      </w:r>
      <w:r>
        <w:rPr>
          <w:rFonts w:ascii="Times New Roman" w:cs="Times New Roman" w:eastAsia="Times New Roman" w:hAnsi="Times New Roman"/>
          <w:sz w:val="15"/>
          <w:szCs w:val="15"/>
          <w:color w:val="auto"/>
        </w:rPr>
        <w:t>. Within [***] days after January 1 of each year prior to First Commercial Sale, Tarsus shall submit to Elanco a progress report covering in reasonable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detail the activities of Tarsus including a listing of serious adverse events, its Affiliates and sublicensees, as applicable, related to the development, regulatory status and commercialization of the Licensed Products in the Territory. All reports provided by Tarsus to Elanco under this Section 4.3 shall be considered Tarsus’s Confidential Information.</w:t>
      </w:r>
    </w:p>
    <w:p>
      <w:pPr>
        <w:spacing w:after="0" w:line="14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4.4 Reversion of Rights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firstLine="1006"/>
        <w:spacing w:after="0" w:line="277" w:lineRule="auto"/>
        <w:tabs>
          <w:tab w:leader="none" w:pos="1239" w:val="left"/>
        </w:tabs>
        <w:numPr>
          <w:ilvl w:val="0"/>
          <w:numId w:val="4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If neither Tarsus nor any of its Affiliates or sublicensees achieve any of the milestones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(each a “</w:t>
      </w:r>
      <w:r>
        <w:rPr>
          <w:rFonts w:ascii="Times New Roman" w:cs="Times New Roman" w:eastAsia="Times New Roman" w:hAnsi="Times New Roman"/>
          <w:sz w:val="15"/>
          <w:szCs w:val="15"/>
          <w:b w:val="1"/>
          <w:bCs w:val="1"/>
          <w:i w:val="1"/>
          <w:iCs w:val="1"/>
          <w:color w:val="auto"/>
        </w:rPr>
        <w:t>Diligence Milestone</w:t>
      </w:r>
      <w:r>
        <w:rPr>
          <w:rFonts w:ascii="Times New Roman" w:cs="Times New Roman" w:eastAsia="Times New Roman" w:hAnsi="Times New Roman"/>
          <w:sz w:val="15"/>
          <w:szCs w:val="15"/>
          <w:color w:val="auto"/>
        </w:rPr>
        <w:t xml:space="preserve">”) by the corresponding achievement deadline date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except for reasons outside of Tarsus’ reasonable control, Elanco shall (as its sole and exclusive remedy for such failure) have the right to terminate the Agreement if such Diligence Milestone remains unmet one hundred twenty (120) days after Elanco provides Tarsus notice of such failure.</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28"/>
          </w:cols>
          <w:pgMar w:left="312" w:top="247" w:right="359" w:bottom="1440" w:gutter="0" w:footer="0" w:header="0"/>
        </w:sectPr>
      </w:pPr>
    </w:p>
    <w:bookmarkStart w:id="506" w:name="page507"/>
    <w:bookmarkEnd w:id="506"/>
    <w:p>
      <w:pPr>
        <w:ind w:left="1248" w:hanging="234"/>
        <w:spacing w:after="0"/>
        <w:tabs>
          <w:tab w:leader="none" w:pos="1248" w:val="left"/>
        </w:tabs>
        <w:numPr>
          <w:ilvl w:val="0"/>
          <w:numId w:val="4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 xml:space="preserve">Tarsus may, at its option, increase all of the milestone dates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one time by [***] months by making a one-time payment of $[***].</w:t>
      </w:r>
    </w:p>
    <w:p>
      <w:pPr>
        <w:spacing w:after="0" w:line="196" w:lineRule="exact"/>
        <w:rPr>
          <w:rFonts w:ascii="Times New Roman" w:cs="Times New Roman" w:eastAsia="Times New Roman" w:hAnsi="Times New Roman"/>
          <w:sz w:val="15"/>
          <w:szCs w:val="15"/>
          <w:b w:val="1"/>
          <w:bCs w:val="1"/>
          <w:color w:val="auto"/>
        </w:rPr>
      </w:pPr>
    </w:p>
    <w:p>
      <w:pPr>
        <w:ind w:left="8" w:right="300" w:firstLine="1006"/>
        <w:spacing w:after="0" w:line="275" w:lineRule="auto"/>
        <w:tabs>
          <w:tab w:leader="none" w:pos="1230" w:val="left"/>
        </w:tabs>
        <w:numPr>
          <w:ilvl w:val="0"/>
          <w:numId w:val="4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termination pursuant to Section 4.4(a), Elanco shall be granted nonexclusive, sublicensable rights to the Tarsus Know-How and Tarsus Licensed Patents to develop, manufacture, and commercialize the Compound and Licensed Products in the Field and be provided with Tarsus Know-How (including such regulatory documentation corresponding to the Licensed Product) but not any other assets of Tarsus. Such rights shall be fully paid and royalty free.</w:t>
      </w:r>
    </w:p>
    <w:p>
      <w:pPr>
        <w:spacing w:after="0" w:line="141" w:lineRule="exact"/>
        <w:rPr>
          <w:sz w:val="20"/>
          <w:szCs w:val="20"/>
          <w:color w:val="auto"/>
        </w:rPr>
      </w:pPr>
    </w:p>
    <w:p>
      <w:pPr>
        <w:ind w:left="8" w:right="20" w:firstLine="1014"/>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4.5 </w:t>
      </w:r>
      <w:r>
        <w:rPr>
          <w:rFonts w:ascii="Times New Roman" w:cs="Times New Roman" w:eastAsia="Times New Roman" w:hAnsi="Times New Roman"/>
          <w:sz w:val="15"/>
          <w:szCs w:val="15"/>
          <w:color w:val="auto"/>
        </w:rPr>
        <w:t>Development Cooperation. The Parties acknowledge and agree that, in order to develop Licensed Products in the Field, Tarsus will need to conduct non-human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animal studies. Tarsus agrees to coordinate and cooperate with Elanco, via the JSC (as defined in Section 5 below), to develop and perform such studies in a manner that minimizes the commercial risk to Elanco’s commercial products for the Elanco Field that include the Compound. Tarsus should explore all possible alternatives to performing non-human animal studies in dogs, for example by choosing another animal species. In the event that dog studies are absolutely needed, Tarsus will inform and consult with Elanco, before conducting the studies and regularly provide an overview of all current and future clinical studies relating to the Compound to the Joint Steering Committee.</w:t>
      </w:r>
    </w:p>
    <w:p>
      <w:pPr>
        <w:spacing w:after="0" w:line="147" w:lineRule="exact"/>
        <w:rPr>
          <w:sz w:val="20"/>
          <w:szCs w:val="20"/>
          <w:color w:val="auto"/>
        </w:rPr>
      </w:pPr>
    </w:p>
    <w:p>
      <w:pPr>
        <w:ind w:left="148" w:hanging="148"/>
        <w:spacing w:after="0"/>
        <w:tabs>
          <w:tab w:leader="none" w:pos="148" w:val="left"/>
        </w:tabs>
        <w:numPr>
          <w:ilvl w:val="0"/>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J</w:t>
      </w:r>
      <w:r>
        <w:rPr>
          <w:rFonts w:ascii="Times New Roman" w:cs="Times New Roman" w:eastAsia="Times New Roman" w:hAnsi="Times New Roman"/>
          <w:sz w:val="12"/>
          <w:szCs w:val="12"/>
          <w:b w:val="1"/>
          <w:bCs w:val="1"/>
          <w:color w:val="auto"/>
        </w:rPr>
        <w:t>OINT</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TEERING</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5"/>
          <w:szCs w:val="15"/>
          <w:color w:val="auto"/>
        </w:rPr>
        <w:t>.</w:t>
      </w:r>
    </w:p>
    <w:p>
      <w:pPr>
        <w:spacing w:after="0" w:line="196" w:lineRule="exact"/>
        <w:rPr>
          <w:rFonts w:ascii="Times New Roman" w:cs="Times New Roman" w:eastAsia="Times New Roman" w:hAnsi="Times New Roman"/>
          <w:sz w:val="15"/>
          <w:szCs w:val="15"/>
          <w:b w:val="1"/>
          <w:bCs w:val="1"/>
          <w:color w:val="auto"/>
        </w:rPr>
      </w:pPr>
    </w:p>
    <w:p>
      <w:pPr>
        <w:ind w:left="8" w:firstLine="1006"/>
        <w:spacing w:after="0" w:line="267" w:lineRule="auto"/>
        <w:tabs>
          <w:tab w:leader="none" w:pos="1239"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parties shall establish a joint steering committee (the “</w:t>
      </w:r>
      <w:r>
        <w:rPr>
          <w:rFonts w:ascii="Times New Roman" w:cs="Times New Roman" w:eastAsia="Times New Roman" w:hAnsi="Times New Roman"/>
          <w:sz w:val="15"/>
          <w:szCs w:val="15"/>
          <w:b w:val="1"/>
          <w:bCs w:val="1"/>
          <w:i w:val="1"/>
          <w:iCs w:val="1"/>
          <w:color w:val="auto"/>
        </w:rPr>
        <w:t>Joint Steering Committee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JSC</w:t>
      </w:r>
      <w:r>
        <w:rPr>
          <w:rFonts w:ascii="Times New Roman" w:cs="Times New Roman" w:eastAsia="Times New Roman" w:hAnsi="Times New Roman"/>
          <w:sz w:val="15"/>
          <w:szCs w:val="15"/>
          <w:color w:val="auto"/>
        </w:rPr>
        <w:t>”) consisting of two (2) representatives from each party, which shall serve as a way for Tarsus to inform (and seek advice from) Elanco in the development and Regulatory Approval efforts for the Licensed Product in the Territory and other efforts under this License Agreement. Each party will provide the other Party Notice with the name, title, email address, telephone number of their respective Joint Steering Committee Members. The JSC shall meet as needed but not less than on a quarterly basis (or such other frequency as determined by the JSC). The JSC shall be of advisory nature only and shall ensure that Elanco is being kept informed on Tarsus development progress. Tarsus is responsible for and takes final decisions on development and commercialization.</w:t>
      </w:r>
    </w:p>
    <w:p>
      <w:pPr>
        <w:spacing w:after="0" w:line="151" w:lineRule="exact"/>
        <w:rPr>
          <w:rFonts w:ascii="Times New Roman" w:cs="Times New Roman" w:eastAsia="Times New Roman" w:hAnsi="Times New Roman"/>
          <w:sz w:val="15"/>
          <w:szCs w:val="15"/>
          <w:b w:val="1"/>
          <w:bCs w:val="1"/>
          <w:color w:val="auto"/>
        </w:rPr>
      </w:pPr>
    </w:p>
    <w:p>
      <w:pPr>
        <w:ind w:left="8" w:right="400" w:firstLine="1006"/>
        <w:spacing w:after="0" w:line="293" w:lineRule="auto"/>
        <w:tabs>
          <w:tab w:leader="none" w:pos="1248"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Joint Steering Committee meetings will be at times agreed by the Parties and will be in such form (e.g. in person, telephone, or video conference) as the members of the Joint Steering Committee agree.</w:t>
      </w:r>
    </w:p>
    <w:p>
      <w:pPr>
        <w:spacing w:after="0" w:line="132" w:lineRule="exact"/>
        <w:rPr>
          <w:rFonts w:ascii="Times New Roman" w:cs="Times New Roman" w:eastAsia="Times New Roman" w:hAnsi="Times New Roman"/>
          <w:sz w:val="15"/>
          <w:szCs w:val="15"/>
          <w:b w:val="1"/>
          <w:bCs w:val="1"/>
          <w:color w:val="auto"/>
        </w:rPr>
      </w:pPr>
    </w:p>
    <w:p>
      <w:pPr>
        <w:ind w:left="8" w:right="40" w:firstLine="1006"/>
        <w:spacing w:after="0" w:line="272" w:lineRule="auto"/>
        <w:tabs>
          <w:tab w:leader="none" w:pos="1230"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party may change one or more of its representatives to the Steering Committee at any time. Members of the Joint Steering committee may be represented at any meeting by another member of the Steering committee or by a proxy. Either Party may permit additional employees and consultants to attend and participate in the Joint Steering Committee, subject to the confidentiality provisions of the agreement. Each Party is responsible for travel costs for their representatives associated with attending in person JSC meetings.</w:t>
      </w:r>
    </w:p>
    <w:p>
      <w:pPr>
        <w:spacing w:after="0" w:line="335" w:lineRule="exact"/>
        <w:rPr>
          <w:rFonts w:ascii="Times New Roman" w:cs="Times New Roman" w:eastAsia="Times New Roman" w:hAnsi="Times New Roman"/>
          <w:sz w:val="15"/>
          <w:szCs w:val="15"/>
          <w:b w:val="1"/>
          <w:bCs w:val="1"/>
          <w:color w:val="auto"/>
        </w:rPr>
      </w:pPr>
    </w:p>
    <w:p>
      <w:pPr>
        <w:ind w:left="8" w:right="220" w:firstLine="1006"/>
        <w:spacing w:after="0" w:line="268" w:lineRule="auto"/>
        <w:tabs>
          <w:tab w:leader="none" w:pos="1248" w:val="left"/>
        </w:tabs>
        <w:numPr>
          <w:ilvl w:val="1"/>
          <w:numId w:val="4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Joint Steering Committee will be responsible for keeping accurate minutes of its deliberations that record decisions and all actions recommended or taken. Within thirty (15) business days of each JSC meeting, the Parties will be provided with draft minutes of such meeting. Minutes will be deemed approved unless a Joint Steering Committee representative of either Party objects to the accuracy of such minutes. In the event that any such objection is not resolved by the Joint Steering Committee such minutes will be amended to reflect the unresolved objection. All records of the Joint Steering Committee will be considered confidential information and available to both Parties.</w:t>
      </w:r>
    </w:p>
    <w:p>
      <w:pPr>
        <w:spacing w:after="0" w:line="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48"/>
          </w:cols>
          <w:pgMar w:left="312" w:top="252" w:right="339" w:bottom="1440" w:gutter="0" w:footer="0" w:header="0"/>
        </w:sectPr>
      </w:pPr>
    </w:p>
    <w:bookmarkStart w:id="507" w:name="page508"/>
    <w:bookmarkEnd w:id="507"/>
    <w:p>
      <w:pPr>
        <w:ind w:left="148" w:hanging="148"/>
        <w:spacing w:after="0"/>
        <w:tabs>
          <w:tab w:leader="none" w:pos="148" w:val="left"/>
        </w:tabs>
        <w:numPr>
          <w:ilvl w:val="0"/>
          <w:numId w:val="4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P</w:t>
      </w:r>
      <w:r>
        <w:rPr>
          <w:rFonts w:ascii="Times New Roman" w:cs="Times New Roman" w:eastAsia="Times New Roman" w:hAnsi="Times New Roman"/>
          <w:sz w:val="12"/>
          <w:szCs w:val="12"/>
          <w:b w:val="1"/>
          <w:bCs w:val="1"/>
          <w:color w:val="auto"/>
        </w:rPr>
        <w:t>AYMENTS TO</w:t>
      </w:r>
      <w:r>
        <w:rPr>
          <w:rFonts w:ascii="Times New Roman" w:cs="Times New Roman" w:eastAsia="Times New Roman" w:hAnsi="Times New Roman"/>
          <w:sz w:val="15"/>
          <w:szCs w:val="15"/>
          <w:b w:val="1"/>
          <w:bCs w:val="1"/>
          <w:color w:val="auto"/>
        </w:rPr>
        <w:t xml:space="preserve"> E</w:t>
      </w:r>
      <w:r>
        <w:rPr>
          <w:rFonts w:ascii="Times New Roman" w:cs="Times New Roman" w:eastAsia="Times New Roman" w:hAnsi="Times New Roman"/>
          <w:sz w:val="12"/>
          <w:szCs w:val="12"/>
          <w:b w:val="1"/>
          <w:bCs w:val="1"/>
          <w:color w:val="auto"/>
        </w:rPr>
        <w:t>LANCO</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6.1 Equity Grants.</w:t>
      </w:r>
    </w:p>
    <w:p>
      <w:pPr>
        <w:spacing w:after="0" w:line="196" w:lineRule="exact"/>
        <w:rPr>
          <w:sz w:val="20"/>
          <w:szCs w:val="20"/>
          <w:color w:val="auto"/>
        </w:rPr>
      </w:pPr>
    </w:p>
    <w:p>
      <w:pPr>
        <w:ind w:left="8" w:right="140" w:firstLine="1006"/>
        <w:spacing w:after="0" w:line="298" w:lineRule="auto"/>
        <w:tabs>
          <w:tab w:leader="none" w:pos="1239"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Initial Equity Grant</w:t>
      </w:r>
      <w:r>
        <w:rPr>
          <w:rFonts w:ascii="Times New Roman" w:cs="Times New Roman" w:eastAsia="Times New Roman" w:hAnsi="Times New Roman"/>
          <w:sz w:val="15"/>
          <w:szCs w:val="15"/>
          <w:color w:val="auto"/>
        </w:rPr>
        <w:t>. Tarsus will grant to Elanco 1,652,346 shares of Tarsus’ Common Stock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within thirty (30) days of the Effective Date (the “</w:t>
      </w:r>
      <w:r>
        <w:rPr>
          <w:rFonts w:ascii="Times New Roman" w:cs="Times New Roman" w:eastAsia="Times New Roman" w:hAnsi="Times New Roman"/>
          <w:sz w:val="15"/>
          <w:szCs w:val="15"/>
          <w:b w:val="1"/>
          <w:bCs w:val="1"/>
          <w:i w:val="1"/>
          <w:iCs w:val="1"/>
          <w:color w:val="auto"/>
        </w:rPr>
        <w:t>Initial Equity Grant</w:t>
      </w:r>
      <w:r>
        <w:rPr>
          <w:rFonts w:ascii="Times New Roman" w:cs="Times New Roman" w:eastAsia="Times New Roman" w:hAnsi="Times New Roman"/>
          <w:sz w:val="15"/>
          <w:szCs w:val="15"/>
          <w:color w:val="auto"/>
        </w:rPr>
        <w:t>”).</w:t>
      </w:r>
    </w:p>
    <w:p>
      <w:pPr>
        <w:spacing w:after="0" w:line="129" w:lineRule="exact"/>
        <w:rPr>
          <w:rFonts w:ascii="Times New Roman" w:cs="Times New Roman" w:eastAsia="Times New Roman" w:hAnsi="Times New Roman"/>
          <w:sz w:val="15"/>
          <w:szCs w:val="15"/>
          <w:b w:val="1"/>
          <w:bCs w:val="1"/>
          <w:color w:val="auto"/>
        </w:rPr>
      </w:pPr>
    </w:p>
    <w:p>
      <w:pPr>
        <w:ind w:left="8" w:right="80" w:firstLine="1006"/>
        <w:spacing w:after="0" w:line="260" w:lineRule="auto"/>
        <w:tabs>
          <w:tab w:leader="none" w:pos="1248"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Tarsus Representations and Warranties</w:t>
      </w:r>
      <w:r>
        <w:rPr>
          <w:rFonts w:ascii="Times New Roman" w:cs="Times New Roman" w:eastAsia="Times New Roman" w:hAnsi="Times New Roman"/>
          <w:sz w:val="15"/>
          <w:szCs w:val="15"/>
          <w:color w:val="auto"/>
        </w:rPr>
        <w:t>. In connection with the Initial Equity Grant, Tarsus hereby represents and warrants to Elanco that as of the date hereof, pursuant to the terms of the Restated Certificate, (i) all outstanding shares of the Tarsus’ Series A Preferred Stock (the “</w:t>
      </w:r>
      <w:r>
        <w:rPr>
          <w:rFonts w:ascii="Times New Roman" w:cs="Times New Roman" w:eastAsia="Times New Roman" w:hAnsi="Times New Roman"/>
          <w:sz w:val="15"/>
          <w:szCs w:val="15"/>
          <w:b w:val="1"/>
          <w:bCs w:val="1"/>
          <w:i w:val="1"/>
          <w:iCs w:val="1"/>
          <w:color w:val="auto"/>
        </w:rPr>
        <w:t>Series A Preferred Stock</w:t>
      </w:r>
      <w:r>
        <w:rPr>
          <w:rFonts w:ascii="Times New Roman" w:cs="Times New Roman" w:eastAsia="Times New Roman" w:hAnsi="Times New Roman"/>
          <w:sz w:val="15"/>
          <w:szCs w:val="15"/>
          <w:color w:val="auto"/>
        </w:rPr>
        <w:t>”) and Series B Preferred Stock (the “</w:t>
      </w:r>
      <w:r>
        <w:rPr>
          <w:rFonts w:ascii="Times New Roman" w:cs="Times New Roman" w:eastAsia="Times New Roman" w:hAnsi="Times New Roman"/>
          <w:sz w:val="15"/>
          <w:szCs w:val="15"/>
          <w:b w:val="1"/>
          <w:bCs w:val="1"/>
          <w:i w:val="1"/>
          <w:iCs w:val="1"/>
          <w:color w:val="auto"/>
        </w:rPr>
        <w:t>Series B Preferred Stock</w:t>
      </w:r>
      <w:r>
        <w:rPr>
          <w:rFonts w:ascii="Times New Roman" w:cs="Times New Roman" w:eastAsia="Times New Roman" w:hAnsi="Times New Roman"/>
          <w:sz w:val="15"/>
          <w:szCs w:val="15"/>
          <w:color w:val="auto"/>
        </w:rPr>
        <w:t>” and collectively with the Series A Preferred Stock the “</w:t>
      </w:r>
      <w:r>
        <w:rPr>
          <w:rFonts w:ascii="Times New Roman" w:cs="Times New Roman" w:eastAsia="Times New Roman" w:hAnsi="Times New Roman"/>
          <w:sz w:val="15"/>
          <w:szCs w:val="15"/>
          <w:b w:val="1"/>
          <w:bCs w:val="1"/>
          <w:i w:val="1"/>
          <w:iCs w:val="1"/>
          <w:color w:val="auto"/>
        </w:rPr>
        <w:t>Preferred Stock</w:t>
      </w:r>
      <w:r>
        <w:rPr>
          <w:rFonts w:ascii="Times New Roman" w:cs="Times New Roman" w:eastAsia="Times New Roman" w:hAnsi="Times New Roman"/>
          <w:sz w:val="15"/>
          <w:szCs w:val="15"/>
          <w:color w:val="auto"/>
        </w:rPr>
        <w:t>”) currently are convertible into one (1) share of Common Stock, (ii) all shares of Common Stock and Preferred Stock currently have one (1) vote for all matters presented to the stockholders for approval, (iii) the issuance, sale and delivery of the Initial Equity Grant and the Subsequent Equity Grant have been duly authorized by all requisite action of Tarsus, and, when issued, sold and delivered in accordance with this Agreement, the Common Stock will be validly issued and outstanding, fully paid and nonassessable, (iv) no authorization, consent, approval or other order of, or declaration to or filing with, any governmental agency or body (other than filings required to be made under applicable federal and state securities laws) or any other person, entity or association is required for the valid authorization, execution, delivery and performance by Tarsus of this Agreement and the valid authorization, issuance, sale and delivery of the Common Stock and (v) subject in part to the truth and accuracy of Elanco’s representations set forth in Section 6.1(c) below, the offer, sale and issuance of the Common Stock as contemplated by this Agreement are exempt from the registration requirements of any applicable state and federal securities laws.</w:t>
      </w:r>
    </w:p>
    <w:p>
      <w:pPr>
        <w:spacing w:after="0" w:line="160" w:lineRule="exact"/>
        <w:rPr>
          <w:rFonts w:ascii="Times New Roman" w:cs="Times New Roman" w:eastAsia="Times New Roman" w:hAnsi="Times New Roman"/>
          <w:sz w:val="15"/>
          <w:szCs w:val="15"/>
          <w:b w:val="1"/>
          <w:bCs w:val="1"/>
          <w:color w:val="auto"/>
        </w:rPr>
      </w:pPr>
    </w:p>
    <w:p>
      <w:pPr>
        <w:ind w:left="8" w:right="280" w:firstLine="1006"/>
        <w:spacing w:after="0" w:line="293" w:lineRule="auto"/>
        <w:tabs>
          <w:tab w:leader="none" w:pos="1230"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Elanco Representations and Warranties</w:t>
      </w:r>
      <w:r>
        <w:rPr>
          <w:rFonts w:ascii="Times New Roman" w:cs="Times New Roman" w:eastAsia="Times New Roman" w:hAnsi="Times New Roman"/>
          <w:sz w:val="15"/>
          <w:szCs w:val="15"/>
          <w:color w:val="auto"/>
        </w:rPr>
        <w:t>. In connection with the Initial Equity Grant Elanco hereby represents and warrants to Tarsus that, as of the date hereof, Elanco is an “accredited investor” within the meaning of SEC Rule 501 of Regulation D of the Securities Act, as presently in effect.</w:t>
      </w:r>
    </w:p>
    <w:p>
      <w:pPr>
        <w:spacing w:after="0" w:line="128" w:lineRule="exact"/>
        <w:rPr>
          <w:rFonts w:ascii="Times New Roman" w:cs="Times New Roman" w:eastAsia="Times New Roman" w:hAnsi="Times New Roman"/>
          <w:sz w:val="15"/>
          <w:szCs w:val="15"/>
          <w:b w:val="1"/>
          <w:bCs w:val="1"/>
          <w:color w:val="auto"/>
        </w:rPr>
      </w:pPr>
    </w:p>
    <w:p>
      <w:pPr>
        <w:ind w:left="8" w:firstLine="1006"/>
        <w:spacing w:after="0" w:line="260" w:lineRule="auto"/>
        <w:tabs>
          <w:tab w:leader="none" w:pos="1248"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Subsequent Equity Grant</w:t>
      </w:r>
      <w:r>
        <w:rPr>
          <w:rFonts w:ascii="Times New Roman" w:cs="Times New Roman" w:eastAsia="Times New Roman" w:hAnsi="Times New Roman"/>
          <w:sz w:val="15"/>
          <w:szCs w:val="15"/>
          <w:color w:val="auto"/>
        </w:rPr>
        <w:t>. Upon the eighteen (18) month anniversary of the Effective Date (the “</w:t>
      </w:r>
      <w:r>
        <w:rPr>
          <w:rFonts w:ascii="Times New Roman" w:cs="Times New Roman" w:eastAsia="Times New Roman" w:hAnsi="Times New Roman"/>
          <w:sz w:val="15"/>
          <w:szCs w:val="15"/>
          <w:b w:val="1"/>
          <w:bCs w:val="1"/>
          <w:i w:val="1"/>
          <w:iCs w:val="1"/>
          <w:color w:val="auto"/>
        </w:rPr>
        <w:t>Subsequent Grant Date</w:t>
      </w:r>
      <w:r>
        <w:rPr>
          <w:rFonts w:ascii="Times New Roman" w:cs="Times New Roman" w:eastAsia="Times New Roman" w:hAnsi="Times New Roman"/>
          <w:sz w:val="15"/>
          <w:szCs w:val="15"/>
          <w:color w:val="auto"/>
        </w:rPr>
        <w:t>”), if this Agreement has not been terminated prior to such date and Tarsus has not provided notice of termination pursuant to Section 11.2(e), then Tarsus will grant to Elanco, (i) in the event that Tarsus has not yet completed an Initial Public Offering, a number of shares of Tarsus’ Common Stock equal to $3,000,000 divided by the price per share of Tarsus’ Preferred Stock purchased for cash in its most recent bona fide equity financing prior to the Subsequent Grant Date or (ii) in the event that Tarsus has completed an Initial Public Offering, a number of shares of Tarsus’ Common Stock equal to $3,000,000 divided by the price of one (1) share of Tarsus’ Common Stock sold in such Initial Public Offering (the “</w:t>
      </w:r>
      <w:r>
        <w:rPr>
          <w:rFonts w:ascii="Times New Roman" w:cs="Times New Roman" w:eastAsia="Times New Roman" w:hAnsi="Times New Roman"/>
          <w:sz w:val="15"/>
          <w:szCs w:val="15"/>
          <w:b w:val="1"/>
          <w:bCs w:val="1"/>
          <w:i w:val="1"/>
          <w:iCs w:val="1"/>
          <w:color w:val="auto"/>
        </w:rPr>
        <w:t>Subsequent Equity Grant</w:t>
      </w:r>
      <w:r>
        <w:rPr>
          <w:rFonts w:ascii="Times New Roman" w:cs="Times New Roman" w:eastAsia="Times New Roman" w:hAnsi="Times New Roman"/>
          <w:sz w:val="15"/>
          <w:szCs w:val="15"/>
          <w:color w:val="auto"/>
        </w:rPr>
        <w:t>” and, collectively with the Initial Equity Grant, the “</w:t>
      </w:r>
      <w:r>
        <w:rPr>
          <w:rFonts w:ascii="Times New Roman" w:cs="Times New Roman" w:eastAsia="Times New Roman" w:hAnsi="Times New Roman"/>
          <w:sz w:val="15"/>
          <w:szCs w:val="15"/>
          <w:b w:val="1"/>
          <w:bCs w:val="1"/>
          <w:i w:val="1"/>
          <w:iCs w:val="1"/>
          <w:color w:val="auto"/>
        </w:rPr>
        <w:t>Equity Grants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if Tarsus is acquired in a Change of Control following such Initial Public Offering but before the Subsequent Grant Date, and Tarsus has not provided notice of termination pursuant to Section 11.2(e), then immediately prior to such Change of Control Elanco shall receive a number of shares of Tarsus’ Common Stock equal to $3,000,000 divided by the price of one (1) share of Tarsus’ Common Stock sold in such Initial Public Offering;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if Tarsus is acquired in a Change of Control prior to the Subsequent Grant Date and Tarsus has neither completed an Initial Public Offering nor provided notice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termination pursuant to Section 11.2(e) then immediately prior to such Change of Control Elanco shall receive a number of shares of Tarsus’ Common Stock equal to $3,000,000 divided by the price per share of Tarsus’ Preferred Stock purchased for cash in its most recent bona fide equity financing prior to such Change of Control. Termination of this Agreement pursuant to Section 11.2(a) shall be Elanco’s sole and exclusive remedy and Tarsus’s sole and exclusive liability for a breach of this Section 6.1(d).</w:t>
      </w:r>
    </w:p>
    <w:p>
      <w:pPr>
        <w:spacing w:after="0" w:line="159" w:lineRule="exact"/>
        <w:rPr>
          <w:rFonts w:ascii="Times New Roman" w:cs="Times New Roman" w:eastAsia="Times New Roman" w:hAnsi="Times New Roman"/>
          <w:sz w:val="15"/>
          <w:szCs w:val="15"/>
          <w:b w:val="1"/>
          <w:bCs w:val="1"/>
          <w:color w:val="auto"/>
        </w:rPr>
      </w:pPr>
    </w:p>
    <w:p>
      <w:pPr>
        <w:ind w:left="8" w:right="220" w:firstLine="1006"/>
        <w:spacing w:after="0" w:line="275" w:lineRule="auto"/>
        <w:tabs>
          <w:tab w:leader="none" w:pos="1230" w:val="left"/>
        </w:tabs>
        <w:numPr>
          <w:ilvl w:val="0"/>
          <w:numId w:val="4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“Market Stand-Off” Agreement</w:t>
      </w:r>
      <w:r>
        <w:rPr>
          <w:rFonts w:ascii="Times New Roman" w:cs="Times New Roman" w:eastAsia="Times New Roman" w:hAnsi="Times New Roman"/>
          <w:sz w:val="15"/>
          <w:szCs w:val="15"/>
          <w:color w:val="auto"/>
        </w:rPr>
        <w:t>. Elanco hereby agrees that it will not, without the prior written consent of the managing underwriter, during the period commencing on the date of the public filing of the registration statement relating to the Initial Public Offering (the “</w:t>
      </w:r>
      <w:r>
        <w:rPr>
          <w:rFonts w:ascii="Times New Roman" w:cs="Times New Roman" w:eastAsia="Times New Roman" w:hAnsi="Times New Roman"/>
          <w:sz w:val="15"/>
          <w:szCs w:val="15"/>
          <w:b w:val="1"/>
          <w:bCs w:val="1"/>
          <w:i w:val="1"/>
          <w:iCs w:val="1"/>
          <w:color w:val="auto"/>
        </w:rPr>
        <w:t>Stand-Off Effective Date</w:t>
      </w:r>
      <w:r>
        <w:rPr>
          <w:rFonts w:ascii="Times New Roman" w:cs="Times New Roman" w:eastAsia="Times New Roman" w:hAnsi="Times New Roman"/>
          <w:sz w:val="15"/>
          <w:szCs w:val="15"/>
          <w:color w:val="auto"/>
        </w:rPr>
        <w:t>”) and ending on the date specified by Tarsus and the managing underwriter (such period not to</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8"/>
          </w:cols>
          <w:pgMar w:left="312" w:top="248" w:right="339" w:bottom="1440" w:gutter="0" w:footer="0" w:header="0"/>
        </w:sectPr>
      </w:pPr>
    </w:p>
    <w:bookmarkStart w:id="508" w:name="page509"/>
    <w:bookmarkEnd w:id="508"/>
    <w:p>
      <w:pPr>
        <w:spacing w:after="0" w:line="26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exceed [***] days from the date that such registration statement is declared effective by the SEC) (i) lend, offer, pledge, sell, contract to sell, sell any option or contract to purchase, purchase any option or contract to sell, grant any option, right or warrant to purchase, or otherwise transfer or dispose of, directly or indirectly, any shares of Tarsus’ capital stock or any securities convertible into or exercisable or exchangeable for Tarsus’ capital stock (“</w:t>
      </w:r>
      <w:r>
        <w:rPr>
          <w:rFonts w:ascii="Times New Roman" w:cs="Times New Roman" w:eastAsia="Times New Roman" w:hAnsi="Times New Roman"/>
          <w:sz w:val="15"/>
          <w:szCs w:val="15"/>
          <w:b w:val="1"/>
          <w:bCs w:val="1"/>
          <w:i w:val="1"/>
          <w:iCs w:val="1"/>
          <w:color w:val="auto"/>
        </w:rPr>
        <w:t>Registrable Securities</w:t>
      </w:r>
      <w:r>
        <w:rPr>
          <w:rFonts w:ascii="Times New Roman" w:cs="Times New Roman" w:eastAsia="Times New Roman" w:hAnsi="Times New Roman"/>
          <w:sz w:val="15"/>
          <w:szCs w:val="15"/>
          <w:color w:val="auto"/>
        </w:rPr>
        <w:t xml:space="preserve">”) held immediately prior to the Stand-Off Effective Date, or (ii) enter into any swap or other arrangement that transfers to another, in whole or in part, any of the economic consequences of ownership of Tarsus’ capital stock, whether any such transaction described in clause (i) or (ii) above is to be settled by delivery of securities, in cash or otherwise. The underwriters in connection with Tarsus’ Initial Public Offering are intended third party beneficiaries of this Section 6.1(e) and shall have the right, power and authority to enforce the provisions hereof as though they were a party hereto. Elanco further agrees to execute such agreements as may be reasonably requested by the underwriters in the Initial Public Offering that are consistent with this Section 6.1(e) or that are necessary to give further effect thereto, including, without limitation, the lock-up agreement in the form attached hereto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Lock-up Agreement</w:t>
      </w:r>
      <w:r>
        <w:rPr>
          <w:rFonts w:ascii="Times New Roman" w:cs="Times New Roman" w:eastAsia="Times New Roman" w:hAnsi="Times New Roman"/>
          <w:sz w:val="15"/>
          <w:szCs w:val="15"/>
          <w:color w:val="auto"/>
        </w:rPr>
        <w:t>”). In order to enforce the foregoing covenant, Tarsus may impose stop-transfer instructions with respect to the Registrable Securities of Elanco (and the shares or securities of every other person subject to the foregoing restriction) until the end of such period. Elanco further agrees that a legend reading substantially as follows shall be placed on all certificates representing all shares of Tarsus’ capital stock (whether issued pursuant to the Equity Grants or otherwise) held by Elanco (and the shares or securities of every other person subject to the restriction contained in this Section 6.1(e)):</w:t>
      </w:r>
    </w:p>
    <w:p>
      <w:pPr>
        <w:spacing w:after="0" w:line="366" w:lineRule="exact"/>
        <w:rPr>
          <w:sz w:val="20"/>
          <w:szCs w:val="20"/>
          <w:color w:val="auto"/>
        </w:rPr>
      </w:pPr>
    </w:p>
    <w:p>
      <w:pPr>
        <w:ind w:left="780" w:right="980"/>
        <w:spacing w:after="0" w:line="268" w:lineRule="auto"/>
        <w:rPr>
          <w:sz w:val="20"/>
          <w:szCs w:val="20"/>
          <w:color w:val="auto"/>
        </w:rPr>
      </w:pPr>
      <w:r>
        <w:rPr>
          <w:rFonts w:ascii="Times New Roman" w:cs="Times New Roman" w:eastAsia="Times New Roman" w:hAnsi="Times New Roman"/>
          <w:sz w:val="15"/>
          <w:szCs w:val="15"/>
          <w:color w:val="auto"/>
        </w:rPr>
        <w:t>THE SECURITIES REPRESENTED BY THIS CERTIFICATE ARE SUBJECT TO A LOCK-UP PERIOD AFTER THE EFFECTIVE DATE OF THE ISSUER’S REGISTRATION STATEMENT FILED UNDER THE ACT, AS AMENDED, AS SET FORTH IN AN AGREEMENT BETWEEN TARSUS AND THE ORIGINAL HOLDER OF THESE SECURITIES, A COPY OF WHICH MAY BE OBTAINED AT THE ISSUER’S PRINCIPAL OFFICE. SUCH LOCK-UP PERIOD IS BINDING ON TRANSFEREES OF THESE SHARES.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6.2 Milestones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right="360" w:firstLine="1006"/>
        <w:spacing w:after="0" w:line="293" w:lineRule="auto"/>
        <w:tabs>
          <w:tab w:leader="none" w:pos="1231" w:val="left"/>
        </w:tabs>
        <w:numPr>
          <w:ilvl w:val="0"/>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First Indication Development Milestones</w:t>
      </w:r>
      <w:r>
        <w:rPr>
          <w:rFonts w:ascii="Times New Roman" w:cs="Times New Roman" w:eastAsia="Times New Roman" w:hAnsi="Times New Roman"/>
          <w:sz w:val="15"/>
          <w:szCs w:val="15"/>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51"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and</w:t>
      </w:r>
    </w:p>
    <w:p>
      <w:pPr>
        <w:spacing w:after="0" w:line="219"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9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6.2(a) shall be paid no more than once, irrespective of how many Licensed Products achieve each milestone or how many times a Licensed Product achieves such milestone. Accordingly, in no event shall Tarsus pay Elanco more than ten million dollars ($10,000,000) in the aggregate pursuant to this Section 6.2(a). Each milestone payment due pursuant to this Section 6.2(a) shall be paid within [***] days after the achievement of the applicable milestone.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20" w:top="252" w:right="339" w:bottom="1440" w:gutter="0" w:footer="0" w:header="0"/>
        </w:sectPr>
      </w:pPr>
    </w:p>
    <w:bookmarkStart w:id="509" w:name="page510"/>
    <w:bookmarkEnd w:id="509"/>
    <w:p>
      <w:pPr>
        <w:ind w:firstLine="1006"/>
        <w:spacing w:after="0" w:line="293" w:lineRule="auto"/>
        <w:tabs>
          <w:tab w:leader="none" w:pos="1240" w:val="left"/>
        </w:tabs>
        <w:numPr>
          <w:ilvl w:val="0"/>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Development Milestones for Other Indications</w:t>
      </w:r>
      <w:r>
        <w:rPr>
          <w:rFonts w:ascii="Times New Roman" w:cs="Times New Roman" w:eastAsia="Times New Roman" w:hAnsi="Times New Roman"/>
          <w:sz w:val="15"/>
          <w:szCs w:val="15"/>
          <w:color w:val="auto"/>
        </w:rPr>
        <w:t>. Tarsus shall pay to Elanco the following one-time milestone payments upon the first achievement of the applicable milestone event set forth below by Tarsus or any of its Affiliates or sublicensees after the Effective Date:</w:t>
      </w:r>
    </w:p>
    <w:p>
      <w:pPr>
        <w:spacing w:after="0" w:line="51"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 and</w:t>
      </w:r>
    </w:p>
    <w:p>
      <w:pPr>
        <w:spacing w:after="0" w:line="115" w:lineRule="exact"/>
        <w:rPr>
          <w:rFonts w:ascii="Times New Roman" w:cs="Times New Roman" w:eastAsia="Times New Roman" w:hAnsi="Times New Roman"/>
          <w:sz w:val="15"/>
          <w:szCs w:val="15"/>
          <w:b w:val="1"/>
          <w:bCs w:val="1"/>
          <w:color w:val="auto"/>
        </w:rPr>
      </w:pPr>
    </w:p>
    <w:p>
      <w:pPr>
        <w:ind w:left="2000" w:hanging="544"/>
        <w:spacing w:after="0"/>
        <w:tabs>
          <w:tab w:leader="none" w:pos="2000" w:val="left"/>
        </w:tabs>
        <w:numPr>
          <w:ilvl w:val="1"/>
          <w:numId w:val="4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upon the [***] of [***].</w:t>
      </w:r>
    </w:p>
    <w:p>
      <w:pPr>
        <w:spacing w:after="0" w:line="19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6.2(b) shall be paid no more than once, irrespective of how many Licensed Products achieve each milestone or how many times a Licensed Product achieves such milestone. Accordingly, in no event shall Tarsus pay Elanco more than six million five hundred thousand dollars ($6,500,000) in the aggregate pursuant to this Section 6.2(b). Each milestone payment due pursuant to this Section 6.2(b) shall be paid within [***]days after the achievement of the applicable milestone.</w:t>
      </w:r>
    </w:p>
    <w:p>
      <w:pPr>
        <w:spacing w:after="0" w:line="145" w:lineRule="exact"/>
        <w:rPr>
          <w:sz w:val="20"/>
          <w:szCs w:val="20"/>
          <w:color w:val="auto"/>
        </w:rPr>
      </w:pPr>
    </w:p>
    <w:p>
      <w:pPr>
        <w:ind w:right="440" w:firstLine="1006"/>
        <w:spacing w:after="0" w:line="293" w:lineRule="auto"/>
        <w:tabs>
          <w:tab w:leader="none" w:pos="1222" w:val="left"/>
        </w:tabs>
        <w:numPr>
          <w:ilvl w:val="0"/>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Sales Milestones for Sales in the Developed World</w:t>
      </w:r>
      <w:r>
        <w:rPr>
          <w:rFonts w:ascii="Times New Roman" w:cs="Times New Roman" w:eastAsia="Times New Roman" w:hAnsi="Times New Roman"/>
          <w:sz w:val="15"/>
          <w:szCs w:val="15"/>
          <w:color w:val="auto"/>
        </w:rPr>
        <w:t>. Tarsus shall pay to Elanco the following one-time milestone payments upon the first achievement of the applicable milestone event set forth below:</w:t>
      </w:r>
    </w:p>
    <w:p>
      <w:pPr>
        <w:spacing w:after="0" w:line="39" w:lineRule="exact"/>
        <w:rPr>
          <w:rFonts w:ascii="Times New Roman" w:cs="Times New Roman" w:eastAsia="Times New Roman" w:hAnsi="Times New Roman"/>
          <w:sz w:val="15"/>
          <w:szCs w:val="15"/>
          <w:b w:val="1"/>
          <w:bCs w:val="1"/>
          <w:color w:val="auto"/>
        </w:rPr>
      </w:pPr>
    </w:p>
    <w:p>
      <w:pPr>
        <w:ind w:left="1640" w:hanging="184"/>
        <w:spacing w:after="0"/>
        <w:tabs>
          <w:tab w:leader="none" w:pos="1640"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after the first calendar year in which Net Sales [***] for such calendar year exceed [***] dollars;</w:t>
      </w:r>
    </w:p>
    <w:p>
      <w:pPr>
        <w:spacing w:after="0" w:line="196" w:lineRule="exact"/>
        <w:rPr>
          <w:rFonts w:ascii="Times New Roman" w:cs="Times New Roman" w:eastAsia="Times New Roman" w:hAnsi="Times New Roman"/>
          <w:sz w:val="15"/>
          <w:szCs w:val="15"/>
          <w:b w:val="1"/>
          <w:bCs w:val="1"/>
          <w:color w:val="auto"/>
        </w:rPr>
      </w:pPr>
    </w:p>
    <w:p>
      <w:pPr>
        <w:ind w:left="1680" w:hanging="224"/>
        <w:spacing w:after="0"/>
        <w:tabs>
          <w:tab w:leader="none" w:pos="1680"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 after the first calendar year in which Net Sales [***] for such calendar year exceed [***] dollars ; and</w:t>
      </w:r>
    </w:p>
    <w:p>
      <w:pPr>
        <w:spacing w:after="0" w:line="196" w:lineRule="exact"/>
        <w:rPr>
          <w:rFonts w:ascii="Times New Roman" w:cs="Times New Roman" w:eastAsia="Times New Roman" w:hAnsi="Times New Roman"/>
          <w:sz w:val="15"/>
          <w:szCs w:val="15"/>
          <w:b w:val="1"/>
          <w:bCs w:val="1"/>
          <w:color w:val="auto"/>
        </w:rPr>
      </w:pPr>
    </w:p>
    <w:p>
      <w:pPr>
        <w:ind w:left="1720" w:hanging="264"/>
        <w:spacing w:after="0"/>
        <w:tabs>
          <w:tab w:leader="none" w:pos="1720" w:val="left"/>
        </w:tabs>
        <w:numPr>
          <w:ilvl w:val="1"/>
          <w:numId w:val="4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dollars [***] after the first calendar year in which Net Sales [***] for such calendar year exceed [***] dollars.</w:t>
      </w:r>
    </w:p>
    <w:p>
      <w:pPr>
        <w:spacing w:after="0" w:line="196" w:lineRule="exact"/>
        <w:rPr>
          <w:sz w:val="20"/>
          <w:szCs w:val="20"/>
          <w:color w:val="auto"/>
        </w:rPr>
      </w:pPr>
    </w:p>
    <w:p>
      <w:pPr>
        <w:ind w:right="40" w:firstLine="1014"/>
        <w:spacing w:after="0" w:line="275" w:lineRule="auto"/>
        <w:rPr>
          <w:sz w:val="20"/>
          <w:szCs w:val="20"/>
          <w:color w:val="auto"/>
        </w:rPr>
      </w:pPr>
      <w:r>
        <w:rPr>
          <w:rFonts w:ascii="Times New Roman" w:cs="Times New Roman" w:eastAsia="Times New Roman" w:hAnsi="Times New Roman"/>
          <w:sz w:val="15"/>
          <w:szCs w:val="15"/>
          <w:color w:val="auto"/>
        </w:rPr>
        <w:t>Each of the foregoing milestone payments set forth in this Section 6.2(c) shall be paid no more than once, irrespective of how many times each milestone is achieved. Accordingly, in no event shall Tarsus pay Elanco more than sixty five million dollars ($65,000,000) in the aggregate pursuant to this Section 6.2(c). Each milestone payments due pursuant to this Section 6.2(c) shall be paid within [***] days after the close of the calendar quarter in which such milestone is achieved.</w:t>
      </w:r>
    </w:p>
    <w:p>
      <w:pPr>
        <w:spacing w:after="0" w:line="145" w:lineRule="exact"/>
        <w:rPr>
          <w:sz w:val="20"/>
          <w:szCs w:val="20"/>
          <w:color w:val="auto"/>
        </w:rPr>
      </w:pPr>
    </w:p>
    <w:p>
      <w:pPr>
        <w:ind w:right="40" w:firstLine="1006"/>
        <w:spacing w:after="0" w:line="275" w:lineRule="auto"/>
        <w:tabs>
          <w:tab w:leader="none" w:pos="1240" w:val="left"/>
        </w:tabs>
        <w:numPr>
          <w:ilvl w:val="0"/>
          <w:numId w:val="4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Tarsus’s First Commercial Sale of a Licensed Product in the Developing World, Elanco and Tarsus shall negotiate reasonably and in good faith to determine sales milestones for sales of the Licensed Product in the Developing World. In any event, such milestones payments shall not exceed (individually or in the aggregate) the milestone payments under Section 6.2(c) and the Net Sales thresholds for each milestone payment shall not be less than the Net Sales Thresholds under 6.2(c).</w:t>
      </w:r>
    </w:p>
    <w:p>
      <w:pPr>
        <w:spacing w:after="0" w:line="141" w:lineRule="exact"/>
        <w:rPr>
          <w:sz w:val="20"/>
          <w:szCs w:val="20"/>
          <w:color w:val="auto"/>
        </w:rPr>
      </w:pPr>
    </w:p>
    <w:p>
      <w:pPr>
        <w:ind w:right="20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6.3 Sublicense Income</w:t>
      </w:r>
      <w:r>
        <w:rPr>
          <w:rFonts w:ascii="Times New Roman" w:cs="Times New Roman" w:eastAsia="Times New Roman" w:hAnsi="Times New Roman"/>
          <w:sz w:val="15"/>
          <w:szCs w:val="15"/>
          <w:color w:val="auto"/>
        </w:rPr>
        <w:t>. Tarsus shall pay Elanco a percentage of all Sublicense Revenue. The percentage of such Sublicense Revenue that shall be paid to Elanco shall be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follows:</w:t>
      </w:r>
    </w:p>
    <w:p>
      <w:pPr>
        <w:spacing w:after="0" w:line="37" w:lineRule="exact"/>
        <w:rPr>
          <w:sz w:val="20"/>
          <w:szCs w:val="20"/>
          <w:color w:val="auto"/>
        </w:rPr>
      </w:pPr>
    </w:p>
    <w:p>
      <w:pPr>
        <w:ind w:left="1220" w:hanging="214"/>
        <w:spacing w:after="0"/>
        <w:tabs>
          <w:tab w:leader="none" w:pos="1220" w:val="left"/>
        </w:tabs>
        <w:numPr>
          <w:ilvl w:val="0"/>
          <w:numId w:val="4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Until first dosing of a Licensed Product in a [***]: [***]%;</w:t>
      </w:r>
    </w:p>
    <w:p>
      <w:pPr>
        <w:spacing w:after="0" w:line="196" w:lineRule="exact"/>
        <w:rPr>
          <w:rFonts w:ascii="Times New Roman" w:cs="Times New Roman" w:eastAsia="Times New Roman" w:hAnsi="Times New Roman"/>
          <w:sz w:val="15"/>
          <w:szCs w:val="15"/>
          <w:b w:val="1"/>
          <w:bCs w:val="1"/>
          <w:color w:val="auto"/>
        </w:rPr>
      </w:pPr>
    </w:p>
    <w:p>
      <w:pPr>
        <w:ind w:left="5560" w:right="4640" w:hanging="4554"/>
        <w:spacing w:after="0" w:line="469" w:lineRule="auto"/>
        <w:tabs>
          <w:tab w:leader="none" w:pos="1242" w:val="left"/>
        </w:tabs>
        <w:numPr>
          <w:ilvl w:val="0"/>
          <w:numId w:val="4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After first dosing of a Licensed Product in a [***] until first dosing of a [***]: [***]%; 11</w:t>
      </w:r>
    </w:p>
    <w:p>
      <w:pPr>
        <w:sectPr>
          <w:pgSz w:w="11900" w:h="16838" w:orient="portrait"/>
          <w:cols w:equalWidth="0" w:num="1">
            <w:col w:w="11240"/>
          </w:cols>
          <w:pgMar w:left="320" w:top="251" w:right="339" w:bottom="1440" w:gutter="0" w:footer="0" w:header="0"/>
        </w:sectPr>
      </w:pPr>
    </w:p>
    <w:bookmarkStart w:id="510" w:name="page511"/>
    <w:bookmarkEnd w:id="510"/>
    <w:p>
      <w:pPr>
        <w:ind w:left="1228" w:hanging="214"/>
        <w:spacing w:after="0"/>
        <w:tabs>
          <w:tab w:leader="none" w:pos="1228" w:val="left"/>
        </w:tabs>
        <w:numPr>
          <w:ilvl w:val="0"/>
          <w:numId w:val="4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After first dosing of a Licensed Product in a [***] until first [***] of a Licensed Product: [***]%; or</w:t>
      </w:r>
    </w:p>
    <w:p>
      <w:pPr>
        <w:spacing w:after="0" w:line="196"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0"/>
          <w:numId w:val="4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After first [***] of a Licensed Product and thereafter: [***]%.</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For clarity, and without limitation, none of the following shall be deemed Sublicense Revenue: [***]</w:t>
      </w:r>
    </w:p>
    <w:p>
      <w:pPr>
        <w:spacing w:after="0" w:line="19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6.4 Royalties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228" w:hanging="214"/>
        <w:spacing w:after="0"/>
        <w:tabs>
          <w:tab w:leader="none" w:pos="1228" w:val="left"/>
        </w:tabs>
        <w:numPr>
          <w:ilvl w:val="1"/>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Royalty Rate</w:t>
      </w:r>
      <w:r>
        <w:rPr>
          <w:rFonts w:ascii="Times New Roman" w:cs="Times New Roman" w:eastAsia="Times New Roman" w:hAnsi="Times New Roman"/>
          <w:sz w:val="15"/>
          <w:szCs w:val="15"/>
          <w:color w:val="auto"/>
        </w:rPr>
        <w:t>. Subject to the other terms of this Section 6.4, for each calendar year during the Royalty Term Tarsus shall pay:</w:t>
      </w:r>
    </w:p>
    <w:p>
      <w:pPr>
        <w:spacing w:after="0" w:line="196" w:lineRule="exact"/>
        <w:rPr>
          <w:rFonts w:ascii="Times New Roman" w:cs="Times New Roman" w:eastAsia="Times New Roman" w:hAnsi="Times New Roman"/>
          <w:sz w:val="15"/>
          <w:szCs w:val="15"/>
          <w:b w:val="1"/>
          <w:bCs w:val="1"/>
          <w:color w:val="auto"/>
        </w:rPr>
      </w:pPr>
    </w:p>
    <w:p>
      <w:pPr>
        <w:ind w:left="1648" w:hanging="184"/>
        <w:spacing w:after="0"/>
        <w:tabs>
          <w:tab w:leader="none" w:pos="1648" w:val="left"/>
        </w:tabs>
        <w:numPr>
          <w:ilvl w:val="2"/>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first [***] dollars of Net Sales of a Licensed Product in [***] in such calendar year;</w:t>
      </w:r>
    </w:p>
    <w:p>
      <w:pPr>
        <w:spacing w:after="0" w:line="196" w:lineRule="exact"/>
        <w:rPr>
          <w:rFonts w:ascii="Times New Roman" w:cs="Times New Roman" w:eastAsia="Times New Roman" w:hAnsi="Times New Roman"/>
          <w:sz w:val="15"/>
          <w:szCs w:val="15"/>
          <w:b w:val="1"/>
          <w:bCs w:val="1"/>
          <w:color w:val="auto"/>
        </w:rPr>
      </w:pPr>
    </w:p>
    <w:p>
      <w:pPr>
        <w:ind w:left="8" w:right="420" w:firstLine="1456"/>
        <w:spacing w:after="0" w:line="293" w:lineRule="auto"/>
        <w:tabs>
          <w:tab w:leader="none" w:pos="1698" w:val="left"/>
        </w:tabs>
        <w:numPr>
          <w:ilvl w:val="2"/>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next [***] dollars [***] of Net Sales of a Licensed Product [***] such calendar year (i.e. the portion of such Net Sales between US$[***] and $[***] in such calendar year);</w:t>
      </w:r>
    </w:p>
    <w:p>
      <w:pPr>
        <w:spacing w:after="0" w:line="132" w:lineRule="exact"/>
        <w:rPr>
          <w:rFonts w:ascii="Times New Roman" w:cs="Times New Roman" w:eastAsia="Times New Roman" w:hAnsi="Times New Roman"/>
          <w:sz w:val="15"/>
          <w:szCs w:val="15"/>
          <w:b w:val="1"/>
          <w:bCs w:val="1"/>
          <w:color w:val="auto"/>
        </w:rPr>
      </w:pPr>
    </w:p>
    <w:p>
      <w:pPr>
        <w:ind w:left="8" w:right="40" w:firstLine="1456"/>
        <w:spacing w:after="0" w:line="293" w:lineRule="auto"/>
        <w:tabs>
          <w:tab w:leader="none" w:pos="1741" w:val="left"/>
        </w:tabs>
        <w:numPr>
          <w:ilvl w:val="2"/>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 percent royalty on the next [***] dollars of Net Sales of a Licensed Product [***] in such calendar year (i.e. the portion of such Net Sales between US$[***] and $[***] in such calendar year); and</w:t>
      </w:r>
    </w:p>
    <w:p>
      <w:pPr>
        <w:spacing w:after="0" w:line="132" w:lineRule="exact"/>
        <w:rPr>
          <w:rFonts w:ascii="Times New Roman" w:cs="Times New Roman" w:eastAsia="Times New Roman" w:hAnsi="Times New Roman"/>
          <w:sz w:val="15"/>
          <w:szCs w:val="15"/>
          <w:b w:val="1"/>
          <w:bCs w:val="1"/>
          <w:color w:val="auto"/>
        </w:rPr>
      </w:pPr>
    </w:p>
    <w:p>
      <w:pPr>
        <w:ind w:left="8" w:right="260" w:firstLine="1456"/>
        <w:spacing w:after="0" w:line="293" w:lineRule="auto"/>
        <w:tabs>
          <w:tab w:leader="none" w:pos="1732" w:val="left"/>
        </w:tabs>
        <w:numPr>
          <w:ilvl w:val="2"/>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an [***] percent royalty on all Net Sales of a Licensed Product [***] in such calendar year in excess of [***] dollars (i.e. the portion of such Net Sales over $[***] in such calendar year).</w:t>
      </w:r>
    </w:p>
    <w:p>
      <w:pPr>
        <w:spacing w:after="0" w:line="132" w:lineRule="exact"/>
        <w:rPr>
          <w:rFonts w:ascii="Times New Roman" w:cs="Times New Roman" w:eastAsia="Times New Roman" w:hAnsi="Times New Roman"/>
          <w:sz w:val="15"/>
          <w:szCs w:val="15"/>
          <w:b w:val="1"/>
          <w:bCs w:val="1"/>
          <w:color w:val="auto"/>
        </w:rPr>
      </w:pPr>
    </w:p>
    <w:p>
      <w:pPr>
        <w:ind w:left="8" w:right="40" w:firstLine="1006"/>
        <w:spacing w:after="0" w:line="275" w:lineRule="auto"/>
        <w:tabs>
          <w:tab w:leader="none" w:pos="1248" w:val="left"/>
        </w:tabs>
        <w:numPr>
          <w:ilvl w:val="1"/>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Tarsus’s First Commercial Sale of a Licensed Product in the Developing World, Elanco and Tarsus shall negotiate reasonably and in good faith to determine royalty rates for Net Sales of the Licensed Product in the Developing World. In any event, such royalty rates shall not exceed the royalty rates under Section 6.4(a) and the Net Sales thresholds for each royalty rate shall not be less than the Net Sales Thresholds under 6.4(a).</w:t>
      </w:r>
    </w:p>
    <w:p>
      <w:pPr>
        <w:spacing w:after="0" w:line="144" w:lineRule="exact"/>
        <w:rPr>
          <w:rFonts w:ascii="Times New Roman" w:cs="Times New Roman" w:eastAsia="Times New Roman" w:hAnsi="Times New Roman"/>
          <w:sz w:val="15"/>
          <w:szCs w:val="15"/>
          <w:b w:val="1"/>
          <w:bCs w:val="1"/>
          <w:color w:val="auto"/>
        </w:rPr>
      </w:pPr>
    </w:p>
    <w:p>
      <w:pPr>
        <w:ind w:left="1228" w:hanging="214"/>
        <w:spacing w:after="0"/>
        <w:tabs>
          <w:tab w:leader="none" w:pos="1228" w:val="left"/>
        </w:tabs>
        <w:numPr>
          <w:ilvl w:val="1"/>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Multiple Royalties</w:t>
      </w:r>
      <w:r>
        <w:rPr>
          <w:rFonts w:ascii="Times New Roman" w:cs="Times New Roman" w:eastAsia="Times New Roman" w:hAnsi="Times New Roman"/>
          <w:sz w:val="15"/>
          <w:szCs w:val="15"/>
          <w:color w:val="auto"/>
        </w:rPr>
        <w:t>. No multiple royalties shall be payable hereunder because the use, manufacture or sale of any Licensed Product is Covered by more than</w:t>
      </w:r>
    </w:p>
    <w:p>
      <w:pPr>
        <w:spacing w:after="0" w:line="26" w:lineRule="exact"/>
        <w:rPr>
          <w:rFonts w:ascii="Times New Roman" w:cs="Times New Roman" w:eastAsia="Times New Roman" w:hAnsi="Times New Roman"/>
          <w:sz w:val="15"/>
          <w:szCs w:val="15"/>
          <w:b w:val="1"/>
          <w:bCs w:val="1"/>
          <w:color w:val="auto"/>
        </w:rPr>
      </w:pPr>
    </w:p>
    <w:p>
      <w:pPr>
        <w:ind w:left="8"/>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one Valid Claim.</w:t>
      </w:r>
    </w:p>
    <w:p>
      <w:pPr>
        <w:spacing w:after="0" w:line="181" w:lineRule="exact"/>
        <w:rPr>
          <w:rFonts w:ascii="Times New Roman" w:cs="Times New Roman" w:eastAsia="Times New Roman" w:hAnsi="Times New Roman"/>
          <w:sz w:val="15"/>
          <w:szCs w:val="15"/>
          <w:b w:val="1"/>
          <w:bCs w:val="1"/>
          <w:color w:val="auto"/>
        </w:rPr>
      </w:pPr>
    </w:p>
    <w:p>
      <w:pPr>
        <w:ind w:left="8" w:right="140" w:firstLine="1006"/>
        <w:spacing w:after="0" w:line="261" w:lineRule="auto"/>
        <w:tabs>
          <w:tab w:leader="none" w:pos="1248" w:val="left"/>
        </w:tabs>
        <w:numPr>
          <w:ilvl w:val="1"/>
          <w:numId w:val="4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Timing of Payments; Reports</w:t>
      </w:r>
      <w:r>
        <w:rPr>
          <w:rFonts w:ascii="Times New Roman" w:cs="Times New Roman" w:eastAsia="Times New Roman" w:hAnsi="Times New Roman"/>
          <w:sz w:val="15"/>
          <w:szCs w:val="15"/>
          <w:color w:val="auto"/>
        </w:rPr>
        <w:t>. Commencing with the calendar quarter during which the First Commercial Sale of the first Licensed Product is made anywhere in the Territory, and for each calendar quarter thereafter during the Royalty Term during which royalties are due hereunder, Tarsus shall provide Elanco with a report that contains the following information for the applicable calendar quarter, on a Licensed Product-by-Licensed Product and country-by-country basis: (i) the amount of gross sales of the Licensed Products, (ii) an itemized calculation of Net Sales showing deductions provided for in the definition of “Net Sales”, (iii) a calculation of the royalty payment due on such sales, and</w:t>
      </w:r>
    </w:p>
    <w:p>
      <w:pPr>
        <w:spacing w:after="0" w:line="1" w:lineRule="exact"/>
        <w:rPr>
          <w:rFonts w:ascii="Times New Roman" w:cs="Times New Roman" w:eastAsia="Times New Roman" w:hAnsi="Times New Roman"/>
          <w:sz w:val="15"/>
          <w:szCs w:val="15"/>
          <w:b w:val="1"/>
          <w:bCs w:val="1"/>
          <w:color w:val="auto"/>
        </w:rPr>
      </w:pPr>
    </w:p>
    <w:p>
      <w:pPr>
        <w:ind w:left="268" w:hanging="268"/>
        <w:spacing w:after="0"/>
        <w:tabs>
          <w:tab w:leader="none" w:pos="268" w:val="left"/>
        </w:tabs>
        <w:numPr>
          <w:ilvl w:val="0"/>
          <w:numId w:val="4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exchange rate for such country. Tarsus shall provide such report and make corresponding payment to Elanco within forty five (45) days after the end of each calendar quarter.</w:t>
      </w:r>
    </w:p>
    <w:p>
      <w:pPr>
        <w:spacing w:after="0" w:line="181" w:lineRule="exact"/>
        <w:rPr>
          <w:rFonts w:ascii="Times New Roman" w:cs="Times New Roman" w:eastAsia="Times New Roman" w:hAnsi="Times New Roman"/>
          <w:sz w:val="15"/>
          <w:szCs w:val="15"/>
          <w:color w:val="auto"/>
        </w:rPr>
      </w:pPr>
    </w:p>
    <w:p>
      <w:pPr>
        <w:ind w:left="8" w:right="100" w:firstLine="1006"/>
        <w:spacing w:after="0" w:line="293" w:lineRule="auto"/>
        <w:tabs>
          <w:tab w:leader="none" w:pos="1230" w:val="left"/>
        </w:tabs>
        <w:numPr>
          <w:ilvl w:val="1"/>
          <w:numId w:val="4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Exchange Rate</w:t>
      </w:r>
      <w:r>
        <w:rPr>
          <w:rFonts w:ascii="Times New Roman" w:cs="Times New Roman" w:eastAsia="Times New Roman" w:hAnsi="Times New Roman"/>
          <w:sz w:val="15"/>
          <w:szCs w:val="15"/>
          <w:color w:val="auto"/>
        </w:rPr>
        <w:t>. When conversion of payments from any foreign currency is required, such conversion shall be calculated using an exchange rate equal to the rate of exchange published in the Wall Street Journal on the last business day of the applicable calendar quarter for which payment is due.</w:t>
      </w:r>
    </w:p>
    <w:p>
      <w:pPr>
        <w:spacing w:after="0" w:line="132" w:lineRule="exact"/>
        <w:rPr>
          <w:rFonts w:ascii="Times New Roman" w:cs="Times New Roman" w:eastAsia="Times New Roman" w:hAnsi="Times New Roman"/>
          <w:sz w:val="15"/>
          <w:szCs w:val="15"/>
          <w:b w:val="1"/>
          <w:bCs w:val="1"/>
          <w:color w:val="auto"/>
        </w:rPr>
      </w:pPr>
    </w:p>
    <w:p>
      <w:pPr>
        <w:ind w:left="8" w:firstLine="1006"/>
        <w:spacing w:after="0" w:line="293" w:lineRule="auto"/>
        <w:tabs>
          <w:tab w:leader="none" w:pos="1213" w:val="left"/>
        </w:tabs>
        <w:numPr>
          <w:ilvl w:val="1"/>
          <w:numId w:val="4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deductions for third party licenses</w:t>
      </w:r>
      <w:r>
        <w:rPr>
          <w:rFonts w:ascii="Times New Roman" w:cs="Times New Roman" w:eastAsia="Times New Roman" w:hAnsi="Times New Roman"/>
          <w:sz w:val="15"/>
          <w:szCs w:val="15"/>
          <w:color w:val="auto"/>
        </w:rPr>
        <w:t>. No deductions from any payments under this agreement shall be made because Tarsus is required to make payments, royalty payments or otherwise, to third parties to obtain rights or licenses to intellectual property rights in respect of a Licensed Product.</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48"/>
          </w:cols>
          <w:pgMar w:left="312" w:top="251" w:right="339" w:bottom="1440" w:gutter="0" w:footer="0" w:header="0"/>
        </w:sectPr>
      </w:pPr>
    </w:p>
    <w:bookmarkStart w:id="511" w:name="page512"/>
    <w:bookmarkEnd w:id="511"/>
    <w:p>
      <w:pPr>
        <w:ind w:right="100" w:firstLine="1006"/>
        <w:spacing w:after="0" w:line="275" w:lineRule="auto"/>
        <w:tabs>
          <w:tab w:leader="none" w:pos="1231" w:val="left"/>
        </w:tabs>
        <w:numPr>
          <w:ilvl w:val="0"/>
          <w:numId w:val="4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7167245" cy="22225"/>
                    </a:xfrm>
                    <a:prstGeom prst="rect">
                      <a:avLst/>
                    </a:prstGeom>
                    <a:noFill/>
                  </pic:spPr>
                </pic:pic>
              </a:graphicData>
            </a:graphic>
          </wp:anchor>
        </w:drawing>
        <w:t>Royalty Reduction</w:t>
      </w:r>
      <w:r>
        <w:rPr>
          <w:rFonts w:ascii="Times New Roman" w:cs="Times New Roman" w:eastAsia="Times New Roman" w:hAnsi="Times New Roman"/>
          <w:sz w:val="15"/>
          <w:szCs w:val="15"/>
          <w:color w:val="auto"/>
        </w:rPr>
        <w:t>. If at any time during the Royalty Term for a given Licensed Product in a given country, there is no Valid Claim Covering such Licensed Product in such country, then the royalty rate payable by Tarsus pursuant to Section 6.4(a) (or established pursuant to Section 6.4(b)) shall be reduced to [***] percent of the rates set forth in Section 6.4(a) (or Section 6.4(b), as the case may be).</w:t>
      </w:r>
    </w:p>
    <w:p>
      <w:pPr>
        <w:spacing w:after="0" w:line="141" w:lineRule="exact"/>
        <w:rPr>
          <w:sz w:val="20"/>
          <w:szCs w:val="20"/>
          <w:color w:val="auto"/>
        </w:rPr>
      </w:pPr>
    </w:p>
    <w:p>
      <w:pPr>
        <w:ind w:right="4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6.5 Mode of Payment</w:t>
      </w:r>
      <w:r>
        <w:rPr>
          <w:rFonts w:ascii="Times New Roman" w:cs="Times New Roman" w:eastAsia="Times New Roman" w:hAnsi="Times New Roman"/>
          <w:sz w:val="15"/>
          <w:szCs w:val="15"/>
          <w:color w:val="auto"/>
        </w:rPr>
        <w:t>. Tarsus shall pay all payments to Elanco under this Agreement by wire transfer of immediately available funds to a USD functional bank account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designated in writing by Elanco, in U.S. Dollars or such other currency as the Parties may mutually agree in writing.</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6.6 Quarterly information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220" w:hanging="214"/>
        <w:spacing w:after="0"/>
        <w:tabs>
          <w:tab w:leader="none" w:pos="1220" w:val="left"/>
        </w:tabs>
        <w:numPr>
          <w:ilvl w:val="0"/>
          <w:numId w:val="4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Tarsus Common Stock activity</w:t>
      </w:r>
      <w:r>
        <w:rPr>
          <w:rFonts w:ascii="Times New Roman" w:cs="Times New Roman" w:eastAsia="Times New Roman" w:hAnsi="Times New Roman"/>
          <w:sz w:val="15"/>
          <w:szCs w:val="15"/>
          <w:color w:val="auto"/>
        </w:rPr>
        <w:t>. Until the completion of the Tarsus Initial Public Offering, for each of the three-month periods ending</w:t>
      </w:r>
    </w:p>
    <w:p>
      <w:pPr>
        <w:spacing w:after="0" w:line="2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5"/>
          <w:szCs w:val="15"/>
          <w:color w:val="auto"/>
        </w:rPr>
        <w:t>March 31, June 30, September 30, and December 31, Tarsus shall provide to Elanco (i) the capitalization table as of period-end, no later than fifteen (15) days following period-end. At a minimum, the capitalization table shall include all equity types (e.g., Common Stock, Preferred Stock, etc.). In addition, Tarsus shall provide to Elanco (i) Tarsus’ most recently available 409A valuation, and (ii) information about all sales and purchases of Tarsus’ Preferred Stock and Common Stock during the respective three-month period. Such information shall be sufficient for Elanco to calculate its ownership percentage and shall be provided by Tarsus electronically no later than forty-five (45) days following period-end.</w:t>
      </w:r>
    </w:p>
    <w:p>
      <w:pPr>
        <w:spacing w:after="0" w:line="155" w:lineRule="exact"/>
        <w:rPr>
          <w:sz w:val="20"/>
          <w:szCs w:val="20"/>
          <w:color w:val="auto"/>
        </w:rPr>
      </w:pPr>
    </w:p>
    <w:p>
      <w:pPr>
        <w:ind w:right="80" w:firstLine="1006"/>
        <w:spacing w:after="0" w:line="268" w:lineRule="auto"/>
        <w:tabs>
          <w:tab w:leader="none" w:pos="1240" w:val="left"/>
        </w:tabs>
        <w:numPr>
          <w:ilvl w:val="0"/>
          <w:numId w:val="4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Unaudited financial statements</w:t>
      </w:r>
      <w:r>
        <w:rPr>
          <w:rFonts w:ascii="Times New Roman" w:cs="Times New Roman" w:eastAsia="Times New Roman" w:hAnsi="Times New Roman"/>
          <w:sz w:val="15"/>
          <w:szCs w:val="15"/>
          <w:color w:val="auto"/>
        </w:rPr>
        <w:t>. Until the completion of the Tarsus Initial Public Offering, for each of the three-month periods ending March 31, June 30, and September 30, Tarsus shall provide to Elanco unaudited financial statements as of and for the three-month period then ended. The unaudited financial statements shall be provided by Tarsus electronically no later than forty-five (45) days following period-end. At a minimum, the unaudited financial statements shall include a balance sheet, income statement, and statement of cash flows.</w:t>
      </w:r>
    </w:p>
    <w:p>
      <w:pPr>
        <w:spacing w:after="0" w:line="148" w:lineRule="exact"/>
        <w:rPr>
          <w:sz w:val="20"/>
          <w:szCs w:val="20"/>
          <w:color w:val="auto"/>
        </w:rPr>
      </w:pPr>
    </w:p>
    <w:p>
      <w:pPr>
        <w:ind w:right="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6.7 Annual financial statements</w:t>
      </w:r>
      <w:r>
        <w:rPr>
          <w:rFonts w:ascii="Times New Roman" w:cs="Times New Roman" w:eastAsia="Times New Roman" w:hAnsi="Times New Roman"/>
          <w:sz w:val="15"/>
          <w:szCs w:val="15"/>
          <w:color w:val="auto"/>
        </w:rPr>
        <w:t>. Until the completion of the Tarsus Initial Public Offering, on an annual basis, Tarsus shall provide to Elanco audited financial statements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and for the year then ended. The audited financial statements shall be provided by Tarsus electronically no later than forty-five (45) business days following period-end. At a minimum, the audited financial statements shall include a balance sheet, income statement, and statement of cash flows.</w:t>
      </w:r>
    </w:p>
    <w:p>
      <w:pPr>
        <w:spacing w:after="0" w:line="141" w:lineRule="exact"/>
        <w:rPr>
          <w:sz w:val="20"/>
          <w:szCs w:val="20"/>
          <w:color w:val="auto"/>
        </w:rPr>
      </w:pPr>
    </w:p>
    <w:p>
      <w:pPr>
        <w:ind w:right="40"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6.8 Audit</w:t>
      </w:r>
      <w:r>
        <w:rPr>
          <w:rFonts w:ascii="Times New Roman" w:cs="Times New Roman" w:eastAsia="Times New Roman" w:hAnsi="Times New Roman"/>
          <w:sz w:val="15"/>
          <w:szCs w:val="15"/>
          <w:color w:val="auto"/>
        </w:rPr>
        <w:t>. Tarsus shall keep or cause to be kept books of account containing all information that may be necessary for the purpose of calculating amounts payable by Tarsus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connection with this Agreement for a period of three (3) calendar years following the end of the calendar year during which such amounts were payable. Elanco may appoint an independent public accountant (on a non-contingency basis and reasonably acceptable to Tarsus; any “Big 4” accountant shall be deemed acceptable to Tarsus), at Elanco’s expense and subject to such accountant entering into a confidentiality agreement with Tarsus, to inspect such books of account in order to verify the calculation of any amounts payable to Elanco hereunder. Such inspections shall be performed not more frequently than once in any twelve (12) month period and upon reasonable prior written notice, and shall be conducted during regular business hours in such a manner as to not unreasonably interfere with Tarsus’s normal business activities. Elanco’s accountant may only share with Elanco the report containing the summary results of its inspection, but not the books of account reviewed by the accountant during the audit, and such report shall constitute Tarsus’s Confidential Information. If any such inspection reveals that any payment which should have been paid by Tarsus is greater than those which were actually paid by it and such underpayment is not disputed by Tarsus, then Tarsus shall promptly pay the underpaid amount to Elanco. If the undisputed payments which should have been paid by Tarsus are at least [***] percent greater than those which were actually paid by Tarsus, then Tarsus shall also reimburse Elanco for the reasonable out-of-pocket costs of such inspection.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40"/>
          </w:cols>
          <w:pgMar w:left="320" w:top="252" w:right="339" w:bottom="1440" w:gutter="0" w:footer="0" w:header="0"/>
        </w:sectPr>
      </w:pPr>
    </w:p>
    <w:bookmarkStart w:id="512" w:name="page513"/>
    <w:bookmarkEnd w:id="512"/>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6.9 Taxes</w:t>
      </w:r>
      <w:r>
        <w:rPr>
          <w:rFonts w:ascii="Times New Roman" w:cs="Times New Roman" w:eastAsia="Times New Roman" w:hAnsi="Times New Roman"/>
          <w:sz w:val="15"/>
          <w:szCs w:val="15"/>
          <w:color w:val="auto"/>
        </w:rPr>
        <w:t>. Each Party shall be solely responsible for the payment of all taxes imposed on its share of income arising directly or indirectly from its activities or receipt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payments under this Agreement. To the extent Tarsus is required to deduct and withhold taxes on any payment to Elanco hereunder, it shall deduct such amounts from payments to Elanco and pay the amounts of such taxes to the proper governmental authority in a timely manner and promptly transmit to Elanco an official tax certificate or other evidence of such withholding sufficient to enable Elanco to claim such payment of taxes. Elanco shall provide Tarsus any tax forms that may be reasonably necessary in order for Tarsus not to withhold tax or to withhold tax at a reduced rate under an Applicable Law or bilateral income tax treaty.</w:t>
      </w:r>
    </w:p>
    <w:p>
      <w:pPr>
        <w:spacing w:after="0" w:line="147"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6.10 Sales Forecast</w:t>
      </w:r>
      <w:r>
        <w:rPr>
          <w:rFonts w:ascii="Times New Roman" w:cs="Times New Roman" w:eastAsia="Times New Roman" w:hAnsi="Times New Roman"/>
          <w:sz w:val="15"/>
          <w:szCs w:val="15"/>
          <w:color w:val="auto"/>
        </w:rPr>
        <w:t>. Within [***] days after January 1 of each calendar year, Tarsus shall provide Elanco with Tarsus’s projected Net Sales over the next [***] calendar years.</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For clarity, such projections would be for informational purposes only and the foregoing is not binding on Tarsus in any way.</w:t>
      </w:r>
    </w:p>
    <w:p>
      <w:pPr>
        <w:spacing w:after="0" w:line="178" w:lineRule="exact"/>
        <w:rPr>
          <w:sz w:val="20"/>
          <w:szCs w:val="20"/>
          <w:color w:val="auto"/>
        </w:rPr>
      </w:pPr>
    </w:p>
    <w:p>
      <w:pPr>
        <w:ind w:left="148" w:hanging="148"/>
        <w:spacing w:after="0"/>
        <w:tabs>
          <w:tab w:leader="none" w:pos="148" w:val="left"/>
        </w:tabs>
        <w:numPr>
          <w:ilvl w:val="0"/>
          <w:numId w:val="4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NTELLECTUAL</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ROPERTY</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7.1 Prosecution and Maintenance of Licensed Patents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both"/>
        <w:ind w:left="8" w:right="80" w:firstLine="1006"/>
        <w:spacing w:after="0" w:line="275" w:lineRule="auto"/>
        <w:tabs>
          <w:tab w:leader="none" w:pos="1239" w:val="left"/>
        </w:tabs>
        <w:numPr>
          <w:ilvl w:val="0"/>
          <w:numId w:val="4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shall be solely responsible for prosecution and maintenance of the Licensed Patents including, but not limited to, the filing of patent applications included therein. Elanco shall keep Tarsus reasonably informed with respect to the status and progress of any such applications, prosecutions and maintenance activities. Elanco shall consider in good faith the comments of Tarsus with respect to any such applications and prosecutions and maintenance activities.</w:t>
      </w:r>
    </w:p>
    <w:p>
      <w:pPr>
        <w:spacing w:after="0" w:line="144" w:lineRule="exact"/>
        <w:rPr>
          <w:rFonts w:ascii="Times New Roman" w:cs="Times New Roman" w:eastAsia="Times New Roman" w:hAnsi="Times New Roman"/>
          <w:sz w:val="15"/>
          <w:szCs w:val="15"/>
          <w:b w:val="1"/>
          <w:bCs w:val="1"/>
          <w:color w:val="auto"/>
        </w:rPr>
      </w:pPr>
    </w:p>
    <w:p>
      <w:pPr>
        <w:ind w:left="8" w:right="220" w:firstLine="1006"/>
        <w:spacing w:after="0" w:line="265" w:lineRule="auto"/>
        <w:tabs>
          <w:tab w:leader="none" w:pos="1248" w:val="left"/>
        </w:tabs>
        <w:numPr>
          <w:ilvl w:val="0"/>
          <w:numId w:val="4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may, in its sole discretion, elect to abandon any issued patent or pending patent application included in the Licensed Patents, or not file any patent application with respect thereto in any country. Prior to any such abandonment or decision not to file in any country, Elanco shall give Tarsus at least [***] days’ notice and a reasonable opportunity to take over such maintenance, prosecution or filing. In such event, Tarsus shall have the right, but not the obligation, to commence or continue such maintenance, prosecution or filing under its own control and at its sole expense. Tarsus shall have no further payment obligations (including with respect to royalties and milestone payments) or other obligations to Elanco with respect to any such patents or patent applications or patents issuing from such applications.</w:t>
      </w:r>
    </w:p>
    <w:p>
      <w:pPr>
        <w:spacing w:after="0" w:line="15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7.2 Enforcement of Licensed IP</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8" w:firstLine="1006"/>
        <w:spacing w:after="0" w:line="259" w:lineRule="auto"/>
        <w:tabs>
          <w:tab w:leader="none" w:pos="1239" w:val="left"/>
        </w:tabs>
        <w:numPr>
          <w:ilvl w:val="1"/>
          <w:numId w:val="4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During the Royalty Term, each Party shall promptly provide written notice to the other Party of any actual or alleged infringement or misappropriation in the Field by any Third Party of any intellectual property rights included in the Licensed IP of which it becomes aware. Elanco shall have the first right, but not the obligation, to enforce the Licensed IP against any such infringement or misappropriation claim in the Field at its own expense and utilizing counsel of its choice. Elanco shall neither settle nor voluntarily dispose of any action to enforce the Licensed IP in the Field without Tarsus’s written consent. If Elanco desires to voluntarily dispose of any action to enforce the Licensed IP in the Field then Elanco shall notify Tarsus and offer Tarsus the opportunity to assume control of such enforcement action (“</w:t>
      </w:r>
      <w:r>
        <w:rPr>
          <w:rFonts w:ascii="Times New Roman" w:cs="Times New Roman" w:eastAsia="Times New Roman" w:hAnsi="Times New Roman"/>
          <w:sz w:val="15"/>
          <w:szCs w:val="15"/>
          <w:b w:val="1"/>
          <w:bCs w:val="1"/>
          <w:i w:val="1"/>
          <w:iCs w:val="1"/>
          <w:color w:val="auto"/>
        </w:rPr>
        <w:t>Voluntary Disposal Notice</w:t>
      </w:r>
      <w:r>
        <w:rPr>
          <w:rFonts w:ascii="Times New Roman" w:cs="Times New Roman" w:eastAsia="Times New Roman" w:hAnsi="Times New Roman"/>
          <w:sz w:val="15"/>
          <w:szCs w:val="15"/>
          <w:color w:val="auto"/>
        </w:rPr>
        <w:t>”). If Tarsus notifies Elanco of its election to assume control of such enforcement action then Elanco shall take all reasonable actions necessary to allow Tarsus to properly do so. Elanco may voluntarily dispose of such enforcement action if: (i) Tarsus notifies Elanco that it does not desire to assume control of such enforcement action; or (ii) Tarsus does not notify Elanco of any election within</w:t>
      </w:r>
    </w:p>
    <w:p>
      <w:pPr>
        <w:spacing w:after="0" w:line="2" w:lineRule="exact"/>
        <w:rPr>
          <w:rFonts w:ascii="Times New Roman" w:cs="Times New Roman" w:eastAsia="Times New Roman" w:hAnsi="Times New Roman"/>
          <w:sz w:val="15"/>
          <w:szCs w:val="15"/>
          <w:b w:val="1"/>
          <w:bCs w:val="1"/>
          <w:color w:val="auto"/>
        </w:rPr>
      </w:pPr>
    </w:p>
    <w:p>
      <w:pPr>
        <w:ind w:left="368" w:hanging="368"/>
        <w:spacing w:after="0"/>
        <w:tabs>
          <w:tab w:leader="none" w:pos="368" w:val="left"/>
        </w:tabs>
        <w:numPr>
          <w:ilvl w:val="0"/>
          <w:numId w:val="4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after Elanco provides Voluntary Disposal Notice.</w:t>
      </w:r>
    </w:p>
    <w:p>
      <w:pPr>
        <w:spacing w:after="0" w:line="181" w:lineRule="exact"/>
        <w:rPr>
          <w:rFonts w:ascii="Times New Roman" w:cs="Times New Roman" w:eastAsia="Times New Roman" w:hAnsi="Times New Roman"/>
          <w:sz w:val="15"/>
          <w:szCs w:val="15"/>
          <w:color w:val="auto"/>
        </w:rPr>
      </w:pPr>
    </w:p>
    <w:p>
      <w:pPr>
        <w:ind w:left="8" w:firstLine="1006"/>
        <w:spacing w:after="0" w:line="293" w:lineRule="auto"/>
        <w:tabs>
          <w:tab w:leader="none" w:pos="1248" w:val="left"/>
        </w:tabs>
        <w:numPr>
          <w:ilvl w:val="1"/>
          <w:numId w:val="4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With respect to any potential enforcement under subsection (a) above, if Elanco does not notify Tarsus of its intention to enforce against such alleged infringement or misappropriation within [***] days of the date Elanco becomes aware of such alleged infringement or misappropriation,</w:t>
      </w:r>
    </w:p>
    <w:p>
      <w:pPr>
        <w:spacing w:after="0" w:line="7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28"/>
          </w:cols>
          <w:pgMar w:left="312" w:top="248" w:right="359" w:bottom="1440" w:gutter="0" w:footer="0" w:header="0"/>
        </w:sectPr>
      </w:pPr>
    </w:p>
    <w:bookmarkStart w:id="513" w:name="page514"/>
    <w:bookmarkEnd w:id="513"/>
    <w:p>
      <w:pPr>
        <w:ind w:left="8" w:right="80"/>
        <w:spacing w:after="0" w:line="29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7167245" cy="21590"/>
                    </a:xfrm>
                    <a:prstGeom prst="rect">
                      <a:avLst/>
                    </a:prstGeom>
                    <a:noFill/>
                  </pic:spPr>
                </pic:pic>
              </a:graphicData>
            </a:graphic>
          </wp:anchor>
        </w:drawing>
        <w:t>or does not commence prosecution of such claim within [***] days after the date Elanco becomes aware of such alleged infringement or misappropriation, then, Tarsus shall have the right, but not the obligation, to prosecute such claim at its own expense and utilizing counsel of its choice.</w:t>
      </w:r>
    </w:p>
    <w:p>
      <w:pPr>
        <w:spacing w:after="0" w:line="132" w:lineRule="exact"/>
        <w:rPr>
          <w:sz w:val="20"/>
          <w:szCs w:val="20"/>
          <w:color w:val="auto"/>
        </w:rPr>
      </w:pPr>
    </w:p>
    <w:p>
      <w:pPr>
        <w:ind w:left="8" w:right="80" w:firstLine="1006"/>
        <w:spacing w:after="0" w:line="265" w:lineRule="auto"/>
        <w:tabs>
          <w:tab w:leader="none" w:pos="1230" w:val="left"/>
        </w:tabs>
        <w:numPr>
          <w:ilvl w:val="0"/>
          <w:numId w:val="4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enforcing Party shall regularly update the other Party in writing with respect to the status of any such enforcement actions. Any recovery of damages by shall be applied (i) first, in satisfaction of any unreimbursed expenses and legal fees of the enforcing Party, (ii) second, in satisfaction of any unreimbursed expenses and legal fees of the other Party, and (iii) third, if additional recoveries remain after all of the unreimbursed expenses and legal fees are fully paid as set forth in (i) and (ii), the balance remaining with respect to any such recovery shall be retained by (or paid by Elanco to, as the case may be) Tarsus and such amount shall be treated as Net Sales and subject to the payment of royalties pursuant to Section 6.3.</w:t>
      </w:r>
    </w:p>
    <w:p>
      <w:pPr>
        <w:spacing w:after="0" w:line="154" w:lineRule="exact"/>
        <w:rPr>
          <w:rFonts w:ascii="Times New Roman" w:cs="Times New Roman" w:eastAsia="Times New Roman" w:hAnsi="Times New Roman"/>
          <w:sz w:val="15"/>
          <w:szCs w:val="15"/>
          <w:b w:val="1"/>
          <w:bCs w:val="1"/>
          <w:color w:val="auto"/>
        </w:rPr>
      </w:pPr>
    </w:p>
    <w:p>
      <w:pPr>
        <w:ind w:left="8" w:right="340" w:firstLine="1006"/>
        <w:spacing w:after="0" w:line="293" w:lineRule="auto"/>
        <w:tabs>
          <w:tab w:leader="none" w:pos="1248" w:val="left"/>
        </w:tabs>
        <w:numPr>
          <w:ilvl w:val="0"/>
          <w:numId w:val="4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 the request of the Party bringing the action, the other Party shall provide reasonable assistance in connection therewith, including by executing reasonably appropriate documents, cooperating in discovery and joining as a party plaintiff to the action if required to obtain necessary standing.</w:t>
      </w:r>
    </w:p>
    <w:p>
      <w:pPr>
        <w:spacing w:after="0" w:line="12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 xml:space="preserve">7.3 Improvements. </w:t>
      </w:r>
      <w:r>
        <w:rPr>
          <w:rFonts w:ascii="Times New Roman" w:cs="Times New Roman" w:eastAsia="Times New Roman" w:hAnsi="Times New Roman"/>
          <w:sz w:val="15"/>
          <w:szCs w:val="15"/>
          <w:color w:val="auto"/>
        </w:rPr>
        <w:t>Elanco shall own any invention conceived by or for Elanco from the use of the Compound or otherwise derived by or for Elanco from the Compound</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Elanco Improvements</w:t>
      </w:r>
      <w:r>
        <w:rPr>
          <w:rFonts w:ascii="Times New Roman" w:cs="Times New Roman" w:eastAsia="Times New Roman" w:hAnsi="Times New Roman"/>
          <w:sz w:val="15"/>
          <w:szCs w:val="15"/>
          <w:color w:val="auto"/>
        </w:rPr>
        <w:t>”). Tarsus shall own any invention conceived by or for Tarsus from the use of the Compound or otherwise derived by or for Tarsus from the Compound</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Tarsus Improvements</w:t>
      </w:r>
      <w:r>
        <w:rPr>
          <w:rFonts w:ascii="Times New Roman" w:cs="Times New Roman" w:eastAsia="Times New Roman" w:hAnsi="Times New Roman"/>
          <w:sz w:val="15"/>
          <w:szCs w:val="15"/>
          <w:color w:val="auto"/>
        </w:rPr>
        <w:t>”). Tarsus hereby grants Elanco an exclusive royalty-free, perpetual license to the Research Inventions and Tarsus Improvements for applications in the Elanco</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Field.</w:t>
      </w:r>
    </w:p>
    <w:p>
      <w:pPr>
        <w:spacing w:after="0" w:line="178" w:lineRule="exact"/>
        <w:rPr>
          <w:sz w:val="20"/>
          <w:szCs w:val="20"/>
          <w:color w:val="auto"/>
        </w:rPr>
      </w:pPr>
    </w:p>
    <w:p>
      <w:pPr>
        <w:ind w:left="148" w:hanging="148"/>
        <w:spacing w:after="0"/>
        <w:tabs>
          <w:tab w:leader="none" w:pos="148" w:val="left"/>
        </w:tabs>
        <w:numPr>
          <w:ilvl w:val="0"/>
          <w:numId w:val="4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2"/>
          <w:szCs w:val="12"/>
          <w:b w:val="1"/>
          <w:bCs w:val="1"/>
          <w:color w:val="auto"/>
        </w:rPr>
        <w:t>ANUFACTURE AND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2"/>
          <w:szCs w:val="12"/>
          <w:b w:val="1"/>
          <w:bCs w:val="1"/>
          <w:color w:val="auto"/>
        </w:rPr>
        <w:t>UPPLY</w:t>
      </w:r>
      <w:r>
        <w:rPr>
          <w:rFonts w:ascii="Times New Roman" w:cs="Times New Roman" w:eastAsia="Times New Roman" w:hAnsi="Times New Roman"/>
          <w:sz w:val="15"/>
          <w:szCs w:val="15"/>
          <w:b w:val="1"/>
          <w:bCs w:val="1"/>
          <w:color w:val="auto"/>
        </w:rPr>
        <w:t>.</w:t>
      </w:r>
    </w:p>
    <w:p>
      <w:pPr>
        <w:spacing w:after="0" w:line="196" w:lineRule="exact"/>
        <w:rPr>
          <w:sz w:val="20"/>
          <w:szCs w:val="20"/>
          <w:color w:val="auto"/>
        </w:rPr>
      </w:pPr>
    </w:p>
    <w:p>
      <w:pPr>
        <w:ind w:left="8"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8.1 Initial Supply Terms</w:t>
      </w:r>
      <w:r>
        <w:rPr>
          <w:rFonts w:ascii="Times New Roman" w:cs="Times New Roman" w:eastAsia="Times New Roman" w:hAnsi="Times New Roman"/>
          <w:sz w:val="15"/>
          <w:szCs w:val="15"/>
          <w:color w:val="auto"/>
        </w:rPr>
        <w:t>. Each calendar quarter, Tarsus shall supply Elanco with a written, non-binding forecast showing good faith estimations of its (and its Affiliates’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sublicensees’) quarterly requirements for the Compound for the following four (4) calendar quarters (the “</w:t>
      </w:r>
      <w:r>
        <w:rPr>
          <w:rFonts w:ascii="Times New Roman" w:cs="Times New Roman" w:eastAsia="Times New Roman" w:hAnsi="Times New Roman"/>
          <w:sz w:val="15"/>
          <w:szCs w:val="15"/>
          <w:b w:val="1"/>
          <w:bCs w:val="1"/>
          <w:i w:val="1"/>
          <w:iCs w:val="1"/>
          <w:color w:val="auto"/>
        </w:rPr>
        <w:t>Forecast</w:t>
      </w:r>
      <w:r>
        <w:rPr>
          <w:rFonts w:ascii="Times New Roman" w:cs="Times New Roman" w:eastAsia="Times New Roman" w:hAnsi="Times New Roman"/>
          <w:sz w:val="15"/>
          <w:szCs w:val="15"/>
          <w:color w:val="auto"/>
        </w:rPr>
        <w:t>”). Elanco shall manufacture (or have manufactured) and supply to Tarsus quantities of the Compound as and when reasonably requested by Tarsus to the extent within the Forecast. Tarsus’s price for all Compounds purchased pursuant to this Section 8.1 shall be the price at which Elanco purchases such Compound plus [***] percent thereof.</w:t>
      </w:r>
    </w:p>
    <w:p>
      <w:pPr>
        <w:spacing w:after="0" w:line="14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8.2 Manufacturing and Supply Agreement</w:t>
      </w:r>
      <w:r>
        <w:rPr>
          <w:rFonts w:ascii="Times New Roman" w:cs="Times New Roman" w:eastAsia="Times New Roman" w:hAnsi="Times New Roman"/>
          <w:sz w:val="15"/>
          <w:szCs w:val="15"/>
          <w:color w:val="auto"/>
        </w:rPr>
        <w:t>. The Parties agree to enter into a good-faith more detailed manufacturing and supply agreement within a reasonable timeframe.</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supply agreement should provide for a stated supply price (which price shall represent a small markup over Elanco’s costs).</w:t>
      </w:r>
    </w:p>
    <w:p>
      <w:pPr>
        <w:spacing w:after="0" w:line="17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8.3 Change of chemistry</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1228" w:hanging="214"/>
        <w:spacing w:after="0"/>
        <w:tabs>
          <w:tab w:leader="none" w:pos="1228" w:val="left"/>
        </w:tabs>
        <w:numPr>
          <w:ilvl w:val="0"/>
          <w:numId w:val="4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acknowledges and agrees that Elanco shall be free to use alternate chemistry and improve the Compound in its sole discretion without Tarsus consent.</w:t>
      </w:r>
    </w:p>
    <w:p>
      <w:pPr>
        <w:spacing w:after="0" w:line="192" w:lineRule="exact"/>
        <w:rPr>
          <w:rFonts w:ascii="Times New Roman" w:cs="Times New Roman" w:eastAsia="Times New Roman" w:hAnsi="Times New Roman"/>
          <w:sz w:val="15"/>
          <w:szCs w:val="15"/>
          <w:b w:val="1"/>
          <w:bCs w:val="1"/>
          <w:color w:val="auto"/>
        </w:rPr>
      </w:pPr>
    </w:p>
    <w:p>
      <w:pPr>
        <w:ind w:left="8" w:firstLine="1006"/>
        <w:spacing w:after="0" w:line="267" w:lineRule="auto"/>
        <w:tabs>
          <w:tab w:leader="none" w:pos="1248" w:val="left"/>
        </w:tabs>
        <w:numPr>
          <w:ilvl w:val="0"/>
          <w:numId w:val="4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Elanco shall provide Tarsus with [***] prior notice (the “</w:t>
      </w:r>
      <w:r>
        <w:rPr>
          <w:rFonts w:ascii="Times New Roman" w:cs="Times New Roman" w:eastAsia="Times New Roman" w:hAnsi="Times New Roman"/>
          <w:sz w:val="15"/>
          <w:szCs w:val="15"/>
          <w:b w:val="1"/>
          <w:bCs w:val="1"/>
          <w:i w:val="1"/>
          <w:iCs w:val="1"/>
          <w:color w:val="auto"/>
        </w:rPr>
        <w:t>Compound Change Period</w:t>
      </w:r>
      <w:r>
        <w:rPr>
          <w:rFonts w:ascii="Times New Roman" w:cs="Times New Roman" w:eastAsia="Times New Roman" w:hAnsi="Times New Roman"/>
          <w:sz w:val="15"/>
          <w:szCs w:val="15"/>
          <w:color w:val="auto"/>
        </w:rPr>
        <w:t>”) if Elanco will cease to provide any Compound previously provided to Tarsus pursuant to a chemical change and will supply Tarsus with any quantities of such Compound requested by Tarsus during the Compound Change Period (even if such quantities exceed the amount projected in the Forecast). Elanco shall notify the JSC as soon as it contemplates possibly ceasing to provide a Compound as previously provided to Tarsus because of use of alternative chemistry or other changes to the Compound. The JSC shall discuss such contemplated changes if Tarsus informs Elanco that it reasonably believes such change could have a regulatory impact; provided, however, that Elanco shall have the right to make the final decision regarding such change after discussion by the JSC.</w:t>
      </w:r>
    </w:p>
    <w:p>
      <w:pPr>
        <w:spacing w:after="0" w:line="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48"/>
          </w:cols>
          <w:pgMar w:left="312" w:top="251" w:right="339" w:bottom="1440" w:gutter="0" w:footer="0" w:header="0"/>
        </w:sectPr>
      </w:pPr>
    </w:p>
    <w:bookmarkStart w:id="514" w:name="page515"/>
    <w:bookmarkEnd w:id="514"/>
    <w:p>
      <w:pPr>
        <w:ind w:left="448"/>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8.4 Have Made Rights</w:t>
      </w:r>
      <w:r>
        <w:rPr>
          <w:rFonts w:ascii="Times New Roman" w:cs="Times New Roman" w:eastAsia="Times New Roman" w:hAnsi="Times New Roman"/>
          <w:sz w:val="15"/>
          <w:szCs w:val="15"/>
          <w:color w:val="auto"/>
        </w:rPr>
        <w:t>. For clarity, Section 2.1 grants Tarsus the right to have a third party make the Compound for Tarsus. Elanco must approve such third party supplier</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unless: (a) the transfer to the supplier does not qualify as a Sensitive Transfer; or (b) such supplier is credible and reputable. Such approval shall not be unreasonably withheld,</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conditioned, or delayed. For all purposes of the foregoing, the following entities and their Affiliates shall be deemed credible and reputable (and shall not require Elanco consent):</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(or any Affiliate of the foregoing), [***].</w:t>
      </w:r>
    </w:p>
    <w:p>
      <w:pPr>
        <w:spacing w:after="0" w:line="178" w:lineRule="exact"/>
        <w:rPr>
          <w:sz w:val="20"/>
          <w:szCs w:val="20"/>
          <w:color w:val="auto"/>
        </w:rPr>
      </w:pPr>
    </w:p>
    <w:p>
      <w:pPr>
        <w:ind w:left="148" w:hanging="148"/>
        <w:spacing w:after="0"/>
        <w:tabs>
          <w:tab w:leader="none" w:pos="148" w:val="left"/>
        </w:tabs>
        <w:numPr>
          <w:ilvl w:val="0"/>
          <w:numId w:val="4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2"/>
          <w:szCs w:val="12"/>
          <w:b w:val="1"/>
          <w:bCs w:val="1"/>
          <w:color w:val="auto"/>
        </w:rPr>
        <w:t>NDEMNIFICATION</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NSURANCE</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320"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9.1 Indemnification by Elanco</w:t>
      </w:r>
      <w:r>
        <w:rPr>
          <w:rFonts w:ascii="Times New Roman" w:cs="Times New Roman" w:eastAsia="Times New Roman" w:hAnsi="Times New Roman"/>
          <w:sz w:val="15"/>
          <w:szCs w:val="15"/>
          <w:color w:val="auto"/>
        </w:rPr>
        <w:t>. Elanco shall indemnify, defend and hold harmless Tarsus, its Affiliates, and its and their respective officers, directors, employees, agents,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successors and assigns against all third party losses, damages, liabilities, deficiencies, claims, actions, judgments, settlements, interest, awards, penalties, fines, costs or expenses (collectively, “</w:t>
      </w:r>
      <w:r>
        <w:rPr>
          <w:rFonts w:ascii="Times New Roman" w:cs="Times New Roman" w:eastAsia="Times New Roman" w:hAnsi="Times New Roman"/>
          <w:sz w:val="15"/>
          <w:szCs w:val="15"/>
          <w:b w:val="1"/>
          <w:bCs w:val="1"/>
          <w:i w:val="1"/>
          <w:iCs w:val="1"/>
          <w:color w:val="auto"/>
        </w:rPr>
        <w:t>Losses</w:t>
      </w:r>
      <w:r>
        <w:rPr>
          <w:rFonts w:ascii="Times New Roman" w:cs="Times New Roman" w:eastAsia="Times New Roman" w:hAnsi="Times New Roman"/>
          <w:sz w:val="15"/>
          <w:szCs w:val="15"/>
          <w:color w:val="auto"/>
        </w:rPr>
        <w:t>”), resulting from (a) any action instituted against any of them by any Third Party arising out of from Elanco’s breach of any representation, warranty or obligations pursuant to this Agreement, or (b) the gross negligence or willful misconduct of Elanco, except, in each case, to the extent such Losses are Losses for which Tarsus is obligated to indemnify Elanco pursuant to Section 9.2 or to the extent such Losses arise from the breach by Tarsus or its Affiliates of its representations, warranties or obligations under this Agreement or from the failure of any sublicensees to comply with any obligations required of sublicensees under this Agreement.</w:t>
      </w:r>
    </w:p>
    <w:p>
      <w:pPr>
        <w:spacing w:after="0" w:line="148" w:lineRule="exact"/>
        <w:rPr>
          <w:sz w:val="20"/>
          <w:szCs w:val="20"/>
          <w:color w:val="auto"/>
        </w:rPr>
      </w:pPr>
    </w:p>
    <w:p>
      <w:pPr>
        <w:ind w:left="8" w:right="40" w:firstLine="451"/>
        <w:spacing w:after="0" w:line="265" w:lineRule="auto"/>
        <w:rPr>
          <w:sz w:val="20"/>
          <w:szCs w:val="20"/>
          <w:color w:val="auto"/>
        </w:rPr>
      </w:pPr>
      <w:r>
        <w:rPr>
          <w:rFonts w:ascii="Times New Roman" w:cs="Times New Roman" w:eastAsia="Times New Roman" w:hAnsi="Times New Roman"/>
          <w:sz w:val="15"/>
          <w:szCs w:val="15"/>
          <w:b w:val="1"/>
          <w:bCs w:val="1"/>
          <w:color w:val="auto"/>
        </w:rPr>
        <w:t>9.2 Indemnification by Tarsus</w:t>
      </w:r>
      <w:r>
        <w:rPr>
          <w:rFonts w:ascii="Times New Roman" w:cs="Times New Roman" w:eastAsia="Times New Roman" w:hAnsi="Times New Roman"/>
          <w:sz w:val="15"/>
          <w:szCs w:val="15"/>
          <w:color w:val="auto"/>
        </w:rPr>
        <w:t>. Tarsus shall indemnify, defend and hold harmless Elanco, its Affiliates, and its and their respective officers, directors, employees, agents,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successors and assigns against all Losses resulting from (a) Tarsus’s breach of any representation, warranty or obligations pursuant to this Agreement, ,(b) the gross negligence or willful misconduct of Tarsus; or (c) the development, making, having made, using, having used, leasing, importing, offering to sell, selling and/or having sold, any Compound or Licensed Product by Tarsus, its Affiliates and sublicensees or the failure of any of them to comply with Applicable Law in connection with any such activities, except, in each case, to the extent Elanco is required to indemnify Tarsus under Section 9.1 for such Losses or to the extent such Losses arise from the breach by Elanco or its Affiliates of its representations, warranties or obligations under this Agreement.</w:t>
      </w:r>
    </w:p>
    <w:p>
      <w:pPr>
        <w:spacing w:after="0" w:line="148" w:lineRule="exact"/>
        <w:rPr>
          <w:sz w:val="20"/>
          <w:szCs w:val="20"/>
          <w:color w:val="auto"/>
        </w:rPr>
      </w:pPr>
    </w:p>
    <w:p>
      <w:pPr>
        <w:ind w:left="8" w:firstLine="451"/>
        <w:spacing w:after="0" w:line="261" w:lineRule="auto"/>
        <w:rPr>
          <w:sz w:val="20"/>
          <w:szCs w:val="20"/>
          <w:color w:val="auto"/>
        </w:rPr>
      </w:pPr>
      <w:r>
        <w:rPr>
          <w:rFonts w:ascii="Times New Roman" w:cs="Times New Roman" w:eastAsia="Times New Roman" w:hAnsi="Times New Roman"/>
          <w:sz w:val="15"/>
          <w:szCs w:val="15"/>
          <w:b w:val="1"/>
          <w:bCs w:val="1"/>
          <w:color w:val="auto"/>
        </w:rPr>
        <w:t>9.3 Indemnification Procedure</w:t>
      </w:r>
      <w:r>
        <w:rPr>
          <w:rFonts w:ascii="Times New Roman" w:cs="Times New Roman" w:eastAsia="Times New Roman" w:hAnsi="Times New Roman"/>
          <w:sz w:val="15"/>
          <w:szCs w:val="15"/>
          <w:color w:val="auto"/>
        </w:rPr>
        <w:t>. The indemnified party shall promptly notify the indemnifying party in writing of any action for which it intends to seek indemnification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hereunder and cooperate reasonably with the indemnifying party at the indemnifying party’s sole cost and expense. The indemnifying party shall have the right, within thirty (20) days after being so notified, to assume the defense of any action with counsel of its choice that is reasonably satisfactory to the indemnified party. The indemnifying party shall not settle any action in a manner that adversely affects the rights of any indemnified party without the indemnified party’s prior written consent, which consent shall not be unreasonably withheld or delayed. The indemnified party’s failure to provide prompt notice to the indemnifying party of any action shall not relieve the indemnifying party of its obligations under this Section 9.3 except to the extent that the indemnifying party can demonstrate that it has been materially prejudiced as a result of the failure. Subject to the indemnifying party’s right to control the defense and settlement thereof, the indemnified party may participate in and observe the proceedings at its own cost and expense with counsel of its own choosing. A Party shall not be responsible for the indemnification or defense of the other Party to the extent arising from any negligent or intentional acts by such Party, or the breach by such Party of any representations, obligations or warranty under this Agreement, or any claims compromised or settled without prior written consent.</w:t>
      </w:r>
    </w:p>
    <w:p>
      <w:pPr>
        <w:spacing w:after="0" w:line="156" w:lineRule="exact"/>
        <w:rPr>
          <w:sz w:val="20"/>
          <w:szCs w:val="20"/>
          <w:color w:val="auto"/>
        </w:rPr>
      </w:pPr>
    </w:p>
    <w:p>
      <w:pPr>
        <w:ind w:left="8"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9.4 Limitation of Liability. </w:t>
      </w:r>
      <w:r>
        <w:rPr>
          <w:rFonts w:ascii="Times New Roman" w:cs="Times New Roman" w:eastAsia="Times New Roman" w:hAnsi="Times New Roman"/>
          <w:sz w:val="15"/>
          <w:szCs w:val="15"/>
          <w:color w:val="auto"/>
        </w:rPr>
        <w:t>Except with respect to a breach of Section 10, or a Party’s liability pursuant to Section 9 or Section 7.2, neither Party shall be liable for special,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incidental, consequential, exemplary, punitive, or other indirect or remote damages, or loss of profits, loss of data or loss of use damages arising in any way out of this Agreement or the exercise of its rights hereunder, whether based upon warranty, contract, tort, strict liability or otherwise.</w:t>
      </w:r>
    </w:p>
    <w:p>
      <w:pPr>
        <w:spacing w:after="0" w:line="8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8"/>
          </w:cols>
          <w:pgMar w:left="312" w:top="248" w:right="339" w:bottom="1440" w:gutter="0" w:footer="0" w:header="0"/>
        </w:sectPr>
      </w:pPr>
    </w:p>
    <w:bookmarkStart w:id="515" w:name="page516"/>
    <w:bookmarkEnd w:id="515"/>
    <w:p>
      <w:pPr>
        <w:ind w:left="228" w:hanging="228"/>
        <w:spacing w:after="0"/>
        <w:tabs>
          <w:tab w:leader="none" w:pos="228" w:val="left"/>
        </w:tabs>
        <w:numPr>
          <w:ilvl w:val="0"/>
          <w:numId w:val="4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C</w:t>
      </w:r>
      <w:r>
        <w:rPr>
          <w:rFonts w:ascii="Times New Roman" w:cs="Times New Roman" w:eastAsia="Times New Roman" w:hAnsi="Times New Roman"/>
          <w:sz w:val="12"/>
          <w:szCs w:val="12"/>
          <w:b w:val="1"/>
          <w:bCs w:val="1"/>
          <w:color w:val="auto"/>
        </w:rPr>
        <w:t>ONFIDENTIALITY</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10.1 Non-Disclosure and Non-Use</w:t>
      </w:r>
      <w:r>
        <w:rPr>
          <w:rFonts w:ascii="Times New Roman" w:cs="Times New Roman" w:eastAsia="Times New Roman" w:hAnsi="Times New Roman"/>
          <w:sz w:val="15"/>
          <w:szCs w:val="15"/>
          <w:color w:val="auto"/>
        </w:rPr>
        <w:t>. Each Receiving Party shall:</w:t>
      </w:r>
    </w:p>
    <w:p>
      <w:pPr>
        <w:spacing w:after="0" w:line="108" w:lineRule="exact"/>
        <w:rPr>
          <w:sz w:val="20"/>
          <w:szCs w:val="20"/>
          <w:color w:val="auto"/>
        </w:rPr>
      </w:pPr>
    </w:p>
    <w:p>
      <w:pPr>
        <w:ind w:left="8" w:firstLine="1006"/>
        <w:spacing w:after="0" w:line="268" w:lineRule="auto"/>
        <w:tabs>
          <w:tab w:leader="none" w:pos="1239" w:val="left"/>
        </w:tabs>
        <w:numPr>
          <w:ilvl w:val="0"/>
          <w:numId w:val="4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 disclose any Confidential Information of the Disclosing Party to any Person other than (i) Persons who have a “need to know” such information for purposes of the Receiving Party’s performance or exercise of rights under this Agreement, and (ii) any Affiliates or sublicensees (or potential sublicensees) of the Receiving Party or other Persons working on the Receiving Party’s behalf (including without limitation consultants, contract manufacturers, and independent contractors), provided that any such Person agrees to be bound by terms and conditions no less stringent than those set forth in this Section 10; and</w:t>
      </w:r>
    </w:p>
    <w:p>
      <w:pPr>
        <w:spacing w:after="0" w:line="151"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0"/>
          <w:numId w:val="4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 use any Confidential Information of the Disclosing Party for any purpose other than in connection with performing its obligations or exercising its rights under</w:t>
      </w:r>
    </w:p>
    <w:p>
      <w:pPr>
        <w:spacing w:after="0" w:line="26" w:lineRule="exact"/>
        <w:rPr>
          <w:rFonts w:ascii="Times New Roman" w:cs="Times New Roman" w:eastAsia="Times New Roman" w:hAnsi="Times New Roman"/>
          <w:sz w:val="15"/>
          <w:szCs w:val="15"/>
          <w:b w:val="1"/>
          <w:bCs w:val="1"/>
          <w:color w:val="auto"/>
        </w:rPr>
      </w:pPr>
    </w:p>
    <w:p>
      <w:pPr>
        <w:ind w:left="8"/>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this Agreement.</w:t>
      </w:r>
    </w:p>
    <w:p>
      <w:pPr>
        <w:spacing w:after="0" w:line="178" w:lineRule="exact"/>
        <w:rPr>
          <w:sz w:val="20"/>
          <w:szCs w:val="20"/>
          <w:color w:val="auto"/>
        </w:rPr>
      </w:pPr>
    </w:p>
    <w:p>
      <w:pPr>
        <w:ind w:left="8" w:right="220" w:firstLine="1014"/>
        <w:spacing w:after="0" w:line="277" w:lineRule="auto"/>
        <w:rPr>
          <w:sz w:val="20"/>
          <w:szCs w:val="20"/>
          <w:color w:val="auto"/>
        </w:rPr>
      </w:pPr>
      <w:r>
        <w:rPr>
          <w:rFonts w:ascii="Times New Roman" w:cs="Times New Roman" w:eastAsia="Times New Roman" w:hAnsi="Times New Roman"/>
          <w:sz w:val="15"/>
          <w:szCs w:val="15"/>
          <w:b w:val="1"/>
          <w:bCs w:val="1"/>
          <w:color w:val="auto"/>
        </w:rPr>
        <w:t>10.2 Disclosure Required by Applicable Law</w:t>
      </w:r>
      <w:r>
        <w:rPr>
          <w:rFonts w:ascii="Times New Roman" w:cs="Times New Roman" w:eastAsia="Times New Roman" w:hAnsi="Times New Roman"/>
          <w:sz w:val="15"/>
          <w:szCs w:val="15"/>
          <w:color w:val="auto"/>
        </w:rPr>
        <w:t>. Section 10.1 shall not apply to Confidential Information which the Receiving Party is required by Applicable Law</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(including, without limitation, any reporting requirements arising under the federal securities laws or the regulations promulgated by any national securities exchange on which securities of the Receiving Party are traded), court order, or similar requirements to disclose, provided that the Receiving Party:</w:t>
      </w:r>
    </w:p>
    <w:p>
      <w:pPr>
        <w:spacing w:after="0" w:line="52" w:lineRule="exact"/>
        <w:rPr>
          <w:sz w:val="20"/>
          <w:szCs w:val="20"/>
          <w:color w:val="auto"/>
        </w:rPr>
      </w:pPr>
    </w:p>
    <w:p>
      <w:pPr>
        <w:ind w:left="8" w:right="40" w:firstLine="1006"/>
        <w:spacing w:after="0" w:line="275" w:lineRule="auto"/>
        <w:tabs>
          <w:tab w:leader="none" w:pos="1239" w:val="left"/>
        </w:tabs>
        <w:numPr>
          <w:ilvl w:val="0"/>
          <w:numId w:val="4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provides the Disclosing Party with prompt written notice thereof such that the Disclosing Party may seek a protective order or other appropriate remedy with respect to such Confidential Information, including, without limitation, confidential treatment to the extent available under any Applicable Law, and the Receiving Party shall provide the Disclosing Party with reasonable cooperation in order to obtain such a protective order or other remedy, including confidential treatment, and</w:t>
      </w:r>
    </w:p>
    <w:p>
      <w:pPr>
        <w:spacing w:after="0" w:line="52" w:lineRule="exact"/>
        <w:rPr>
          <w:rFonts w:ascii="Times New Roman" w:cs="Times New Roman" w:eastAsia="Times New Roman" w:hAnsi="Times New Roman"/>
          <w:sz w:val="15"/>
          <w:szCs w:val="15"/>
          <w:b w:val="1"/>
          <w:bCs w:val="1"/>
          <w:color w:val="auto"/>
        </w:rPr>
      </w:pPr>
    </w:p>
    <w:p>
      <w:pPr>
        <w:ind w:left="1248" w:hanging="234"/>
        <w:spacing w:after="0"/>
        <w:tabs>
          <w:tab w:leader="none" w:pos="1248" w:val="left"/>
        </w:tabs>
        <w:numPr>
          <w:ilvl w:val="0"/>
          <w:numId w:val="4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discloses only that portion of the Confidential Information that is legally compelled to disclose.</w:t>
      </w:r>
    </w:p>
    <w:p>
      <w:pPr>
        <w:spacing w:after="0" w:line="19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b w:val="1"/>
          <w:bCs w:val="1"/>
          <w:color w:val="auto"/>
        </w:rPr>
        <w:t>10.3 Permitted Disclosures</w:t>
      </w:r>
      <w:r>
        <w:rPr>
          <w:rFonts w:ascii="Times New Roman" w:cs="Times New Roman" w:eastAsia="Times New Roman" w:hAnsi="Times New Roman"/>
          <w:sz w:val="15"/>
          <w:szCs w:val="15"/>
          <w:color w:val="auto"/>
        </w:rPr>
        <w:t>. Section 10.1 shall not prevent either Party from (a) preparing, filing, prosecuting, defending or maintaining Licensed Patents,</w:t>
      </w:r>
    </w:p>
    <w:p>
      <w:pPr>
        <w:spacing w:after="0" w:line="30" w:lineRule="exact"/>
        <w:rPr>
          <w:sz w:val="20"/>
          <w:szCs w:val="20"/>
          <w:color w:val="auto"/>
        </w:rPr>
      </w:pPr>
    </w:p>
    <w:p>
      <w:pPr>
        <w:ind w:left="8" w:right="40" w:hanging="8"/>
        <w:spacing w:after="0" w:line="260" w:lineRule="auto"/>
        <w:tabs>
          <w:tab w:leader="none" w:pos="225" w:val="left"/>
        </w:tabs>
        <w:numPr>
          <w:ilvl w:val="0"/>
          <w:numId w:val="4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disclosing Confidential Information to Regulatory Authorities to the extent the Receiving Party reasonably believes it is required or desirable in connection with clinical testing of any Licensed Product or to secure Regulatory Approval for the development or marketing of any Licensed Product, (c) disclosing Confidential Information to the extent required by the Securities and Exchange Commission or applicable tax authorities, (d) disclosure to a Third Party in connection with due diligence by such Third Party, and disclosure to potential Third Party investors in confidential financing documents, provided that any such Third Party agrees to be bound by reasonable obligations of confidentiality and non-use, to the extent possible.</w:t>
      </w:r>
    </w:p>
    <w:p>
      <w:pPr>
        <w:spacing w:after="0" w:line="246" w:lineRule="exact"/>
        <w:rPr>
          <w:sz w:val="20"/>
          <w:szCs w:val="20"/>
          <w:color w:val="auto"/>
        </w:rPr>
      </w:pPr>
    </w:p>
    <w:p>
      <w:pPr>
        <w:ind w:left="228" w:hanging="228"/>
        <w:spacing w:after="0"/>
        <w:tabs>
          <w:tab w:leader="none" w:pos="228" w:val="left"/>
        </w:tabs>
        <w:numPr>
          <w:ilvl w:val="0"/>
          <w:numId w:val="4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ERM</w:t>
      </w:r>
      <w:r>
        <w:rPr>
          <w:rFonts w:ascii="Times New Roman" w:cs="Times New Roman" w:eastAsia="Times New Roman" w:hAnsi="Times New Roman"/>
          <w:sz w:val="15"/>
          <w:szCs w:val="15"/>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5"/>
          <w:szCs w:val="15"/>
          <w:color w:val="auto"/>
        </w:rPr>
        <w:t>.</w:t>
      </w:r>
    </w:p>
    <w:p>
      <w:pPr>
        <w:spacing w:after="0" w:line="104" w:lineRule="exact"/>
        <w:rPr>
          <w:sz w:val="20"/>
          <w:szCs w:val="20"/>
          <w:color w:val="auto"/>
        </w:rPr>
      </w:pPr>
    </w:p>
    <w:p>
      <w:pPr>
        <w:ind w:left="8" w:right="18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11.1 Term; Expiration</w:t>
      </w:r>
      <w:r>
        <w:rPr>
          <w:rFonts w:ascii="Times New Roman" w:cs="Times New Roman" w:eastAsia="Times New Roman" w:hAnsi="Times New Roman"/>
          <w:sz w:val="15"/>
          <w:szCs w:val="15"/>
          <w:color w:val="auto"/>
        </w:rPr>
        <w:t>. This Agreement shall commence on the Effective Date and, unless sooner terminated as provided hereunder, shall expire on a Licensed Product-by-Licensed Product and country-by-country basis upon the expiration of the Royalty Term with respect to such Licensed Product in such country. Following such expiration of the Royalty Term, the license granted by Elanco to Tarsus in Section 2.1 with respect to such Licensed Product in such country shall become fully-paid, royalty-free, worldwide, exclusive, and perpetual.</w:t>
      </w:r>
    </w:p>
    <w:p>
      <w:pPr>
        <w:spacing w:after="0" w:line="14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11.2 Termination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left="8" w:right="260" w:firstLine="1006"/>
        <w:spacing w:after="0" w:line="293" w:lineRule="auto"/>
        <w:tabs>
          <w:tab w:leader="none" w:pos="1239" w:val="left"/>
        </w:tabs>
        <w:numPr>
          <w:ilvl w:val="0"/>
          <w:numId w:val="4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any material breach or default of this Agreement by a Party, the other Party shall have the right to terminate this Agreement upon giving sixty (60) days’ prior written notice thereof to the breaching Party. Such termination shall become effective thirty (30) days after at the end of such</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48"/>
          </w:cols>
          <w:pgMar w:left="312" w:top="248" w:right="339" w:bottom="1440" w:gutter="0" w:footer="0" w:header="0"/>
        </w:sectPr>
      </w:pPr>
    </w:p>
    <w:bookmarkStart w:id="516" w:name="page517"/>
    <w:bookmarkEnd w:id="516"/>
    <w:p>
      <w:pPr>
        <w:ind w:right="28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sixty (60) day period unless the breaching Party shall have cured any such breach or default prior to the expiration of such sixty (60) day period; or if such breach cannot be reasonably cured within sixty (60) days, but the breaching Party has commenced reasonable actions to cure such breach, then such longer period as may be required to cure such breach provided that the breaching Party continues to diligently cure such breach. If the material breach or default by the breaching Party applies only to a given country, the other Party may only terminate this Agreement with respect to such country and thereafter the Territory shall no longer include the country in which such termination has occurred.</w:t>
      </w:r>
    </w:p>
    <w:p>
      <w:pPr>
        <w:spacing w:after="0" w:line="152" w:lineRule="exact"/>
        <w:rPr>
          <w:sz w:val="20"/>
          <w:szCs w:val="20"/>
          <w:color w:val="auto"/>
        </w:rPr>
      </w:pPr>
    </w:p>
    <w:p>
      <w:pPr>
        <w:ind w:firstLine="1006"/>
        <w:spacing w:after="0" w:line="264" w:lineRule="auto"/>
        <w:tabs>
          <w:tab w:leader="none" w:pos="1240" w:val="left"/>
        </w:tabs>
        <w:numPr>
          <w:ilvl w:val="0"/>
          <w:numId w:val="4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 such termination by a Party pursuant to Section 11.2(a) shall be effective prior to the resolution of any dispute with respect to the occurrence of any material breach of or default under this Agreement as to which such Party seeks to exercise such right of termination. If as a result of such dispute resolution process it is determined that a Party’s notice of breach was proper, then such notice shall be deemed to have been effective if the breaching Party fails thereafter to cure such breach in accordance with the determination made in the resolution process within the applicable cure period following such determination. If as a result of such dispute resolution process it is determined that the notice of breach was improper, then no such notice shall be deemed to have been effective and this Agreement shall remain in effect. All of the terms and conditions of this Agreement shall remain in full force and effect during the pendency of such dispute resolution process.</w:t>
      </w:r>
    </w:p>
    <w:p>
      <w:pPr>
        <w:spacing w:after="0" w:line="152" w:lineRule="exact"/>
        <w:rPr>
          <w:rFonts w:ascii="Times New Roman" w:cs="Times New Roman" w:eastAsia="Times New Roman" w:hAnsi="Times New Roman"/>
          <w:sz w:val="15"/>
          <w:szCs w:val="15"/>
          <w:b w:val="1"/>
          <w:bCs w:val="1"/>
          <w:color w:val="auto"/>
        </w:rPr>
      </w:pPr>
    </w:p>
    <w:p>
      <w:pPr>
        <w:ind w:right="520" w:firstLine="1006"/>
        <w:spacing w:after="0" w:line="293" w:lineRule="auto"/>
        <w:tabs>
          <w:tab w:leader="none" w:pos="1222" w:val="left"/>
        </w:tabs>
        <w:numPr>
          <w:ilvl w:val="0"/>
          <w:numId w:val="4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may terminate this Agreement immediately upon notice to Elanco within thirty (30) business days after the Effective Date if, in Tarsus’s reasonable discretion, the Regulatory Materials reveal any fact that would adversely affect the development and/or regulatory approval of a Licensed Product in any way.</w:t>
      </w:r>
    </w:p>
    <w:p>
      <w:pPr>
        <w:spacing w:after="0" w:line="132" w:lineRule="exact"/>
        <w:rPr>
          <w:rFonts w:ascii="Times New Roman" w:cs="Times New Roman" w:eastAsia="Times New Roman" w:hAnsi="Times New Roman"/>
          <w:sz w:val="15"/>
          <w:szCs w:val="15"/>
          <w:b w:val="1"/>
          <w:bCs w:val="1"/>
          <w:color w:val="auto"/>
        </w:rPr>
      </w:pPr>
    </w:p>
    <w:p>
      <w:pPr>
        <w:ind w:firstLine="1006"/>
        <w:spacing w:after="0" w:line="264" w:lineRule="auto"/>
        <w:tabs>
          <w:tab w:leader="none" w:pos="1240" w:val="left"/>
        </w:tabs>
        <w:numPr>
          <w:ilvl w:val="0"/>
          <w:numId w:val="4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If Tarsus or any of its Affiliates or sublicensees, directly or indirectly, (i) initiates or requests an interference or opposition proceeding with respect to any Licensed Patents; (ii) makes, files or maintains any claim, demand, lawsuit, or cause of action to challenge the validity or enforceability of any Licensed Patents; or (iii) opposes any extension of, or the grant of a supplementary protection certificate with respect to, any Licensed Patents (any of (i) – (iii) a “Challenge”), Elanco shall have the right to terminate this Agreement upon thirty (30) days written notice to Tarsus. Any such termination shall only become effective if Tarsus or its Affiliate or sublicensee, as applicable, has not withdrawn such action before the end of the above notice period. Notwithstanding the foregoing, Elanco may not terminate this Agreement for a direct or indirect Challenge made by a sublicensee if Tarsus terminates the sublicense to such sublicensee within thirty (30) days after Elanco notifies Tarsus of such Challenge.</w:t>
      </w:r>
    </w:p>
    <w:p>
      <w:pPr>
        <w:spacing w:after="0" w:line="152" w:lineRule="exact"/>
        <w:rPr>
          <w:rFonts w:ascii="Times New Roman" w:cs="Times New Roman" w:eastAsia="Times New Roman" w:hAnsi="Times New Roman"/>
          <w:sz w:val="15"/>
          <w:szCs w:val="15"/>
          <w:b w:val="1"/>
          <w:bCs w:val="1"/>
          <w:color w:val="auto"/>
        </w:rPr>
      </w:pPr>
    </w:p>
    <w:p>
      <w:pPr>
        <w:ind w:left="1220" w:hanging="214"/>
        <w:spacing w:after="0"/>
        <w:tabs>
          <w:tab w:leader="none" w:pos="1220" w:val="left"/>
        </w:tabs>
        <w:numPr>
          <w:ilvl w:val="0"/>
          <w:numId w:val="4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Tarsus may terminate this Agreement for any or no reason upon thirty (30) days’ notice.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11.3 Effect of Expiration or Termination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ind w:right="360" w:firstLine="1006"/>
        <w:spacing w:after="0" w:line="293" w:lineRule="auto"/>
        <w:tabs>
          <w:tab w:leader="none" w:pos="1231" w:val="left"/>
        </w:tabs>
        <w:numPr>
          <w:ilvl w:val="0"/>
          <w:numId w:val="4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for any reason, the license (and sublicense) granted to Tarsus under Section 2.1 shall terminate in full with respect to the country(ies) and Licensed Product(s) which are the subject of such termination.</w:t>
      </w:r>
    </w:p>
    <w:p>
      <w:pPr>
        <w:spacing w:after="0" w:line="132" w:lineRule="exact"/>
        <w:rPr>
          <w:rFonts w:ascii="Times New Roman" w:cs="Times New Roman" w:eastAsia="Times New Roman" w:hAnsi="Times New Roman"/>
          <w:sz w:val="15"/>
          <w:szCs w:val="15"/>
          <w:b w:val="1"/>
          <w:bCs w:val="1"/>
          <w:color w:val="auto"/>
        </w:rPr>
      </w:pPr>
    </w:p>
    <w:p>
      <w:pPr>
        <w:ind w:right="260" w:firstLine="1006"/>
        <w:spacing w:after="0" w:line="275" w:lineRule="auto"/>
        <w:tabs>
          <w:tab w:leader="none" w:pos="1240" w:val="left"/>
        </w:tabs>
        <w:numPr>
          <w:ilvl w:val="0"/>
          <w:numId w:val="4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subsection (a) above, Tarsus, its Affiliates and/or any sublicensee thereof may elect to sell all finished Licensed Products and any Licensed Products in the process of manufacture at the time of such termination for a period not to exceed [***] months after such termination, provided that Tarsus shall pay or cause to be paid to Elanco all royalty payments in accordance with Section 6.3 with respect thereto.</w:t>
      </w:r>
    </w:p>
    <w:p>
      <w:pPr>
        <w:spacing w:after="0" w:line="144" w:lineRule="exact"/>
        <w:rPr>
          <w:rFonts w:ascii="Times New Roman" w:cs="Times New Roman" w:eastAsia="Times New Roman" w:hAnsi="Times New Roman"/>
          <w:sz w:val="15"/>
          <w:szCs w:val="15"/>
          <w:b w:val="1"/>
          <w:bCs w:val="1"/>
          <w:color w:val="auto"/>
        </w:rPr>
      </w:pPr>
    </w:p>
    <w:p>
      <w:pPr>
        <w:jc w:val="both"/>
        <w:ind w:right="160" w:firstLine="1006"/>
        <w:spacing w:after="0" w:line="268" w:lineRule="auto"/>
        <w:tabs>
          <w:tab w:leader="none" w:pos="1222" w:val="left"/>
        </w:tabs>
        <w:numPr>
          <w:ilvl w:val="0"/>
          <w:numId w:val="4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for any reason and following any request by the relevant sublicensee (provided that such sublicensee is then in compliance with the applicable terms of this Agreement in all material respects), any sublicense of the Licensed IP shall become a direct license between such sublicensee and Elanco (but shall not obligate Elanco beyond the terms of this Agreement) and such sublicensee shall assume all of Tarsus’s payment obligations to Elanco under this Agreement with respect to such sublicensee’s activities (and those of its Affiliates and sublicensees).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20" w:top="252" w:right="339" w:bottom="1440" w:gutter="0" w:footer="0" w:header="0"/>
        </w:sectPr>
      </w:pPr>
    </w:p>
    <w:bookmarkStart w:id="517" w:name="page518"/>
    <w:bookmarkEnd w:id="517"/>
    <w:p>
      <w:pPr>
        <w:ind w:left="8" w:right="20" w:firstLine="1006"/>
        <w:spacing w:after="0" w:line="265" w:lineRule="auto"/>
        <w:tabs>
          <w:tab w:leader="none" w:pos="1248" w:val="left"/>
        </w:tabs>
        <w:numPr>
          <w:ilvl w:val="1"/>
          <w:numId w:val="4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7167245" cy="21590"/>
                    </a:xfrm>
                    <a:prstGeom prst="rect">
                      <a:avLst/>
                    </a:prstGeom>
                    <a:noFill/>
                  </pic:spPr>
                </pic:pic>
              </a:graphicData>
            </a:graphic>
          </wp:anchor>
        </w:drawing>
        <w:t>Termination or expiration of this Agreement for any reason shall be without prejudice to any rights that shall have accrued to the benefit of either Party prior to such termination or expiration. Additionally, the following terms shall survive termination or expiration of this Agreement: Sections 2.2 (unless terminated by Tarsus pursuant to Section 11.2(a)), 6.6, 6.7, 9, 10, 11, and 13. Termination or expiration of this Agreement shall not affect or prejudice any right of either Party to receive payments due hereunder or for which the event giving rise to such payment obligation has occurred prior the effectiveness of such termination or expiration or preclude or hinder the terminating Party from also bringing, amending or pursuing an action against the other Party for damages and all other available legal and equitable remedies.</w:t>
      </w:r>
    </w:p>
    <w:p>
      <w:pPr>
        <w:spacing w:after="0" w:line="154" w:lineRule="exact"/>
        <w:rPr>
          <w:rFonts w:ascii="Times New Roman" w:cs="Times New Roman" w:eastAsia="Times New Roman" w:hAnsi="Times New Roman"/>
          <w:sz w:val="15"/>
          <w:szCs w:val="15"/>
          <w:b w:val="1"/>
          <w:bCs w:val="1"/>
          <w:color w:val="auto"/>
        </w:rPr>
      </w:pPr>
    </w:p>
    <w:p>
      <w:pPr>
        <w:ind w:left="8" w:right="40" w:firstLine="1006"/>
        <w:spacing w:after="0" w:line="267" w:lineRule="auto"/>
        <w:tabs>
          <w:tab w:leader="none" w:pos="1230" w:val="left"/>
        </w:tabs>
        <w:numPr>
          <w:ilvl w:val="1"/>
          <w:numId w:val="4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by Elanco under Section 4.4 (a) or Section 11.2 (a) Tarsus shall as soon as reasonably practicable provide Elanco with copies of all documented technical and other information Controlled by Tarsus that is both: (i) specific to preclinical documentation and technical information with respect to a Licensed Product; and (ii) which are necessary for the development, manufacture and commercialization of the Licensed Product. Notwithstanding the foregoing, Tarsus shall have no obligation to provide any Regulatory Materials or clinical information or data and Elanco shall have no right to (and shall not) reference any Regulatory Materials of Tarsus after such termination.</w:t>
      </w:r>
    </w:p>
    <w:p>
      <w:pPr>
        <w:spacing w:after="0" w:line="339" w:lineRule="exact"/>
        <w:rPr>
          <w:rFonts w:ascii="Times New Roman" w:cs="Times New Roman" w:eastAsia="Times New Roman" w:hAnsi="Times New Roman"/>
          <w:sz w:val="15"/>
          <w:szCs w:val="15"/>
          <w:b w:val="1"/>
          <w:bCs w:val="1"/>
          <w:color w:val="auto"/>
        </w:rPr>
      </w:pPr>
    </w:p>
    <w:p>
      <w:pPr>
        <w:ind w:left="1208" w:hanging="194"/>
        <w:spacing w:after="0"/>
        <w:tabs>
          <w:tab w:leader="none" w:pos="1208" w:val="left"/>
        </w:tabs>
        <w:numPr>
          <w:ilvl w:val="1"/>
          <w:numId w:val="4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Upon termination of this Agreement by Elanco under Section 4.4(a) or Section 11.2(a) or Section 11.2(d), Tarsus shall promptly return all Confidential Information</w:t>
      </w:r>
    </w:p>
    <w:p>
      <w:pPr>
        <w:spacing w:after="0" w:line="26" w:lineRule="exact"/>
        <w:rPr>
          <w:rFonts w:ascii="Times New Roman" w:cs="Times New Roman" w:eastAsia="Times New Roman" w:hAnsi="Times New Roman"/>
          <w:sz w:val="15"/>
          <w:szCs w:val="15"/>
          <w:b w:val="1"/>
          <w:bCs w:val="1"/>
          <w:color w:val="auto"/>
        </w:rPr>
      </w:pPr>
    </w:p>
    <w:p>
      <w:pPr>
        <w:ind w:left="8"/>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of Elanco.</w:t>
      </w:r>
    </w:p>
    <w:p>
      <w:pPr>
        <w:spacing w:after="0" w:line="177" w:lineRule="exact"/>
        <w:rPr>
          <w:rFonts w:ascii="Times New Roman" w:cs="Times New Roman" w:eastAsia="Times New Roman" w:hAnsi="Times New Roman"/>
          <w:sz w:val="15"/>
          <w:szCs w:val="15"/>
          <w:b w:val="1"/>
          <w:bCs w:val="1"/>
          <w:color w:val="auto"/>
        </w:rPr>
      </w:pPr>
    </w:p>
    <w:p>
      <w:pPr>
        <w:ind w:left="228" w:hanging="228"/>
        <w:spacing w:after="0"/>
        <w:tabs>
          <w:tab w:leader="none" w:pos="228" w:val="left"/>
        </w:tabs>
        <w:numPr>
          <w:ilvl w:val="0"/>
          <w:numId w:val="4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2"/>
          <w:szCs w:val="12"/>
          <w:b w:val="1"/>
          <w:bCs w:val="1"/>
          <w:color w:val="auto"/>
        </w:rPr>
        <w:t>ARRANTIES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12.1 Mutual Representations and Warranties</w:t>
      </w:r>
      <w:r>
        <w:rPr>
          <w:rFonts w:ascii="Times New Roman" w:cs="Times New Roman" w:eastAsia="Times New Roman" w:hAnsi="Times New Roman"/>
          <w:sz w:val="15"/>
          <w:szCs w:val="15"/>
          <w:color w:val="auto"/>
        </w:rPr>
        <w:t>. Each Party hereby represents and warrants to the other Party as follows:</w:t>
      </w:r>
    </w:p>
    <w:p>
      <w:pPr>
        <w:spacing w:after="0" w:line="108" w:lineRule="exact"/>
        <w:rPr>
          <w:sz w:val="20"/>
          <w:szCs w:val="20"/>
          <w:color w:val="auto"/>
        </w:rPr>
      </w:pPr>
    </w:p>
    <w:p>
      <w:pPr>
        <w:ind w:left="8" w:right="40" w:firstLine="1006"/>
        <w:spacing w:after="0" w:line="275" w:lineRule="auto"/>
        <w:tabs>
          <w:tab w:leader="none" w:pos="1239" w:val="left"/>
        </w:tabs>
        <w:numPr>
          <w:ilvl w:val="0"/>
          <w:numId w:val="4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Corporate Existence and Power</w:t>
      </w:r>
      <w:r>
        <w:rPr>
          <w:rFonts w:ascii="Times New Roman" w:cs="Times New Roman" w:eastAsia="Times New Roman" w:hAnsi="Times New Roman"/>
          <w:sz w:val="15"/>
          <w:szCs w:val="15"/>
          <w:color w:val="auto"/>
        </w:rPr>
        <w:t>.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144" w:lineRule="exact"/>
        <w:rPr>
          <w:rFonts w:ascii="Times New Roman" w:cs="Times New Roman" w:eastAsia="Times New Roman" w:hAnsi="Times New Roman"/>
          <w:sz w:val="15"/>
          <w:szCs w:val="15"/>
          <w:b w:val="1"/>
          <w:bCs w:val="1"/>
          <w:color w:val="auto"/>
        </w:rPr>
      </w:pPr>
    </w:p>
    <w:p>
      <w:pPr>
        <w:ind w:left="8" w:firstLine="1006"/>
        <w:spacing w:after="0" w:line="268" w:lineRule="auto"/>
        <w:tabs>
          <w:tab w:leader="none" w:pos="1248" w:val="left"/>
        </w:tabs>
        <w:numPr>
          <w:ilvl w:val="0"/>
          <w:numId w:val="4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Authority and Binding Agreement</w:t>
      </w:r>
      <w:r>
        <w:rPr>
          <w:rFonts w:ascii="Times New Roman" w:cs="Times New Roman" w:eastAsia="Times New Roman" w:hAnsi="Times New Roman"/>
          <w:sz w:val="15"/>
          <w:szCs w:val="15"/>
          <w:color w:val="auto"/>
        </w:rPr>
        <w:t>. 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151" w:lineRule="exact"/>
        <w:rPr>
          <w:rFonts w:ascii="Times New Roman" w:cs="Times New Roman" w:eastAsia="Times New Roman" w:hAnsi="Times New Roman"/>
          <w:sz w:val="15"/>
          <w:szCs w:val="15"/>
          <w:b w:val="1"/>
          <w:bCs w:val="1"/>
          <w:color w:val="auto"/>
        </w:rPr>
      </w:pPr>
    </w:p>
    <w:p>
      <w:pPr>
        <w:ind w:left="8" w:right="580" w:firstLine="1006"/>
        <w:spacing w:after="0" w:line="293" w:lineRule="auto"/>
        <w:tabs>
          <w:tab w:leader="none" w:pos="1230" w:val="left"/>
        </w:tabs>
        <w:numPr>
          <w:ilvl w:val="0"/>
          <w:numId w:val="4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No Conflict</w:t>
      </w:r>
      <w:r>
        <w:rPr>
          <w:rFonts w:ascii="Times New Roman" w:cs="Times New Roman" w:eastAsia="Times New Roman" w:hAnsi="Times New Roman"/>
          <w:sz w:val="15"/>
          <w:szCs w:val="15"/>
          <w:color w:val="auto"/>
        </w:rPr>
        <w:t>. It is not a party to any agreement that would materially prevent it from granting the rights granted to the other Party under this Agreement or performing its obligations under the Agreement.</w:t>
      </w:r>
    </w:p>
    <w:p>
      <w:pPr>
        <w:spacing w:after="0" w:line="128"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12.2 Additional Representations and Warranties of Elanco</w:t>
      </w:r>
      <w:r>
        <w:rPr>
          <w:rFonts w:ascii="Times New Roman" w:cs="Times New Roman" w:eastAsia="Times New Roman" w:hAnsi="Times New Roman"/>
          <w:sz w:val="15"/>
          <w:szCs w:val="15"/>
          <w:color w:val="auto"/>
        </w:rPr>
        <w:t>. Elanco represents and warrants to Tarsus as of the Effective Date that:</w:t>
      </w:r>
    </w:p>
    <w:p>
      <w:pPr>
        <w:spacing w:after="0" w:line="108" w:lineRule="exact"/>
        <w:rPr>
          <w:sz w:val="20"/>
          <w:szCs w:val="20"/>
          <w:color w:val="auto"/>
        </w:rPr>
      </w:pPr>
    </w:p>
    <w:p>
      <w:pPr>
        <w:ind w:left="8" w:right="120" w:firstLine="1006"/>
        <w:spacing w:after="0" w:line="293" w:lineRule="auto"/>
        <w:tabs>
          <w:tab w:leader="none" w:pos="1239" w:val="left"/>
        </w:tabs>
        <w:numPr>
          <w:ilvl w:val="0"/>
          <w:numId w:val="4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it has all rights under the Licensed IP to grant the licenses to Tarsus as purported to be granted pursuant to this Agreement (including, without limitation, without any payment to any Third Party);</w:t>
      </w:r>
    </w:p>
    <w:p>
      <w:pPr>
        <w:spacing w:after="0" w:line="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48"/>
          </w:cols>
          <w:pgMar w:left="312" w:top="252" w:right="339" w:bottom="1440" w:gutter="0" w:footer="0" w:header="0"/>
        </w:sectPr>
      </w:pPr>
    </w:p>
    <w:bookmarkStart w:id="518" w:name="page519"/>
    <w:bookmarkEnd w:id="518"/>
    <w:p>
      <w:pPr>
        <w:ind w:left="8" w:right="300" w:firstLine="1006"/>
        <w:spacing w:after="0" w:line="293" w:lineRule="auto"/>
        <w:tabs>
          <w:tab w:leader="none" w:pos="1248" w:val="left"/>
        </w:tabs>
        <w:numPr>
          <w:ilvl w:val="0"/>
          <w:numId w:val="4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it has not received any written notice from any Third Party asserting or alleging that any research or development of any Licensed Product by or on behalf of Elanco prior to the Effective Date infringed or misappropriated the intellectual property rights of such Third Party;</w:t>
      </w:r>
    </w:p>
    <w:p>
      <w:pPr>
        <w:spacing w:after="0" w:line="132" w:lineRule="exact"/>
        <w:rPr>
          <w:rFonts w:ascii="Times New Roman" w:cs="Times New Roman" w:eastAsia="Times New Roman" w:hAnsi="Times New Roman"/>
          <w:sz w:val="15"/>
          <w:szCs w:val="15"/>
          <w:b w:val="1"/>
          <w:bCs w:val="1"/>
          <w:color w:val="auto"/>
        </w:rPr>
      </w:pPr>
    </w:p>
    <w:p>
      <w:pPr>
        <w:ind w:left="8" w:right="320" w:firstLine="1006"/>
        <w:spacing w:after="0" w:line="293" w:lineRule="auto"/>
        <w:tabs>
          <w:tab w:leader="none" w:pos="1230" w:val="left"/>
        </w:tabs>
        <w:numPr>
          <w:ilvl w:val="0"/>
          <w:numId w:val="4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actual, pending, alleged or, to Elanco’s knowledge, threatened adverse actions, suits, claims, interferences or formal governmental investigations involving the Licensed Products and/or the Licensed IP by or against Elanco in or before any court or governmental authority;</w:t>
      </w:r>
    </w:p>
    <w:p>
      <w:pPr>
        <w:spacing w:after="0" w:line="132" w:lineRule="exact"/>
        <w:rPr>
          <w:rFonts w:ascii="Times New Roman" w:cs="Times New Roman" w:eastAsia="Times New Roman" w:hAnsi="Times New Roman"/>
          <w:sz w:val="15"/>
          <w:szCs w:val="15"/>
          <w:b w:val="1"/>
          <w:bCs w:val="1"/>
          <w:color w:val="auto"/>
        </w:rPr>
      </w:pPr>
    </w:p>
    <w:p>
      <w:pPr>
        <w:ind w:left="8" w:right="280" w:firstLine="1006"/>
        <w:spacing w:after="0" w:line="293" w:lineRule="auto"/>
        <w:tabs>
          <w:tab w:leader="none" w:pos="1248" w:val="left"/>
        </w:tabs>
        <w:numPr>
          <w:ilvl w:val="0"/>
          <w:numId w:val="4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there are no patents or patent applications Controlled by Elanco or its Affiliates, other than the Licensed Patents, that would prevent Tarsus or its Affiliates or sublicensees from developing, manufacturing and/or commercializing Licensed Products as set forth herein or from exploiting the rights granted under Section 2.1; and</w:t>
      </w:r>
    </w:p>
    <w:p>
      <w:pPr>
        <w:spacing w:after="0" w:line="132" w:lineRule="exact"/>
        <w:rPr>
          <w:rFonts w:ascii="Times New Roman" w:cs="Times New Roman" w:eastAsia="Times New Roman" w:hAnsi="Times New Roman"/>
          <w:sz w:val="15"/>
          <w:szCs w:val="15"/>
          <w:b w:val="1"/>
          <w:bCs w:val="1"/>
          <w:color w:val="auto"/>
        </w:rPr>
      </w:pPr>
    </w:p>
    <w:p>
      <w:pPr>
        <w:ind w:left="1228" w:hanging="214"/>
        <w:spacing w:after="0"/>
        <w:tabs>
          <w:tab w:leader="none" w:pos="1228" w:val="left"/>
        </w:tabs>
        <w:numPr>
          <w:ilvl w:val="0"/>
          <w:numId w:val="4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Licensed Patents cover the Compound.</w:t>
      </w:r>
    </w:p>
    <w:p>
      <w:pPr>
        <w:spacing w:after="0" w:line="192"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b w:val="1"/>
          <w:bCs w:val="1"/>
          <w:color w:val="auto"/>
        </w:rPr>
        <w:t xml:space="preserve">12.3 </w:t>
      </w:r>
      <w:r>
        <w:rPr>
          <w:rFonts w:ascii="Times New Roman" w:cs="Times New Roman" w:eastAsia="Times New Roman" w:hAnsi="Times New Roman"/>
          <w:sz w:val="15"/>
          <w:szCs w:val="15"/>
          <w:u w:val="single" w:color="auto"/>
          <w:color w:val="auto"/>
        </w:rPr>
        <w:t>Additional Representations, Warranties and Covenants of Tarsus.</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Tarsus represents, warrants and covenants that:</w:t>
      </w:r>
    </w:p>
    <w:p>
      <w:pPr>
        <w:spacing w:after="0" w:line="104" w:lineRule="exact"/>
        <w:rPr>
          <w:sz w:val="20"/>
          <w:szCs w:val="20"/>
          <w:color w:val="auto"/>
        </w:rPr>
      </w:pPr>
    </w:p>
    <w:p>
      <w:pPr>
        <w:ind w:left="8" w:right="80" w:firstLine="1006"/>
        <w:spacing w:after="0" w:line="275" w:lineRule="auto"/>
        <w:tabs>
          <w:tab w:leader="none" w:pos="1239" w:val="left"/>
        </w:tabs>
        <w:numPr>
          <w:ilvl w:val="0"/>
          <w:numId w:val="4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to its knowledge, no employee, consultant, contractor, agent, or other representative performing services under this Agreement or any agreement between Tarsus and any other Party contracted by Tarsus to perform work hereunder has been debarred or disqualified, or is under investigation for being debarred or disqualified by the FDA, EMEA, or other regulatory authority. Tarsus agrees to promptly notify Elanco if it learns of any such action; and</w:t>
      </w:r>
    </w:p>
    <w:p>
      <w:pPr>
        <w:spacing w:after="0" w:line="144" w:lineRule="exact"/>
        <w:rPr>
          <w:rFonts w:ascii="Times New Roman" w:cs="Times New Roman" w:eastAsia="Times New Roman" w:hAnsi="Times New Roman"/>
          <w:sz w:val="15"/>
          <w:szCs w:val="15"/>
          <w:b w:val="1"/>
          <w:bCs w:val="1"/>
          <w:color w:val="auto"/>
        </w:rPr>
      </w:pPr>
    </w:p>
    <w:p>
      <w:pPr>
        <w:ind w:left="8" w:firstLine="1006"/>
        <w:spacing w:after="0" w:line="275" w:lineRule="auto"/>
        <w:tabs>
          <w:tab w:leader="none" w:pos="1248" w:val="left"/>
        </w:tabs>
        <w:numPr>
          <w:ilvl w:val="0"/>
          <w:numId w:val="4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of the Effective Date, it has (or reasonably believes it can obtain or contract third parties to provide) the capability, resources, and expertise to fulfill its obligations under this Agreement in compliance with Applicable Law to the extent such capability, resources, and expertise would reasonably be possessed by a company in a similar stage of financing and development as Tarsus.</w:t>
      </w:r>
    </w:p>
    <w:p>
      <w:pPr>
        <w:spacing w:after="0" w:line="141" w:lineRule="exact"/>
        <w:rPr>
          <w:sz w:val="20"/>
          <w:szCs w:val="20"/>
          <w:color w:val="auto"/>
        </w:rPr>
      </w:pPr>
    </w:p>
    <w:p>
      <w:pPr>
        <w:ind w:left="8"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12.4 No Other Representations or Warranties</w:t>
      </w:r>
      <w:r>
        <w:rPr>
          <w:rFonts w:ascii="Times New Roman" w:cs="Times New Roman" w:eastAsia="Times New Roman" w:hAnsi="Times New Roman"/>
          <w:sz w:val="15"/>
          <w:szCs w:val="15"/>
          <w:color w:val="auto"/>
        </w:rPr>
        <w:t>. EXCEPT AS EXPRESSLY STATED IN THIS ARTICLE 12, NO REPRESENTATIONS OR WARRANTIES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WHATSOEVER, WHETHER EXPRESS OR IMPLIED, INCLUDING, WITHOUT LIMITATION, WARRANTIES OF MERCHANTABILITY, FITNESS FOR A PARTICULAR PURPOSE, NON-INFRINGEMENT, OR NON-MISAPPROPRIATION OF THIRD PARTY INTELLECTUAL PROPERTY RIGHTS, IS MADE OR GIVEN BY OR ON BEHALF OF EITHER PARTY. ALL OTHER REPRESENTATIONS AND WARRANTIES, WHETHER ARISING BY OPERATION OF LAW OR OTHERWISE, ARE HEREBY EXPRESSLY EXCLUDED.</w:t>
      </w:r>
    </w:p>
    <w:p>
      <w:pPr>
        <w:spacing w:after="0" w:line="147" w:lineRule="exact"/>
        <w:rPr>
          <w:sz w:val="20"/>
          <w:szCs w:val="20"/>
          <w:color w:val="auto"/>
        </w:rPr>
      </w:pPr>
    </w:p>
    <w:p>
      <w:pPr>
        <w:ind w:left="228" w:hanging="228"/>
        <w:spacing w:after="0"/>
        <w:tabs>
          <w:tab w:leader="none" w:pos="228" w:val="left"/>
        </w:tabs>
        <w:numPr>
          <w:ilvl w:val="0"/>
          <w:numId w:val="4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5"/>
          <w:szCs w:val="15"/>
          <w:color w:val="auto"/>
        </w:rPr>
        <w:t>.</w:t>
      </w:r>
    </w:p>
    <w:p>
      <w:pPr>
        <w:spacing w:after="0" w:line="196" w:lineRule="exact"/>
        <w:rPr>
          <w:sz w:val="20"/>
          <w:szCs w:val="20"/>
          <w:color w:val="auto"/>
        </w:rPr>
      </w:pPr>
    </w:p>
    <w:p>
      <w:pPr>
        <w:ind w:left="8" w:right="12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13.1 Relationship of Parties</w:t>
      </w:r>
      <w:r>
        <w:rPr>
          <w:rFonts w:ascii="Times New Roman" w:cs="Times New Roman" w:eastAsia="Times New Roman" w:hAnsi="Times New Roman"/>
          <w:sz w:val="15"/>
          <w:szCs w:val="15"/>
          <w:color w:val="auto"/>
        </w:rPr>
        <w:t>. Nothing in this Agreement is intended or shall be deemed to constitute a partnership, agency, employer-employee or joint venture relationship</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between the Parties. Each Party’s performance under this Agreement is that of a separate entity.</w:t>
      </w:r>
    </w:p>
    <w:p>
      <w:pPr>
        <w:spacing w:after="0" w:line="125" w:lineRule="exact"/>
        <w:rPr>
          <w:sz w:val="20"/>
          <w:szCs w:val="20"/>
          <w:color w:val="auto"/>
        </w:rPr>
      </w:pPr>
    </w:p>
    <w:p>
      <w:pPr>
        <w:jc w:val="both"/>
        <w:ind w:left="8" w:right="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13.2 Assignment</w:t>
      </w:r>
      <w:r>
        <w:rPr>
          <w:rFonts w:ascii="Times New Roman" w:cs="Times New Roman" w:eastAsia="Times New Roman" w:hAnsi="Times New Roman"/>
          <w:sz w:val="15"/>
          <w:szCs w:val="15"/>
          <w:color w:val="auto"/>
        </w:rPr>
        <w:t>. Elanco shall be entitled to freely assign this Agreement or any portion thereof. Tarsus shall not be entitled to assign its rights hereunder without the express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written consent of the other Party, except that Tarsus may assign this Agreement: (a) to any of the following entities or any of their Affiliates: [***]; or any entity listed on a publicly traded exchange and with a market capitalization in excess of US$[***] (each of the foregoing, a “</w:t>
      </w:r>
      <w:r>
        <w:rPr>
          <w:rFonts w:ascii="Times New Roman" w:cs="Times New Roman" w:eastAsia="Times New Roman" w:hAnsi="Times New Roman"/>
          <w:sz w:val="15"/>
          <w:szCs w:val="15"/>
          <w:b w:val="1"/>
          <w:bCs w:val="1"/>
          <w:i w:val="1"/>
          <w:iCs w:val="1"/>
          <w:color w:val="auto"/>
        </w:rPr>
        <w:t>Permitted Assignee</w:t>
      </w:r>
      <w:r>
        <w:rPr>
          <w:rFonts w:ascii="Times New Roman" w:cs="Times New Roman" w:eastAsia="Times New Roman" w:hAnsi="Times New Roman"/>
          <w:sz w:val="15"/>
          <w:szCs w:val="15"/>
          <w:color w:val="auto"/>
        </w:rPr>
        <w:t>”); or (b) to an Affiliate.</w:t>
      </w:r>
    </w:p>
    <w:p>
      <w:pPr>
        <w:spacing w:after="0" w:line="141" w:lineRule="exact"/>
        <w:rPr>
          <w:sz w:val="20"/>
          <w:szCs w:val="20"/>
          <w:color w:val="auto"/>
        </w:rPr>
      </w:pPr>
    </w:p>
    <w:p>
      <w:pPr>
        <w:jc w:val="both"/>
        <w:ind w:left="8" w:right="18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13.3 Further Assurances</w:t>
      </w:r>
      <w:r>
        <w:rPr>
          <w:rFonts w:ascii="Times New Roman" w:cs="Times New Roman" w:eastAsia="Times New Roman" w:hAnsi="Times New Roman"/>
          <w:sz w:val="15"/>
          <w:szCs w:val="15"/>
          <w:color w:val="auto"/>
        </w:rPr>
        <w:t>. At any time or from time to time after the Effective Date, each Party, at the other Party’s reasonable request, shall execute and deliver such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documents, agreements and instruments (including instruments of sale, transfer, conveyance, assignment and confirmation), provide such materials and information and take such other actions as the other Party may reasonably deem necessary or desirable in order more effectively effectuate the transactions contemplated by this Agreement.</w:t>
      </w:r>
    </w:p>
    <w:p>
      <w:pPr>
        <w:spacing w:after="0" w:line="87" w:lineRule="exact"/>
        <w:rPr>
          <w:sz w:val="20"/>
          <w:szCs w:val="20"/>
          <w:color w:val="auto"/>
        </w:rPr>
      </w:pPr>
    </w:p>
    <w:p>
      <w:pPr>
        <w:jc w:val="center"/>
        <w:ind w:right="-87"/>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188"/>
          </w:cols>
          <w:pgMar w:left="312" w:top="252" w:right="399" w:bottom="1440" w:gutter="0" w:footer="0" w:header="0"/>
        </w:sectPr>
      </w:pPr>
    </w:p>
    <w:bookmarkStart w:id="519" w:name="page520"/>
    <w:bookmarkEnd w:id="519"/>
    <w:p>
      <w:pPr>
        <w:ind w:right="14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13.4 Notice</w:t>
      </w:r>
      <w:r>
        <w:rPr>
          <w:rFonts w:ascii="Times New Roman" w:cs="Times New Roman" w:eastAsia="Times New Roman" w:hAnsi="Times New Roman"/>
          <w:sz w:val="15"/>
          <w:szCs w:val="15"/>
          <w:color w:val="auto"/>
        </w:rPr>
        <w:t>. Any notice or request required or permitted to be given under or in connection with this Agreement shall be deemed to have been sufficiently given if in writing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personally delivered or sent by certified mail (return receipt requested), or overnight express courier service (signature required), prepaid, to the Party for which such notice is intended, at the address set forth for such Party below:</w:t>
      </w:r>
    </w:p>
    <w:p>
      <w:pPr>
        <w:spacing w:after="0" w:line="52" w:lineRule="exact"/>
        <w:rPr>
          <w:sz w:val="20"/>
          <w:szCs w:val="20"/>
          <w:color w:val="auto"/>
        </w:rPr>
      </w:pPr>
    </w:p>
    <w:p>
      <w:pPr>
        <w:ind w:left="1220" w:hanging="214"/>
        <w:spacing w:after="0"/>
        <w:tabs>
          <w:tab w:leader="none" w:pos="1220" w:val="left"/>
        </w:tabs>
        <w:numPr>
          <w:ilvl w:val="0"/>
          <w:numId w:val="4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Tarsus, to:</w:t>
      </w:r>
    </w:p>
    <w:p>
      <w:pPr>
        <w:spacing w:after="0" w:line="10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Attn:</w:t>
      </w:r>
    </w:p>
    <w:p>
      <w:pPr>
        <w:spacing w:after="0" w:line="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with a copy to:</w:t>
      </w:r>
    </w:p>
    <w:p>
      <w:pPr>
        <w:spacing w:after="0" w:line="10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Gunderson Dettmer Stough Villeneuve Franklin and Hachigian LLP</w:t>
      </w:r>
    </w:p>
    <w:p>
      <w:pPr>
        <w:spacing w:after="0" w:line="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3570 Carmel Mountain Rd</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San Diego, CA 92130</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Attn: Brendan C. McCarthy</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Email: [***]</w:t>
      </w:r>
    </w:p>
    <w:p>
      <w:pPr>
        <w:spacing w:after="0" w:line="182" w:lineRule="exact"/>
        <w:rPr>
          <w:sz w:val="20"/>
          <w:szCs w:val="20"/>
          <w:color w:val="auto"/>
        </w:rPr>
      </w:pPr>
    </w:p>
    <w:p>
      <w:pPr>
        <w:ind w:left="1240" w:hanging="234"/>
        <w:spacing w:after="0"/>
        <w:tabs>
          <w:tab w:leader="none" w:pos="1240" w:val="left"/>
        </w:tabs>
        <w:numPr>
          <w:ilvl w:val="0"/>
          <w:numId w:val="4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the case of Elanco, to:</w:t>
      </w:r>
    </w:p>
    <w:p>
      <w:pPr>
        <w:spacing w:after="0" w:line="10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Elanco US Inc.</w:t>
      </w:r>
    </w:p>
    <w:p>
      <w:pPr>
        <w:spacing w:after="0" w:line="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2500 Innovation Way N</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Greenfield IN 46140</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Attn: Aaron Schacht</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Email: [***]</w:t>
      </w:r>
    </w:p>
    <w:p>
      <w:pPr>
        <w:spacing w:after="0" w:line="18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with a copy to:</w:t>
      </w:r>
    </w:p>
    <w:p>
      <w:pPr>
        <w:spacing w:after="0" w:line="10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Elanco US Inc.</w:t>
      </w:r>
    </w:p>
    <w:p>
      <w:pPr>
        <w:spacing w:after="0" w:line="2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2500 Innovation Way N</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Greenfield IN 46140</w:t>
      </w:r>
    </w:p>
    <w:p>
      <w:pPr>
        <w:spacing w:after="0" w:line="1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color w:val="auto"/>
        </w:rPr>
        <w:t>Attn: General Patent Counsel</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or to such other address for such Party as it shall have specified by like notice to the other Party. If delivered personally, the date of delivery shall be deemed to be the date on which such notice or request was given, unless otherwise set forth in this Agreement. If sent by overnight express courier service, the date of delivery shall be deemed to be the next business day after such notice or request was deposited with such service, unless otherwise set forth in this Agreement. If sent by certified mail, the date of delivery shall be deemed to be the third business day after such notice or request was deposited with the U.S. Postal Service, or the foreign equivalent thereto, unless otherwise set forth in this Agreement.</w:t>
      </w:r>
    </w:p>
    <w:p>
      <w:pPr>
        <w:spacing w:after="0" w:line="148" w:lineRule="exact"/>
        <w:rPr>
          <w:sz w:val="20"/>
          <w:szCs w:val="20"/>
          <w:color w:val="auto"/>
        </w:rPr>
      </w:pPr>
    </w:p>
    <w:p>
      <w:pPr>
        <w:ind w:right="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13.5 Public Announcements</w:t>
      </w:r>
      <w:r>
        <w:rPr>
          <w:rFonts w:ascii="Times New Roman" w:cs="Times New Roman" w:eastAsia="Times New Roman" w:hAnsi="Times New Roman"/>
          <w:sz w:val="15"/>
          <w:szCs w:val="15"/>
          <w:color w:val="auto"/>
        </w:rPr>
        <w:t>. Except as required by Applicable Law (including, without limitation, disclosure requirements of the U.S. Securities and Exchange Commission,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Nasdaq or any other stock exchange on which securities issued by Elanco are traded) and as permitted by Section 10.3, neither Party shall make any public announcement that the Parties have entered into this Agreement, without the prior written consent of the other Party (which shall not be unreasonably withheld). A Party shall be deemed to provide consent to any public announcement if it does not notify the other Party of its rejection within ten (10) days after receiving such proposed public announcement.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20"/>
          </w:cols>
          <w:pgMar w:left="320" w:top="248" w:right="359" w:bottom="1440" w:gutter="0" w:footer="0" w:header="0"/>
        </w:sectPr>
      </w:pPr>
    </w:p>
    <w:bookmarkStart w:id="520" w:name="page521"/>
    <w:bookmarkEnd w:id="520"/>
    <w:p>
      <w:pPr>
        <w:ind w:right="6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7167245" cy="21590"/>
                    </a:xfrm>
                    <a:prstGeom prst="rect">
                      <a:avLst/>
                    </a:prstGeom>
                    <a:noFill/>
                  </pic:spPr>
                </pic:pic>
              </a:graphicData>
            </a:graphic>
          </wp:anchor>
        </w:drawing>
        <w:t>13.6 Waiver; Remedies</w:t>
      </w:r>
      <w:r>
        <w:rPr>
          <w:rFonts w:ascii="Times New Roman" w:cs="Times New Roman" w:eastAsia="Times New Roman" w:hAnsi="Times New Roman"/>
          <w:sz w:val="15"/>
          <w:szCs w:val="15"/>
          <w:color w:val="auto"/>
        </w:rPr>
        <w:t>. A waiver by either Party of any of the terms and conditions of this Agreement in any instance must be made expressly in writing and signed by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representative of such Party. Any such waiver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46" w:lineRule="exact"/>
        <w:rPr>
          <w:sz w:val="20"/>
          <w:szCs w:val="20"/>
          <w:color w:val="auto"/>
        </w:rPr>
      </w:pPr>
    </w:p>
    <w:p>
      <w:pPr>
        <w:ind w:right="10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13.7 Severability</w:t>
      </w:r>
      <w:r>
        <w:rPr>
          <w:rFonts w:ascii="Times New Roman" w:cs="Times New Roman" w:eastAsia="Times New Roman" w:hAnsi="Times New Roman"/>
          <w:sz w:val="15"/>
          <w:szCs w:val="15"/>
          <w:color w:val="auto"/>
        </w:rPr>
        <w:t>. Each provision of this Agreement will be interpreted in such manner as to be effective and valid under Applicable Law, but if any provision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is held to be prohibited by or invalid under Applicable Law, such provision will be ineffective only to the extent of such prohibition or invalidity, without invalidating the remainder of this Agreement.</w:t>
      </w:r>
    </w:p>
    <w:p>
      <w:pPr>
        <w:spacing w:after="0" w:line="141" w:lineRule="exact"/>
        <w:rPr>
          <w:sz w:val="20"/>
          <w:szCs w:val="20"/>
          <w:color w:val="auto"/>
        </w:rPr>
      </w:pPr>
    </w:p>
    <w:p>
      <w:pPr>
        <w:ind w:right="28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13.8 Amendment</w:t>
      </w:r>
      <w:r>
        <w:rPr>
          <w:rFonts w:ascii="Times New Roman" w:cs="Times New Roman" w:eastAsia="Times New Roman" w:hAnsi="Times New Roman"/>
          <w:sz w:val="15"/>
          <w:szCs w:val="15"/>
          <w:color w:val="auto"/>
        </w:rPr>
        <w:t>. No amendment, modification or supplement of any provisions of this Agreement shall be valid or effective unless made in writing and signed by a duly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authorized officer of each Party.</w:t>
      </w:r>
    </w:p>
    <w:p>
      <w:pPr>
        <w:spacing w:after="0" w:line="125" w:lineRule="exact"/>
        <w:rPr>
          <w:sz w:val="20"/>
          <w:szCs w:val="20"/>
          <w:color w:val="auto"/>
        </w:rPr>
      </w:pPr>
    </w:p>
    <w:p>
      <w:pPr>
        <w:ind w:right="14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13.9 Governing Law</w:t>
      </w:r>
      <w:r>
        <w:rPr>
          <w:rFonts w:ascii="Times New Roman" w:cs="Times New Roman" w:eastAsia="Times New Roman" w:hAnsi="Times New Roman"/>
          <w:sz w:val="15"/>
          <w:szCs w:val="15"/>
          <w:color w:val="auto"/>
        </w:rPr>
        <w:t>. This Agreement shall be governed by and interpreted in accordance with the laws of the State of New York without regard to its principles of conflicts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laws.</w:t>
      </w:r>
    </w:p>
    <w:p>
      <w:pPr>
        <w:spacing w:after="0" w:line="125" w:lineRule="exact"/>
        <w:rPr>
          <w:sz w:val="20"/>
          <w:szCs w:val="20"/>
          <w:color w:val="auto"/>
        </w:rPr>
      </w:pPr>
    </w:p>
    <w:p>
      <w:pPr>
        <w:ind w:right="60" w:firstLine="451"/>
        <w:spacing w:after="0" w:line="277" w:lineRule="auto"/>
        <w:rPr>
          <w:sz w:val="20"/>
          <w:szCs w:val="20"/>
          <w:color w:val="auto"/>
        </w:rPr>
      </w:pPr>
      <w:r>
        <w:rPr>
          <w:rFonts w:ascii="Times New Roman" w:cs="Times New Roman" w:eastAsia="Times New Roman" w:hAnsi="Times New Roman"/>
          <w:sz w:val="15"/>
          <w:szCs w:val="15"/>
          <w:b w:val="1"/>
          <w:bCs w:val="1"/>
          <w:color w:val="auto"/>
        </w:rPr>
        <w:t>13.10 Entire Agreement</w:t>
      </w:r>
      <w:r>
        <w:rPr>
          <w:rFonts w:ascii="Times New Roman" w:cs="Times New Roman" w:eastAsia="Times New Roman" w:hAnsi="Times New Roman"/>
          <w:sz w:val="15"/>
          <w:szCs w:val="15"/>
          <w:color w:val="auto"/>
        </w:rPr>
        <w:t>. This Agreement, together with the Exhibits hereto, sets forth the entire agreement and understanding between the Parties as to the subject matter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merges all prior discussions, negotiations and agreements between them related to the subject matter hereof. For clarity, this Agreement does not supersede and replace the Eye Care and Dermatology License Agreement.</w:t>
      </w:r>
    </w:p>
    <w:p>
      <w:pPr>
        <w:spacing w:after="0" w:line="141" w:lineRule="exact"/>
        <w:rPr>
          <w:sz w:val="20"/>
          <w:szCs w:val="20"/>
          <w:color w:val="auto"/>
        </w:rPr>
      </w:pPr>
    </w:p>
    <w:p>
      <w:pPr>
        <w:ind w:right="80" w:firstLine="451"/>
        <w:spacing w:after="0" w:line="274" w:lineRule="auto"/>
        <w:rPr>
          <w:sz w:val="20"/>
          <w:szCs w:val="20"/>
          <w:color w:val="auto"/>
        </w:rPr>
      </w:pPr>
      <w:r>
        <w:rPr>
          <w:rFonts w:ascii="Times New Roman" w:cs="Times New Roman" w:eastAsia="Times New Roman" w:hAnsi="Times New Roman"/>
          <w:sz w:val="15"/>
          <w:szCs w:val="15"/>
          <w:b w:val="1"/>
          <w:bCs w:val="1"/>
          <w:color w:val="auto"/>
        </w:rPr>
        <w:t>13.11 Parties in Interest</w:t>
      </w:r>
      <w:r>
        <w:rPr>
          <w:rFonts w:ascii="Times New Roman" w:cs="Times New Roman" w:eastAsia="Times New Roman" w:hAnsi="Times New Roman"/>
          <w:sz w:val="15"/>
          <w:szCs w:val="15"/>
          <w:color w:val="auto"/>
        </w:rPr>
        <w:t>. All the terms and provisions of this Agreement shall be binding upon, inure to the benefit of and be enforceable by the Parties hereto and their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respective permitted successors and permitted assigns. Nothing in this Agreement, either express or implied, is intended to or shall confer upon any Third Party any legal or equitable right, benefit or remedy of any nature whatsoever under or by reason of this Agreement, which right, benefit or remedy such Third Party would not have independent of this Agreement.</w:t>
      </w:r>
    </w:p>
    <w:p>
      <w:pPr>
        <w:spacing w:after="0" w:line="332" w:lineRule="exact"/>
        <w:rPr>
          <w:sz w:val="20"/>
          <w:szCs w:val="20"/>
          <w:color w:val="auto"/>
        </w:rPr>
      </w:pPr>
    </w:p>
    <w:p>
      <w:pPr>
        <w:ind w:right="60" w:firstLine="451"/>
        <w:spacing w:after="0" w:line="298" w:lineRule="auto"/>
        <w:rPr>
          <w:sz w:val="20"/>
          <w:szCs w:val="20"/>
          <w:color w:val="auto"/>
        </w:rPr>
      </w:pPr>
      <w:r>
        <w:rPr>
          <w:rFonts w:ascii="Times New Roman" w:cs="Times New Roman" w:eastAsia="Times New Roman" w:hAnsi="Times New Roman"/>
          <w:sz w:val="15"/>
          <w:szCs w:val="15"/>
          <w:b w:val="1"/>
          <w:bCs w:val="1"/>
          <w:color w:val="auto"/>
        </w:rPr>
        <w:t>13.12 Counterparts</w:t>
      </w:r>
      <w:r>
        <w:rPr>
          <w:rFonts w:ascii="Times New Roman" w:cs="Times New Roman" w:eastAsia="Times New Roman" w:hAnsi="Times New Roman"/>
          <w:sz w:val="15"/>
          <w:szCs w:val="15"/>
          <w:color w:val="auto"/>
        </w:rPr>
        <w:t>. This Agreement may be executed simultaneously in any number of counterparts, any one of which need not contain the signature of more than one Party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but all such counterparts taken together shall constitute one and the same agreement.</w:t>
      </w:r>
    </w:p>
    <w:p>
      <w:pPr>
        <w:spacing w:after="0" w:line="125" w:lineRule="exact"/>
        <w:rPr>
          <w:sz w:val="20"/>
          <w:szCs w:val="20"/>
          <w:color w:val="auto"/>
        </w:rPr>
      </w:pPr>
    </w:p>
    <w:p>
      <w:pPr>
        <w:ind w:right="120" w:firstLine="451"/>
        <w:spacing w:after="0" w:line="270" w:lineRule="auto"/>
        <w:rPr>
          <w:sz w:val="20"/>
          <w:szCs w:val="20"/>
          <w:color w:val="auto"/>
        </w:rPr>
      </w:pPr>
      <w:r>
        <w:rPr>
          <w:rFonts w:ascii="Times New Roman" w:cs="Times New Roman" w:eastAsia="Times New Roman" w:hAnsi="Times New Roman"/>
          <w:sz w:val="15"/>
          <w:szCs w:val="15"/>
          <w:b w:val="1"/>
          <w:bCs w:val="1"/>
          <w:color w:val="auto"/>
        </w:rPr>
        <w:t>13.13 Interpretations and Definitions</w:t>
      </w:r>
      <w:r>
        <w:rPr>
          <w:rFonts w:ascii="Times New Roman" w:cs="Times New Roman" w:eastAsia="Times New Roman" w:hAnsi="Times New Roman"/>
          <w:sz w:val="15"/>
          <w:szCs w:val="15"/>
          <w:color w:val="auto"/>
        </w:rPr>
        <w:t>. The descriptive headings of this Agreement are for convenience only, and shall be of no force or effect in construing or interpreting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of the provisions of this Agreement. All words and defined terms used in this Agreement shall have the same meaning whether used in the singular or plural form. When used in this Agreement, (a) the term “day” or “days” shall mean calendar days, unless otherwise indicated herein, and (b) the term “including” means “including, without limitation.” This Agreement has been prepared jointly and shall not be strictly construed against either Party.</w:t>
      </w:r>
    </w:p>
    <w:p>
      <w:pPr>
        <w:spacing w:after="0" w:line="146" w:lineRule="exact"/>
        <w:rPr>
          <w:sz w:val="20"/>
          <w:szCs w:val="20"/>
          <w:color w:val="auto"/>
        </w:rPr>
      </w:pPr>
    </w:p>
    <w:p>
      <w:pPr>
        <w:ind w:firstLine="451"/>
        <w:spacing w:after="0" w:line="267" w:lineRule="auto"/>
        <w:rPr>
          <w:sz w:val="20"/>
          <w:szCs w:val="20"/>
          <w:color w:val="auto"/>
        </w:rPr>
      </w:pPr>
      <w:r>
        <w:rPr>
          <w:rFonts w:ascii="Times New Roman" w:cs="Times New Roman" w:eastAsia="Times New Roman" w:hAnsi="Times New Roman"/>
          <w:sz w:val="15"/>
          <w:szCs w:val="15"/>
          <w:b w:val="1"/>
          <w:bCs w:val="1"/>
          <w:color w:val="auto"/>
        </w:rPr>
        <w:t>13.14 Eye Care and Dermatology License Agreement</w:t>
      </w:r>
      <w:r>
        <w:rPr>
          <w:rFonts w:ascii="Times New Roman" w:cs="Times New Roman" w:eastAsia="Times New Roman" w:hAnsi="Times New Roman"/>
          <w:sz w:val="15"/>
          <w:szCs w:val="15"/>
          <w:color w:val="auto"/>
        </w:rPr>
        <w:t>. For clarity, and notwithstanding anything in this Agreement to the contrary, the Parties acknowledge that Tarsus’s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activities under this Agreement are separate from its activities under the Eye Care and Dermatology License Agreement (and vice versa) and no Net Sales, sublicense or milestone with respect to a Licensed Product in the Field shall be deemed Net Sales, a sublicense or a milestone under the Eye Care and Dermatology License Agreement. Similarly, no Net Sales, sublicense or milestone in the Field (as such term is defined in the Eye Care and Dermatology License Agreement) shall be deemed Net Sales, a sublicense or a milestone under this Agreement.</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w:t>
      </w:r>
      <w:r>
        <w:rPr>
          <w:rFonts w:ascii="Times New Roman" w:cs="Times New Roman" w:eastAsia="Times New Roman" w:hAnsi="Times New Roman"/>
          <w:sz w:val="12"/>
          <w:szCs w:val="12"/>
          <w:b w:val="1"/>
          <w:bCs w:val="1"/>
          <w:color w:val="auto"/>
        </w:rPr>
        <w:t>EMAINDER OF</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5"/>
          <w:szCs w:val="15"/>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12"/>
          <w:szCs w:val="12"/>
          <w:b w:val="1"/>
          <w:bCs w:val="1"/>
          <w:color w:val="auto"/>
        </w:rPr>
        <w:t>OLLOWS</w:t>
      </w:r>
      <w:r>
        <w:rPr>
          <w:rFonts w:ascii="Times New Roman" w:cs="Times New Roman" w:eastAsia="Times New Roman" w:hAnsi="Times New Roman"/>
          <w:sz w:val="15"/>
          <w:szCs w:val="15"/>
          <w:b w:val="1"/>
          <w:bCs w:val="1"/>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40"/>
          </w:cols>
          <w:pgMar w:left="320" w:top="248" w:right="33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IN WITNESS WHEREOF, each of the undersigned has caused this Agreement to be executed by its duly authorized representative as of the Effective Date.</w:t>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TARSUS PHARMACEUTICALS, INC.</w:t>
      </w:r>
    </w:p>
    <w:p>
      <w:pPr>
        <w:spacing w:after="0" w:line="196" w:lineRule="exact"/>
        <w:rPr>
          <w:sz w:val="20"/>
          <w:szCs w:val="20"/>
          <w:color w:val="auto"/>
        </w:rPr>
      </w:pPr>
    </w:p>
    <w:p>
      <w:pPr>
        <w:ind w:left="6760"/>
        <w:spacing w:after="0"/>
        <w:tabs>
          <w:tab w:leader="none" w:pos="7100" w:val="left"/>
        </w:tabs>
        <w:rPr>
          <w:sz w:val="20"/>
          <w:szCs w:val="20"/>
          <w:color w:val="auto"/>
        </w:rPr>
      </w:pPr>
      <w:r>
        <w:rPr>
          <w:rFonts w:ascii="Times New Roman" w:cs="Times New Roman" w:eastAsia="Times New Roman" w:hAnsi="Times New Roman"/>
          <w:sz w:val="15"/>
          <w:szCs w:val="15"/>
          <w:color w:val="auto"/>
        </w:rPr>
        <w:t>By:</w:t>
        <w:tab/>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985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2649855" cy="7620"/>
                    </a:xfrm>
                    <a:prstGeom prst="rect">
                      <a:avLst/>
                    </a:prstGeom>
                    <a:noFill/>
                  </pic:spPr>
                </pic:pic>
              </a:graphicData>
            </a:graphic>
          </wp:anchor>
        </w:drawing>
      </w:r>
    </w:p>
    <w:p>
      <w:pPr>
        <w:spacing w:after="0" w:line="96"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5"/>
          <w:szCs w:val="15"/>
          <w:color w:val="auto"/>
        </w:rPr>
        <w:t>Name:</w:t>
        <w:tab/>
        <w:t>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17145</wp:posOffset>
            </wp:positionV>
            <wp:extent cx="251079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2510790" cy="7620"/>
                    </a:xfrm>
                    <a:prstGeom prst="rect">
                      <a:avLst/>
                    </a:prstGeom>
                    <a:noFill/>
                  </pic:spPr>
                </pic:pic>
              </a:graphicData>
            </a:graphic>
          </wp:anchor>
        </w:drawing>
      </w:r>
    </w:p>
    <w:p>
      <w:pPr>
        <w:spacing w:after="0" w:line="96" w:lineRule="exact"/>
        <w:rPr>
          <w:sz w:val="20"/>
          <w:szCs w:val="20"/>
          <w:color w:val="auto"/>
        </w:rPr>
      </w:pPr>
    </w:p>
    <w:p>
      <w:pPr>
        <w:ind w:left="6760"/>
        <w:spacing w:after="0"/>
        <w:tabs>
          <w:tab w:leader="none" w:pos="724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569845"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2569845" cy="7620"/>
                    </a:xfrm>
                    <a:prstGeom prst="rect">
                      <a:avLst/>
                    </a:prstGeom>
                    <a:noFill/>
                  </pic:spPr>
                </pic:pic>
              </a:graphicData>
            </a:graphic>
          </wp:anchor>
        </w:drawing>
      </w:r>
    </w:p>
    <w:p>
      <w:pPr>
        <w:spacing w:after="0" w:line="31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ELANCO TIERGESUNDHEIT AG</w:t>
      </w:r>
    </w:p>
    <w:p>
      <w:pPr>
        <w:spacing w:after="0" w:line="196" w:lineRule="exact"/>
        <w:rPr>
          <w:sz w:val="20"/>
          <w:szCs w:val="20"/>
          <w:color w:val="auto"/>
        </w:rPr>
      </w:pPr>
    </w:p>
    <w:p>
      <w:pPr>
        <w:ind w:left="6760"/>
        <w:spacing w:after="0"/>
        <w:tabs>
          <w:tab w:leader="none" w:pos="7100" w:val="left"/>
        </w:tabs>
        <w:rPr>
          <w:sz w:val="20"/>
          <w:szCs w:val="20"/>
          <w:color w:val="auto"/>
        </w:rPr>
      </w:pPr>
      <w:r>
        <w:rPr>
          <w:rFonts w:ascii="Times New Roman" w:cs="Times New Roman" w:eastAsia="Times New Roman" w:hAnsi="Times New Roman"/>
          <w:sz w:val="15"/>
          <w:szCs w:val="15"/>
          <w:color w:val="auto"/>
        </w:rPr>
        <w:t>By:</w:t>
        <w:tab/>
        <w:t>/s/ Aaron L. Schacht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985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2649855" cy="7620"/>
                    </a:xfrm>
                    <a:prstGeom prst="rect">
                      <a:avLst/>
                    </a:prstGeom>
                    <a:noFill/>
                  </pic:spPr>
                </pic:pic>
              </a:graphicData>
            </a:graphic>
          </wp:anchor>
        </w:drawing>
      </w:r>
    </w:p>
    <w:p>
      <w:pPr>
        <w:spacing w:after="0" w:line="96" w:lineRule="exact"/>
        <w:rPr>
          <w:sz w:val="20"/>
          <w:szCs w:val="20"/>
          <w:color w:val="auto"/>
        </w:rPr>
      </w:pPr>
    </w:p>
    <w:p>
      <w:pPr>
        <w:ind w:left="6760"/>
        <w:spacing w:after="0"/>
        <w:tabs>
          <w:tab w:leader="none" w:pos="7320" w:val="left"/>
        </w:tabs>
        <w:rPr>
          <w:sz w:val="20"/>
          <w:szCs w:val="20"/>
          <w:color w:val="auto"/>
        </w:rPr>
      </w:pPr>
      <w:r>
        <w:rPr>
          <w:rFonts w:ascii="Times New Roman" w:cs="Times New Roman" w:eastAsia="Times New Roman" w:hAnsi="Times New Roman"/>
          <w:sz w:val="15"/>
          <w:szCs w:val="15"/>
          <w:color w:val="auto"/>
        </w:rPr>
        <w:t>Name:</w:t>
        <w:tab/>
        <w:t>Aaron L. Schacht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17145</wp:posOffset>
            </wp:positionV>
            <wp:extent cx="251079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2510790" cy="7620"/>
                    </a:xfrm>
                    <a:prstGeom prst="rect">
                      <a:avLst/>
                    </a:prstGeom>
                    <a:noFill/>
                  </pic:spPr>
                </pic:pic>
              </a:graphicData>
            </a:graphic>
          </wp:anchor>
        </w:drawing>
      </w:r>
    </w:p>
    <w:p>
      <w:pPr>
        <w:spacing w:after="0" w:line="96" w:lineRule="exact"/>
        <w:rPr>
          <w:sz w:val="20"/>
          <w:szCs w:val="20"/>
          <w:color w:val="auto"/>
        </w:rPr>
      </w:pPr>
    </w:p>
    <w:p>
      <w:pPr>
        <w:jc w:val="both"/>
        <w:ind w:left="6760"/>
        <w:spacing w:after="0"/>
        <w:tabs>
          <w:tab w:leader="none" w:pos="7240" w:val="left"/>
        </w:tabs>
        <w:rPr>
          <w:sz w:val="20"/>
          <w:szCs w:val="20"/>
          <w:color w:val="auto"/>
        </w:rPr>
      </w:pPr>
      <w:r>
        <w:rPr>
          <w:rFonts w:ascii="Times New Roman" w:cs="Times New Roman" w:eastAsia="Times New Roman" w:hAnsi="Times New Roman"/>
          <w:sz w:val="15"/>
          <w:szCs w:val="15"/>
          <w:color w:val="auto"/>
        </w:rPr>
        <w:t>Title:</w:t>
        <w:tab/>
        <w:t>EVP - Innovation, Regulatory &amp;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56984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2569845" cy="7620"/>
                    </a:xfrm>
                    <a:prstGeom prst="rect">
                      <a:avLst/>
                    </a:prstGeom>
                    <a:noFill/>
                  </pic:spPr>
                </pic:pic>
              </a:graphicData>
            </a:graphic>
          </wp:anchor>
        </w:drawing>
      </w:r>
    </w:p>
    <w:p>
      <w:pPr>
        <w:sectPr>
          <w:pgSz w:w="11900" w:h="16838" w:orient="portrait"/>
          <w:cols w:equalWidth="0" w:num="1">
            <w:col w:w="10700"/>
          </w:cols>
          <w:pgMar w:left="320" w:top="251" w:right="879" w:bottom="1440" w:gutter="0" w:footer="0" w:header="0"/>
        </w:sectPr>
      </w:pPr>
    </w:p>
    <w:bookmarkStart w:id="522" w:name="page523"/>
    <w:bookmarkEnd w:id="52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Licensed Patents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48" w:right="1440" w:bottom="1440" w:gutter="0" w:footer="0" w:header="0"/>
        </w:sectPr>
      </w:pPr>
    </w:p>
    <w:bookmarkStart w:id="523" w:name="page524"/>
    <w:bookmarkEnd w:id="523"/>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7167245" cy="22225"/>
                    </a:xfrm>
                    <a:prstGeom prst="rect">
                      <a:avLst/>
                    </a:prstGeom>
                    <a:noFill/>
                  </pic:spPr>
                </pic:pic>
              </a:graphicData>
            </a:graphic>
          </wp:anchor>
        </w:drawing>
        <w:t>Exhibit B</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Summary of the intended development and commercialization activities.</w:t>
      </w:r>
    </w:p>
    <w:p>
      <w:pPr>
        <w:sectPr>
          <w:pgSz w:w="11900" w:h="16838" w:orient="portrait"/>
          <w:cols w:equalWidth="0" w:num="1">
            <w:col w:w="9019"/>
          </w:cols>
          <w:pgMar w:left="1440" w:top="248" w:right="1440"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0240" w:type="dxa"/>
            <w:vAlign w:val="bottom"/>
            <w:gridSpan w:val="2"/>
          </w:tcPr>
          <w:p>
            <w:pPr>
              <w:jc w:val="center"/>
              <w:ind w:right="966"/>
              <w:spacing w:after="0"/>
              <w:rPr>
                <w:sz w:val="20"/>
                <w:szCs w:val="20"/>
                <w:color w:val="auto"/>
              </w:rPr>
            </w:pPr>
            <w:r>
              <w:rPr>
                <w:rFonts w:ascii="Times New Roman" w:cs="Times New Roman" w:eastAsia="Times New Roman" w:hAnsi="Times New Roman"/>
                <w:sz w:val="15"/>
                <w:szCs w:val="15"/>
                <w:b w:val="1"/>
                <w:bCs w:val="1"/>
                <w:color w:val="auto"/>
              </w:rPr>
              <w:t>Exhibit C</w:t>
            </w:r>
          </w:p>
        </w:tc>
      </w:tr>
      <w:tr>
        <w:trPr>
          <w:trHeight w:val="277"/>
        </w:trPr>
        <w:tc>
          <w:tcPr>
            <w:tcW w:w="1020" w:type="dxa"/>
            <w:vAlign w:val="bottom"/>
          </w:tcPr>
          <w:p>
            <w:pPr>
              <w:spacing w:after="0"/>
              <w:rPr>
                <w:sz w:val="24"/>
                <w:szCs w:val="24"/>
                <w:color w:val="auto"/>
              </w:rPr>
            </w:pPr>
          </w:p>
        </w:tc>
        <w:tc>
          <w:tcPr>
            <w:tcW w:w="10240" w:type="dxa"/>
            <w:vAlign w:val="bottom"/>
            <w:gridSpan w:val="2"/>
          </w:tcPr>
          <w:p>
            <w:pPr>
              <w:jc w:val="center"/>
              <w:ind w:right="946"/>
              <w:spacing w:after="0"/>
              <w:rPr>
                <w:sz w:val="20"/>
                <w:szCs w:val="20"/>
                <w:color w:val="auto"/>
              </w:rPr>
            </w:pPr>
            <w:r>
              <w:rPr>
                <w:rFonts w:ascii="Times New Roman" w:cs="Times New Roman" w:eastAsia="Times New Roman" w:hAnsi="Times New Roman"/>
                <w:sz w:val="15"/>
                <w:szCs w:val="15"/>
                <w:b w:val="1"/>
                <w:bCs w:val="1"/>
                <w:color w:val="auto"/>
              </w:rPr>
              <w:t>Diligence Milestones</w:t>
            </w:r>
          </w:p>
        </w:tc>
      </w:tr>
      <w:tr>
        <w:trPr>
          <w:trHeight w:val="35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9"/>
              </w:rPr>
              <w:t>Diligence Milestone</w:t>
            </w:r>
          </w:p>
        </w:tc>
        <w:tc>
          <w:tcPr>
            <w:tcW w:w="4840" w:type="dxa"/>
            <w:vAlign w:val="bottom"/>
          </w:tcPr>
          <w:p>
            <w:pPr>
              <w:spacing w:after="0"/>
              <w:rPr>
                <w:sz w:val="24"/>
                <w:szCs w:val="24"/>
                <w:color w:val="auto"/>
              </w:rPr>
            </w:pPr>
          </w:p>
        </w:tc>
        <w:tc>
          <w:tcPr>
            <w:tcW w:w="54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2"/>
                <w:szCs w:val="12"/>
                <w:b w:val="1"/>
                <w:bCs w:val="1"/>
                <w:color w:val="auto"/>
              </w:rPr>
              <w:t>Achievement Deadline</w:t>
            </w: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w:t>
            </w:r>
          </w:p>
        </w:tc>
        <w:tc>
          <w:tcPr>
            <w:tcW w:w="4840" w:type="dxa"/>
            <w:vAlign w:val="bottom"/>
          </w:tcPr>
          <w:p>
            <w:pPr>
              <w:spacing w:after="0"/>
              <w:rPr>
                <w:sz w:val="12"/>
                <w:szCs w:val="12"/>
                <w:color w:val="auto"/>
              </w:rPr>
            </w:pPr>
          </w:p>
        </w:tc>
        <w:tc>
          <w:tcPr>
            <w:tcW w:w="5400" w:type="dxa"/>
            <w:vAlign w:val="bottom"/>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 months after the Effective Date</w:t>
            </w:r>
          </w:p>
        </w:tc>
      </w:t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4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months after the Effective Date</w:t>
            </w:r>
          </w:p>
        </w:tc>
      </w:t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4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years after the Effective Date</w:t>
            </w:r>
          </w:p>
        </w:tc>
      </w:tr>
      <w:tr>
        <w:trPr>
          <w:trHeight w:val="20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8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years after the Effective Date</w:t>
            </w:r>
          </w:p>
        </w:tc>
      </w:tr>
    </w:tbl>
    <w:p>
      <w:pPr>
        <w:spacing w:after="0"/>
        <w:rPr>
          <w:sz w:val="20"/>
          <w:szCs w:val="20"/>
          <w:color w:val="auto"/>
        </w:rPr>
        <w:sectPr>
          <w:pgSz w:w="11900" w:h="16838" w:orient="portrait"/>
          <w:cols w:equalWidth="0" w:num="1">
            <w:col w:w="11260"/>
          </w:cols>
          <w:pgMar w:left="320" w:top="248" w:right="319" w:bottom="1440" w:gutter="0" w:footer="0" w:header="0"/>
        </w:sectPr>
      </w:pPr>
      <w:r>
        <w:rPr>
          <w:sz w:val="20"/>
          <w:szCs w:val="20"/>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7167245" cy="22225"/>
                    </a:xfrm>
                    <a:prstGeom prst="rect">
                      <a:avLst/>
                    </a:prstGeom>
                    <a:noFill/>
                  </pic:spPr>
                </pic:pic>
              </a:graphicData>
            </a:graphic>
          </wp:anchor>
        </w:drawing>
      </w:r>
    </w:p>
    <w:bookmarkStart w:id="525" w:name="page526"/>
    <w:bookmarkEnd w:id="525"/>
    <w:p>
      <w:pPr>
        <w:jc w:val="right"/>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5"/>
          <w:szCs w:val="15"/>
          <w:b w:val="1"/>
          <w:bCs w:val="1"/>
          <w:color w:val="auto"/>
        </w:rPr>
        <w:t xml:space="preserve"> 10.15</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2"/>
          <w:szCs w:val="12"/>
          <w:b w:val="1"/>
          <w:bCs w:val="1"/>
          <w:color w:val="auto"/>
        </w:rPr>
        <w:t>ARSUS</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5"/>
          <w:szCs w:val="15"/>
          <w:b w:val="1"/>
          <w:bCs w:val="1"/>
          <w:color w:val="auto"/>
        </w:rPr>
        <w:t>.</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2"/>
          <w:szCs w:val="12"/>
          <w:b w:val="1"/>
          <w:bCs w:val="1"/>
          <w:color w:val="auto"/>
        </w:rPr>
        <w:t>ASH</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7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ARTICLE 1. BACKGROUND AND PURPOSE</w:t>
      </w:r>
    </w:p>
    <w:p>
      <w:pPr>
        <w:spacing w:after="0" w:line="104"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1.1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This Plan became effective upon its adoption by the Committee and is not subject to approval by the Company’s stockholders.</w:t>
      </w:r>
    </w:p>
    <w:p>
      <w:pPr>
        <w:spacing w:after="0" w:line="196"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 xml:space="preserve">1.2 </w:t>
      </w:r>
      <w:r>
        <w:rPr>
          <w:rFonts w:ascii="Times New Roman" w:cs="Times New Roman" w:eastAsia="Times New Roman" w:hAnsi="Times New Roman"/>
          <w:sz w:val="15"/>
          <w:szCs w:val="15"/>
          <w:b w:val="1"/>
          <w:bCs w:val="1"/>
          <w:color w:val="auto"/>
        </w:rPr>
        <w:t>Purpose of the Plan</w:t>
      </w:r>
      <w:r>
        <w:rPr>
          <w:rFonts w:ascii="Times New Roman" w:cs="Times New Roman" w:eastAsia="Times New Roman" w:hAnsi="Times New Roman"/>
          <w:sz w:val="15"/>
          <w:szCs w:val="15"/>
          <w:color w:val="auto"/>
        </w:rPr>
        <w:t>. The Plan is intended to provide Participants with the possibility of earning incentive bonuses.</w:t>
      </w:r>
    </w:p>
    <w:p>
      <w:pPr>
        <w:spacing w:after="0" w:line="28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5"/>
          <w:szCs w:val="15"/>
          <w:b w:val="1"/>
          <w:bCs w:val="1"/>
          <w:color w:val="auto"/>
        </w:rPr>
        <w:t>ARTICLE 2. DEFINITIONS</w:t>
      </w:r>
    </w:p>
    <w:p>
      <w:pPr>
        <w:spacing w:after="0" w:line="108"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The following words and phrases shall have the following meanings, unless a different meaning is plainly required by the context:</w:t>
      </w:r>
    </w:p>
    <w:p>
      <w:pPr>
        <w:spacing w:after="0" w:line="100" w:lineRule="exact"/>
        <w:rPr>
          <w:sz w:val="20"/>
          <w:szCs w:val="20"/>
          <w:color w:val="auto"/>
        </w:rPr>
      </w:pPr>
    </w:p>
    <w:p>
      <w:pPr>
        <w:ind w:left="8" w:right="120" w:firstLine="1014"/>
        <w:spacing w:after="0" w:line="277" w:lineRule="auto"/>
        <w:rPr>
          <w:sz w:val="20"/>
          <w:szCs w:val="20"/>
          <w:color w:val="auto"/>
        </w:rPr>
      </w:pPr>
      <w:r>
        <w:rPr>
          <w:rFonts w:ascii="Times New Roman" w:cs="Times New Roman" w:eastAsia="Times New Roman" w:hAnsi="Times New Roman"/>
          <w:sz w:val="15"/>
          <w:szCs w:val="15"/>
          <w:color w:val="auto"/>
        </w:rPr>
        <w:t>2.1 “</w:t>
      </w:r>
      <w:r>
        <w:rPr>
          <w:rFonts w:ascii="Times New Roman" w:cs="Times New Roman" w:eastAsia="Times New Roman" w:hAnsi="Times New Roman"/>
          <w:sz w:val="15"/>
          <w:szCs w:val="15"/>
          <w:b w:val="1"/>
          <w:bCs w:val="1"/>
          <w:color w:val="auto"/>
        </w:rPr>
        <w:t>Actual Award</w:t>
      </w:r>
      <w:r>
        <w:rPr>
          <w:rFonts w:ascii="Times New Roman" w:cs="Times New Roman" w:eastAsia="Times New Roman" w:hAnsi="Times New Roman"/>
          <w:sz w:val="15"/>
          <w:szCs w:val="15"/>
          <w:color w:val="auto"/>
        </w:rPr>
        <w:t>” means, as to any Performance Period, the actual award amount (if any) payable to a Participant for the Performance Period. Each Actual Award is determined by the Payout Formula for the Performance Period, subject to the Administrator’s authority under Section 3.6 to increase, eliminate or reduce the award otherwise indicated by the Payout Formula.</w:t>
      </w:r>
    </w:p>
    <w:p>
      <w:pPr>
        <w:spacing w:after="0" w:line="141"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2.2 “</w:t>
      </w:r>
      <w:r>
        <w:rPr>
          <w:rFonts w:ascii="Times New Roman" w:cs="Times New Roman" w:eastAsia="Times New Roman" w:hAnsi="Times New Roman"/>
          <w:sz w:val="15"/>
          <w:szCs w:val="15"/>
          <w:b w:val="1"/>
          <w:bCs w:val="1"/>
          <w:color w:val="auto"/>
        </w:rPr>
        <w:t>Administrator</w:t>
      </w:r>
      <w:r>
        <w:rPr>
          <w:rFonts w:ascii="Times New Roman" w:cs="Times New Roman" w:eastAsia="Times New Roman" w:hAnsi="Times New Roman"/>
          <w:sz w:val="15"/>
          <w:szCs w:val="15"/>
          <w:color w:val="auto"/>
        </w:rPr>
        <w:t>” means the Board, Committee or such other entity, group, or individual delegated authority to administer the Plan in accordance with Section 5.1</w:t>
      </w:r>
    </w:p>
    <w:p>
      <w:pPr>
        <w:spacing w:after="0" w:line="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of the Plan.</w:t>
      </w:r>
    </w:p>
    <w:p>
      <w:pPr>
        <w:spacing w:after="0" w:line="178"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2.3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any corporation or other entity (including, without limitation, partnerships and joint ventures) controlled by the Company.</w:t>
      </w:r>
    </w:p>
    <w:p>
      <w:pPr>
        <w:spacing w:after="0" w:line="196" w:lineRule="exact"/>
        <w:rPr>
          <w:sz w:val="20"/>
          <w:szCs w:val="20"/>
          <w:color w:val="auto"/>
        </w:rPr>
      </w:pPr>
    </w:p>
    <w:p>
      <w:pPr>
        <w:ind w:left="8" w:right="220" w:firstLine="1014"/>
        <w:spacing w:after="0" w:line="298" w:lineRule="auto"/>
        <w:rPr>
          <w:sz w:val="20"/>
          <w:szCs w:val="20"/>
          <w:color w:val="auto"/>
        </w:rPr>
      </w:pPr>
      <w:r>
        <w:rPr>
          <w:rFonts w:ascii="Times New Roman" w:cs="Times New Roman" w:eastAsia="Times New Roman" w:hAnsi="Times New Roman"/>
          <w:sz w:val="15"/>
          <w:szCs w:val="15"/>
          <w:color w:val="auto"/>
        </w:rPr>
        <w:t>2.4 “</w:t>
      </w:r>
      <w:r>
        <w:rPr>
          <w:rFonts w:ascii="Times New Roman" w:cs="Times New Roman" w:eastAsia="Times New Roman" w:hAnsi="Times New Roman"/>
          <w:sz w:val="15"/>
          <w:szCs w:val="15"/>
          <w:b w:val="1"/>
          <w:bCs w:val="1"/>
          <w:color w:val="auto"/>
        </w:rPr>
        <w:t>Base Salary</w:t>
      </w:r>
      <w:r>
        <w:rPr>
          <w:rFonts w:ascii="Times New Roman" w:cs="Times New Roman" w:eastAsia="Times New Roman" w:hAnsi="Times New Roman"/>
          <w:sz w:val="15"/>
          <w:szCs w:val="15"/>
          <w:color w:val="auto"/>
        </w:rPr>
        <w:t>” means, as to any Performance Period, the Participant’s regular base salary as in effect at the end of the Performance Period. Base Salary shall be calculated before both (a) deductions for taxes or benefits and (b) any deferrals of compensation pursuant to Company-sponsored plans or Affiliate-sponsored plans.</w:t>
      </w:r>
    </w:p>
    <w:p>
      <w:pPr>
        <w:spacing w:after="0" w:line="125" w:lineRule="exact"/>
        <w:rPr>
          <w:sz w:val="20"/>
          <w:szCs w:val="20"/>
          <w:color w:val="auto"/>
        </w:rPr>
      </w:pPr>
    </w:p>
    <w:p>
      <w:pPr>
        <w:ind w:left="1008"/>
        <w:spacing w:after="0"/>
        <w:rPr>
          <w:sz w:val="20"/>
          <w:szCs w:val="20"/>
          <w:color w:val="auto"/>
        </w:rPr>
      </w:pPr>
      <w:r>
        <w:rPr>
          <w:rFonts w:ascii="Times New Roman" w:cs="Times New Roman" w:eastAsia="Times New Roman" w:hAnsi="Times New Roman"/>
          <w:sz w:val="15"/>
          <w:szCs w:val="15"/>
          <w:color w:val="auto"/>
        </w:rPr>
        <w:t>2.5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Company’s Board of Directors.</w:t>
      </w:r>
    </w:p>
    <w:p>
      <w:pPr>
        <w:spacing w:after="0" w:line="196" w:lineRule="exact"/>
        <w:rPr>
          <w:sz w:val="20"/>
          <w:szCs w:val="20"/>
          <w:color w:val="auto"/>
        </w:rPr>
      </w:pPr>
    </w:p>
    <w:p>
      <w:pPr>
        <w:ind w:left="8" w:right="40" w:firstLine="1014"/>
        <w:spacing w:after="0" w:line="260" w:lineRule="auto"/>
        <w:rPr>
          <w:sz w:val="20"/>
          <w:szCs w:val="20"/>
          <w:color w:val="auto"/>
        </w:rPr>
      </w:pPr>
      <w:r>
        <w:rPr>
          <w:rFonts w:ascii="Times New Roman" w:cs="Times New Roman" w:eastAsia="Times New Roman" w:hAnsi="Times New Roman"/>
          <w:sz w:val="15"/>
          <w:szCs w:val="15"/>
          <w:color w:val="auto"/>
        </w:rPr>
        <w:t>2.6 “</w:t>
      </w:r>
      <w:r>
        <w:rPr>
          <w:rFonts w:ascii="Times New Roman" w:cs="Times New Roman" w:eastAsia="Times New Roman" w:hAnsi="Times New Roman"/>
          <w:sz w:val="15"/>
          <w:szCs w:val="15"/>
          <w:b w:val="1"/>
          <w:bCs w:val="1"/>
          <w:color w:val="auto"/>
        </w:rPr>
        <w:t>Change in Control</w:t>
      </w:r>
      <w:r>
        <w:rPr>
          <w:rFonts w:ascii="Times New Roman" w:cs="Times New Roman" w:eastAsia="Times New Roman" w:hAnsi="Times New Roman"/>
          <w:sz w:val="15"/>
          <w:szCs w:val="15"/>
          <w:color w:val="auto"/>
        </w:rPr>
        <w:t>” means (a) a sale, conveyance or other disposition of all or substantially all of the assets, property or business of the Company, except where such sale, conveyance or other disposition is to a wholly owned subsidiary of the Company, (b) a merger or consolidation of the Company with or into another corporation, entity or person, other than any such transaction in which the holders of voting capital stock of the Company outstanding immediately prior to the transaction continue to hold a majority of the voting capital stock of the Company (or the surviving or acquiring entity) outstanding immediately after the transaction (taking into account only stock of the Company held by such stockholders immediately prior to the transaction and stock issued on account of such stock in the transaction), or (c)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 provided, however, that a Change of Control shall not include any transaction or series of related transactions</w:t>
      </w:r>
    </w:p>
    <w:p>
      <w:pPr>
        <w:spacing w:after="0" w:line="2" w:lineRule="exact"/>
        <w:rPr>
          <w:sz w:val="20"/>
          <w:szCs w:val="20"/>
          <w:color w:val="auto"/>
        </w:rPr>
      </w:pPr>
    </w:p>
    <w:p>
      <w:pPr>
        <w:ind w:left="8" w:right="240" w:hanging="8"/>
        <w:spacing w:after="0" w:line="273" w:lineRule="auto"/>
        <w:tabs>
          <w:tab w:leader="none" w:pos="225" w:val="left"/>
        </w:tabs>
        <w:numPr>
          <w:ilvl w:val="0"/>
          <w:numId w:val="4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principally for bona fide equity financing purposes or (2) effected exclusively for the purpose of changing the domicile of the Company. A series of related transactions shall be deemed to constitute a single transaction for purposes of determining whether a Change of Control has occurred.</w:t>
      </w:r>
    </w:p>
    <w:p>
      <w:pPr>
        <w:spacing w:after="0" w:line="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8"/>
          </w:cols>
          <w:pgMar w:left="312" w:top="120" w:right="319" w:bottom="1440" w:gutter="0" w:footer="0" w:header="0"/>
        </w:sectPr>
      </w:pPr>
    </w:p>
    <w:bookmarkStart w:id="526" w:name="page527"/>
    <w:bookmarkEnd w:id="526"/>
    <w:p>
      <w:pPr>
        <w:ind w:left="10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7167245" cy="21590"/>
                    </a:xfrm>
                    <a:prstGeom prst="rect">
                      <a:avLst/>
                    </a:prstGeom>
                    <a:noFill/>
                  </pic:spPr>
                </pic:pic>
              </a:graphicData>
            </a:graphic>
          </wp:anchor>
        </w:drawing>
        <w:t>2.7 “</w:t>
      </w:r>
      <w:r>
        <w:rPr>
          <w:rFonts w:ascii="Times New Roman" w:cs="Times New Roman" w:eastAsia="Times New Roman" w:hAnsi="Times New Roman"/>
          <w:sz w:val="15"/>
          <w:szCs w:val="15"/>
          <w:b w:val="1"/>
          <w:bCs w:val="1"/>
          <w:color w:val="auto"/>
        </w:rPr>
        <w:t>Committee</w:t>
      </w:r>
      <w:r>
        <w:rPr>
          <w:rFonts w:ascii="Times New Roman" w:cs="Times New Roman" w:eastAsia="Times New Roman" w:hAnsi="Times New Roman"/>
          <w:sz w:val="15"/>
          <w:szCs w:val="15"/>
          <w:color w:val="auto"/>
        </w:rPr>
        <w:t>” means the Compensation Committee of the Board.</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2.8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Tarsus Pharmaceuticals, Inc., a Delaware corporation, or any successor thereto.</w:t>
      </w:r>
    </w:p>
    <w:p>
      <w:pPr>
        <w:spacing w:after="0" w:line="196" w:lineRule="exact"/>
        <w:rPr>
          <w:sz w:val="20"/>
          <w:szCs w:val="20"/>
          <w:color w:val="auto"/>
        </w:rPr>
      </w:pPr>
    </w:p>
    <w:p>
      <w:pPr>
        <w:ind w:right="180" w:firstLine="1014"/>
        <w:spacing w:after="0" w:line="298" w:lineRule="auto"/>
        <w:rPr>
          <w:sz w:val="20"/>
          <w:szCs w:val="20"/>
          <w:color w:val="auto"/>
        </w:rPr>
      </w:pPr>
      <w:r>
        <w:rPr>
          <w:rFonts w:ascii="Times New Roman" w:cs="Times New Roman" w:eastAsia="Times New Roman" w:hAnsi="Times New Roman"/>
          <w:sz w:val="15"/>
          <w:szCs w:val="15"/>
          <w:color w:val="auto"/>
        </w:rPr>
        <w:t>2.9 “</w:t>
      </w:r>
      <w:r>
        <w:rPr>
          <w:rFonts w:ascii="Times New Roman" w:cs="Times New Roman" w:eastAsia="Times New Roman" w:hAnsi="Times New Roman"/>
          <w:sz w:val="15"/>
          <w:szCs w:val="15"/>
          <w:b w:val="1"/>
          <w:bCs w:val="1"/>
          <w:color w:val="auto"/>
        </w:rPr>
        <w:t>Employee</w:t>
      </w:r>
      <w:r>
        <w:rPr>
          <w:rFonts w:ascii="Times New Roman" w:cs="Times New Roman" w:eastAsia="Times New Roman" w:hAnsi="Times New Roman"/>
          <w:sz w:val="15"/>
          <w:szCs w:val="15"/>
          <w:color w:val="auto"/>
        </w:rPr>
        <w:t>” means any employee of the Company or of an Affiliate, whether such employee is so employed when the Plan is adopted or becomes so employed after the adoption of the Plan.</w:t>
      </w:r>
    </w:p>
    <w:p>
      <w:pPr>
        <w:spacing w:after="0" w:line="125" w:lineRule="exact"/>
        <w:rPr>
          <w:sz w:val="20"/>
          <w:szCs w:val="20"/>
          <w:color w:val="auto"/>
        </w:rPr>
      </w:pPr>
    </w:p>
    <w:p>
      <w:pPr>
        <w:ind w:right="260" w:firstLine="1014"/>
        <w:spacing w:after="0" w:line="298" w:lineRule="auto"/>
        <w:rPr>
          <w:sz w:val="20"/>
          <w:szCs w:val="20"/>
          <w:color w:val="auto"/>
        </w:rPr>
      </w:pPr>
      <w:r>
        <w:rPr>
          <w:rFonts w:ascii="Times New Roman" w:cs="Times New Roman" w:eastAsia="Times New Roman" w:hAnsi="Times New Roman"/>
          <w:sz w:val="15"/>
          <w:szCs w:val="15"/>
          <w:color w:val="auto"/>
        </w:rPr>
        <w:t>2.10 “</w:t>
      </w:r>
      <w:r>
        <w:rPr>
          <w:rFonts w:ascii="Times New Roman" w:cs="Times New Roman" w:eastAsia="Times New Roman" w:hAnsi="Times New Roman"/>
          <w:sz w:val="15"/>
          <w:szCs w:val="15"/>
          <w:b w:val="1"/>
          <w:bCs w:val="1"/>
          <w:color w:val="auto"/>
        </w:rPr>
        <w:t>Executive</w:t>
      </w:r>
      <w:r>
        <w:rPr>
          <w:rFonts w:ascii="Times New Roman" w:cs="Times New Roman" w:eastAsia="Times New Roman" w:hAnsi="Times New Roman"/>
          <w:sz w:val="15"/>
          <w:szCs w:val="15"/>
          <w:color w:val="auto"/>
        </w:rPr>
        <w:t>” means any executive officers as defined under Rule 3b-7 and officer as defined under Rule 16a-f promulgated under Section 16 of the Securities and Exchange Act.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2.11 “</w:t>
      </w:r>
      <w:r>
        <w:rPr>
          <w:rFonts w:ascii="Times New Roman" w:cs="Times New Roman" w:eastAsia="Times New Roman" w:hAnsi="Times New Roman"/>
          <w:sz w:val="15"/>
          <w:szCs w:val="15"/>
          <w:b w:val="1"/>
          <w:bCs w:val="1"/>
          <w:color w:val="auto"/>
        </w:rPr>
        <w:t>Fiscal Year</w:t>
      </w:r>
      <w:r>
        <w:rPr>
          <w:rFonts w:ascii="Times New Roman" w:cs="Times New Roman" w:eastAsia="Times New Roman" w:hAnsi="Times New Roman"/>
          <w:sz w:val="15"/>
          <w:szCs w:val="15"/>
          <w:color w:val="auto"/>
        </w:rPr>
        <w:t>” means the fiscal year of the Company.</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2.12 “</w:t>
      </w:r>
      <w:r>
        <w:rPr>
          <w:rFonts w:ascii="Times New Roman" w:cs="Times New Roman" w:eastAsia="Times New Roman" w:hAnsi="Times New Roman"/>
          <w:sz w:val="15"/>
          <w:szCs w:val="15"/>
          <w:b w:val="1"/>
          <w:bCs w:val="1"/>
          <w:color w:val="auto"/>
        </w:rPr>
        <w:t>Participant</w:t>
      </w:r>
      <w:r>
        <w:rPr>
          <w:rFonts w:ascii="Times New Roman" w:cs="Times New Roman" w:eastAsia="Times New Roman" w:hAnsi="Times New Roman"/>
          <w:sz w:val="15"/>
          <w:szCs w:val="15"/>
          <w:color w:val="auto"/>
        </w:rPr>
        <w:t>” means, as to any Performance Period, an Employee who has been selected for participation in the Plan for that Performance Period pursuant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3.1.</w:t>
      </w:r>
    </w:p>
    <w:p>
      <w:pPr>
        <w:spacing w:after="0" w:line="178" w:lineRule="exact"/>
        <w:rPr>
          <w:sz w:val="20"/>
          <w:szCs w:val="20"/>
          <w:color w:val="auto"/>
        </w:rPr>
      </w:pPr>
    </w:p>
    <w:p>
      <w:pPr>
        <w:ind w:right="60" w:firstLine="1014"/>
        <w:spacing w:after="0" w:line="298" w:lineRule="auto"/>
        <w:rPr>
          <w:sz w:val="20"/>
          <w:szCs w:val="20"/>
          <w:color w:val="auto"/>
        </w:rPr>
      </w:pPr>
      <w:r>
        <w:rPr>
          <w:rFonts w:ascii="Times New Roman" w:cs="Times New Roman" w:eastAsia="Times New Roman" w:hAnsi="Times New Roman"/>
          <w:sz w:val="15"/>
          <w:szCs w:val="15"/>
          <w:color w:val="auto"/>
        </w:rPr>
        <w:t>2.13 “</w:t>
      </w:r>
      <w:r>
        <w:rPr>
          <w:rFonts w:ascii="Times New Roman" w:cs="Times New Roman" w:eastAsia="Times New Roman" w:hAnsi="Times New Roman"/>
          <w:sz w:val="15"/>
          <w:szCs w:val="15"/>
          <w:b w:val="1"/>
          <w:bCs w:val="1"/>
          <w:color w:val="auto"/>
        </w:rPr>
        <w:t>Payout Formula</w:t>
      </w:r>
      <w:r>
        <w:rPr>
          <w:rFonts w:ascii="Times New Roman" w:cs="Times New Roman" w:eastAsia="Times New Roman" w:hAnsi="Times New Roman"/>
          <w:sz w:val="15"/>
          <w:szCs w:val="15"/>
          <w:color w:val="auto"/>
        </w:rPr>
        <w:t>” means, as to any Performance Period, the formula or payout matrix established by the Administrator pursuant to Section 3.5 in order to determine the Actual Awards (if any) to be paid to Participants. The formula or matrix may differ from Performance Period to Performance Period and from Participant to Participant.</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2.14 “</w:t>
      </w:r>
      <w:r>
        <w:rPr>
          <w:rFonts w:ascii="Times New Roman" w:cs="Times New Roman" w:eastAsia="Times New Roman" w:hAnsi="Times New Roman"/>
          <w:sz w:val="15"/>
          <w:szCs w:val="15"/>
          <w:b w:val="1"/>
          <w:bCs w:val="1"/>
          <w:color w:val="auto"/>
        </w:rPr>
        <w:t>Performance Period</w:t>
      </w:r>
      <w:r>
        <w:rPr>
          <w:rFonts w:ascii="Times New Roman" w:cs="Times New Roman" w:eastAsia="Times New Roman" w:hAnsi="Times New Roman"/>
          <w:sz w:val="15"/>
          <w:szCs w:val="15"/>
          <w:color w:val="auto"/>
        </w:rPr>
        <w:t>” means a Fiscal Year, or any longer or shorter period determined by the Administrator.</w:t>
      </w:r>
    </w:p>
    <w:p>
      <w:pPr>
        <w:spacing w:after="0" w:line="196" w:lineRule="exact"/>
        <w:rPr>
          <w:sz w:val="20"/>
          <w:szCs w:val="20"/>
          <w:color w:val="auto"/>
        </w:rPr>
      </w:pPr>
    </w:p>
    <w:p>
      <w:pPr>
        <w:ind w:right="140" w:firstLine="1014"/>
        <w:spacing w:after="0" w:line="277" w:lineRule="auto"/>
        <w:rPr>
          <w:sz w:val="20"/>
          <w:szCs w:val="20"/>
          <w:color w:val="auto"/>
        </w:rPr>
      </w:pPr>
      <w:r>
        <w:rPr>
          <w:rFonts w:ascii="Times New Roman" w:cs="Times New Roman" w:eastAsia="Times New Roman" w:hAnsi="Times New Roman"/>
          <w:sz w:val="15"/>
          <w:szCs w:val="15"/>
          <w:color w:val="auto"/>
        </w:rPr>
        <w:t>2.15 “</w:t>
      </w:r>
      <w:r>
        <w:rPr>
          <w:rFonts w:ascii="Times New Roman" w:cs="Times New Roman" w:eastAsia="Times New Roman" w:hAnsi="Times New Roman"/>
          <w:sz w:val="15"/>
          <w:szCs w:val="15"/>
          <w:b w:val="1"/>
          <w:bCs w:val="1"/>
          <w:color w:val="auto"/>
        </w:rPr>
        <w:t>Performance Goals</w:t>
      </w:r>
      <w:r>
        <w:rPr>
          <w:rFonts w:ascii="Times New Roman" w:cs="Times New Roman" w:eastAsia="Times New Roman" w:hAnsi="Times New Roman"/>
          <w:sz w:val="15"/>
          <w:szCs w:val="15"/>
          <w:color w:val="auto"/>
        </w:rPr>
        <w:t xml:space="preserve">” means the goal(s) or combined goal(s) determined by the Administrator to be applicable to a Participant for a Target Award for a Performance Period. As determined by the Administrator, the Performance Goal(s) may provide for a targeted level or levels or achievement using the performance criteria specified by the Administrator. Possible, but non-exclusive, performance criteria are set forth in </w:t>
      </w:r>
      <w:r>
        <w:rPr>
          <w:rFonts w:ascii="Times New Roman" w:cs="Times New Roman" w:eastAsia="Times New Roman" w:hAnsi="Times New Roman"/>
          <w:sz w:val="15"/>
          <w:szCs w:val="15"/>
          <w:u w:val="single" w:color="auto"/>
          <w:color w:val="auto"/>
        </w:rPr>
        <w:t>Appendix A</w:t>
      </w:r>
      <w:r>
        <w:rPr>
          <w:rFonts w:ascii="Times New Roman" w:cs="Times New Roman" w:eastAsia="Times New Roman" w:hAnsi="Times New Roman"/>
          <w:sz w:val="15"/>
          <w:szCs w:val="15"/>
          <w:color w:val="auto"/>
        </w:rPr>
        <w:t xml:space="preserve"> attached to the Plan.</w:t>
      </w:r>
    </w:p>
    <w:p>
      <w:pPr>
        <w:spacing w:after="0" w:line="1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2.16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means this Tarsus Pharmaceuticals, Inc. Management Cash Incentive Plan, as amended from time to time.</w:t>
      </w: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2.17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means shares of the Company’s common stock.</w:t>
      </w:r>
    </w:p>
    <w:p>
      <w:pPr>
        <w:spacing w:after="0" w:line="196" w:lineRule="exact"/>
        <w:rPr>
          <w:sz w:val="20"/>
          <w:szCs w:val="20"/>
          <w:color w:val="auto"/>
        </w:rPr>
      </w:pPr>
    </w:p>
    <w:p>
      <w:pPr>
        <w:ind w:right="80" w:firstLine="1014"/>
        <w:spacing w:after="0" w:line="298" w:lineRule="auto"/>
        <w:rPr>
          <w:sz w:val="20"/>
          <w:szCs w:val="20"/>
          <w:color w:val="auto"/>
        </w:rPr>
      </w:pPr>
      <w:r>
        <w:rPr>
          <w:rFonts w:ascii="Times New Roman" w:cs="Times New Roman" w:eastAsia="Times New Roman" w:hAnsi="Times New Roman"/>
          <w:sz w:val="15"/>
          <w:szCs w:val="15"/>
          <w:color w:val="auto"/>
        </w:rPr>
        <w:t>2.18 “</w:t>
      </w:r>
      <w:r>
        <w:rPr>
          <w:rFonts w:ascii="Times New Roman" w:cs="Times New Roman" w:eastAsia="Times New Roman" w:hAnsi="Times New Roman"/>
          <w:sz w:val="15"/>
          <w:szCs w:val="15"/>
          <w:b w:val="1"/>
          <w:bCs w:val="1"/>
          <w:color w:val="auto"/>
        </w:rPr>
        <w:t>Target Award</w:t>
      </w:r>
      <w:r>
        <w:rPr>
          <w:rFonts w:ascii="Times New Roman" w:cs="Times New Roman" w:eastAsia="Times New Roman" w:hAnsi="Times New Roman"/>
          <w:sz w:val="15"/>
          <w:szCs w:val="15"/>
          <w:color w:val="auto"/>
        </w:rPr>
        <w:t>” means the target award amount payable under the Plan to a Participant for the Performance Period expressed as a percentage of his or her Base Salary or a specific dollar amount or by reference to a number of Shares, as determined by the Administrator in accordance with Section 3.4.</w:t>
      </w:r>
    </w:p>
    <w:p>
      <w:pPr>
        <w:spacing w:after="0" w:line="125" w:lineRule="exact"/>
        <w:rPr>
          <w:sz w:val="20"/>
          <w:szCs w:val="20"/>
          <w:color w:val="auto"/>
        </w:rPr>
      </w:pPr>
    </w:p>
    <w:p>
      <w:pPr>
        <w:jc w:val="both"/>
        <w:ind w:firstLine="1014"/>
        <w:spacing w:after="0" w:line="277" w:lineRule="auto"/>
        <w:rPr>
          <w:sz w:val="20"/>
          <w:szCs w:val="20"/>
          <w:color w:val="auto"/>
        </w:rPr>
      </w:pPr>
      <w:r>
        <w:rPr>
          <w:rFonts w:ascii="Times New Roman" w:cs="Times New Roman" w:eastAsia="Times New Roman" w:hAnsi="Times New Roman"/>
          <w:sz w:val="15"/>
          <w:szCs w:val="15"/>
          <w:color w:val="auto"/>
        </w:rPr>
        <w:t>2.19 “</w:t>
      </w:r>
      <w:r>
        <w:rPr>
          <w:rFonts w:ascii="Times New Roman" w:cs="Times New Roman" w:eastAsia="Times New Roman" w:hAnsi="Times New Roman"/>
          <w:sz w:val="15"/>
          <w:szCs w:val="15"/>
          <w:b w:val="1"/>
          <w:bCs w:val="1"/>
          <w:color w:val="auto"/>
        </w:rPr>
        <w:t>Termination of Employment</w:t>
      </w:r>
      <w:r>
        <w:rPr>
          <w:rFonts w:ascii="Times New Roman" w:cs="Times New Roman" w:eastAsia="Times New Roman" w:hAnsi="Times New Roman"/>
          <w:sz w:val="15"/>
          <w:szCs w:val="15"/>
          <w:color w:val="auto"/>
        </w:rPr>
        <w:t>” means a cessation of the employee-employer relationship between an Employee and the Company or an Affiliate for any reason, including (without limitation) a termination by resignation, discharge, death, disability, retirement or the disaffiliation of an Affiliate, but excluding a transfer from the Company to an Affiliate or between Affiliates.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0"/>
          </w:cols>
          <w:pgMar w:left="320" w:top="247" w:right="319" w:bottom="1440" w:gutter="0" w:footer="0" w:header="0"/>
        </w:sectPr>
      </w:pPr>
    </w:p>
    <w:bookmarkStart w:id="527" w:name="page528"/>
    <w:bookmarkEnd w:id="527"/>
    <w:p>
      <w:pPr>
        <w:ind w:left="4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ARTICLE 3. SELECTION OF PARTICIPANTS AND DETERMINATION OF AWARDS</w:t>
      </w:r>
    </w:p>
    <w:p>
      <w:pPr>
        <w:spacing w:after="0" w:line="104" w:lineRule="exact"/>
        <w:rPr>
          <w:sz w:val="20"/>
          <w:szCs w:val="20"/>
          <w:color w:val="auto"/>
        </w:rPr>
      </w:pPr>
    </w:p>
    <w:p>
      <w:pPr>
        <w:ind w:right="2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b w:val="1"/>
          <w:bCs w:val="1"/>
          <w:color w:val="auto"/>
        </w:rPr>
        <w:t>Selection of Participants</w:t>
      </w:r>
      <w:r>
        <w:rPr>
          <w:rFonts w:ascii="Times New Roman" w:cs="Times New Roman" w:eastAsia="Times New Roman" w:hAnsi="Times New Roman"/>
          <w:sz w:val="15"/>
          <w:szCs w:val="15"/>
          <w:color w:val="auto"/>
        </w:rPr>
        <w:t>. The Administrator, in its sole discretion, shall select the Employees who shall be Participants for any Performance Period. Participation in the Plan is in the sole discretion of the Administrator and shall be determined Performance Period by Performance Period. Accordingly, an Employee who is a Participant for a given Performance Period is in no way assured of being selected for participation in any subsequent Performance Period.</w:t>
      </w:r>
    </w:p>
    <w:p>
      <w:pPr>
        <w:spacing w:after="0" w:line="141" w:lineRule="exact"/>
        <w:rPr>
          <w:sz w:val="20"/>
          <w:szCs w:val="20"/>
          <w:color w:val="auto"/>
        </w:rPr>
      </w:pPr>
    </w:p>
    <w:p>
      <w:pPr>
        <w:ind w:right="34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b w:val="1"/>
          <w:bCs w:val="1"/>
          <w:color w:val="auto"/>
        </w:rPr>
        <w:t>Determination of Performance Period</w:t>
      </w:r>
      <w:r>
        <w:rPr>
          <w:rFonts w:ascii="Times New Roman" w:cs="Times New Roman" w:eastAsia="Times New Roman" w:hAnsi="Times New Roman"/>
          <w:sz w:val="15"/>
          <w:szCs w:val="15"/>
          <w:color w:val="auto"/>
        </w:rPr>
        <w:t>. The Administrator, in its sole discretion, shall establish whether a Performance Period shall be a Fiscal Year or such longer or shorter period of time. The Performance Period may differ from Participant to Participant and from award to award.</w:t>
      </w:r>
    </w:p>
    <w:p>
      <w:pPr>
        <w:spacing w:after="0" w:line="125" w:lineRule="exact"/>
        <w:rPr>
          <w:sz w:val="20"/>
          <w:szCs w:val="20"/>
          <w:color w:val="auto"/>
        </w:rPr>
      </w:pPr>
    </w:p>
    <w:p>
      <w:pPr>
        <w:ind w:right="16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b w:val="1"/>
          <w:bCs w:val="1"/>
          <w:color w:val="auto"/>
        </w:rPr>
        <w:t>Determination of Performance Goals</w:t>
      </w:r>
      <w:r>
        <w:rPr>
          <w:rFonts w:ascii="Times New Roman" w:cs="Times New Roman" w:eastAsia="Times New Roman" w:hAnsi="Times New Roman"/>
          <w:sz w:val="15"/>
          <w:szCs w:val="15"/>
          <w:color w:val="auto"/>
        </w:rPr>
        <w:t>. The Administrator shall establish the Performance Goals for each Participant for the Performance Period, and the Administrator (or its designee) shall communicate the applicable Performance Goals to each Participant. The Performance Goals may differ from Participant to Participant and from award to award.</w:t>
      </w:r>
    </w:p>
    <w:p>
      <w:pPr>
        <w:spacing w:after="0" w:line="141" w:lineRule="exact"/>
        <w:rPr>
          <w:sz w:val="20"/>
          <w:szCs w:val="20"/>
          <w:color w:val="auto"/>
        </w:rPr>
      </w:pPr>
    </w:p>
    <w:p>
      <w:pPr>
        <w:ind w:right="1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b w:val="1"/>
          <w:bCs w:val="1"/>
          <w:color w:val="auto"/>
        </w:rPr>
        <w:t>Determination of Target Awards</w:t>
      </w:r>
      <w:r>
        <w:rPr>
          <w:rFonts w:ascii="Times New Roman" w:cs="Times New Roman" w:eastAsia="Times New Roman" w:hAnsi="Times New Roman"/>
          <w:sz w:val="15"/>
          <w:szCs w:val="15"/>
          <w:color w:val="auto"/>
        </w:rPr>
        <w:t>. The Administrator shall establish a Target Award for each Participant for each Performance Period, and the Administrator (or its designee) shall communicate the applicable Target Award to each Participant.</w:t>
      </w:r>
    </w:p>
    <w:p>
      <w:pPr>
        <w:spacing w:after="0" w:line="125" w:lineRule="exact"/>
        <w:rPr>
          <w:sz w:val="20"/>
          <w:szCs w:val="20"/>
          <w:color w:val="auto"/>
        </w:rPr>
      </w:pPr>
    </w:p>
    <w:p>
      <w:pPr>
        <w:ind w:right="60" w:firstLine="1014"/>
        <w:spacing w:after="0" w:line="269" w:lineRule="auto"/>
        <w:rPr>
          <w:sz w:val="20"/>
          <w:szCs w:val="20"/>
          <w:color w:val="auto"/>
        </w:rPr>
      </w:pPr>
      <w:r>
        <w:rPr>
          <w:rFonts w:ascii="Times New Roman" w:cs="Times New Roman" w:eastAsia="Times New Roman" w:hAnsi="Times New Roman"/>
          <w:sz w:val="15"/>
          <w:szCs w:val="15"/>
          <w:color w:val="auto"/>
        </w:rPr>
        <w:t xml:space="preserve">3.5 </w:t>
      </w:r>
      <w:r>
        <w:rPr>
          <w:rFonts w:ascii="Times New Roman" w:cs="Times New Roman" w:eastAsia="Times New Roman" w:hAnsi="Times New Roman"/>
          <w:sz w:val="15"/>
          <w:szCs w:val="15"/>
          <w:b w:val="1"/>
          <w:bCs w:val="1"/>
          <w:color w:val="auto"/>
        </w:rPr>
        <w:t>Determination of Payout Formula or Formulae</w:t>
      </w:r>
      <w:r>
        <w:rPr>
          <w:rFonts w:ascii="Times New Roman" w:cs="Times New Roman" w:eastAsia="Times New Roman" w:hAnsi="Times New Roman"/>
          <w:sz w:val="15"/>
          <w:szCs w:val="15"/>
          <w:color w:val="auto"/>
        </w:rPr>
        <w:t>. The Administrator will establish a Payout Formula or Formulae for purposes of determining the Actual Award (if any) payable to each Participant. Each Payout Formula may (a) be based on a comparison of actual performance to the Performance Goals, (b) provide for the payment of a Participant’s Target Award if the Performance Goals for the Performance Period are achieved at the predetermined level and (c) provide for the payment of an Actual Award greater than or less than the Participant’s Target Award, depending upon the extent to which actual performance exceeds or falls below the Performance Goals, subject to the limitations in Section 3.7.</w:t>
      </w:r>
    </w:p>
    <w:p>
      <w:pPr>
        <w:spacing w:after="0" w:line="333" w:lineRule="exact"/>
        <w:rPr>
          <w:sz w:val="20"/>
          <w:szCs w:val="20"/>
          <w:color w:val="auto"/>
        </w:rPr>
      </w:pPr>
    </w:p>
    <w:p>
      <w:pPr>
        <w:ind w:firstLine="1014"/>
        <w:spacing w:after="0" w:line="263"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b w:val="1"/>
          <w:bCs w:val="1"/>
          <w:color w:val="auto"/>
        </w:rPr>
        <w:t>Determination of Actual Awards</w:t>
      </w:r>
      <w:r>
        <w:rPr>
          <w:rFonts w:ascii="Times New Roman" w:cs="Times New Roman" w:eastAsia="Times New Roman" w:hAnsi="Times New Roman"/>
          <w:sz w:val="15"/>
          <w:szCs w:val="15"/>
          <w:color w:val="auto"/>
        </w:rPr>
        <w:t>. After the end of each Performance Period, the Administrator will determine the extent to which the Performance Goals applicable to each Participant for the Performance Period were achieved or exceeded. The Actual Award for each Participant will be determined by applying the Payout Formula to the level of actual performance that has been determined by the Administrator; provided that notwithstanding anything to the contrary in this Plan, the Administrator may (a) reduce or eliminate the Actual Award that otherwise would be payable under the Payout Formula; (b) increase the Actual Award; or (c) determine whether or not any Participant will receive an Actual Award in the event that the Participant incurs a Termination of Employment before such Actual Award is to be paid pursuant to Section 4.1. If a Participant’s Actual Award is reduced or eliminated, no other Participant’s Actual Award shall be increased as a result. The Administrator has the absolute discretion to reduce or eliminate payment of an Actual Award if in the Administrator’s judgment corporate performance, financial condition, individual performance, general economic conditions, or other similar factors make such reduction or elimination appropriate.</w:t>
      </w:r>
    </w:p>
    <w:p>
      <w:pPr>
        <w:spacing w:after="0" w:line="3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3.7 </w:t>
      </w:r>
      <w:r>
        <w:rPr>
          <w:rFonts w:ascii="Times New Roman" w:cs="Times New Roman" w:eastAsia="Times New Roman" w:hAnsi="Times New Roman"/>
          <w:sz w:val="15"/>
          <w:szCs w:val="15"/>
          <w:b w:val="1"/>
          <w:bCs w:val="1"/>
          <w:color w:val="auto"/>
        </w:rPr>
        <w:t>Maximum Actual Awards</w:t>
      </w:r>
      <w:r>
        <w:rPr>
          <w:rFonts w:ascii="Times New Roman" w:cs="Times New Roman" w:eastAsia="Times New Roman" w:hAnsi="Times New Roman"/>
          <w:sz w:val="15"/>
          <w:szCs w:val="15"/>
          <w:color w:val="auto"/>
        </w:rPr>
        <w:t>. The Administrator may establish the maximum amount or value of the Actual Award paid to any Participant for any Performance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248" w:right="319" w:bottom="1440" w:gutter="0" w:footer="0" w:header="0"/>
        </w:sectPr>
      </w:pPr>
    </w:p>
    <w:bookmarkStart w:id="528" w:name="page529"/>
    <w:bookmarkEnd w:id="528"/>
    <w:p>
      <w:pPr>
        <w:ind w:left="4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ARTICLE 4. PAYMENT OF AWARDS</w:t>
      </w:r>
    </w:p>
    <w:p>
      <w:pPr>
        <w:spacing w:after="0" w:line="104" w:lineRule="exact"/>
        <w:rPr>
          <w:sz w:val="20"/>
          <w:szCs w:val="20"/>
          <w:color w:val="auto"/>
        </w:rPr>
      </w:pPr>
    </w:p>
    <w:p>
      <w:pPr>
        <w:ind w:firstLine="1014"/>
        <w:spacing w:after="0" w:line="298"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b w:val="1"/>
          <w:bCs w:val="1"/>
          <w:color w:val="auto"/>
        </w:rPr>
        <w:t>Right to Receive Payment</w:t>
      </w:r>
      <w:r>
        <w:rPr>
          <w:rFonts w:ascii="Times New Roman" w:cs="Times New Roman" w:eastAsia="Times New Roman" w:hAnsi="Times New Roman"/>
          <w:sz w:val="15"/>
          <w:szCs w:val="15"/>
          <w:color w:val="auto"/>
        </w:rPr>
        <w:t>. A Participant shall have no right to receive an Actual Award unless the Participant is employed by the Company or an Affiliate on the date of payment, unless otherwise determined by the Administrator.</w:t>
      </w:r>
    </w:p>
    <w:p>
      <w:pPr>
        <w:spacing w:after="0" w:line="125" w:lineRule="exact"/>
        <w:rPr>
          <w:sz w:val="20"/>
          <w:szCs w:val="20"/>
          <w:color w:val="auto"/>
        </w:rPr>
      </w:pPr>
    </w:p>
    <w:p>
      <w:pPr>
        <w:ind w:right="10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b w:val="1"/>
          <w:bCs w:val="1"/>
          <w:color w:val="auto"/>
        </w:rPr>
        <w:t>Unfunded Plan</w:t>
      </w:r>
      <w:r>
        <w:rPr>
          <w:rFonts w:ascii="Times New Roman" w:cs="Times New Roman" w:eastAsia="Times New Roman" w:hAnsi="Times New Roman"/>
          <w:sz w:val="15"/>
          <w:szCs w:val="15"/>
          <w:color w:val="auto"/>
        </w:rPr>
        <w:t>. Each Actual Award that may become payable under the Plan shall be paid solely from the general assets of the Company or the Affiliate that employs the Participant (as the case may be), as determined by the Company. No amounts awarded or accrued under the Plan shall be funded, set aside or otherwise segregated prior to payment. The obligation to pay Actual Awards under the Plan shall at all times be an unfunded and unsecured obligation of the Company. Participants shall have the status of general creditors of the Company or the Affiliate that employs the Participant.</w:t>
      </w:r>
    </w:p>
    <w:p>
      <w:pPr>
        <w:spacing w:after="0" w:line="146" w:lineRule="exact"/>
        <w:rPr>
          <w:sz w:val="20"/>
          <w:szCs w:val="20"/>
          <w:color w:val="auto"/>
        </w:rPr>
      </w:pPr>
    </w:p>
    <w:p>
      <w:pPr>
        <w:ind w:right="60" w:firstLine="1014"/>
        <w:spacing w:after="0" w:line="269"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b w:val="1"/>
          <w:bCs w:val="1"/>
          <w:color w:val="auto"/>
        </w:rPr>
        <w:t>Timing of Payment</w:t>
      </w:r>
      <w:r>
        <w:rPr>
          <w:rFonts w:ascii="Times New Roman" w:cs="Times New Roman" w:eastAsia="Times New Roman" w:hAnsi="Times New Roman"/>
          <w:sz w:val="15"/>
          <w:szCs w:val="15"/>
          <w:color w:val="auto"/>
        </w:rPr>
        <w:t>. Subject to Sections 3.7 and 4.6, payment of each Actual Award shall be made as soon as administratively practicable after the end of the applicable Performance Period, but in any event no later than required to ensure that that no amount paid or to be paid hereunder shall be subject to the provisions of Section 409A(a)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(1)(B) of the Code.</w:t>
      </w:r>
    </w:p>
    <w:p>
      <w:pPr>
        <w:spacing w:after="0" w:line="178" w:lineRule="exact"/>
        <w:rPr>
          <w:sz w:val="20"/>
          <w:szCs w:val="20"/>
          <w:color w:val="auto"/>
        </w:rPr>
      </w:pPr>
    </w:p>
    <w:p>
      <w:pPr>
        <w:ind w:right="10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b w:val="1"/>
          <w:bCs w:val="1"/>
          <w:color w:val="auto"/>
        </w:rPr>
        <w:t>Form of Payment</w:t>
      </w:r>
      <w:r>
        <w:rPr>
          <w:rFonts w:ascii="Times New Roman" w:cs="Times New Roman" w:eastAsia="Times New Roman" w:hAnsi="Times New Roman"/>
          <w:sz w:val="15"/>
          <w:szCs w:val="15"/>
          <w:color w:val="auto"/>
        </w:rPr>
        <w:t>. Each Actual Award shall be paid in cash (or its equivalent) or in Share-based awards (or a combination thereof) in a single lump sum, except as otherwise determined by the Administrator. To the extent an Actual Award is paid in whole or in part in the form of Share-based awards, such awards shall be granted under an equity incentive plan maintained by the Company for the payment or awarding of Shares.</w:t>
      </w:r>
    </w:p>
    <w:p>
      <w:pPr>
        <w:spacing w:after="0" w:line="141" w:lineRule="exact"/>
        <w:rPr>
          <w:sz w:val="20"/>
          <w:szCs w:val="20"/>
          <w:color w:val="auto"/>
        </w:rPr>
      </w:pPr>
    </w:p>
    <w:p>
      <w:pPr>
        <w:ind w:right="80" w:firstLine="1014"/>
        <w:spacing w:after="0" w:line="270"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b w:val="1"/>
          <w:bCs w:val="1"/>
          <w:color w:val="auto"/>
        </w:rPr>
        <w:t>Payment in the Event of Death</w:t>
      </w:r>
      <w:r>
        <w:rPr>
          <w:rFonts w:ascii="Times New Roman" w:cs="Times New Roman" w:eastAsia="Times New Roman" w:hAnsi="Times New Roman"/>
          <w:sz w:val="15"/>
          <w:szCs w:val="15"/>
          <w:color w:val="auto"/>
        </w:rPr>
        <w:t>. If a Participant dies before receiving an Actual Award that was scheduled to be paid before his or her death for a prior Performance Period, then the Actual Award shall be paid to the Participant’s designated beneficiary or, if no beneficiary has been designated, to the administrator or representative of his or her estate, subject to applicable law. Any beneficiary designation or revocation of a prior designation shall be effective only if it is in writing, signed by the Participant and received by the Company prior to the Participant’s death, subject to applicable law.</w:t>
      </w:r>
    </w:p>
    <w:p>
      <w:pPr>
        <w:spacing w:after="0" w:line="146" w:lineRule="exact"/>
        <w:rPr>
          <w:sz w:val="20"/>
          <w:szCs w:val="20"/>
          <w:color w:val="auto"/>
        </w:rPr>
      </w:pPr>
    </w:p>
    <w:p>
      <w:pPr>
        <w:ind w:right="2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b w:val="1"/>
          <w:bCs w:val="1"/>
          <w:color w:val="auto"/>
        </w:rPr>
        <w:t>Recoupment Policy</w:t>
      </w:r>
      <w:r>
        <w:rPr>
          <w:rFonts w:ascii="Times New Roman" w:cs="Times New Roman" w:eastAsia="Times New Roman" w:hAnsi="Times New Roman"/>
          <w:sz w:val="15"/>
          <w:szCs w:val="15"/>
          <w:color w:val="auto"/>
        </w:rPr>
        <w:t>. All awards granted under the Plan shall be subject to any Company recoupment or clawback policy, as in effect from time to time, including any required by Section 954 of the Dodd-Frank Wall Street Reform and Consumer Protection Act.</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ARTICLE 5. ADMINISTRATION</w:t>
      </w:r>
    </w:p>
    <w:p>
      <w:pPr>
        <w:spacing w:after="0" w:line="104" w:lineRule="exact"/>
        <w:rPr>
          <w:sz w:val="20"/>
          <w:szCs w:val="20"/>
          <w:color w:val="auto"/>
        </w:rPr>
      </w:pPr>
    </w:p>
    <w:p>
      <w:pPr>
        <w:ind w:firstLine="1014"/>
        <w:spacing w:after="0" w:line="267" w:lineRule="auto"/>
        <w:rPr>
          <w:sz w:val="20"/>
          <w:szCs w:val="20"/>
          <w:color w:val="auto"/>
        </w:rPr>
      </w:pPr>
      <w:r>
        <w:rPr>
          <w:rFonts w:ascii="Times New Roman" w:cs="Times New Roman" w:eastAsia="Times New Roman" w:hAnsi="Times New Roman"/>
          <w:sz w:val="15"/>
          <w:szCs w:val="15"/>
          <w:color w:val="auto"/>
        </w:rPr>
        <w:t xml:space="preserve">5.1 </w:t>
      </w:r>
      <w:r>
        <w:rPr>
          <w:rFonts w:ascii="Times New Roman" w:cs="Times New Roman" w:eastAsia="Times New Roman" w:hAnsi="Times New Roman"/>
          <w:sz w:val="15"/>
          <w:szCs w:val="15"/>
          <w:b w:val="1"/>
          <w:bCs w:val="1"/>
          <w:color w:val="auto"/>
        </w:rPr>
        <w:t>Administrator Authority</w:t>
      </w:r>
      <w:r>
        <w:rPr>
          <w:rFonts w:ascii="Times New Roman" w:cs="Times New Roman" w:eastAsia="Times New Roman" w:hAnsi="Times New Roman"/>
          <w:sz w:val="15"/>
          <w:szCs w:val="15"/>
          <w:color w:val="auto"/>
        </w:rPr>
        <w:t xml:space="preserve">. The Plan shall be administered by the Administrator, subject to Section 5.3; </w:t>
      </w:r>
      <w:r>
        <w:rPr>
          <w:rFonts w:ascii="Times New Roman" w:cs="Times New Roman" w:eastAsia="Times New Roman" w:hAnsi="Times New Roman"/>
          <w:sz w:val="15"/>
          <w:szCs w:val="15"/>
          <w:u w:val="single" w:color="auto"/>
          <w:color w:val="auto"/>
        </w:rPr>
        <w:t>provided, however</w:t>
      </w:r>
      <w:r>
        <w:rPr>
          <w:rFonts w:ascii="Times New Roman" w:cs="Times New Roman" w:eastAsia="Times New Roman" w:hAnsi="Times New Roman"/>
          <w:sz w:val="15"/>
          <w:szCs w:val="15"/>
          <w:color w:val="auto"/>
        </w:rPr>
        <w:t>, that with respect to any Executive, the Committee shall act as Administrator. The Administrator shall have all powers and discretion necessary or appropriate to administer the Plan and to control its operation, including (without limitation) the power to (a) determine which Employees shall be granted awards, (b) prescribe the terms and conditions of the awards, (c) interpret the Plan, (d) adopt such procedures and sub-plans as are necessary or appropriate, (e) adopt rules for the administration, interpretation and application of the Plan and (f) interpret, amend or revoke any such rules.</w:t>
      </w:r>
    </w:p>
    <w:p>
      <w:pPr>
        <w:spacing w:after="0" w:line="147" w:lineRule="exact"/>
        <w:rPr>
          <w:sz w:val="20"/>
          <w:szCs w:val="20"/>
          <w:color w:val="auto"/>
        </w:rPr>
      </w:pPr>
    </w:p>
    <w:p>
      <w:pPr>
        <w:ind w:right="6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b w:val="1"/>
          <w:bCs w:val="1"/>
          <w:color w:val="auto"/>
        </w:rPr>
        <w:t>Decisions Binding</w:t>
      </w:r>
      <w:r>
        <w:rPr>
          <w:rFonts w:ascii="Times New Roman" w:cs="Times New Roman" w:eastAsia="Times New Roman" w:hAnsi="Times New Roman"/>
          <w:sz w:val="15"/>
          <w:szCs w:val="15"/>
          <w:color w:val="auto"/>
        </w:rPr>
        <w:t>. All determinations and decisions made by the Administrator, the Board or any delegate of the Administrator pursuant to the provisions of the Plan shall be final, conclusive and binding on all persons and shall be given the maximum deference permitted by law.</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20"/>
          </w:cols>
          <w:pgMar w:left="320" w:top="248" w:right="359" w:bottom="1440" w:gutter="0" w:footer="0" w:header="0"/>
        </w:sectPr>
      </w:pPr>
    </w:p>
    <w:bookmarkStart w:id="529" w:name="page530"/>
    <w:bookmarkEnd w:id="529"/>
    <w:p>
      <w:pPr>
        <w:ind w:right="80" w:firstLine="1014"/>
        <w:spacing w:after="0" w:line="29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7167245" cy="21590"/>
                    </a:xfrm>
                    <a:prstGeom prst="rect">
                      <a:avLst/>
                    </a:prstGeom>
                    <a:noFill/>
                  </pic:spPr>
                </pic:pic>
              </a:graphicData>
            </a:graphic>
          </wp:anchor>
        </w:drawing>
        <w:t xml:space="preserve">5.3 </w:t>
      </w:r>
      <w:r>
        <w:rPr>
          <w:rFonts w:ascii="Times New Roman" w:cs="Times New Roman" w:eastAsia="Times New Roman" w:hAnsi="Times New Roman"/>
          <w:sz w:val="15"/>
          <w:szCs w:val="15"/>
          <w:b w:val="1"/>
          <w:bCs w:val="1"/>
          <w:color w:val="auto"/>
        </w:rPr>
        <w:t>Delegation by the Administrator</w:t>
      </w:r>
      <w:r>
        <w:rPr>
          <w:rFonts w:ascii="Times New Roman" w:cs="Times New Roman" w:eastAsia="Times New Roman" w:hAnsi="Times New Roman"/>
          <w:sz w:val="15"/>
          <w:szCs w:val="15"/>
          <w:color w:val="auto"/>
        </w:rPr>
        <w:t xml:space="preserve">. The Administrator, on such terms and conditions as it may provide, may delegate all or part of its authority and powers under the Plan to one or more directors and/or employees of the Company, </w:t>
      </w:r>
      <w:r>
        <w:rPr>
          <w:rFonts w:ascii="Times New Roman" w:cs="Times New Roman" w:eastAsia="Times New Roman" w:hAnsi="Times New Roman"/>
          <w:sz w:val="15"/>
          <w:szCs w:val="15"/>
          <w:u w:val="single" w:color="auto"/>
          <w:color w:val="auto"/>
        </w:rPr>
        <w:t>except that</w:t>
      </w:r>
      <w:r>
        <w:rPr>
          <w:rFonts w:ascii="Times New Roman" w:cs="Times New Roman" w:eastAsia="Times New Roman" w:hAnsi="Times New Roman"/>
          <w:sz w:val="15"/>
          <w:szCs w:val="15"/>
          <w:color w:val="auto"/>
        </w:rPr>
        <w:t xml:space="preserve"> the Committee may not delegate its authority and powers under the Plan with respect to Executives.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ARTICLE 6. GENERAL PROVISIONS</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b w:val="1"/>
          <w:bCs w:val="1"/>
          <w:color w:val="auto"/>
        </w:rPr>
        <w:t>Tax Withholding</w:t>
      </w:r>
      <w:r>
        <w:rPr>
          <w:rFonts w:ascii="Times New Roman" w:cs="Times New Roman" w:eastAsia="Times New Roman" w:hAnsi="Times New Roman"/>
          <w:sz w:val="15"/>
          <w:szCs w:val="15"/>
          <w:color w:val="auto"/>
        </w:rPr>
        <w:t>. The Company or an Affiliate, as applicable, shall withhold all required taxes from an Actual Award, including any federal, state, local or other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taxes.</w:t>
      </w:r>
    </w:p>
    <w:p>
      <w:pPr>
        <w:spacing w:after="0" w:line="178" w:lineRule="exact"/>
        <w:rPr>
          <w:sz w:val="20"/>
          <w:szCs w:val="20"/>
          <w:color w:val="auto"/>
        </w:rPr>
      </w:pPr>
    </w:p>
    <w:p>
      <w:pPr>
        <w:ind w:right="2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6.2 </w:t>
      </w:r>
      <w:r>
        <w:rPr>
          <w:rFonts w:ascii="Times New Roman" w:cs="Times New Roman" w:eastAsia="Times New Roman" w:hAnsi="Times New Roman"/>
          <w:sz w:val="15"/>
          <w:szCs w:val="15"/>
          <w:b w:val="1"/>
          <w:bCs w:val="1"/>
          <w:color w:val="auto"/>
        </w:rPr>
        <w:t>Application of Section 409A</w:t>
      </w:r>
      <w:r>
        <w:rPr>
          <w:rFonts w:ascii="Times New Roman" w:cs="Times New Roman" w:eastAsia="Times New Roman" w:hAnsi="Times New Roman"/>
          <w:sz w:val="15"/>
          <w:szCs w:val="15"/>
          <w:color w:val="auto"/>
        </w:rPr>
        <w:t>. The provisions of this Plan are intended to be exempt from the requirements of Section 409A of the Code so that none of the payments to be provided under this Plan will be subject to the additional tax imposed under Section 409A of the Code, and any ambiguities herein will be interpreted to be so exempt. In no event will the Administrator reimburse Participants for any taxes that may be imposed as result of Section 409A of the Code.</w:t>
      </w:r>
    </w:p>
    <w:p>
      <w:pPr>
        <w:spacing w:after="0" w:line="141" w:lineRule="exact"/>
        <w:rPr>
          <w:sz w:val="20"/>
          <w:szCs w:val="20"/>
          <w:color w:val="auto"/>
        </w:rPr>
      </w:pPr>
    </w:p>
    <w:p>
      <w:pPr>
        <w:ind w:right="160" w:firstLine="1014"/>
        <w:spacing w:after="0" w:line="267"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b w:val="1"/>
          <w:bCs w:val="1"/>
          <w:color w:val="auto"/>
        </w:rPr>
        <w:t>No Effect on Employment</w:t>
      </w:r>
      <w:r>
        <w:rPr>
          <w:rFonts w:ascii="Times New Roman" w:cs="Times New Roman" w:eastAsia="Times New Roman" w:hAnsi="Times New Roman"/>
          <w:sz w:val="15"/>
          <w:szCs w:val="15"/>
          <w:color w:val="auto"/>
        </w:rPr>
        <w:t>. Neither the Plan nor any Target Award shall confer upon a Participant any right with respect to continuing the Participant’s employment with the Company or an Affiliate. Nothing in the Plan shall interfere with or limit in any way the right of the Company or an Affiliate, as applicable, to terminate any Participant’s employment or service at any time, with or without cause. The Company and its Affiliates expressly reserve the right, which may be exercised at any time and without regard to when during or after a Performance Period such exercise occurs, to terminate any individual’s employment with or without cause, and to treat him or her without regard to the effect that such treatment might have upon him or her as a Participant.</w:t>
      </w:r>
    </w:p>
    <w:p>
      <w:pPr>
        <w:spacing w:after="0" w:line="147" w:lineRule="exact"/>
        <w:rPr>
          <w:sz w:val="20"/>
          <w:szCs w:val="20"/>
          <w:color w:val="auto"/>
        </w:rPr>
      </w:pPr>
    </w:p>
    <w:p>
      <w:pPr>
        <w:ind w:right="20" w:firstLine="1014"/>
        <w:spacing w:after="0" w:line="265" w:lineRule="auto"/>
        <w:rPr>
          <w:sz w:val="20"/>
          <w:szCs w:val="20"/>
          <w:color w:val="auto"/>
        </w:rPr>
      </w:pPr>
      <w:r>
        <w:rPr>
          <w:rFonts w:ascii="Times New Roman" w:cs="Times New Roman" w:eastAsia="Times New Roman" w:hAnsi="Times New Roman"/>
          <w:sz w:val="15"/>
          <w:szCs w:val="15"/>
          <w:color w:val="auto"/>
        </w:rPr>
        <w:t xml:space="preserve">6.4 </w:t>
      </w:r>
      <w:r>
        <w:rPr>
          <w:rFonts w:ascii="Times New Roman" w:cs="Times New Roman" w:eastAsia="Times New Roman" w:hAnsi="Times New Roman"/>
          <w:sz w:val="15"/>
          <w:szCs w:val="15"/>
          <w:b w:val="1"/>
          <w:bCs w:val="1"/>
          <w:color w:val="auto"/>
        </w:rPr>
        <w:t>Participation; No Effect on Other Benefits</w:t>
      </w:r>
      <w:r>
        <w:rPr>
          <w:rFonts w:ascii="Times New Roman" w:cs="Times New Roman" w:eastAsia="Times New Roman" w:hAnsi="Times New Roman"/>
          <w:sz w:val="15"/>
          <w:szCs w:val="15"/>
          <w:color w:val="auto"/>
        </w:rPr>
        <w:t>. No Employee shall have the right to be selected to receive an award under the Plan, or, having been so selected, to be selected to receive a future award. Except as expressly set forth in a Participant’s employment agreement with the Company or an Affiliate, any Actual Awards under the Plan shall not be considered for the purpose of calculating any other benefits to which such Participant may be entitled, including (a) any termination, severance, redundancy or end-of-service payments, (b) other bonuses or long-service awards, (c) overtime premiums, (d) pension or retirement benefits or (e) future Base Salary or any other payment to be made by the Company to such Participant. All Participants expressly acknowledge that there is no obligation on the part of the Company to continue the Plan. Any Actual Awards granted under the Plan are not intended to be compensation of a continuing or recurring nature, or part of a Participant’s normal or expected compensation,</w:t>
      </w:r>
    </w:p>
    <w:p>
      <w:pPr>
        <w:spacing w:after="0" w:line="148" w:lineRule="exact"/>
        <w:rPr>
          <w:sz w:val="20"/>
          <w:szCs w:val="20"/>
          <w:color w:val="auto"/>
        </w:rPr>
      </w:pPr>
    </w:p>
    <w:p>
      <w:pPr>
        <w:jc w:val="both"/>
        <w:ind w:right="8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6.5 </w:t>
      </w:r>
      <w:r>
        <w:rPr>
          <w:rFonts w:ascii="Times New Roman" w:cs="Times New Roman" w:eastAsia="Times New Roman" w:hAnsi="Times New Roman"/>
          <w:sz w:val="15"/>
          <w:szCs w:val="15"/>
          <w:b w:val="1"/>
          <w:bCs w:val="1"/>
          <w:color w:val="auto"/>
        </w:rPr>
        <w:t>Successors</w:t>
      </w:r>
      <w:r>
        <w:rPr>
          <w:rFonts w:ascii="Times New Roman" w:cs="Times New Roman" w:eastAsia="Times New Roman" w:hAnsi="Times New Roman"/>
          <w:sz w:val="15"/>
          <w:szCs w:val="15"/>
          <w:color w:val="auto"/>
        </w:rPr>
        <w:t>. All obligations of the Company and any Affiliate under the Plan, with respect to awards granted hereunder, shall be binding on any successor to the Company and/or such Affiliate, whether the existence of such successor is the result of a merger, consolidation, direct or indirect purchase of all or substantially all of the business or assets of the Company or such Affiliate, or any similar transaction.</w:t>
      </w:r>
    </w:p>
    <w:p>
      <w:pPr>
        <w:spacing w:after="0" w:line="141" w:lineRule="exact"/>
        <w:rPr>
          <w:sz w:val="20"/>
          <w:szCs w:val="20"/>
          <w:color w:val="auto"/>
        </w:rPr>
      </w:pPr>
    </w:p>
    <w:p>
      <w:pPr>
        <w:ind w:firstLine="1014"/>
        <w:spacing w:after="0" w:line="277" w:lineRule="auto"/>
        <w:rPr>
          <w:sz w:val="20"/>
          <w:szCs w:val="20"/>
          <w:color w:val="auto"/>
        </w:rPr>
      </w:pPr>
      <w:r>
        <w:rPr>
          <w:rFonts w:ascii="Times New Roman" w:cs="Times New Roman" w:eastAsia="Times New Roman" w:hAnsi="Times New Roman"/>
          <w:sz w:val="15"/>
          <w:szCs w:val="15"/>
          <w:color w:val="auto"/>
        </w:rPr>
        <w:t xml:space="preserve">6.6 </w:t>
      </w:r>
      <w:r>
        <w:rPr>
          <w:rFonts w:ascii="Times New Roman" w:cs="Times New Roman" w:eastAsia="Times New Roman" w:hAnsi="Times New Roman"/>
          <w:sz w:val="15"/>
          <w:szCs w:val="15"/>
          <w:b w:val="1"/>
          <w:bCs w:val="1"/>
          <w:color w:val="auto"/>
        </w:rPr>
        <w:t>Nontransferability of Awards</w:t>
      </w:r>
      <w:r>
        <w:rPr>
          <w:rFonts w:ascii="Times New Roman" w:cs="Times New Roman" w:eastAsia="Times New Roman" w:hAnsi="Times New Roman"/>
          <w:sz w:val="15"/>
          <w:szCs w:val="15"/>
          <w:color w:val="auto"/>
        </w:rPr>
        <w:t>. No award granted under the Plan shall be sold, transferred, pledged, assigned or otherwise alienated or hypothecated, other than by will, by the laws of descent and distribution or to the limited extent provided in Section 4.5. All rights with respect to an award granted to a Participant shall be available during his or her lifetime only to the Participant.</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20"/>
          </w:cols>
          <w:pgMar w:left="320" w:top="247" w:right="359" w:bottom="1440" w:gutter="0" w:footer="0" w:header="0"/>
        </w:sectPr>
      </w:pPr>
    </w:p>
    <w:bookmarkStart w:id="530" w:name="page531"/>
    <w:bookmarkEnd w:id="530"/>
    <w:p>
      <w:pPr>
        <w:ind w:left="4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7167245" cy="21590"/>
                    </a:xfrm>
                    <a:prstGeom prst="rect">
                      <a:avLst/>
                    </a:prstGeom>
                    <a:noFill/>
                  </pic:spPr>
                </pic:pic>
              </a:graphicData>
            </a:graphic>
          </wp:anchor>
        </w:drawing>
        <w:t>ARTICLE 7. DURATION, AMENDMENT AND TERMINATION</w:t>
      </w:r>
    </w:p>
    <w:p>
      <w:pPr>
        <w:spacing w:after="0" w:line="1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b w:val="1"/>
          <w:bCs w:val="1"/>
          <w:color w:val="auto"/>
        </w:rPr>
        <w:t>Duration of the Plan</w:t>
      </w:r>
      <w:r>
        <w:rPr>
          <w:rFonts w:ascii="Times New Roman" w:cs="Times New Roman" w:eastAsia="Times New Roman" w:hAnsi="Times New Roman"/>
          <w:sz w:val="15"/>
          <w:szCs w:val="15"/>
          <w:color w:val="auto"/>
        </w:rPr>
        <w:t>. The Plan shall remain in effect until terminated pursuant to Section 7.2.</w:t>
      </w:r>
    </w:p>
    <w:p>
      <w:pPr>
        <w:spacing w:after="0" w:line="196" w:lineRule="exact"/>
        <w:rPr>
          <w:sz w:val="20"/>
          <w:szCs w:val="20"/>
          <w:color w:val="auto"/>
        </w:rPr>
      </w:pPr>
    </w:p>
    <w:p>
      <w:pPr>
        <w:jc w:val="both"/>
        <w:ind w:right="120" w:firstLine="1014"/>
        <w:spacing w:after="0" w:line="277"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b w:val="1"/>
          <w:bCs w:val="1"/>
          <w:color w:val="auto"/>
        </w:rPr>
        <w:t>Amendment, Suspension or Termination</w:t>
      </w:r>
      <w:r>
        <w:rPr>
          <w:rFonts w:ascii="Times New Roman" w:cs="Times New Roman" w:eastAsia="Times New Roman" w:hAnsi="Times New Roman"/>
          <w:sz w:val="15"/>
          <w:szCs w:val="15"/>
          <w:color w:val="auto"/>
        </w:rPr>
        <w:t xml:space="preserve">. The Board or the Administrator may amend, suspend or terminate the Plan, or any part thereof, at any time and for any reason;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this Plan may not be suspended or terminated, nor amended in a manner adverse to a Participant for a period of twelve (12) months following a Change in Control of the Company. No award may be granted during any period of suspension or after termination of the Plan.</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ARTICLE 8. LEGAL CONSTRUCTION</w:t>
      </w:r>
    </w:p>
    <w:p>
      <w:pPr>
        <w:spacing w:after="0" w:line="104" w:lineRule="exact"/>
        <w:rPr>
          <w:sz w:val="20"/>
          <w:szCs w:val="20"/>
          <w:color w:val="auto"/>
        </w:rPr>
      </w:pPr>
    </w:p>
    <w:p>
      <w:pPr>
        <w:ind w:firstLine="1014"/>
        <w:spacing w:after="0" w:line="298" w:lineRule="auto"/>
        <w:rPr>
          <w:sz w:val="20"/>
          <w:szCs w:val="20"/>
          <w:color w:val="auto"/>
        </w:rPr>
      </w:pPr>
      <w:r>
        <w:rPr>
          <w:rFonts w:ascii="Times New Roman" w:cs="Times New Roman" w:eastAsia="Times New Roman" w:hAnsi="Times New Roman"/>
          <w:sz w:val="15"/>
          <w:szCs w:val="15"/>
          <w:color w:val="auto"/>
        </w:rPr>
        <w:t xml:space="preserve">8.1 </w:t>
      </w:r>
      <w:r>
        <w:rPr>
          <w:rFonts w:ascii="Times New Roman" w:cs="Times New Roman" w:eastAsia="Times New Roman" w:hAnsi="Times New Roman"/>
          <w:sz w:val="15"/>
          <w:szCs w:val="15"/>
          <w:b w:val="1"/>
          <w:bCs w:val="1"/>
          <w:color w:val="auto"/>
        </w:rPr>
        <w:t>Severability</w:t>
      </w:r>
      <w:r>
        <w:rPr>
          <w:rFonts w:ascii="Times New Roman" w:cs="Times New Roman" w:eastAsia="Times New Roman" w:hAnsi="Times New Roman"/>
          <w:sz w:val="15"/>
          <w:szCs w:val="15"/>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25" w:lineRule="exact"/>
        <w:rPr>
          <w:sz w:val="20"/>
          <w:szCs w:val="20"/>
          <w:color w:val="auto"/>
        </w:rPr>
      </w:pPr>
    </w:p>
    <w:p>
      <w:pPr>
        <w:ind w:right="560" w:firstLine="1014"/>
        <w:spacing w:after="0" w:line="298" w:lineRule="auto"/>
        <w:rPr>
          <w:sz w:val="20"/>
          <w:szCs w:val="20"/>
          <w:color w:val="auto"/>
        </w:rPr>
      </w:pPr>
      <w:r>
        <w:rPr>
          <w:rFonts w:ascii="Times New Roman" w:cs="Times New Roman" w:eastAsia="Times New Roman" w:hAnsi="Times New Roman"/>
          <w:sz w:val="15"/>
          <w:szCs w:val="15"/>
          <w:color w:val="auto"/>
        </w:rPr>
        <w:t xml:space="preserve">8.2 </w:t>
      </w:r>
      <w:r>
        <w:rPr>
          <w:rFonts w:ascii="Times New Roman" w:cs="Times New Roman" w:eastAsia="Times New Roman" w:hAnsi="Times New Roman"/>
          <w:sz w:val="15"/>
          <w:szCs w:val="15"/>
          <w:b w:val="1"/>
          <w:bCs w:val="1"/>
          <w:color w:val="auto"/>
        </w:rPr>
        <w:t>Requirements of Law</w:t>
      </w:r>
      <w:r>
        <w:rPr>
          <w:rFonts w:ascii="Times New Roman" w:cs="Times New Roman" w:eastAsia="Times New Roman" w:hAnsi="Times New Roman"/>
          <w:sz w:val="15"/>
          <w:szCs w:val="15"/>
          <w:color w:val="auto"/>
        </w:rPr>
        <w:t>. The granting of awards under the Plan shall be subject to all applicable laws, rules and regulations, and to such approvals by any governmental agencies or national securities markets as may be required.</w:t>
      </w:r>
    </w:p>
    <w:p>
      <w:pPr>
        <w:spacing w:after="0" w:line="1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 xml:space="preserve">8.3 </w:t>
      </w:r>
      <w:r>
        <w:rPr>
          <w:rFonts w:ascii="Times New Roman" w:cs="Times New Roman" w:eastAsia="Times New Roman" w:hAnsi="Times New Roman"/>
          <w:sz w:val="15"/>
          <w:szCs w:val="15"/>
          <w:b w:val="1"/>
          <w:bCs w:val="1"/>
          <w:color w:val="auto"/>
        </w:rPr>
        <w:t>Captions</w:t>
      </w:r>
      <w:r>
        <w:rPr>
          <w:rFonts w:ascii="Times New Roman" w:cs="Times New Roman" w:eastAsia="Times New Roman" w:hAnsi="Times New Roman"/>
          <w:sz w:val="15"/>
          <w:szCs w:val="15"/>
          <w:color w:val="auto"/>
        </w:rPr>
        <w:t>. Captions are provided herein for convenience only and shall not serve as a basis for interpretation or construction of the Plan.</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180"/>
          </w:cols>
          <w:pgMar w:left="320" w:top="248" w:right="399" w:bottom="1440" w:gutter="0" w:footer="0" w:header="0"/>
        </w:sectPr>
      </w:pPr>
    </w:p>
    <w:bookmarkStart w:id="531" w:name="page532"/>
    <w:bookmarkEnd w:id="531"/>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89535</wp:posOffset>
            </wp:positionV>
            <wp:extent cx="7167245" cy="2222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7167245" cy="22225"/>
                    </a:xfrm>
                    <a:prstGeom prst="rect">
                      <a:avLst/>
                    </a:prstGeom>
                    <a:noFill/>
                  </pic:spPr>
                </pic:pic>
              </a:graphicData>
            </a:graphic>
          </wp:anchor>
        </w:drawing>
        <w:t>APPENDIX 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PERFORMANCE METRICS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Administrator may establish Performance Goals derived from the following metrics, or from such other measures of performance selected by the Administrator from time to time: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Industry-Specific</w:t>
      </w:r>
    </w:p>
    <w:p>
      <w:pPr>
        <w:spacing w:after="0" w:line="116" w:lineRule="exact"/>
        <w:rPr>
          <w:sz w:val="20"/>
          <w:szCs w:val="20"/>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of new product candidates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drug development milestones</w:t>
      </w:r>
    </w:p>
    <w:p>
      <w:pPr>
        <w:spacing w:after="0" w:line="115" w:lineRule="exact"/>
        <w:rPr>
          <w:rFonts w:ascii="Times New Roman" w:cs="Times New Roman" w:eastAsia="Times New Roman" w:hAnsi="Times New Roman"/>
          <w:sz w:val="15"/>
          <w:szCs w:val="15"/>
          <w:color w:val="auto"/>
        </w:rPr>
      </w:pPr>
    </w:p>
    <w:p>
      <w:pPr>
        <w:ind w:left="980" w:right="60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implementation, completion or attainment of measurable objectives with respect to research (including nominating a development candidate, initiating a new discovery program, initiation or completion of preclinical characterization of a product candidate, or initiation or completion of IND-enabling studies)</w:t>
      </w:r>
    </w:p>
    <w:p>
      <w:pPr>
        <w:spacing w:after="0" w:line="51" w:lineRule="exact"/>
        <w:rPr>
          <w:rFonts w:ascii="Times New Roman" w:cs="Times New Roman" w:eastAsia="Times New Roman" w:hAnsi="Times New Roman"/>
          <w:sz w:val="15"/>
          <w:szCs w:val="15"/>
          <w:color w:val="auto"/>
        </w:rPr>
      </w:pPr>
    </w:p>
    <w:p>
      <w:pPr>
        <w:ind w:left="980" w:right="22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 of manufacturing processes (including initiating or completing formulation development work, validating API or drug product processes or achieving certain specifications)</w:t>
      </w:r>
    </w:p>
    <w:p>
      <w:pPr>
        <w:spacing w:after="0" w:line="51" w:lineRule="exact"/>
        <w:rPr>
          <w:rFonts w:ascii="Times New Roman" w:cs="Times New Roman" w:eastAsia="Times New Roman" w:hAnsi="Times New Roman"/>
          <w:sz w:val="15"/>
          <w:szCs w:val="15"/>
          <w:color w:val="auto"/>
        </w:rPr>
      </w:pPr>
    </w:p>
    <w:p>
      <w:pPr>
        <w:ind w:left="980" w:right="22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supply chain achievements (including establishing relationships with manufacturers or suppliers of component materials and/or the Company’s products or product candidates)</w:t>
      </w:r>
    </w:p>
    <w:p>
      <w:pPr>
        <w:spacing w:after="0" w:line="51"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achievements (including initiating clinical studies, initiating or completing enrollment or enrolling particular numbers of subjects in clinical studies)</w:t>
      </w:r>
    </w:p>
    <w:p>
      <w:pPr>
        <w:spacing w:after="0" w:line="115" w:lineRule="exact"/>
        <w:rPr>
          <w:rFonts w:ascii="Times New Roman" w:cs="Times New Roman" w:eastAsia="Times New Roman" w:hAnsi="Times New Roman"/>
          <w:sz w:val="15"/>
          <w:szCs w:val="15"/>
          <w:color w:val="auto"/>
        </w:rPr>
      </w:pPr>
    </w:p>
    <w:p>
      <w:pPr>
        <w:ind w:left="980" w:right="12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completing phases of a clinical study (including the enrollment phase, dose-escalation or dose-expansion phase or announcing or presenting preliminary or final data from clinical studies, in each case, whether on particular timelines or generally)</w:t>
      </w:r>
    </w:p>
    <w:p>
      <w:pPr>
        <w:spacing w:after="0" w:line="51" w:lineRule="exact"/>
        <w:rPr>
          <w:rFonts w:ascii="Times New Roman" w:cs="Times New Roman" w:eastAsia="Times New Roman" w:hAnsi="Times New Roman"/>
          <w:sz w:val="15"/>
          <w:szCs w:val="15"/>
          <w:color w:val="auto"/>
        </w:rPr>
      </w:pPr>
    </w:p>
    <w:p>
      <w:pPr>
        <w:ind w:left="980" w:right="34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achievements (including submitting or filing applications or other documents with regulatory authorities, or clearing or receiving approval of any such applications or other documents)</w:t>
      </w:r>
    </w:p>
    <w:p>
      <w:pPr>
        <w:spacing w:after="0" w:line="51" w:lineRule="exact"/>
        <w:rPr>
          <w:rFonts w:ascii="Times New Roman" w:cs="Times New Roman" w:eastAsia="Times New Roman" w:hAnsi="Times New Roman"/>
          <w:sz w:val="15"/>
          <w:szCs w:val="15"/>
          <w:color w:val="auto"/>
        </w:rPr>
      </w:pPr>
    </w:p>
    <w:p>
      <w:pPr>
        <w:ind w:left="980" w:right="34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passing pre-approval inspections (whether of the Company or the Company’s third-party manufacturer, if any) and achieving or maintaining other quality-related regulatory requirements</w:t>
      </w:r>
    </w:p>
    <w:p>
      <w:pPr>
        <w:spacing w:after="0" w:line="51"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 of new products or approvals of existing products in new indications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share</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 and/or reimbursement approval</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revenue growth or product revenue growth</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acquisitions of assets or intellectual property</w:t>
      </w:r>
    </w:p>
    <w:p>
      <w:pPr>
        <w:spacing w:after="0" w:line="115" w:lineRule="exact"/>
        <w:rPr>
          <w:rFonts w:ascii="Times New Roman" w:cs="Times New Roman" w:eastAsia="Times New Roman" w:hAnsi="Times New Roman"/>
          <w:sz w:val="15"/>
          <w:szCs w:val="15"/>
          <w:color w:val="auto"/>
        </w:rPr>
      </w:pPr>
    </w:p>
    <w:p>
      <w:pPr>
        <w:ind w:left="980" w:right="26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partnerships or transactions (including in-licensing and out-licensing of intellectual property, whether in a particular jurisdiction or territory or globally or through partnering transactions)</w:t>
      </w:r>
    </w:p>
    <w:p>
      <w:pPr>
        <w:spacing w:after="0" w:line="51" w:lineRule="exact"/>
        <w:rPr>
          <w:rFonts w:ascii="Times New Roman" w:cs="Times New Roman" w:eastAsia="Times New Roman" w:hAnsi="Times New Roman"/>
          <w:sz w:val="15"/>
          <w:szCs w:val="15"/>
          <w:color w:val="auto"/>
        </w:rPr>
      </w:pPr>
    </w:p>
    <w:p>
      <w:pPr>
        <w:ind w:left="980" w:right="200" w:hanging="434"/>
        <w:spacing w:after="0" w:line="293" w:lineRule="auto"/>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relationships with commercial entities with respect to the marketing, distribution and sale of the Company’s products (including with group purchasing organizations, distributors and other vendors)</w:t>
      </w:r>
    </w:p>
    <w:p>
      <w:pPr>
        <w:spacing w:after="0" w:line="51"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or licenses of the Company’s assets, including its intellectual property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Financial</w:t>
      </w:r>
    </w:p>
    <w:p>
      <w:pPr>
        <w:spacing w:after="0" w:line="116" w:lineRule="exact"/>
        <w:rPr>
          <w:sz w:val="20"/>
          <w:szCs w:val="20"/>
          <w:color w:val="auto"/>
        </w:rPr>
      </w:pPr>
    </w:p>
    <w:p>
      <w:pPr>
        <w:ind w:left="980" w:hanging="434"/>
        <w:spacing w:after="0"/>
        <w:tabs>
          <w:tab w:leader="none" w:pos="980" w:val="left"/>
        </w:tabs>
        <w:numPr>
          <w:ilvl w:val="0"/>
          <w:numId w:val="4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appreciation in and/or maintenance of any publicly-traded securities of the Company</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flow, cash balance or cash flow per share (before or after dividends)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flow return on investment</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margin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40"/>
          </w:cols>
          <w:pgMar w:left="320" w:top="248" w:right="339" w:bottom="1440" w:gutter="0" w:footer="0" w:header="0"/>
        </w:sectPr>
      </w:pPr>
    </w:p>
    <w:bookmarkStart w:id="532" w:name="page533"/>
    <w:bookmarkEnd w:id="532"/>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7167245" cy="22225"/>
                    </a:xfrm>
                    <a:prstGeom prst="rect">
                      <a:avLst/>
                    </a:prstGeom>
                    <a:noFill/>
                  </pic:spPr>
                </pic:pic>
              </a:graphicData>
            </a:graphic>
          </wp:anchor>
        </w:drawing>
        <w:t>comparisons with various stock market indices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debt reduction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earnings or loss per share</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earnings or losses (including earnings or losses before taxes, before interest and taxes, or before interest, taxes, depreciation and amortization)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value added (or an equivalent metric)</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expense or cost reduction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ratios, including those measuring liquidity, activity, profitability or leverage</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financing and other capital raising transactions (including sales of the Company’s equity or debt securities)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gross margin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gross profits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improvement in or attainment of expense levels or working capital levels, including cash, inventory and accounts receivable</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or loss (before or after taxes)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operating income or profits, before or after tax</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sales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cash flow or other operating efficiencies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income (before or after taxes)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operating margin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stockholder return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working capital</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year-end cash</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price</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stockholders’ equity</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reductions in costs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return on assets, net assets, investment or capital employed (including return on total capital or return on invested capital)</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return on equity or average stockholders’ equity</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return on operating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Organizational</w:t>
      </w:r>
    </w:p>
    <w:p>
      <w:pPr>
        <w:spacing w:after="0" w:line="116" w:lineRule="exact"/>
        <w:rPr>
          <w:sz w:val="20"/>
          <w:szCs w:val="20"/>
          <w:color w:val="auto"/>
        </w:rPr>
      </w:pPr>
    </w:p>
    <w:p>
      <w:pPr>
        <w:ind w:left="980" w:hanging="434"/>
        <w:spacing w:after="0"/>
        <w:tabs>
          <w:tab w:leader="none" w:pos="980" w:val="left"/>
        </w:tabs>
        <w:numPr>
          <w:ilvl w:val="0"/>
          <w:numId w:val="4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satisfaction</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survey results</w:t>
      </w:r>
    </w:p>
    <w:p>
      <w:pPr>
        <w:spacing w:after="0" w:line="115" w:lineRule="exact"/>
        <w:rPr>
          <w:rFonts w:ascii="Times New Roman" w:cs="Times New Roman" w:eastAsia="Times New Roman" w:hAnsi="Times New Roman"/>
          <w:sz w:val="15"/>
          <w:szCs w:val="15"/>
          <w:color w:val="auto"/>
        </w:rPr>
      </w:pPr>
    </w:p>
    <w:p>
      <w:pPr>
        <w:ind w:left="980" w:hanging="434"/>
        <w:spacing w:after="0"/>
        <w:tabs>
          <w:tab w:leader="none" w:pos="980" w:val="left"/>
        </w:tabs>
        <w:numPr>
          <w:ilvl w:val="0"/>
          <w:numId w:val="4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recruiting and maintaining personnel</w:t>
      </w:r>
    </w:p>
    <w:p>
      <w:pPr>
        <w:spacing w:after="0" w:line="1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color w:val="auto"/>
        </w:rPr>
        <w:t>In the areas of development, regulatory progress and commercialization, the achievements described above performed by a third party with which the Company has a licensing or collaborative agreement (a “Partner”) may apply to the Company, if so determined by the Administrator. For example, if a Partner accomplishes development milestones, regulatory achievements, commercialization or sales targets with an asset within a program that is a subject of the licensing or collaboration agreement between the Company and the Partner, then such Partner’s accomplishments may constitute achievements of the Company.</w:t>
      </w:r>
    </w:p>
    <w:p>
      <w:pPr>
        <w:spacing w:after="0" w:line="15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5"/>
          <w:szCs w:val="15"/>
          <w:color w:val="auto"/>
        </w:rPr>
        <w:t>Performance Goals may be based solely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w:t>
      </w:r>
    </w:p>
    <w:p>
      <w:pPr>
        <w:spacing w:after="0" w:line="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120"/>
          </w:cols>
          <w:pgMar w:left="320" w:top="252" w:right="459" w:bottom="1440" w:gutter="0" w:footer="0" w:header="0"/>
        </w:sectPr>
      </w:pPr>
    </w:p>
    <w:bookmarkStart w:id="533" w:name="page534"/>
    <w:bookmarkEnd w:id="533"/>
    <w:p>
      <w:pPr>
        <w:jc w:val="both"/>
        <w:ind w:left="8" w:right="320"/>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167245" cy="2222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7167245" cy="22225"/>
                    </a:xfrm>
                    <a:prstGeom prst="rect">
                      <a:avLst/>
                    </a:prstGeom>
                    <a:noFill/>
                  </pic:spPr>
                </pic:pic>
              </a:graphicData>
            </a:graphic>
          </wp:anchor>
        </w:drawing>
        <w:t>The Administrator may adjust the results under any performance criterion to exclude any of the following events that occurs during a performance measurement period: (a) asset write-downs, (b) litigation, claims, judgments or settlements, (c) the effect of changes in tax law, accounting principles or other such laws or provisions affecting reported results,</w:t>
      </w:r>
    </w:p>
    <w:p>
      <w:pPr>
        <w:spacing w:after="0" w:line="1" w:lineRule="exact"/>
        <w:rPr>
          <w:sz w:val="20"/>
          <w:szCs w:val="20"/>
          <w:color w:val="auto"/>
        </w:rPr>
      </w:pPr>
    </w:p>
    <w:p>
      <w:pPr>
        <w:ind w:left="8" w:right="160" w:hanging="8"/>
        <w:spacing w:after="0" w:line="273" w:lineRule="auto"/>
        <w:tabs>
          <w:tab w:leader="none" w:pos="225" w:val="left"/>
        </w:tabs>
        <w:numPr>
          <w:ilvl w:val="0"/>
          <w:numId w:val="4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accruals for reorganization and restructuring programs, (e) any extraordinary, unusual or non-recurring items, (f) exchange rate effects for non-U.S. dollar denominated net sales and operating earnings or (g) statutory adjustments to corporate tax rates.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Any Performance Goal used may be measured (a) in absolute terms, (b) in relative terms, including (without limitation) the passage of time and/or against other companies or metrics,</w:t>
      </w:r>
    </w:p>
    <w:p>
      <w:pPr>
        <w:spacing w:after="0" w:line="26" w:lineRule="exact"/>
        <w:rPr>
          <w:sz w:val="20"/>
          <w:szCs w:val="20"/>
          <w:color w:val="auto"/>
        </w:rPr>
      </w:pPr>
    </w:p>
    <w:p>
      <w:pPr>
        <w:ind w:left="8" w:right="160" w:hanging="8"/>
        <w:spacing w:after="0" w:line="273" w:lineRule="auto"/>
        <w:tabs>
          <w:tab w:leader="none" w:pos="217" w:val="left"/>
        </w:tabs>
        <w:numPr>
          <w:ilvl w:val="0"/>
          <w:numId w:val="4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per-share basis, (d) against the performance of the Company as a whole or against particular segments or products of the Company and/or (e) on a pre-tax or after-tax basis. Any Performance Goal may be measured on a basis other than generally accepted accounting principles.</w:t>
      </w:r>
    </w:p>
    <w:p>
      <w:pPr>
        <w:spacing w:after="0" w:line="8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28"/>
          </w:cols>
          <w:pgMar w:left="312" w:top="252" w:right="359" w:bottom="1440" w:gutter="0" w:footer="0" w:header="0"/>
        </w:sectPr>
      </w:pPr>
    </w:p>
    <w:bookmarkStart w:id="534" w:name="page535"/>
    <w:bookmarkEnd w:id="534"/>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20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We consent to the reference to our firm under the caption “Experts” and to the use of our report dated August 7, 2020 (except for the retroactive effect of the 1-for-7.4276 reverse stock split as described in the second paragraph of Note 1(a), as to which the date is October 9, 2020), in Amendment No. 1 to the Registration Statement (Form S-1 No. 333-249076) and related Prospectus of Tarsus Pharmaceuticals, Inc. for the registration of 5,000,000 shares of its common stock.</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Irvine,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October 9, 2020</w:t>
      </w:r>
    </w:p>
    <w:sectPr>
      <w:pgSz w:w="11900" w:h="16838" w:orient="portrait"/>
      <w:cols w:equalWidth="0" w:num="1">
        <w:col w:w="9400"/>
      </w:cols>
      <w:pgMar w:left="1240" w:top="12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053B16"/>
    <w:multiLevelType w:val="hybridMultilevel"/>
    <w:lvl w:ilvl="0">
      <w:lvlJc w:val="left"/>
      <w:lvlText w:val="(%1)"/>
      <w:numFmt w:val="decimal"/>
      <w:start w:val="1"/>
    </w:lvl>
  </w:abstractNum>
  <w:abstractNum w:abstractNumId="1">
    <w:nsid w:val="4F294393"/>
    <w:multiLevelType w:val="hybridMultilevel"/>
    <w:lvl w:ilvl="0">
      <w:lvlJc w:val="left"/>
      <w:lvlText w:val="(%1)"/>
      <w:numFmt w:val="decimal"/>
      <w:start w:val="1"/>
    </w:lvl>
  </w:abstractNum>
  <w:abstractNum w:abstractNumId="2">
    <w:nsid w:val="5243BFAC"/>
    <w:multiLevelType w:val="hybridMultilevel"/>
    <w:lvl w:ilvl="0">
      <w:lvlJc w:val="left"/>
      <w:lvlText w:val="*"/>
      <w:numFmt w:val="bullet"/>
      <w:start w:val="1"/>
    </w:lvl>
  </w:abstractNum>
  <w:abstractNum w:abstractNumId="3">
    <w:nsid w:val="425EB207"/>
    <w:multiLevelType w:val="hybridMultilevel"/>
    <w:lvl w:ilvl="0">
      <w:lvlJc w:val="left"/>
      <w:lvlText w:val="**"/>
      <w:numFmt w:val="bullet"/>
      <w:start w:val="1"/>
    </w:lvl>
  </w:abstractNum>
  <w:abstractNum w:abstractNumId="4">
    <w:nsid w:val="334A6F1F"/>
    <w:multiLevelType w:val="hybridMultilevel"/>
    <w:lvl w:ilvl="0">
      <w:lvlJc w:val="left"/>
      <w:lvlText w:val="***"/>
      <w:numFmt w:val="bullet"/>
      <w:start w:val="1"/>
    </w:lvl>
  </w:abstractNum>
  <w:abstractNum w:abstractNumId="5">
    <w:nsid w:val="2E5B12B8"/>
    <w:multiLevelType w:val="hybridMultilevel"/>
    <w:lvl w:ilvl="0">
      <w:lvlJc w:val="left"/>
      <w:lvlText w:val="†"/>
      <w:numFmt w:val="bullet"/>
      <w:start w:val="1"/>
    </w:lvl>
  </w:abstractNum>
  <w:abstractNum w:abstractNumId="6">
    <w:nsid w:val="5C03D76D"/>
    <w:multiLevelType w:val="hybridMultilevel"/>
    <w:lvl w:ilvl="0">
      <w:lvlJc w:val="left"/>
      <w:lvlText w:val="††"/>
      <w:numFmt w:val="bullet"/>
      <w:start w:val="1"/>
    </w:lvl>
  </w:abstractNum>
  <w:abstractNum w:abstractNumId="7">
    <w:nsid w:val="66A48D11"/>
    <w:multiLevelType w:val="hybridMultilevel"/>
    <w:lvl w:ilvl="0">
      <w:lvlJc w:val="left"/>
      <w:lvlText w:val="*"/>
      <w:numFmt w:val="bullet"/>
      <w:start w:val="1"/>
    </w:lvl>
  </w:abstractNum>
  <w:abstractNum w:abstractNumId="8">
    <w:nsid w:val="56C28E34"/>
    <w:multiLevelType w:val="hybridMultilevel"/>
    <w:lvl w:ilvl="0">
      <w:lvlJc w:val="left"/>
      <w:lvlText w:val="**"/>
      <w:numFmt w:val="bullet"/>
      <w:start w:val="1"/>
    </w:lvl>
  </w:abstractNum>
  <w:abstractNum w:abstractNumId="9">
    <w:nsid w:val="13916F2D"/>
    <w:multiLevelType w:val="hybridMultilevel"/>
    <w:lvl w:ilvl="0">
      <w:lvlJc w:val="left"/>
      <w:lvlText w:val="†"/>
      <w:numFmt w:val="bullet"/>
      <w:start w:val="1"/>
    </w:lvl>
  </w:abstractNum>
  <w:abstractNum w:abstractNumId="10">
    <w:nsid w:val="435D38D"/>
    <w:multiLevelType w:val="hybridMultilevel"/>
    <w:lvl w:ilvl="0">
      <w:lvlJc w:val="left"/>
      <w:lvlText w:val="††"/>
      <w:numFmt w:val="bullet"/>
      <w:start w:val="1"/>
    </w:lvl>
  </w:abstractNum>
  <w:abstractNum w:abstractNumId="11">
    <w:nsid w:val="822C0EF"/>
    <w:multiLevelType w:val="hybridMultilevel"/>
    <w:lvl w:ilvl="0">
      <w:lvlJc w:val="left"/>
      <w:lvlText w:val="•"/>
      <w:numFmt w:val="bullet"/>
      <w:start w:val="1"/>
    </w:lvl>
    <w:lvl w:ilvl="1">
      <w:lvlJc w:val="left"/>
      <w:lvlText w:val="-"/>
      <w:numFmt w:val="bullet"/>
      <w:start w:val="1"/>
    </w:lvl>
  </w:abstractNum>
  <w:abstractNum w:abstractNumId="12">
    <w:nsid w:val="57C5BB4F"/>
    <w:multiLevelType w:val="hybridMultilevel"/>
    <w:lvl w:ilvl="0">
      <w:lvlJc w:val="left"/>
      <w:lvlText w:val="•"/>
      <w:numFmt w:val="bullet"/>
      <w:start w:val="1"/>
    </w:lvl>
  </w:abstractNum>
  <w:abstractNum w:abstractNumId="13">
    <w:nsid w:val="1803D089"/>
    <w:multiLevelType w:val="hybridMultilevel"/>
    <w:lvl w:ilvl="0">
      <w:lvlJc w:val="left"/>
      <w:lvlText w:val="•"/>
      <w:numFmt w:val="bullet"/>
      <w:start w:val="1"/>
    </w:lvl>
    <w:lvl w:ilvl="1">
      <w:lvlJc w:val="left"/>
      <w:lvlText w:val="-"/>
      <w:numFmt w:val="bullet"/>
      <w:start w:val="1"/>
    </w:lvl>
  </w:abstractNum>
  <w:abstractNum w:abstractNumId="14">
    <w:nsid w:val="4F3A06D4"/>
    <w:multiLevelType w:val="hybridMultilevel"/>
    <w:lvl w:ilvl="0">
      <w:lvlJc w:val="left"/>
      <w:lvlText w:val="•"/>
      <w:numFmt w:val="bullet"/>
      <w:start w:val="1"/>
    </w:lvl>
    <w:lvl w:ilvl="1">
      <w:lvlJc w:val="left"/>
      <w:lvlText w:val="-"/>
      <w:numFmt w:val="bullet"/>
      <w:start w:val="1"/>
    </w:lvl>
  </w:abstractNum>
  <w:abstractNum w:abstractNumId="15">
    <w:nsid w:val="59A377B6"/>
    <w:multiLevelType w:val="hybridMultilevel"/>
    <w:lvl w:ilvl="0">
      <w:lvlJc w:val="left"/>
      <w:lvlText w:val="•"/>
      <w:numFmt w:val="bullet"/>
      <w:start w:val="1"/>
    </w:lvl>
  </w:abstractNum>
  <w:abstractNum w:abstractNumId="16">
    <w:nsid w:val="48AEB063"/>
    <w:multiLevelType w:val="hybridMultilevel"/>
    <w:lvl w:ilvl="0">
      <w:lvlJc w:val="left"/>
      <w:lvlText w:val="•"/>
      <w:numFmt w:val="bullet"/>
      <w:start w:val="1"/>
    </w:lvl>
  </w:abstractNum>
  <w:abstractNum w:abstractNumId="17">
    <w:nsid w:val="24E135"/>
    <w:multiLevelType w:val="hybridMultilevel"/>
    <w:lvl w:ilvl="0">
      <w:lvlJc w:val="left"/>
      <w:lvlText w:val="•"/>
      <w:numFmt w:val="bullet"/>
      <w:start w:val="1"/>
    </w:lvl>
  </w:abstractNum>
  <w:abstractNum w:abstractNumId="18">
    <w:nsid w:val="BB13C1"/>
    <w:multiLevelType w:val="hybridMultilevel"/>
    <w:lvl w:ilvl="0">
      <w:lvlJc w:val="left"/>
      <w:lvlText w:val="•"/>
      <w:numFmt w:val="bullet"/>
      <w:start w:val="1"/>
    </w:lvl>
    <w:lvl w:ilvl="1">
      <w:lvlJc w:val="left"/>
      <w:lvlText w:val="-"/>
      <w:numFmt w:val="bullet"/>
      <w:start w:val="1"/>
    </w:lvl>
  </w:abstractNum>
  <w:abstractNum w:abstractNumId="19">
    <w:nsid w:val="271210C7"/>
    <w:multiLevelType w:val="hybridMultilevel"/>
    <w:lvl w:ilvl="0">
      <w:lvlJc w:val="left"/>
      <w:lvlText w:val="(%1)"/>
      <w:numFmt w:val="decimal"/>
      <w:start w:val="1"/>
    </w:lvl>
  </w:abstractNum>
  <w:abstractNum w:abstractNumId="20">
    <w:nsid w:val="217B22E4"/>
    <w:multiLevelType w:val="hybridMultilevel"/>
    <w:lvl w:ilvl="0">
      <w:lvlJc w:val="left"/>
      <w:lvlText w:val="•"/>
      <w:numFmt w:val="bullet"/>
      <w:start w:val="1"/>
    </w:lvl>
  </w:abstractNum>
  <w:abstractNum w:abstractNumId="21">
    <w:nsid w:val="53E31A24"/>
    <w:multiLevelType w:val="hybridMultilevel"/>
    <w:lvl w:ilvl="0">
      <w:lvlJc w:val="left"/>
      <w:lvlText w:val="(%1)"/>
      <w:numFmt w:val="decimal"/>
      <w:start w:val="1"/>
    </w:lvl>
    <w:lvl w:ilvl="1">
      <w:lvlJc w:val="left"/>
      <w:lvlText w:val="-"/>
      <w:numFmt w:val="bullet"/>
      <w:start w:val="1"/>
    </w:lvl>
  </w:abstractNum>
  <w:abstractNum w:abstractNumId="22">
    <w:nsid w:val="6DC45E83"/>
    <w:multiLevelType w:val="hybridMultilevel"/>
    <w:lvl w:ilvl="0">
      <w:lvlJc w:val="left"/>
      <w:lvlText w:val="•"/>
      <w:numFmt w:val="bullet"/>
      <w:start w:val="1"/>
    </w:lvl>
    <w:lvl w:ilvl="1">
      <w:lvlJc w:val="left"/>
      <w:lvlText w:val="-"/>
      <w:numFmt w:val="bullet"/>
      <w:start w:val="1"/>
    </w:lvl>
  </w:abstractNum>
  <w:abstractNum w:abstractNumId="23">
    <w:nsid w:val="17304A67"/>
    <w:multiLevelType w:val="hybridMultilevel"/>
    <w:lvl w:ilvl="0">
      <w:lvlJc w:val="left"/>
      <w:lvlText w:val="•"/>
      <w:numFmt w:val="bullet"/>
      <w:start w:val="1"/>
    </w:lvl>
  </w:abstractNum>
  <w:abstractNum w:abstractNumId="24">
    <w:nsid w:val="2BB180D8"/>
    <w:multiLevelType w:val="hybridMultilevel"/>
    <w:lvl w:ilvl="0">
      <w:lvlJc w:val="left"/>
      <w:lvlText w:val="•"/>
      <w:numFmt w:val="bullet"/>
      <w:start w:val="1"/>
    </w:lvl>
  </w:abstractNum>
  <w:abstractNum w:abstractNumId="25">
    <w:nsid w:val="556B69ED"/>
    <w:multiLevelType w:val="hybridMultilevel"/>
    <w:lvl w:ilvl="0">
      <w:lvlJc w:val="left"/>
      <w:lvlText w:val="•"/>
      <w:numFmt w:val="bullet"/>
      <w:start w:val="1"/>
    </w:lvl>
  </w:abstractNum>
  <w:abstractNum w:abstractNumId="26">
    <w:nsid w:val="70836196"/>
    <w:multiLevelType w:val="hybridMultilevel"/>
    <w:lvl w:ilvl="0">
      <w:lvlJc w:val="left"/>
      <w:lvlText w:val="•"/>
      <w:numFmt w:val="bullet"/>
      <w:start w:val="1"/>
    </w:lvl>
    <w:lvl w:ilvl="1">
      <w:lvlJc w:val="left"/>
      <w:lvlText w:val="-"/>
      <w:numFmt w:val="bullet"/>
      <w:start w:val="1"/>
    </w:lvl>
  </w:abstractNum>
  <w:abstractNum w:abstractNumId="27">
    <w:nsid w:val="539F7F12"/>
    <w:multiLevelType w:val="hybridMultilevel"/>
    <w:lvl w:ilvl="0">
      <w:lvlJc w:val="left"/>
      <w:lvlText w:val="•"/>
      <w:numFmt w:val="bullet"/>
      <w:start w:val="1"/>
    </w:lvl>
  </w:abstractNum>
  <w:abstractNum w:abstractNumId="28">
    <w:nsid w:val="2817E7EC"/>
    <w:multiLevelType w:val="hybridMultilevel"/>
    <w:lvl w:ilvl="0">
      <w:lvlJc w:val="left"/>
      <w:lvlText w:val="•"/>
      <w:numFmt w:val="bullet"/>
      <w:start w:val="1"/>
    </w:lvl>
    <w:lvl w:ilvl="1">
      <w:lvlJc w:val="left"/>
      <w:lvlText w:val="-"/>
      <w:numFmt w:val="bullet"/>
      <w:start w:val="1"/>
    </w:lvl>
  </w:abstractNum>
  <w:abstractNum w:abstractNumId="29">
    <w:nsid w:val="71482545"/>
    <w:multiLevelType w:val="hybridMultilevel"/>
    <w:lvl w:ilvl="0">
      <w:lvlJc w:val="left"/>
      <w:lvlText w:val="•"/>
      <w:numFmt w:val="bullet"/>
      <w:start w:val="1"/>
    </w:lvl>
  </w:abstractNum>
  <w:abstractNum w:abstractNumId="30">
    <w:nsid w:val="17D78639"/>
    <w:multiLevelType w:val="hybridMultilevel"/>
    <w:lvl w:ilvl="0">
      <w:lvlJc w:val="left"/>
      <w:lvlText w:val="•"/>
      <w:numFmt w:val="bullet"/>
      <w:start w:val="1"/>
    </w:lvl>
    <w:lvl w:ilvl="1">
      <w:lvlJc w:val="left"/>
      <w:lvlText w:val="-"/>
      <w:numFmt w:val="bullet"/>
      <w:start w:val="1"/>
    </w:lvl>
  </w:abstractNum>
  <w:abstractNum w:abstractNumId="31">
    <w:nsid w:val="141D2302"/>
    <w:multiLevelType w:val="hybridMultilevel"/>
    <w:lvl w:ilvl="0">
      <w:lvlJc w:val="left"/>
      <w:lvlText w:val="•"/>
      <w:numFmt w:val="bullet"/>
      <w:start w:val="1"/>
    </w:lvl>
    <w:lvl w:ilvl="1">
      <w:lvlJc w:val="left"/>
      <w:lvlText w:val="-"/>
      <w:numFmt w:val="bullet"/>
      <w:start w:val="1"/>
    </w:lvl>
  </w:abstractNum>
  <w:abstractNum w:abstractNumId="32">
    <w:nsid w:val="407168D8"/>
    <w:multiLevelType w:val="hybridMultilevel"/>
    <w:lvl w:ilvl="0">
      <w:lvlJc w:val="left"/>
      <w:lvlText w:val="•"/>
      <w:numFmt w:val="bullet"/>
      <w:start w:val="1"/>
    </w:lvl>
  </w:abstractNum>
  <w:abstractNum w:abstractNumId="33">
    <w:nsid w:val="6A1B45E5"/>
    <w:multiLevelType w:val="hybridMultilevel"/>
    <w:lvl w:ilvl="0">
      <w:lvlJc w:val="left"/>
      <w:lvlText w:val="•"/>
      <w:numFmt w:val="bullet"/>
      <w:start w:val="1"/>
    </w:lvl>
  </w:abstractNum>
  <w:abstractNum w:abstractNumId="34">
    <w:nsid w:val="567BD50A"/>
    <w:multiLevelType w:val="hybridMultilevel"/>
    <w:lvl w:ilvl="0">
      <w:lvlJc w:val="left"/>
      <w:lvlText w:val="•"/>
      <w:numFmt w:val="bullet"/>
      <w:start w:val="1"/>
    </w:lvl>
    <w:lvl w:ilvl="1">
      <w:lvlJc w:val="left"/>
      <w:lvlText w:val="-"/>
      <w:numFmt w:val="bullet"/>
      <w:start w:val="1"/>
    </w:lvl>
  </w:abstractNum>
  <w:abstractNum w:abstractNumId="35">
    <w:nsid w:val="73BBD7F8"/>
    <w:multiLevelType w:val="hybridMultilevel"/>
    <w:lvl w:ilvl="0">
      <w:lvlJc w:val="left"/>
      <w:lvlText w:val="•"/>
      <w:numFmt w:val="bullet"/>
      <w:start w:val="1"/>
    </w:lvl>
  </w:abstractNum>
  <w:abstractNum w:abstractNumId="36">
    <w:nsid w:val="1876589D"/>
    <w:multiLevelType w:val="hybridMultilevel"/>
    <w:lvl w:ilvl="0">
      <w:lvlJc w:val="left"/>
      <w:lvlText w:val="•"/>
      <w:numFmt w:val="bullet"/>
      <w:start w:val="1"/>
    </w:lvl>
  </w:abstractNum>
  <w:abstractNum w:abstractNumId="37">
    <w:nsid w:val="327FAC77"/>
    <w:multiLevelType w:val="hybridMultilevel"/>
    <w:lvl w:ilvl="0">
      <w:lvlJc w:val="left"/>
      <w:lvlText w:val="•"/>
      <w:numFmt w:val="bullet"/>
      <w:start w:val="1"/>
    </w:lvl>
    <w:lvl w:ilvl="1">
      <w:lvlJc w:val="left"/>
      <w:lvlText w:val="-"/>
      <w:numFmt w:val="bullet"/>
      <w:start w:val="1"/>
    </w:lvl>
  </w:abstractNum>
  <w:abstractNum w:abstractNumId="38">
    <w:nsid w:val="5A606509"/>
    <w:multiLevelType w:val="hybridMultilevel"/>
    <w:lvl w:ilvl="0">
      <w:lvlJc w:val="left"/>
      <w:lvlText w:val="•"/>
      <w:numFmt w:val="bullet"/>
      <w:start w:val="1"/>
    </w:lvl>
  </w:abstractNum>
  <w:abstractNum w:abstractNumId="39">
    <w:nsid w:val="6F38E6D1"/>
    <w:multiLevelType w:val="hybridMultilevel"/>
    <w:lvl w:ilvl="0">
      <w:lvlJc w:val="left"/>
      <w:lvlText w:val="•"/>
      <w:numFmt w:val="bullet"/>
      <w:start w:val="1"/>
    </w:lvl>
    <w:lvl w:ilvl="1">
      <w:lvlJc w:val="left"/>
      <w:lvlText w:val="-"/>
      <w:numFmt w:val="bullet"/>
      <w:start w:val="1"/>
    </w:lvl>
  </w:abstractNum>
  <w:abstractNum w:abstractNumId="40">
    <w:nsid w:val="46111BA5"/>
    <w:multiLevelType w:val="hybridMultilevel"/>
    <w:lvl w:ilvl="0">
      <w:lvlJc w:val="left"/>
      <w:lvlText w:val="•"/>
      <w:numFmt w:val="bullet"/>
      <w:start w:val="1"/>
    </w:lvl>
  </w:abstractNum>
  <w:abstractNum w:abstractNumId="41">
    <w:nsid w:val="5E963896"/>
    <w:multiLevelType w:val="hybridMultilevel"/>
    <w:lvl w:ilvl="0">
      <w:lvlJc w:val="left"/>
      <w:lvlText w:val="•"/>
      <w:numFmt w:val="bullet"/>
      <w:start w:val="1"/>
    </w:lvl>
  </w:abstractNum>
  <w:abstractNum w:abstractNumId="42">
    <w:nsid w:val="775BA7C1"/>
    <w:multiLevelType w:val="hybridMultilevel"/>
    <w:lvl w:ilvl="0">
      <w:lvlJc w:val="left"/>
      <w:lvlText w:val="•"/>
      <w:numFmt w:val="bullet"/>
      <w:start w:val="1"/>
    </w:lvl>
    <w:lvl w:ilvl="1">
      <w:lvlJc w:val="left"/>
      <w:lvlText w:val="-"/>
      <w:numFmt w:val="bullet"/>
      <w:start w:val="1"/>
    </w:lvl>
  </w:abstractNum>
  <w:abstractNum w:abstractNumId="43">
    <w:nsid w:val="1DD6D6F4"/>
    <w:multiLevelType w:val="hybridMultilevel"/>
    <w:lvl w:ilvl="0">
      <w:lvlJc w:val="left"/>
      <w:lvlText w:val="•"/>
      <w:numFmt w:val="bullet"/>
      <w:start w:val="1"/>
    </w:lvl>
  </w:abstractNum>
  <w:abstractNum w:abstractNumId="44">
    <w:nsid w:val="769A091F"/>
    <w:multiLevelType w:val="hybridMultilevel"/>
    <w:lvl w:ilvl="0">
      <w:lvlJc w:val="left"/>
      <w:lvlText w:val="•"/>
      <w:numFmt w:val="bullet"/>
      <w:start w:val="1"/>
    </w:lvl>
    <w:lvl w:ilvl="1">
      <w:lvlJc w:val="left"/>
      <w:lvlText w:val="-"/>
      <w:numFmt w:val="bullet"/>
      <w:start w:val="1"/>
    </w:lvl>
  </w:abstractNum>
  <w:abstractNum w:abstractNumId="45">
    <w:nsid w:val="4695AE95"/>
    <w:multiLevelType w:val="hybridMultilevel"/>
    <w:lvl w:ilvl="0">
      <w:lvlJc w:val="left"/>
      <w:lvlText w:val="•"/>
      <w:numFmt w:val="bullet"/>
      <w:start w:val="1"/>
    </w:lvl>
  </w:abstractNum>
  <w:abstractNum w:abstractNumId="46">
    <w:nsid w:val="777A4EAA"/>
    <w:multiLevelType w:val="hybridMultilevel"/>
    <w:lvl w:ilvl="0">
      <w:lvlJc w:val="left"/>
      <w:lvlText w:val="•"/>
      <w:numFmt w:val="bullet"/>
      <w:start w:val="1"/>
    </w:lvl>
    <w:lvl w:ilvl="1">
      <w:lvlJc w:val="left"/>
      <w:lvlText w:val="-"/>
      <w:numFmt w:val="bullet"/>
      <w:start w:val="1"/>
    </w:lvl>
  </w:abstractNum>
  <w:abstractNum w:abstractNumId="47">
    <w:nsid w:val="3F48B982"/>
    <w:multiLevelType w:val="hybridMultilevel"/>
    <w:lvl w:ilvl="0">
      <w:lvlJc w:val="left"/>
      <w:lvlText w:val="•"/>
      <w:numFmt w:val="bullet"/>
      <w:start w:val="1"/>
    </w:lvl>
  </w:abstractNum>
  <w:abstractNum w:abstractNumId="48">
    <w:nsid w:val="46BA8FCA"/>
    <w:multiLevelType w:val="hybridMultilevel"/>
    <w:lvl w:ilvl="0">
      <w:lvlJc w:val="left"/>
      <w:lvlText w:val="•"/>
      <w:numFmt w:val="bullet"/>
      <w:start w:val="1"/>
    </w:lvl>
    <w:lvl w:ilvl="1">
      <w:lvlJc w:val="left"/>
      <w:lvlText w:val="-"/>
      <w:numFmt w:val="bullet"/>
      <w:start w:val="1"/>
    </w:lvl>
  </w:abstractNum>
  <w:abstractNum w:abstractNumId="49">
    <w:nsid w:val="7835626C"/>
    <w:multiLevelType w:val="hybridMultilevel"/>
    <w:lvl w:ilvl="0">
      <w:lvlJc w:val="left"/>
      <w:lvlText w:val="•"/>
      <w:numFmt w:val="bullet"/>
      <w:start w:val="1"/>
    </w:lvl>
  </w:abstractNum>
  <w:abstractNum w:abstractNumId="50">
    <w:nsid w:val="665ACA49"/>
    <w:multiLevelType w:val="hybridMultilevel"/>
    <w:lvl w:ilvl="0">
      <w:lvlJc w:val="left"/>
      <w:lvlText w:val="•"/>
      <w:numFmt w:val="bullet"/>
      <w:start w:val="1"/>
    </w:lvl>
  </w:abstractNum>
  <w:abstractNum w:abstractNumId="51">
    <w:nsid w:val="6835B2AE"/>
    <w:multiLevelType w:val="hybridMultilevel"/>
    <w:lvl w:ilvl="0">
      <w:lvlJc w:val="left"/>
      <w:lvlText w:val="•"/>
      <w:numFmt w:val="bullet"/>
      <w:start w:val="1"/>
    </w:lvl>
    <w:lvl w:ilvl="1">
      <w:lvlJc w:val="left"/>
      <w:lvlText w:val="-"/>
      <w:numFmt w:val="bullet"/>
      <w:start w:val="1"/>
    </w:lvl>
  </w:abstractNum>
  <w:abstractNum w:abstractNumId="52">
    <w:nsid w:val="4C187C90"/>
    <w:multiLevelType w:val="hybridMultilevel"/>
    <w:lvl w:ilvl="0">
      <w:lvlJc w:val="left"/>
      <w:lvlText w:val="•"/>
      <w:numFmt w:val="bullet"/>
      <w:start w:val="1"/>
    </w:lvl>
    <w:lvl w:ilvl="1">
      <w:lvlJc w:val="left"/>
      <w:lvlText w:val="-"/>
      <w:numFmt w:val="bullet"/>
      <w:start w:val="1"/>
    </w:lvl>
  </w:abstractNum>
  <w:abstractNum w:abstractNumId="53">
    <w:nsid w:val="541F28CD"/>
    <w:multiLevelType w:val="hybridMultilevel"/>
    <w:lvl w:ilvl="0">
      <w:lvlJc w:val="left"/>
      <w:lvlText w:val="•"/>
      <w:numFmt w:val="bullet"/>
      <w:start w:val="1"/>
    </w:lvl>
  </w:abstractNum>
  <w:abstractNum w:abstractNumId="54">
    <w:nsid w:val="7F65FD16"/>
    <w:multiLevelType w:val="hybridMultilevel"/>
    <w:lvl w:ilvl="0">
      <w:lvlJc w:val="left"/>
      <w:lvlText w:val="•"/>
      <w:numFmt w:val="bullet"/>
      <w:start w:val="1"/>
    </w:lvl>
  </w:abstractNum>
  <w:abstractNum w:abstractNumId="55">
    <w:nsid w:val="77C9FD68"/>
    <w:multiLevelType w:val="hybridMultilevel"/>
    <w:lvl w:ilvl="0">
      <w:lvlJc w:val="left"/>
      <w:lvlText w:val="•"/>
      <w:numFmt w:val="bullet"/>
      <w:start w:val="1"/>
    </w:lvl>
  </w:abstractNum>
  <w:abstractNum w:abstractNumId="56">
    <w:nsid w:val="298A92BA"/>
    <w:multiLevelType w:val="hybridMultilevel"/>
    <w:lvl w:ilvl="0">
      <w:lvlJc w:val="left"/>
      <w:lvlText w:val="•"/>
      <w:numFmt w:val="bullet"/>
      <w:start w:val="1"/>
    </w:lvl>
    <w:lvl w:ilvl="1">
      <w:lvlJc w:val="left"/>
      <w:lvlText w:val="-"/>
      <w:numFmt w:val="bullet"/>
      <w:start w:val="1"/>
    </w:lvl>
  </w:abstractNum>
  <w:abstractNum w:abstractNumId="57">
    <w:nsid w:val="6FE95EAC"/>
    <w:multiLevelType w:val="hybridMultilevel"/>
    <w:lvl w:ilvl="0">
      <w:lvlJc w:val="left"/>
      <w:lvlText w:val="•"/>
      <w:numFmt w:val="bullet"/>
      <w:start w:val="1"/>
    </w:lvl>
  </w:abstractNum>
  <w:abstractNum w:abstractNumId="58">
    <w:nsid w:val="4B697C7A"/>
    <w:multiLevelType w:val="hybridMultilevel"/>
    <w:lvl w:ilvl="0">
      <w:lvlJc w:val="left"/>
      <w:lvlText w:val="•"/>
      <w:numFmt w:val="bullet"/>
      <w:start w:val="1"/>
    </w:lvl>
  </w:abstractNum>
  <w:abstractNum w:abstractNumId="59">
    <w:nsid w:val="51A27AA6"/>
    <w:multiLevelType w:val="hybridMultilevel"/>
    <w:lvl w:ilvl="0">
      <w:lvlJc w:val="left"/>
      <w:lvlText w:val="(%1)"/>
      <w:numFmt w:val="lowerRoman"/>
      <w:start w:val="6"/>
    </w:lvl>
  </w:abstractNum>
  <w:abstractNum w:abstractNumId="60">
    <w:nsid w:val="613183F2"/>
    <w:multiLevelType w:val="hybridMultilevel"/>
    <w:lvl w:ilvl="0">
      <w:lvlJc w:val="left"/>
      <w:lvlText w:val="(%1)"/>
      <w:numFmt w:val="lowerRoman"/>
      <w:start w:val="4"/>
    </w:lvl>
    <w:lvl w:ilvl="1">
      <w:lvlJc w:val="left"/>
      <w:lvlText w:val="-"/>
      <w:numFmt w:val="bullet"/>
      <w:start w:val="1"/>
    </w:lvl>
  </w:abstractNum>
  <w:abstractNum w:abstractNumId="61">
    <w:nsid w:val="634102B4"/>
    <w:multiLevelType w:val="hybridMultilevel"/>
    <w:lvl w:ilvl="0">
      <w:lvlJc w:val="left"/>
      <w:lvlText w:val="•"/>
      <w:numFmt w:val="bullet"/>
      <w:start w:val="1"/>
    </w:lvl>
    <w:lvl w:ilvl="1">
      <w:lvlJc w:val="left"/>
      <w:lvlText w:val="-"/>
      <w:numFmt w:val="bullet"/>
      <w:start w:val="1"/>
    </w:lvl>
  </w:abstractNum>
  <w:abstractNum w:abstractNumId="62">
    <w:nsid w:val="65BF9DA8"/>
    <w:multiLevelType w:val="hybridMultilevel"/>
    <w:lvl w:ilvl="0">
      <w:lvlJc w:val="left"/>
      <w:lvlText w:val="•"/>
      <w:numFmt w:val="bullet"/>
      <w:start w:val="1"/>
    </w:lvl>
    <w:lvl w:ilvl="1">
      <w:lvlJc w:val="left"/>
      <w:lvlText w:val="-"/>
      <w:numFmt w:val="bullet"/>
      <w:start w:val="1"/>
    </w:lvl>
  </w:abstractNum>
  <w:abstractNum w:abstractNumId="63">
    <w:nsid w:val="21A2ECCA"/>
    <w:multiLevelType w:val="hybridMultilevel"/>
    <w:lvl w:ilvl="0">
      <w:lvlJc w:val="left"/>
      <w:lvlText w:val="•"/>
      <w:numFmt w:val="bullet"/>
      <w:start w:val="1"/>
    </w:lvl>
  </w:abstractNum>
  <w:abstractNum w:abstractNumId="64">
    <w:nsid w:val="4D5C4899"/>
    <w:multiLevelType w:val="hybridMultilevel"/>
    <w:lvl w:ilvl="0">
      <w:lvlJc w:val="left"/>
      <w:lvlText w:val="•"/>
      <w:numFmt w:val="bullet"/>
      <w:start w:val="1"/>
    </w:lvl>
  </w:abstractNum>
  <w:abstractNum w:abstractNumId="65">
    <w:nsid w:val="3C3B72B2"/>
    <w:multiLevelType w:val="hybridMultilevel"/>
    <w:lvl w:ilvl="0">
      <w:lvlJc w:val="left"/>
      <w:lvlText w:val="•"/>
      <w:numFmt w:val="bullet"/>
      <w:start w:val="1"/>
    </w:lvl>
    <w:lvl w:ilvl="1">
      <w:lvlJc w:val="left"/>
      <w:lvlText w:val="-"/>
      <w:numFmt w:val="bullet"/>
      <w:start w:val="1"/>
    </w:lvl>
  </w:abstractNum>
  <w:abstractNum w:abstractNumId="66">
    <w:nsid w:val="155EC4C2"/>
    <w:multiLevelType w:val="hybridMultilevel"/>
    <w:lvl w:ilvl="0">
      <w:lvlJc w:val="left"/>
      <w:lvlText w:val="•"/>
      <w:numFmt w:val="bullet"/>
      <w:start w:val="1"/>
    </w:lvl>
    <w:lvl w:ilvl="1">
      <w:lvlJc w:val="left"/>
      <w:lvlText w:val="-"/>
      <w:numFmt w:val="bullet"/>
      <w:start w:val="1"/>
    </w:lvl>
  </w:abstractNum>
  <w:abstractNum w:abstractNumId="67">
    <w:nsid w:val="65D2A137"/>
    <w:multiLevelType w:val="hybridMultilevel"/>
    <w:lvl w:ilvl="0">
      <w:lvlJc w:val="left"/>
      <w:lvlText w:val="•"/>
      <w:numFmt w:val="bullet"/>
      <w:start w:val="1"/>
    </w:lvl>
  </w:abstractNum>
  <w:abstractNum w:abstractNumId="68">
    <w:nsid w:val="6EBB1F2A"/>
    <w:multiLevelType w:val="hybridMultilevel"/>
    <w:lvl w:ilvl="0">
      <w:lvlJc w:val="left"/>
      <w:lvlText w:val="•"/>
      <w:numFmt w:val="bullet"/>
      <w:start w:val="1"/>
    </w:lvl>
  </w:abstractNum>
  <w:abstractNum w:abstractNumId="69">
    <w:nsid w:val="6FBF29CB"/>
    <w:multiLevelType w:val="hybridMultilevel"/>
    <w:lvl w:ilvl="0">
      <w:lvlJc w:val="left"/>
      <w:lvlText w:val="•"/>
      <w:numFmt w:val="bullet"/>
      <w:start w:val="1"/>
    </w:lvl>
  </w:abstractNum>
  <w:abstractNum w:abstractNumId="70">
    <w:nsid w:val="550B8808"/>
    <w:multiLevelType w:val="hybridMultilevel"/>
    <w:lvl w:ilvl="0">
      <w:lvlJc w:val="left"/>
      <w:lvlText w:val="•"/>
      <w:numFmt w:val="bullet"/>
      <w:start w:val="1"/>
    </w:lvl>
    <w:lvl w:ilvl="1">
      <w:lvlJc w:val="left"/>
      <w:lvlText w:val="-"/>
      <w:numFmt w:val="bullet"/>
      <w:start w:val="1"/>
    </w:lvl>
  </w:abstractNum>
  <w:abstractNum w:abstractNumId="71">
    <w:nsid w:val="34CC3ACF"/>
    <w:multiLevelType w:val="hybridMultilevel"/>
    <w:lvl w:ilvl="0">
      <w:lvlJc w:val="left"/>
      <w:lvlText w:val="•"/>
      <w:numFmt w:val="bullet"/>
      <w:start w:val="1"/>
    </w:lvl>
  </w:abstractNum>
  <w:abstractNum w:abstractNumId="72">
    <w:nsid w:val="4E556261"/>
    <w:multiLevelType w:val="hybridMultilevel"/>
    <w:lvl w:ilvl="0">
      <w:lvlJc w:val="left"/>
      <w:lvlText w:val="•"/>
      <w:numFmt w:val="bullet"/>
      <w:start w:val="1"/>
    </w:lvl>
  </w:abstractNum>
  <w:abstractNum w:abstractNumId="73">
    <w:nsid w:val="4C672FC9"/>
    <w:multiLevelType w:val="hybridMultilevel"/>
    <w:lvl w:ilvl="0">
      <w:lvlJc w:val="left"/>
      <w:lvlText w:val="(%1)"/>
      <w:numFmt w:val="lowerRoman"/>
      <w:start w:val="1"/>
    </w:lvl>
    <w:lvl w:ilvl="1">
      <w:lvlJc w:val="left"/>
      <w:lvlText w:val="-"/>
      <w:numFmt w:val="bullet"/>
      <w:start w:val="1"/>
    </w:lvl>
  </w:abstractNum>
  <w:abstractNum w:abstractNumId="74">
    <w:nsid w:val="52A311C3"/>
    <w:multiLevelType w:val="hybridMultilevel"/>
    <w:lvl w:ilvl="0">
      <w:lvlJc w:val="left"/>
      <w:lvlText w:val="(%1)"/>
      <w:numFmt w:val="lowerRoman"/>
      <w:start w:val="4"/>
    </w:lvl>
  </w:abstractNum>
  <w:abstractNum w:abstractNumId="75">
    <w:nsid w:val="44EF6B80"/>
    <w:multiLevelType w:val="hybridMultilevel"/>
    <w:lvl w:ilvl="0">
      <w:lvlJc w:val="left"/>
      <w:lvlText w:val="•"/>
      <w:numFmt w:val="bullet"/>
      <w:start w:val="1"/>
    </w:lvl>
  </w:abstractNum>
  <w:abstractNum w:abstractNumId="76">
    <w:nsid w:val="12FCDE5E"/>
    <w:multiLevelType w:val="hybridMultilevel"/>
    <w:lvl w:ilvl="0">
      <w:lvlJc w:val="left"/>
      <w:lvlText w:val="(%1)"/>
      <w:numFmt w:val="decimal"/>
      <w:start w:val="1"/>
    </w:lvl>
  </w:abstractNum>
  <w:abstractNum w:abstractNumId="77">
    <w:nsid w:val="4A1D606E"/>
    <w:multiLevelType w:val="hybridMultilevel"/>
    <w:lvl w:ilvl="0">
      <w:lvlJc w:val="left"/>
      <w:lvlText w:val="•"/>
      <w:numFmt w:val="bullet"/>
      <w:start w:val="1"/>
    </w:lvl>
    <w:lvl w:ilvl="1">
      <w:lvlJc w:val="left"/>
      <w:lvlText w:val="-"/>
      <w:numFmt w:val="bullet"/>
      <w:start w:val="1"/>
    </w:lvl>
  </w:abstractNum>
  <w:abstractNum w:abstractNumId="78">
    <w:nsid w:val="4382503"/>
    <w:multiLevelType w:val="hybridMultilevel"/>
    <w:lvl w:ilvl="0">
      <w:lvlJc w:val="left"/>
      <w:lvlText w:val="•"/>
      <w:numFmt w:val="bullet"/>
      <w:start w:val="1"/>
    </w:lvl>
    <w:lvl w:ilvl="1">
      <w:lvlJc w:val="left"/>
      <w:lvlText w:val="-"/>
      <w:numFmt w:val="bullet"/>
      <w:start w:val="1"/>
    </w:lvl>
  </w:abstractNum>
  <w:abstractNum w:abstractNumId="79">
    <w:nsid w:val="59B76E28"/>
    <w:multiLevelType w:val="hybridMultilevel"/>
    <w:lvl w:ilvl="0">
      <w:lvlJc w:val="left"/>
      <w:lvlText w:val="•"/>
      <w:numFmt w:val="bullet"/>
      <w:start w:val="1"/>
    </w:lvl>
  </w:abstractNum>
  <w:abstractNum w:abstractNumId="80">
    <w:nsid w:val="4252C2DA"/>
    <w:multiLevelType w:val="hybridMultilevel"/>
    <w:lvl w:ilvl="0">
      <w:lvlJc w:val="left"/>
      <w:lvlText w:val="(%1)"/>
      <w:numFmt w:val="decimal"/>
      <w:start w:val="1"/>
    </w:lvl>
  </w:abstractNum>
  <w:abstractNum w:abstractNumId="81">
    <w:nsid w:val="6A92EF4C"/>
    <w:multiLevelType w:val="hybridMultilevel"/>
    <w:lvl w:ilvl="0">
      <w:lvlJc w:val="left"/>
      <w:lvlText w:val="(%1)"/>
      <w:numFmt w:val="decimal"/>
      <w:start w:val="1"/>
    </w:lvl>
  </w:abstractNum>
  <w:abstractNum w:abstractNumId="82">
    <w:nsid w:val="41ED20D7"/>
    <w:multiLevelType w:val="hybridMultilevel"/>
    <w:lvl w:ilvl="0">
      <w:lvlJc w:val="left"/>
      <w:lvlText w:val="•"/>
      <w:numFmt w:val="bullet"/>
      <w:start w:val="1"/>
    </w:lvl>
  </w:abstractNum>
  <w:abstractNum w:abstractNumId="83">
    <w:nsid w:val="E6B3F6A"/>
    <w:multiLevelType w:val="hybridMultilevel"/>
    <w:lvl w:ilvl="0">
      <w:lvlJc w:val="left"/>
      <w:lvlText w:val="•"/>
      <w:numFmt w:val="bullet"/>
      <w:start w:val="1"/>
    </w:lvl>
  </w:abstractNum>
  <w:abstractNum w:abstractNumId="84">
    <w:nsid w:val="3EB21819"/>
    <w:multiLevelType w:val="hybridMultilevel"/>
    <w:lvl w:ilvl="0">
      <w:lvlJc w:val="left"/>
      <w:lvlText w:val="(%1)"/>
      <w:numFmt w:val="lowerRoman"/>
      <w:start w:val="1"/>
    </w:lvl>
  </w:abstractNum>
  <w:abstractNum w:abstractNumId="85">
    <w:nsid w:val="41531DED"/>
    <w:multiLevelType w:val="hybridMultilevel"/>
    <w:lvl w:ilvl="0">
      <w:lvlJc w:val="left"/>
      <w:lvlText w:val="(%1)"/>
      <w:numFmt w:val="lowerRoman"/>
      <w:start w:val="1"/>
    </w:lvl>
  </w:abstractNum>
  <w:abstractNum w:abstractNumId="86">
    <w:nsid w:val="6353CD2"/>
    <w:multiLevelType w:val="hybridMultilevel"/>
    <w:lvl w:ilvl="0">
      <w:lvlJc w:val="left"/>
      <w:lvlText w:val="•"/>
      <w:numFmt w:val="bullet"/>
      <w:start w:val="1"/>
    </w:lvl>
  </w:abstractNum>
  <w:abstractNum w:abstractNumId="87">
    <w:nsid w:val="683CAAD3"/>
    <w:multiLevelType w:val="hybridMultilevel"/>
    <w:lvl w:ilvl="0">
      <w:lvlJc w:val="left"/>
      <w:lvlText w:val="(%1)"/>
      <w:numFmt w:val="decimal"/>
      <w:start w:val="1"/>
    </w:lvl>
  </w:abstractNum>
  <w:abstractNum w:abstractNumId="88">
    <w:nsid w:val="313C7C99"/>
    <w:multiLevelType w:val="hybridMultilevel"/>
    <w:lvl w:ilvl="0">
      <w:lvlJc w:val="left"/>
      <w:lvlText w:val="(%1)"/>
      <w:numFmt w:val="decimal"/>
      <w:start w:val="1"/>
    </w:lvl>
  </w:abstractNum>
  <w:abstractNum w:abstractNumId="89">
    <w:nsid w:val="519EB94C"/>
    <w:multiLevelType w:val="hybridMultilevel"/>
    <w:lvl w:ilvl="0">
      <w:lvlJc w:val="left"/>
      <w:lvlText w:val="•"/>
      <w:numFmt w:val="bullet"/>
      <w:start w:val="1"/>
    </w:lvl>
  </w:abstractNum>
  <w:abstractNum w:abstractNumId="90">
    <w:nsid w:val="39DF2579"/>
    <w:multiLevelType w:val="hybridMultilevel"/>
    <w:lvl w:ilvl="0">
      <w:lvlJc w:val="left"/>
      <w:lvlText w:val="•"/>
      <w:numFmt w:val="bullet"/>
      <w:start w:val="1"/>
    </w:lvl>
    <w:lvl w:ilvl="1">
      <w:lvlJc w:val="left"/>
      <w:lvlText w:val="-"/>
      <w:numFmt w:val="bullet"/>
      <w:start w:val="1"/>
    </w:lvl>
  </w:abstractNum>
  <w:abstractNum w:abstractNumId="91">
    <w:nsid w:val="126E008B"/>
    <w:multiLevelType w:val="hybridMultilevel"/>
    <w:lvl w:ilvl="0">
      <w:lvlJc w:val="left"/>
      <w:lvlText w:val="•"/>
      <w:numFmt w:val="bullet"/>
      <w:start w:val="1"/>
    </w:lvl>
  </w:abstractNum>
  <w:abstractNum w:abstractNumId="92">
    <w:nsid w:val="34DFBC00"/>
    <w:multiLevelType w:val="hybridMultilevel"/>
    <w:lvl w:ilvl="0">
      <w:lvlJc w:val="left"/>
      <w:lvlText w:val="*"/>
      <w:numFmt w:val="bullet"/>
      <w:start w:val="1"/>
    </w:lvl>
    <w:lvl w:ilvl="1">
      <w:lvlJc w:val="left"/>
      <w:lvlText w:val="-"/>
      <w:numFmt w:val="bullet"/>
      <w:start w:val="1"/>
    </w:lvl>
  </w:abstractNum>
  <w:abstractNum w:abstractNumId="93">
    <w:nsid w:val="1F9EC322"/>
    <w:multiLevelType w:val="hybridMultilevel"/>
    <w:lvl w:ilvl="0">
      <w:lvlJc w:val="left"/>
      <w:lvlText w:val="**"/>
      <w:numFmt w:val="bullet"/>
      <w:start w:val="1"/>
    </w:lvl>
  </w:abstractNum>
  <w:abstractNum w:abstractNumId="94">
    <w:nsid w:val="3410ED56"/>
    <w:multiLevelType w:val="hybridMultilevel"/>
    <w:lvl w:ilvl="0">
      <w:lvlJc w:val="left"/>
      <w:lvlText w:val="***"/>
      <w:numFmt w:val="bullet"/>
      <w:start w:val="1"/>
    </w:lvl>
  </w:abstractNum>
  <w:abstractNum w:abstractNumId="95">
    <w:nsid w:val="23C049A"/>
    <w:multiLevelType w:val="hybridMultilevel"/>
    <w:lvl w:ilvl="0">
      <w:lvlJc w:val="left"/>
      <w:lvlText w:val="†"/>
      <w:numFmt w:val="bullet"/>
      <w:start w:val="1"/>
    </w:lvl>
  </w:abstractNum>
  <w:abstractNum w:abstractNumId="96">
    <w:nsid w:val="5BDA35D4"/>
    <w:multiLevelType w:val="hybridMultilevel"/>
    <w:lvl w:ilvl="0">
      <w:lvlJc w:val="left"/>
      <w:lvlText w:val="††"/>
      <w:numFmt w:val="bullet"/>
      <w:start w:val="1"/>
    </w:lvl>
  </w:abstractNum>
  <w:abstractNum w:abstractNumId="97">
    <w:nsid w:val="496FB218"/>
    <w:multiLevelType w:val="hybridMultilevel"/>
    <w:lvl w:ilvl="0">
      <w:lvlJc w:val="left"/>
      <w:lvlText w:val="*"/>
      <w:numFmt w:val="bullet"/>
      <w:start w:val="1"/>
    </w:lvl>
  </w:abstractNum>
  <w:abstractNum w:abstractNumId="98">
    <w:nsid w:val="680EA5D1"/>
    <w:multiLevelType w:val="hybridMultilevel"/>
    <w:lvl w:ilvl="0">
      <w:lvlJc w:val="left"/>
      <w:lvlText w:val="**"/>
      <w:numFmt w:val="bullet"/>
      <w:start w:val="1"/>
    </w:lvl>
  </w:abstractNum>
  <w:abstractNum w:abstractNumId="99">
    <w:nsid w:val="4A9554FE"/>
    <w:multiLevelType w:val="hybridMultilevel"/>
    <w:lvl w:ilvl="0">
      <w:lvlJc w:val="left"/>
      <w:lvlText w:val="†"/>
      <w:numFmt w:val="bullet"/>
      <w:start w:val="1"/>
    </w:lvl>
  </w:abstractNum>
  <w:abstractNum w:abstractNumId="100">
    <w:nsid w:val="392EDBE4"/>
    <w:multiLevelType w:val="hybridMultilevel"/>
    <w:lvl w:ilvl="0">
      <w:lvlJc w:val="left"/>
      <w:lvlText w:val="††"/>
      <w:numFmt w:val="bullet"/>
      <w:start w:val="1"/>
    </w:lvl>
  </w:abstractNum>
  <w:abstractNum w:abstractNumId="101">
    <w:nsid w:val="3D1A2DD9"/>
    <w:multiLevelType w:val="hybridMultilevel"/>
    <w:lvl w:ilvl="0">
      <w:lvlJc w:val="left"/>
      <w:lvlText w:val="•"/>
      <w:numFmt w:val="bullet"/>
      <w:start w:val="1"/>
    </w:lvl>
    <w:lvl w:ilvl="1">
      <w:lvlJc w:val="left"/>
      <w:lvlText w:val="-"/>
      <w:numFmt w:val="bullet"/>
      <w:start w:val="1"/>
    </w:lvl>
  </w:abstractNum>
  <w:abstractNum w:abstractNumId="102">
    <w:nsid w:val="7F618FCD"/>
    <w:multiLevelType w:val="hybridMultilevel"/>
    <w:lvl w:ilvl="0">
      <w:lvlJc w:val="left"/>
      <w:lvlText w:val="•"/>
      <w:numFmt w:val="bullet"/>
      <w:start w:val="1"/>
    </w:lvl>
  </w:abstractNum>
  <w:abstractNum w:abstractNumId="103">
    <w:nsid w:val="7843E45"/>
    <w:multiLevelType w:val="hybridMultilevel"/>
    <w:lvl w:ilvl="0">
      <w:lvlJc w:val="left"/>
      <w:lvlText w:val="•"/>
      <w:numFmt w:val="bullet"/>
      <w:start w:val="1"/>
    </w:lvl>
    <w:lvl w:ilvl="1">
      <w:lvlJc w:val="left"/>
      <w:lvlText w:val="-"/>
      <w:numFmt w:val="bullet"/>
      <w:start w:val="1"/>
    </w:lvl>
  </w:abstractNum>
  <w:abstractNum w:abstractNumId="104">
    <w:nsid w:val="9815DA3"/>
    <w:multiLevelType w:val="hybridMultilevel"/>
    <w:lvl w:ilvl="0">
      <w:lvlJc w:val="left"/>
      <w:lvlText w:val="•"/>
      <w:numFmt w:val="bullet"/>
      <w:start w:val="1"/>
    </w:lvl>
  </w:abstractNum>
  <w:abstractNum w:abstractNumId="105">
    <w:nsid w:val="5204A191"/>
    <w:multiLevelType w:val="hybridMultilevel"/>
    <w:lvl w:ilvl="0">
      <w:lvlJc w:val="left"/>
      <w:lvlText w:val="%1)"/>
      <w:numFmt w:val="decimal"/>
      <w:start w:val="1"/>
    </w:lvl>
  </w:abstractNum>
  <w:abstractNum w:abstractNumId="106">
    <w:nsid w:val="4C73A9C6"/>
    <w:multiLevelType w:val="hybridMultilevel"/>
    <w:lvl w:ilvl="0">
      <w:lvlJc w:val="left"/>
      <w:lvlText w:val="•"/>
      <w:numFmt w:val="bullet"/>
      <w:start w:val="1"/>
    </w:lvl>
  </w:abstractNum>
  <w:abstractNum w:abstractNumId="107">
    <w:nsid w:val="1C7E3C01"/>
    <w:multiLevelType w:val="hybridMultilevel"/>
    <w:lvl w:ilvl="0">
      <w:lvlJc w:val="left"/>
      <w:lvlText w:val="*"/>
      <w:numFmt w:val="bullet"/>
      <w:start w:val="1"/>
    </w:lvl>
  </w:abstractNum>
  <w:abstractNum w:abstractNumId="108">
    <w:nsid w:val="1C2201FF"/>
    <w:multiLevelType w:val="hybridMultilevel"/>
    <w:lvl w:ilvl="0">
      <w:lvlJc w:val="left"/>
      <w:lvlText w:val="*"/>
      <w:numFmt w:val="bullet"/>
      <w:start w:val="1"/>
    </w:lvl>
  </w:abstractNum>
  <w:abstractNum w:abstractNumId="109">
    <w:nsid w:val="50ABCEC9"/>
    <w:multiLevelType w:val="hybridMultilevel"/>
    <w:lvl w:ilvl="0">
      <w:lvlJc w:val="left"/>
      <w:lvlText w:val="(%1)"/>
      <w:numFmt w:val="lowerRoman"/>
      <w:start w:val="1"/>
    </w:lvl>
  </w:abstractNum>
  <w:abstractNum w:abstractNumId="110">
    <w:nsid w:val="7635AA2A"/>
    <w:multiLevelType w:val="hybridMultilevel"/>
    <w:lvl w:ilvl="0">
      <w:lvlJc w:val="left"/>
      <w:lvlText w:val="(%1)"/>
      <w:numFmt w:val="lowerLetter"/>
      <w:start w:val="3"/>
    </w:lvl>
    <w:lvl w:ilvl="1">
      <w:lvlJc w:val="left"/>
      <w:lvlText w:val="-"/>
      <w:numFmt w:val="bullet"/>
      <w:start w:val="1"/>
    </w:lvl>
  </w:abstractNum>
  <w:abstractNum w:abstractNumId="111">
    <w:nsid w:val="5E74C4D9"/>
    <w:multiLevelType w:val="hybridMultilevel"/>
    <w:lvl w:ilvl="0">
      <w:lvlJc w:val="left"/>
      <w:lvlText w:val="•"/>
      <w:numFmt w:val="bullet"/>
      <w:start w:val="1"/>
    </w:lvl>
  </w:abstractNum>
  <w:abstractNum w:abstractNumId="112">
    <w:nsid w:val="3B3EBE15"/>
    <w:multiLevelType w:val="hybridMultilevel"/>
    <w:lvl w:ilvl="0">
      <w:lvlJc w:val="left"/>
      <w:lvlText w:val="•"/>
      <w:numFmt w:val="bullet"/>
      <w:start w:val="1"/>
    </w:lvl>
    <w:lvl w:ilvl="1">
      <w:lvlJc w:val="left"/>
      <w:lvlText w:val="-"/>
      <w:numFmt w:val="bullet"/>
      <w:start w:val="1"/>
    </w:lvl>
  </w:abstractNum>
  <w:abstractNum w:abstractNumId="113">
    <w:nsid w:val="3822CB01"/>
    <w:multiLevelType w:val="hybridMultilevel"/>
    <w:lvl w:ilvl="0">
      <w:lvlJc w:val="left"/>
      <w:lvlText w:val="•"/>
      <w:numFmt w:val="bullet"/>
      <w:start w:val="1"/>
    </w:lvl>
  </w:abstractNum>
  <w:abstractNum w:abstractNumId="114">
    <w:nsid w:val="6CE00443"/>
    <w:multiLevelType w:val="hybridMultilevel"/>
    <w:lvl w:ilvl="0">
      <w:lvlJc w:val="left"/>
      <w:lvlText w:val="•"/>
      <w:numFmt w:val="bullet"/>
      <w:start w:val="1"/>
    </w:lvl>
  </w:abstractNum>
  <w:abstractNum w:abstractNumId="115">
    <w:nsid w:val="79F0D62F"/>
    <w:multiLevelType w:val="hybridMultilevel"/>
    <w:lvl w:ilvl="0">
      <w:lvlJc w:val="left"/>
      <w:lvlText w:val="•"/>
      <w:numFmt w:val="bullet"/>
      <w:start w:val="1"/>
    </w:lvl>
    <w:lvl w:ilvl="1">
      <w:lvlJc w:val="left"/>
      <w:lvlText w:val="-"/>
      <w:numFmt w:val="bullet"/>
      <w:start w:val="1"/>
    </w:lvl>
  </w:abstractNum>
  <w:abstractNum w:abstractNumId="116">
    <w:nsid w:val="7975E8EE"/>
    <w:multiLevelType w:val="hybridMultilevel"/>
    <w:lvl w:ilvl="0">
      <w:lvlJc w:val="left"/>
      <w:lvlText w:val="•"/>
      <w:numFmt w:val="bullet"/>
      <w:start w:val="1"/>
    </w:lvl>
  </w:abstractNum>
  <w:abstractNum w:abstractNumId="117">
    <w:nsid w:val="73154115"/>
    <w:multiLevelType w:val="hybridMultilevel"/>
    <w:lvl w:ilvl="0">
      <w:lvlJc w:val="left"/>
      <w:lvlText w:val="•"/>
      <w:numFmt w:val="bullet"/>
      <w:start w:val="1"/>
    </w:lvl>
    <w:lvl w:ilvl="1">
      <w:lvlJc w:val="left"/>
      <w:lvlText w:val="-"/>
      <w:numFmt w:val="bullet"/>
      <w:start w:val="1"/>
    </w:lvl>
  </w:abstractNum>
  <w:abstractNum w:abstractNumId="118">
    <w:nsid w:val="622D8102"/>
    <w:multiLevelType w:val="hybridMultilevel"/>
    <w:lvl w:ilvl="0">
      <w:lvlJc w:val="left"/>
      <w:lvlText w:val="(%1)"/>
      <w:numFmt w:val="decimal"/>
      <w:start w:val="1"/>
    </w:lvl>
  </w:abstractNum>
  <w:abstractNum w:abstractNumId="119">
    <w:nsid w:val="2AB26587"/>
    <w:multiLevelType w:val="hybridMultilevel"/>
    <w:lvl w:ilvl="0">
      <w:lvlJc w:val="left"/>
      <w:lvlText w:val="•"/>
      <w:numFmt w:val="bullet"/>
      <w:start w:val="1"/>
    </w:lvl>
  </w:abstractNum>
  <w:abstractNum w:abstractNumId="120">
    <w:nsid w:val="44B3FA61"/>
    <w:multiLevelType w:val="hybridMultilevel"/>
    <w:lvl w:ilvl="0">
      <w:lvlJc w:val="left"/>
      <w:lvlText w:val="•"/>
      <w:numFmt w:val="bullet"/>
      <w:start w:val="1"/>
    </w:lvl>
    <w:lvl w:ilvl="1">
      <w:lvlJc w:val="left"/>
      <w:lvlText w:val="-"/>
      <w:numFmt w:val="bullet"/>
      <w:start w:val="1"/>
    </w:lvl>
  </w:abstractNum>
  <w:abstractNum w:abstractNumId="121">
    <w:nsid w:val="1C0CA67C"/>
    <w:multiLevelType w:val="hybridMultilevel"/>
    <w:lvl w:ilvl="0">
      <w:lvlJc w:val="left"/>
      <w:lvlText w:val="•"/>
      <w:numFmt w:val="bullet"/>
      <w:start w:val="1"/>
    </w:lvl>
    <w:lvl w:ilvl="1">
      <w:lvlJc w:val="left"/>
      <w:lvlText w:val="•"/>
      <w:numFmt w:val="bullet"/>
      <w:start w:val="1"/>
    </w:lvl>
  </w:abstractNum>
  <w:abstractNum w:abstractNumId="122">
    <w:nsid w:val="3D206613"/>
    <w:multiLevelType w:val="hybridMultilevel"/>
    <w:lvl w:ilvl="0">
      <w:lvlJc w:val="left"/>
      <w:lvlText w:val="(%1)"/>
      <w:numFmt w:val="decimal"/>
      <w:start w:val="1"/>
    </w:lvl>
  </w:abstractNum>
  <w:abstractNum w:abstractNumId="123">
    <w:nsid w:val="7993B662"/>
    <w:multiLevelType w:val="hybridMultilevel"/>
    <w:lvl w:ilvl="0">
      <w:lvlJc w:val="left"/>
      <w:lvlText w:val="(%1)"/>
      <w:numFmt w:val="decimal"/>
      <w:start w:val="1"/>
    </w:lvl>
  </w:abstractNum>
  <w:abstractNum w:abstractNumId="124">
    <w:nsid w:val="3BAB699E"/>
    <w:multiLevelType w:val="hybridMultilevel"/>
    <w:lvl w:ilvl="0">
      <w:lvlJc w:val="left"/>
      <w:lvlText w:val="•"/>
      <w:numFmt w:val="bullet"/>
      <w:start w:val="1"/>
    </w:lvl>
  </w:abstractNum>
  <w:abstractNum w:abstractNumId="125">
    <w:nsid w:val="71315369"/>
    <w:multiLevelType w:val="hybridMultilevel"/>
    <w:lvl w:ilvl="0">
      <w:lvlJc w:val="left"/>
      <w:lvlText w:val="•"/>
      <w:numFmt w:val="bullet"/>
      <w:start w:val="1"/>
    </w:lvl>
  </w:abstractNum>
  <w:abstractNum w:abstractNumId="126">
    <w:nsid w:val="7BCFBAFC"/>
    <w:multiLevelType w:val="hybridMultilevel"/>
    <w:lvl w:ilvl="0">
      <w:lvlJc w:val="left"/>
      <w:lvlText w:val="•"/>
      <w:numFmt w:val="bullet"/>
      <w:start w:val="1"/>
    </w:lvl>
  </w:abstractNum>
  <w:abstractNum w:abstractNumId="127">
    <w:nsid w:val="17859F72"/>
    <w:multiLevelType w:val="hybridMultilevel"/>
    <w:lvl w:ilvl="0">
      <w:lvlJc w:val="left"/>
      <w:lvlText w:val="•"/>
      <w:numFmt w:val="bullet"/>
      <w:start w:val="1"/>
    </w:lvl>
  </w:abstractNum>
  <w:abstractNum w:abstractNumId="128">
    <w:nsid w:val="3AA10581"/>
    <w:multiLevelType w:val="hybridMultilevel"/>
    <w:lvl w:ilvl="0">
      <w:lvlJc w:val="left"/>
      <w:lvlText w:val="•"/>
      <w:numFmt w:val="bullet"/>
      <w:start w:val="1"/>
    </w:lvl>
    <w:lvl w:ilvl="1">
      <w:lvlJc w:val="left"/>
      <w:lvlText w:val="-"/>
      <w:numFmt w:val="bullet"/>
      <w:start w:val="1"/>
    </w:lvl>
  </w:abstractNum>
  <w:abstractNum w:abstractNumId="129">
    <w:nsid w:val="63DE60CD"/>
    <w:multiLevelType w:val="hybridMultilevel"/>
    <w:lvl w:ilvl="0">
      <w:lvlJc w:val="left"/>
      <w:lvlText w:val="•"/>
      <w:numFmt w:val="bullet"/>
      <w:start w:val="1"/>
    </w:lvl>
  </w:abstractNum>
  <w:abstractNum w:abstractNumId="130">
    <w:nsid w:val="621AF471"/>
    <w:multiLevelType w:val="hybridMultilevel"/>
    <w:lvl w:ilvl="0">
      <w:lvlJc w:val="left"/>
      <w:lvlText w:val="•"/>
      <w:numFmt w:val="bullet"/>
      <w:start w:val="1"/>
    </w:lvl>
  </w:abstractNum>
  <w:abstractNum w:abstractNumId="131">
    <w:nsid w:val="73CFE165"/>
    <w:multiLevelType w:val="hybridMultilevel"/>
    <w:lvl w:ilvl="0">
      <w:lvlJc w:val="left"/>
      <w:lvlText w:val="•"/>
      <w:numFmt w:val="bullet"/>
      <w:start w:val="1"/>
    </w:lvl>
  </w:abstractNum>
  <w:abstractNum w:abstractNumId="132">
    <w:nsid w:val="20F88EA6"/>
    <w:multiLevelType w:val="hybridMultilevel"/>
    <w:lvl w:ilvl="0">
      <w:lvlJc w:val="left"/>
      <w:lvlText w:val="•"/>
      <w:numFmt w:val="bullet"/>
      <w:start w:val="1"/>
    </w:lvl>
  </w:abstractNum>
  <w:abstractNum w:abstractNumId="133">
    <w:nsid w:val="617C843E"/>
    <w:multiLevelType w:val="hybridMultilevel"/>
    <w:lvl w:ilvl="0">
      <w:lvlJc w:val="left"/>
      <w:lvlText w:val="•"/>
      <w:numFmt w:val="bullet"/>
      <w:start w:val="1"/>
    </w:lvl>
  </w:abstractNum>
  <w:abstractNum w:abstractNumId="134">
    <w:nsid w:val="7B541FAB"/>
    <w:multiLevelType w:val="hybridMultilevel"/>
    <w:lvl w:ilvl="0">
      <w:lvlJc w:val="left"/>
      <w:lvlText w:val="•"/>
      <w:numFmt w:val="bullet"/>
      <w:start w:val="1"/>
    </w:lvl>
  </w:abstractNum>
  <w:abstractNum w:abstractNumId="135">
    <w:nsid w:val="2A79EC49"/>
    <w:multiLevelType w:val="hybridMultilevel"/>
    <w:lvl w:ilvl="0">
      <w:lvlJc w:val="left"/>
      <w:lvlText w:val="(%1)"/>
      <w:numFmt w:val="decimal"/>
      <w:start w:val="1"/>
    </w:lvl>
  </w:abstractNum>
  <w:abstractNum w:abstractNumId="136">
    <w:nsid w:val="338125CF"/>
    <w:multiLevelType w:val="hybridMultilevel"/>
    <w:lvl w:ilvl="0">
      <w:lvlJc w:val="left"/>
      <w:lvlText w:val="(%1)"/>
      <w:numFmt w:val="decimal"/>
      <w:start w:val="1"/>
    </w:lvl>
  </w:abstractNum>
  <w:abstractNum w:abstractNumId="137">
    <w:nsid w:val="47C7C971"/>
    <w:multiLevelType w:val="hybridMultilevel"/>
    <w:lvl w:ilvl="0">
      <w:lvlJc w:val="left"/>
      <w:lvlText w:val="(%1)"/>
      <w:numFmt w:val="decimal"/>
      <w:start w:val="1"/>
    </w:lvl>
    <w:lvl w:ilvl="1">
      <w:lvlJc w:val="left"/>
      <w:lvlText w:val="-"/>
      <w:numFmt w:val="bullet"/>
      <w:start w:val="1"/>
    </w:lvl>
  </w:abstractNum>
  <w:abstractNum w:abstractNumId="138">
    <w:nsid w:val="46F8284B"/>
    <w:multiLevelType w:val="hybridMultilevel"/>
    <w:lvl w:ilvl="0">
      <w:lvlJc w:val="left"/>
      <w:lvlText w:val="(%1)"/>
      <w:numFmt w:val="decimal"/>
      <w:start w:val="1"/>
    </w:lvl>
  </w:abstractNum>
  <w:abstractNum w:abstractNumId="139">
    <w:nsid w:val="4FA327CE"/>
    <w:multiLevelType w:val="hybridMultilevel"/>
    <w:lvl w:ilvl="0">
      <w:lvlJc w:val="left"/>
      <w:lvlText w:val="(%1)"/>
      <w:numFmt w:val="lowerRoman"/>
      <w:start w:val="8"/>
    </w:lvl>
  </w:abstractNum>
  <w:abstractNum w:abstractNumId="140">
    <w:nsid w:val="1873983A"/>
    <w:multiLevelType w:val="hybridMultilevel"/>
    <w:lvl w:ilvl="0">
      <w:lvlJc w:val="left"/>
      <w:lvlText w:val="(%1)"/>
      <w:numFmt w:val="lowerRoman"/>
      <w:start w:val="8"/>
    </w:lvl>
    <w:lvl w:ilvl="1">
      <w:lvlJc w:val="left"/>
      <w:lvlText w:val="-"/>
      <w:numFmt w:val="bullet"/>
      <w:start w:val="1"/>
    </w:lvl>
  </w:abstractNum>
  <w:abstractNum w:abstractNumId="141">
    <w:nsid w:val="3D2DD275"/>
    <w:multiLevelType w:val="hybridMultilevel"/>
    <w:lvl w:ilvl="0">
      <w:lvlJc w:val="left"/>
      <w:lvlText w:val="(%1)"/>
      <w:numFmt w:val="lowerRoman"/>
      <w:start w:val="8"/>
    </w:lvl>
  </w:abstractNum>
  <w:abstractNum w:abstractNumId="142">
    <w:nsid w:val="2E17ECA7"/>
    <w:multiLevelType w:val="hybridMultilevel"/>
    <w:lvl w:ilvl="0">
      <w:lvlJc w:val="left"/>
      <w:lvlText w:val="•"/>
      <w:numFmt w:val="bullet"/>
      <w:start w:val="1"/>
    </w:lvl>
  </w:abstractNum>
  <w:abstractNum w:abstractNumId="143">
    <w:nsid w:val="53B2564F"/>
    <w:multiLevelType w:val="hybridMultilevel"/>
    <w:lvl w:ilvl="0">
      <w:lvlJc w:val="left"/>
      <w:lvlText w:val="(%1)"/>
      <w:numFmt w:val="lowerRoman"/>
      <w:start w:val="3"/>
    </w:lvl>
  </w:abstractNum>
  <w:abstractNum w:abstractNumId="144">
    <w:nsid w:val="75509D76"/>
    <w:multiLevelType w:val="hybridMultilevel"/>
    <w:lvl w:ilvl="0">
      <w:lvlJc w:val="left"/>
      <w:lvlText w:val="*"/>
      <w:numFmt w:val="bullet"/>
      <w:start w:val="1"/>
    </w:lvl>
  </w:abstractNum>
  <w:abstractNum w:abstractNumId="145">
    <w:nsid w:val="1AF7F0EA"/>
    <w:multiLevelType w:val="hybridMultilevel"/>
    <w:lvl w:ilvl="0">
      <w:lvlJc w:val="left"/>
      <w:lvlText w:val="(%1)"/>
      <w:numFmt w:val="decimal"/>
      <w:start w:val="1"/>
    </w:lvl>
    <w:lvl w:ilvl="1">
      <w:lvlJc w:val="left"/>
      <w:lvlText w:val="-"/>
      <w:numFmt w:val="bullet"/>
      <w:start w:val="1"/>
    </w:lvl>
  </w:abstractNum>
  <w:abstractNum w:abstractNumId="146">
    <w:nsid w:val="4DA32C7E"/>
    <w:multiLevelType w:val="hybridMultilevel"/>
    <w:lvl w:ilvl="0">
      <w:lvlJc w:val="left"/>
      <w:lvlText w:val="(%1)"/>
      <w:numFmt w:val="decimal"/>
      <w:start w:val="12"/>
    </w:lvl>
    <w:lvl w:ilvl="1">
      <w:lvlJc w:val="left"/>
      <w:lvlText w:val="-"/>
      <w:numFmt w:val="bullet"/>
      <w:start w:val="1"/>
    </w:lvl>
  </w:abstractNum>
  <w:abstractNum w:abstractNumId="147">
    <w:nsid w:val="6EC68664"/>
    <w:multiLevelType w:val="hybridMultilevel"/>
    <w:lvl w:ilvl="0">
      <w:lvlJc w:val="left"/>
      <w:lvlText w:val="•"/>
      <w:numFmt w:val="bullet"/>
      <w:start w:val="1"/>
    </w:lvl>
  </w:abstractNum>
  <w:abstractNum w:abstractNumId="148">
    <w:nsid w:val="E0D31FF"/>
    <w:multiLevelType w:val="hybridMultilevel"/>
    <w:lvl w:ilvl="0">
      <w:lvlJc w:val="left"/>
      <w:lvlText w:val="•"/>
      <w:numFmt w:val="bullet"/>
      <w:start w:val="1"/>
    </w:lvl>
  </w:abstractNum>
  <w:abstractNum w:abstractNumId="149">
    <w:nsid w:val="2FD0AD81"/>
    <w:multiLevelType w:val="hybridMultilevel"/>
    <w:lvl w:ilvl="0">
      <w:lvlJc w:val="left"/>
      <w:lvlText w:val="•"/>
      <w:numFmt w:val="bullet"/>
      <w:start w:val="1"/>
    </w:lvl>
  </w:abstractNum>
  <w:abstractNum w:abstractNumId="150">
    <w:nsid w:val="1978EBEB"/>
    <w:multiLevelType w:val="hybridMultilevel"/>
    <w:lvl w:ilvl="0">
      <w:lvlJc w:val="left"/>
      <w:lvlText w:val="•"/>
      <w:numFmt w:val="bullet"/>
      <w:start w:val="1"/>
    </w:lvl>
  </w:abstractNum>
  <w:abstractNum w:abstractNumId="151">
    <w:nsid w:val="52C12C61"/>
    <w:multiLevelType w:val="hybridMultilevel"/>
    <w:lvl w:ilvl="0">
      <w:lvlJc w:val="left"/>
      <w:lvlText w:val="•"/>
      <w:numFmt w:val="bullet"/>
      <w:start w:val="1"/>
    </w:lvl>
  </w:abstractNum>
  <w:abstractNum w:abstractNumId="152">
    <w:nsid w:val="4BDD53FD"/>
    <w:multiLevelType w:val="hybridMultilevel"/>
    <w:lvl w:ilvl="0">
      <w:lvlJc w:val="left"/>
      <w:lvlText w:val="•"/>
      <w:numFmt w:val="bullet"/>
      <w:start w:val="1"/>
    </w:lvl>
  </w:abstractNum>
  <w:abstractNum w:abstractNumId="153">
    <w:nsid w:val="569951FE"/>
    <w:multiLevelType w:val="hybridMultilevel"/>
    <w:lvl w:ilvl="0">
      <w:lvlJc w:val="left"/>
      <w:lvlText w:val="•"/>
      <w:numFmt w:val="bullet"/>
      <w:start w:val="1"/>
    </w:lvl>
    <w:lvl w:ilvl="1">
      <w:lvlJc w:val="left"/>
      <w:lvlText w:val="-"/>
      <w:numFmt w:val="bullet"/>
      <w:start w:val="1"/>
    </w:lvl>
  </w:abstractNum>
  <w:abstractNum w:abstractNumId="154">
    <w:nsid w:val="4C54E2C3"/>
    <w:multiLevelType w:val="hybridMultilevel"/>
    <w:lvl w:ilvl="0">
      <w:lvlJc w:val="left"/>
      <w:lvlText w:val="•"/>
      <w:numFmt w:val="bullet"/>
      <w:start w:val="1"/>
    </w:lvl>
  </w:abstractNum>
  <w:abstractNum w:abstractNumId="155">
    <w:nsid w:val="788BD9B"/>
    <w:multiLevelType w:val="hybridMultilevel"/>
    <w:lvl w:ilvl="0">
      <w:lvlJc w:val="left"/>
      <w:lvlText w:val="•"/>
      <w:numFmt w:val="bullet"/>
      <w:start w:val="1"/>
    </w:lvl>
    <w:lvl w:ilvl="1">
      <w:lvlJc w:val="left"/>
      <w:lvlText w:val="-"/>
      <w:numFmt w:val="bullet"/>
      <w:start w:val="1"/>
    </w:lvl>
  </w:abstractNum>
  <w:abstractNum w:abstractNumId="156">
    <w:nsid w:val="47CAA567"/>
    <w:multiLevelType w:val="hybridMultilevel"/>
    <w:lvl w:ilvl="0">
      <w:lvlJc w:val="left"/>
      <w:lvlText w:val="•"/>
      <w:numFmt w:val="bullet"/>
      <w:start w:val="1"/>
    </w:lvl>
  </w:abstractNum>
  <w:abstractNum w:abstractNumId="157">
    <w:nsid w:val="48249DBF"/>
    <w:multiLevelType w:val="hybridMultilevel"/>
    <w:lvl w:ilvl="0">
      <w:lvlJc w:val="left"/>
      <w:lvlText w:val="•"/>
      <w:numFmt w:val="bullet"/>
      <w:start w:val="1"/>
    </w:lvl>
  </w:abstractNum>
  <w:abstractNum w:abstractNumId="158">
    <w:nsid w:val="1F0E5D0D"/>
    <w:multiLevelType w:val="hybridMultilevel"/>
    <w:lvl w:ilvl="0">
      <w:lvlJc w:val="left"/>
      <w:lvlText w:val="•"/>
      <w:numFmt w:val="bullet"/>
      <w:start w:val="1"/>
    </w:lvl>
  </w:abstractNum>
  <w:abstractNum w:abstractNumId="159">
    <w:nsid w:val="26BAAE9"/>
    <w:multiLevelType w:val="hybridMultilevel"/>
    <w:lvl w:ilvl="0">
      <w:lvlJc w:val="left"/>
      <w:lvlText w:val="(%1)"/>
      <w:numFmt w:val="lowerLetter"/>
      <w:start w:val="1"/>
    </w:lvl>
  </w:abstractNum>
  <w:abstractNum w:abstractNumId="160">
    <w:nsid w:val="2C02FE8C"/>
    <w:multiLevelType w:val="hybridMultilevel"/>
    <w:lvl w:ilvl="0">
      <w:lvlJc w:val="left"/>
      <w:lvlText w:val="•"/>
      <w:numFmt w:val="bullet"/>
      <w:start w:val="1"/>
    </w:lvl>
  </w:abstractNum>
  <w:abstractNum w:abstractNumId="161">
    <w:nsid w:val="129517E"/>
    <w:multiLevelType w:val="hybridMultilevel"/>
    <w:lvl w:ilvl="0">
      <w:lvlJc w:val="left"/>
      <w:lvlText w:val="•"/>
      <w:numFmt w:val="bullet"/>
      <w:start w:val="1"/>
    </w:lvl>
  </w:abstractNum>
  <w:abstractNum w:abstractNumId="162">
    <w:nsid w:val="763B8C4E"/>
    <w:multiLevelType w:val="hybridMultilevel"/>
    <w:lvl w:ilvl="0">
      <w:lvlJc w:val="left"/>
      <w:lvlText w:val="(%1)"/>
      <w:numFmt w:val="lowerLetter"/>
      <w:start w:val="1"/>
    </w:lvl>
  </w:abstractNum>
  <w:abstractNum w:abstractNumId="163">
    <w:nsid w:val="4CFB8D32"/>
    <w:multiLevelType w:val="hybridMultilevel"/>
    <w:lvl w:ilvl="0">
      <w:lvlJc w:val="left"/>
      <w:lvlText w:val="(%1)"/>
      <w:numFmt w:val="decimal"/>
      <w:start w:val="1"/>
    </w:lvl>
  </w:abstractNum>
  <w:abstractNum w:abstractNumId="164">
    <w:nsid w:val="62A5D5BD"/>
    <w:multiLevelType w:val="hybridMultilevel"/>
    <w:lvl w:ilvl="0">
      <w:lvlJc w:val="left"/>
      <w:lvlText w:val="%1."/>
      <w:numFmt w:val="decimal"/>
      <w:start w:val="10"/>
    </w:lvl>
  </w:abstractNum>
  <w:abstractNum w:abstractNumId="165">
    <w:nsid w:val="718FABF9"/>
    <w:multiLevelType w:val="hybridMultilevel"/>
    <w:lvl w:ilvl="0">
      <w:lvlJc w:val="left"/>
      <w:lvlText w:val="(%1)"/>
      <w:numFmt w:val="decimal"/>
      <w:start w:val="2"/>
    </w:lvl>
  </w:abstractNum>
  <w:abstractNum w:abstractNumId="166">
    <w:nsid w:val="7775797C"/>
    <w:multiLevelType w:val="hybridMultilevel"/>
    <w:lvl w:ilvl="0">
      <w:lvlJc w:val="left"/>
      <w:lvlText w:val="(%1)"/>
      <w:numFmt w:val="lowerRoman"/>
      <w:start w:val="1"/>
    </w:lvl>
  </w:abstractNum>
  <w:abstractNum w:abstractNumId="167">
    <w:nsid w:val="1626FB8C"/>
    <w:multiLevelType w:val="hybridMultilevel"/>
    <w:lvl w:ilvl="0">
      <w:lvlJc w:val="left"/>
      <w:lvlText w:val="•"/>
      <w:numFmt w:val="bullet"/>
      <w:start w:val="1"/>
    </w:lvl>
  </w:abstractNum>
  <w:abstractNum w:abstractNumId="168">
    <w:nsid w:val="3957756A"/>
    <w:multiLevelType w:val="hybridMultilevel"/>
    <w:lvl w:ilvl="0">
      <w:lvlJc w:val="left"/>
      <w:lvlText w:val="(%1)"/>
      <w:numFmt w:val="lowerLetter"/>
      <w:start w:val="1"/>
    </w:lvl>
  </w:abstractNum>
  <w:abstractNum w:abstractNumId="169">
    <w:nsid w:val="3E6DA1C7"/>
    <w:multiLevelType w:val="hybridMultilevel"/>
    <w:lvl w:ilvl="0">
      <w:lvlJc w:val="left"/>
      <w:lvlText w:val="(%1)"/>
      <w:numFmt w:val="lowerLetter"/>
      <w:start w:val="6"/>
    </w:lvl>
  </w:abstractNum>
  <w:abstractNum w:abstractNumId="170">
    <w:nsid w:val="65CA235B"/>
    <w:multiLevelType w:val="hybridMultilevel"/>
    <w:lvl w:ilvl="0">
      <w:lvlJc w:val="left"/>
      <w:lvlText w:val="(%1)"/>
      <w:numFmt w:val="lowerLetter"/>
      <w:start w:val="1"/>
    </w:lvl>
  </w:abstractNum>
  <w:abstractNum w:abstractNumId="171">
    <w:nsid w:val="51CB0DA4"/>
    <w:multiLevelType w:val="hybridMultilevel"/>
    <w:lvl w:ilvl="0">
      <w:lvlJc w:val="left"/>
      <w:lvlText w:val="*"/>
      <w:numFmt w:val="bullet"/>
      <w:start w:val="1"/>
    </w:lvl>
  </w:abstractNum>
  <w:abstractNum w:abstractNumId="172">
    <w:nsid w:val="7B9B743C"/>
    <w:multiLevelType w:val="hybridMultilevel"/>
    <w:lvl w:ilvl="0">
      <w:lvlJc w:val="left"/>
      <w:lvlText w:val="^"/>
      <w:numFmt w:val="bullet"/>
      <w:start w:val="1"/>
    </w:lvl>
  </w:abstractNum>
  <w:abstractNum w:abstractNumId="173">
    <w:nsid w:val="13E21002"/>
    <w:multiLevelType w:val="hybridMultilevel"/>
    <w:lvl w:ilvl="0">
      <w:lvlJc w:val="left"/>
      <w:lvlText w:val="†"/>
      <w:numFmt w:val="bullet"/>
      <w:start w:val="1"/>
    </w:lvl>
    <w:lvl w:ilvl="1">
      <w:lvlJc w:val="left"/>
      <w:lvlText w:val="(%2)"/>
      <w:numFmt w:val="lowerLetter"/>
      <w:start w:val="2"/>
    </w:lvl>
  </w:abstractNum>
  <w:abstractNum w:abstractNumId="174">
    <w:nsid w:val="257D63F4"/>
    <w:multiLevelType w:val="hybridMultilevel"/>
    <w:lvl w:ilvl="0">
      <w:lvlJc w:val="left"/>
      <w:lvlText w:val="(%1)"/>
      <w:numFmt w:val="decimal"/>
      <w:start w:val="1"/>
    </w:lvl>
  </w:abstractNum>
  <w:abstractNum w:abstractNumId="175">
    <w:nsid w:val="70EC11B2"/>
    <w:multiLevelType w:val="hybridMultilevel"/>
    <w:lvl w:ilvl="0">
      <w:lvlJc w:val="left"/>
      <w:lvlText w:val="[●]"/>
      <w:numFmt w:val="bullet"/>
      <w:start w:val="1"/>
    </w:lvl>
  </w:abstractNum>
  <w:abstractNum w:abstractNumId="176">
    <w:nsid w:val="2EDA00ED"/>
    <w:multiLevelType w:val="hybridMultilevel"/>
    <w:lvl w:ilvl="0">
      <w:lvlJc w:val="left"/>
      <w:lvlText w:val="(%1)"/>
      <w:numFmt w:val="lowerLetter"/>
      <w:start w:val="1"/>
    </w:lvl>
    <w:lvl w:ilvl="1">
      <w:lvlJc w:val="left"/>
      <w:lvlText w:val="(%2)"/>
      <w:numFmt w:val="lowerLetter"/>
      <w:start w:val="9"/>
    </w:lvl>
  </w:abstractNum>
  <w:abstractNum w:abstractNumId="177">
    <w:nsid w:val="73209072"/>
    <w:multiLevelType w:val="hybridMultilevel"/>
    <w:lvl w:ilvl="0">
      <w:lvlJc w:val="left"/>
      <w:lvlText w:val="(%1)"/>
      <w:numFmt w:val="lowerRoman"/>
      <w:start w:val="2"/>
    </w:lvl>
  </w:abstractNum>
  <w:abstractNum w:abstractNumId="178">
    <w:nsid w:val="5FB29816"/>
    <w:multiLevelType w:val="hybridMultilevel"/>
    <w:lvl w:ilvl="0">
      <w:lvlJc w:val="left"/>
      <w:lvlText w:val="(%1)"/>
      <w:numFmt w:val="lowerRoman"/>
      <w:start w:val="3"/>
    </w:lvl>
  </w:abstractNum>
  <w:abstractNum w:abstractNumId="179">
    <w:nsid w:val="3CE732EC"/>
    <w:multiLevelType w:val="hybridMultilevel"/>
    <w:lvl w:ilvl="0">
      <w:lvlJc w:val="left"/>
      <w:lvlText w:val="(%1)"/>
      <w:numFmt w:val="lowerRoman"/>
      <w:start w:val="5"/>
    </w:lvl>
  </w:abstractNum>
  <w:abstractNum w:abstractNumId="180">
    <w:nsid w:val="22F13DF3"/>
    <w:multiLevelType w:val="hybridMultilevel"/>
    <w:lvl w:ilvl="0">
      <w:lvlJc w:val="left"/>
      <w:lvlText w:val="(%1)"/>
      <w:numFmt w:val="lowerRoman"/>
      <w:start w:val="6"/>
    </w:lvl>
  </w:abstractNum>
  <w:abstractNum w:abstractNumId="181">
    <w:nsid w:val="792B8401"/>
    <w:multiLevelType w:val="hybridMultilevel"/>
    <w:lvl w:ilvl="0">
      <w:lvlJc w:val="left"/>
      <w:lvlText w:val="(%1)"/>
      <w:numFmt w:val="lowerRoman"/>
      <w:start w:val="11"/>
    </w:lvl>
  </w:abstractNum>
  <w:abstractNum w:abstractNumId="182">
    <w:nsid w:val="FA85F4D"/>
    <w:multiLevelType w:val="hybridMultilevel"/>
    <w:lvl w:ilvl="0">
      <w:lvlJc w:val="left"/>
      <w:lvlText w:val="(%1)"/>
      <w:numFmt w:val="lowerRoman"/>
      <w:start w:val="17"/>
    </w:lvl>
  </w:abstractNum>
  <w:abstractNum w:abstractNumId="183">
    <w:nsid w:val="6ECE91F0"/>
    <w:multiLevelType w:val="hybridMultilevel"/>
    <w:lvl w:ilvl="0">
      <w:lvlJc w:val="left"/>
      <w:lvlText w:val="%1"/>
      <w:numFmt w:val="upperLetter"/>
      <w:start w:val="1"/>
    </w:lvl>
    <w:lvl w:ilvl="1">
      <w:lvlJc w:val="left"/>
      <w:lvlText w:val="(%2)"/>
      <w:numFmt w:val="lowerRoman"/>
      <w:start w:val="21"/>
    </w:lvl>
  </w:abstractNum>
  <w:abstractNum w:abstractNumId="184">
    <w:nsid w:val="4FC4D600"/>
    <w:multiLevelType w:val="hybridMultilevel"/>
    <w:lvl w:ilvl="0">
      <w:lvlJc w:val="left"/>
      <w:lvlText w:val="(%1)"/>
      <w:numFmt w:val="upperLetter"/>
      <w:start w:val="2"/>
    </w:lvl>
    <w:lvl w:ilvl="1">
      <w:lvlJc w:val="left"/>
      <w:lvlText w:val="(%2)"/>
      <w:numFmt w:val="lowerRoman"/>
      <w:start w:val="23"/>
    </w:lvl>
  </w:abstractNum>
  <w:abstractNum w:abstractNumId="185">
    <w:nsid w:val="5BFD4210"/>
    <w:multiLevelType w:val="hybridMultilevel"/>
    <w:lvl w:ilvl="0">
      <w:lvlJc w:val="left"/>
      <w:lvlText w:val="(%1)"/>
      <w:numFmt w:val="lowerRoman"/>
      <w:start w:val="2"/>
    </w:lvl>
  </w:abstractNum>
  <w:abstractNum w:abstractNumId="186">
    <w:nsid w:val="76574F8B"/>
    <w:multiLevelType w:val="hybridMultilevel"/>
    <w:lvl w:ilvl="0">
      <w:lvlJc w:val="left"/>
      <w:lvlText w:val="%1"/>
      <w:numFmt w:val="upperLetter"/>
      <w:start w:val="1"/>
    </w:lvl>
    <w:lvl w:ilvl="1">
      <w:lvlJc w:val="left"/>
      <w:lvlText w:val="(%2)"/>
      <w:numFmt w:val="lowerRoman"/>
      <w:start w:val="24"/>
    </w:lvl>
  </w:abstractNum>
  <w:abstractNum w:abstractNumId="187">
    <w:nsid w:val="178F7B67"/>
    <w:multiLevelType w:val="hybridMultilevel"/>
    <w:lvl w:ilvl="0">
      <w:lvlJc w:val="left"/>
      <w:lvlText w:val="(%1)"/>
      <w:numFmt w:val="upperLetter"/>
      <w:start w:val="1"/>
    </w:lvl>
    <w:lvl w:ilvl="1">
      <w:lvlJc w:val="left"/>
      <w:lvlText w:val="(%2)"/>
      <w:numFmt w:val="lowerRoman"/>
      <w:start w:val="25"/>
    </w:lvl>
  </w:abstractNum>
  <w:abstractNum w:abstractNumId="188">
    <w:nsid w:val="2421DFCF"/>
    <w:multiLevelType w:val="hybridMultilevel"/>
    <w:lvl w:ilvl="0">
      <w:lvlJc w:val="left"/>
      <w:lvlText w:val="(%1)"/>
      <w:numFmt w:val="lowerRoman"/>
      <w:start w:val="26"/>
    </w:lvl>
  </w:abstractNum>
  <w:abstractNum w:abstractNumId="189">
    <w:nsid w:val="1565AC99"/>
    <w:multiLevelType w:val="hybridMultilevel"/>
    <w:lvl w:ilvl="0">
      <w:lvlJc w:val="left"/>
      <w:lvlText w:val="(%1)"/>
      <w:numFmt w:val="lowerRoman"/>
      <w:start w:val="30"/>
    </w:lvl>
  </w:abstractNum>
  <w:abstractNum w:abstractNumId="190">
    <w:nsid w:val="19FB2650"/>
    <w:multiLevelType w:val="hybridMultilevel"/>
    <w:lvl w:ilvl="0">
      <w:lvlJc w:val="left"/>
      <w:lvlText w:val="%1"/>
      <w:numFmt w:val="lowerRoman"/>
      <w:start w:val="1"/>
    </w:lvl>
    <w:lvl w:ilvl="1">
      <w:lvlJc w:val="left"/>
      <w:lvlText w:val="(%2)"/>
      <w:numFmt w:val="lowerRoman"/>
      <w:start w:val="34"/>
    </w:lvl>
  </w:abstractNum>
  <w:abstractNum w:abstractNumId="191">
    <w:nsid w:val="5024DE5B"/>
    <w:multiLevelType w:val="hybridMultilevel"/>
    <w:lvl w:ilvl="0">
      <w:lvlJc w:val="left"/>
      <w:lvlText w:val="(%1)"/>
      <w:numFmt w:val="lowerRoman"/>
      <w:start w:val="2"/>
    </w:lvl>
    <w:lvl w:ilvl="1">
      <w:lvlJc w:val="left"/>
      <w:lvlText w:val="(%2)"/>
      <w:numFmt w:val="lowerRoman"/>
      <w:start w:val="35"/>
    </w:lvl>
  </w:abstractNum>
  <w:abstractNum w:abstractNumId="192">
    <w:nsid w:val="168EFE17"/>
    <w:multiLevelType w:val="hybridMultilevel"/>
    <w:lvl w:ilvl="0">
      <w:lvlJc w:val="left"/>
      <w:lvlText w:val="%1"/>
      <w:numFmt w:val="upperLetter"/>
      <w:start w:val="1"/>
    </w:lvl>
    <w:lvl w:ilvl="1">
      <w:lvlJc w:val="left"/>
      <w:lvlText w:val="(%2)"/>
      <w:numFmt w:val="lowerRoman"/>
      <w:start w:val="38"/>
    </w:lvl>
  </w:abstractNum>
  <w:abstractNum w:abstractNumId="193">
    <w:nsid w:val="1036B29F"/>
    <w:multiLevelType w:val="hybridMultilevel"/>
    <w:lvl w:ilvl="0">
      <w:lvlJc w:val="left"/>
      <w:lvlText w:val="(%1)"/>
      <w:numFmt w:val="upperLetter"/>
      <w:start w:val="1"/>
    </w:lvl>
    <w:lvl w:ilvl="1">
      <w:lvlJc w:val="left"/>
      <w:lvlText w:val="%2"/>
      <w:numFmt w:val="lowerRoman"/>
      <w:start w:val="1"/>
    </w:lvl>
  </w:abstractNum>
  <w:abstractNum w:abstractNumId="194">
    <w:nsid w:val="1D206B8E"/>
    <w:multiLevelType w:val="hybridMultilevel"/>
    <w:lvl w:ilvl="0">
      <w:lvlJc w:val="left"/>
      <w:lvlText w:val="(%1)"/>
      <w:numFmt w:val="lowerLetter"/>
      <w:start w:val="2"/>
    </w:lvl>
  </w:abstractNum>
  <w:abstractNum w:abstractNumId="195">
    <w:nsid w:val="7934D3D4"/>
    <w:multiLevelType w:val="hybridMultilevel"/>
    <w:lvl w:ilvl="0">
      <w:lvlJc w:val="left"/>
      <w:lvlText w:val="(%1)"/>
      <w:numFmt w:val="lowerLetter"/>
      <w:start w:val="1"/>
    </w:lvl>
  </w:abstractNum>
  <w:abstractNum w:abstractNumId="196">
    <w:nsid w:val="1C65E98"/>
    <w:multiLevelType w:val="hybridMultilevel"/>
    <w:lvl w:ilvl="0">
      <w:lvlJc w:val="left"/>
      <w:lvlText w:val="(%1)"/>
      <w:numFmt w:val="lowerLetter"/>
      <w:start w:val="1"/>
    </w:lvl>
  </w:abstractNum>
  <w:abstractNum w:abstractNumId="197">
    <w:nsid w:val="1495E50A"/>
    <w:multiLevelType w:val="hybridMultilevel"/>
    <w:lvl w:ilvl="0">
      <w:lvlJc w:val="left"/>
      <w:lvlText w:val="(%1)"/>
      <w:numFmt w:val="lowerLetter"/>
      <w:start w:val="61"/>
    </w:lvl>
    <w:lvl w:ilvl="1">
      <w:lvlJc w:val="left"/>
      <w:lvlText w:val="(%2)"/>
      <w:numFmt w:val="lowerLetter"/>
      <w:start w:val="3"/>
    </w:lvl>
  </w:abstractNum>
  <w:abstractNum w:abstractNumId="198">
    <w:nsid w:val="F5BCF61"/>
    <w:multiLevelType w:val="hybridMultilevel"/>
    <w:lvl w:ilvl="0">
      <w:lvlJc w:val="left"/>
      <w:lvlText w:val="(%1)"/>
      <w:numFmt w:val="lowerLetter"/>
      <w:start w:val="6"/>
    </w:lvl>
  </w:abstractNum>
  <w:abstractNum w:abstractNumId="199">
    <w:nsid w:val="3B1DD403"/>
    <w:multiLevelType w:val="hybridMultilevel"/>
    <w:lvl w:ilvl="0">
      <w:lvlJc w:val="left"/>
      <w:lvlText w:val="(%1)"/>
      <w:numFmt w:val="lowerLetter"/>
      <w:start w:val="10"/>
    </w:lvl>
  </w:abstractNum>
  <w:abstractNum w:abstractNumId="200">
    <w:nsid w:val="530386D1"/>
    <w:multiLevelType w:val="hybridMultilevel"/>
    <w:lvl w:ilvl="0">
      <w:lvlJc w:val="left"/>
      <w:lvlText w:val="(%1)"/>
      <w:numFmt w:val="lowerLetter"/>
      <w:start w:val="14"/>
    </w:lvl>
  </w:abstractNum>
  <w:abstractNum w:abstractNumId="201">
    <w:nsid w:val="7525F2BC"/>
    <w:multiLevelType w:val="hybridMultilevel"/>
    <w:lvl w:ilvl="0">
      <w:lvlJc w:val="left"/>
      <w:lvlText w:val="(%1)"/>
      <w:numFmt w:val="lowerLetter"/>
      <w:start w:val="1"/>
    </w:lvl>
  </w:abstractNum>
  <w:abstractNum w:abstractNumId="202">
    <w:nsid w:val="CE8E1A7"/>
    <w:multiLevelType w:val="hybridMultilevel"/>
    <w:lvl w:ilvl="0">
      <w:lvlJc w:val="left"/>
      <w:lvlText w:val="(%1)"/>
      <w:numFmt w:val="lowerLetter"/>
      <w:start w:val="25"/>
    </w:lvl>
    <w:lvl w:ilvl="1">
      <w:lvlJc w:val="left"/>
      <w:lvlText w:val="(%2)"/>
      <w:numFmt w:val="lowerLetter"/>
      <w:start w:val="2"/>
    </w:lvl>
  </w:abstractNum>
  <w:abstractNum w:abstractNumId="203">
    <w:nsid w:val="4E9EFB0D"/>
    <w:multiLevelType w:val="hybridMultilevel"/>
    <w:lvl w:ilvl="0">
      <w:lvlJc w:val="left"/>
      <w:lvlText w:val="(%1)"/>
      <w:numFmt w:val="lowerLetter"/>
      <w:start w:val="9"/>
    </w:lvl>
    <w:lvl w:ilvl="1">
      <w:lvlJc w:val="left"/>
      <w:lvlText w:val="%2"/>
      <w:numFmt w:val="lowerLetter"/>
      <w:start w:val="1"/>
    </w:lvl>
  </w:abstractNum>
  <w:abstractNum w:abstractNumId="204">
    <w:nsid w:val="90802BE"/>
    <w:multiLevelType w:val="hybridMultilevel"/>
    <w:lvl w:ilvl="0">
      <w:lvlJc w:val="left"/>
      <w:lvlText w:val="(%1)"/>
      <w:numFmt w:val="lowerLetter"/>
      <w:start w:val="1"/>
    </w:lvl>
    <w:lvl w:ilvl="1">
      <w:lvlJc w:val="left"/>
      <w:lvlText w:val="(%2)"/>
      <w:numFmt w:val="lowerRoman"/>
      <w:start w:val="1"/>
    </w:lvl>
  </w:abstractNum>
  <w:abstractNum w:abstractNumId="205">
    <w:nsid w:val="3266459B"/>
    <w:multiLevelType w:val="hybridMultilevel"/>
    <w:lvl w:ilvl="0">
      <w:lvlJc w:val="left"/>
      <w:lvlText w:val="%1"/>
      <w:numFmt w:val="lowerLetter"/>
      <w:start w:val="1"/>
    </w:lvl>
    <w:lvl w:ilvl="1">
      <w:lvlJc w:val="left"/>
      <w:lvlText w:val="(%2)"/>
      <w:numFmt w:val="lowerLetter"/>
      <w:start w:val="61"/>
    </w:lvl>
  </w:abstractNum>
  <w:abstractNum w:abstractNumId="206">
    <w:nsid w:val="3F8B0CBF"/>
    <w:multiLevelType w:val="hybridMultilevel"/>
    <w:lvl w:ilvl="0">
      <w:lvlJc w:val="left"/>
      <w:lvlText w:val="(%1)"/>
      <w:numFmt w:val="lowerLetter"/>
      <w:start w:val="3"/>
    </w:lvl>
    <w:lvl w:ilvl="1">
      <w:lvlJc w:val="left"/>
      <w:lvlText w:val="%2"/>
      <w:numFmt w:val="lowerLetter"/>
      <w:start w:val="1"/>
    </w:lvl>
  </w:abstractNum>
  <w:abstractNum w:abstractNumId="207">
    <w:nsid w:val="37E203AB"/>
    <w:multiLevelType w:val="hybridMultilevel"/>
    <w:lvl w:ilvl="0">
      <w:lvlJc w:val="left"/>
      <w:lvlText w:val="(%1)"/>
      <w:numFmt w:val="lowerLetter"/>
      <w:start w:val="9"/>
    </w:lvl>
    <w:lvl w:ilvl="1">
      <w:lvlJc w:val="left"/>
      <w:lvlText w:val="(%2)"/>
      <w:numFmt w:val="lowerRoman"/>
      <w:start w:val="1"/>
    </w:lvl>
  </w:abstractNum>
  <w:abstractNum w:abstractNumId="208">
    <w:nsid w:val="2586D60E"/>
    <w:multiLevelType w:val="hybridMultilevel"/>
    <w:lvl w:ilvl="0">
      <w:lvlJc w:val="left"/>
      <w:lvlText w:val="(%1)"/>
      <w:numFmt w:val="lowerRoman"/>
      <w:start w:val="5"/>
    </w:lvl>
  </w:abstractNum>
  <w:abstractNum w:abstractNumId="209">
    <w:nsid w:val="1F3DA4D5"/>
    <w:multiLevelType w:val="hybridMultilevel"/>
    <w:lvl w:ilvl="0">
      <w:lvlJc w:val="left"/>
      <w:lvlText w:val="(%1)"/>
      <w:numFmt w:val="lowerLetter"/>
      <w:start w:val="13"/>
    </w:lvl>
  </w:abstractNum>
  <w:abstractNum w:abstractNumId="210">
    <w:nsid w:val="74C93698"/>
    <w:multiLevelType w:val="hybridMultilevel"/>
    <w:lvl w:ilvl="0">
      <w:lvlJc w:val="left"/>
      <w:lvlText w:val="(%1)"/>
      <w:numFmt w:val="lowerLetter"/>
      <w:start w:val="1"/>
    </w:lvl>
    <w:lvl w:ilvl="1">
      <w:lvlJc w:val="left"/>
      <w:lvlText w:val="(%2)"/>
      <w:numFmt w:val="lowerRoman"/>
      <w:start w:val="1"/>
    </w:lvl>
  </w:abstractNum>
  <w:abstractNum w:abstractNumId="211">
    <w:nsid w:val="48781401"/>
    <w:multiLevelType w:val="hybridMultilevel"/>
    <w:lvl w:ilvl="0">
      <w:lvlJc w:val="left"/>
      <w:lvlText w:val="(%1)"/>
      <w:numFmt w:val="lowerLetter"/>
      <w:start w:val="2"/>
    </w:lvl>
  </w:abstractNum>
  <w:abstractNum w:abstractNumId="212">
    <w:nsid w:val="186928D6"/>
    <w:multiLevelType w:val="hybridMultilevel"/>
    <w:lvl w:ilvl="0">
      <w:lvlJc w:val="left"/>
      <w:lvlText w:val="%1"/>
      <w:numFmt w:val="lowerRoman"/>
      <w:start w:val="1"/>
    </w:lvl>
    <w:lvl w:ilvl="1">
      <w:lvlJc w:val="left"/>
      <w:lvlText w:val="(%2)"/>
      <w:numFmt w:val="lowerLetter"/>
      <w:start w:val="5"/>
    </w:lvl>
  </w:abstractNum>
  <w:abstractNum w:abstractNumId="213">
    <w:nsid w:val="47195E5"/>
    <w:multiLevelType w:val="hybridMultilevel"/>
    <w:lvl w:ilvl="0">
      <w:lvlJc w:val="left"/>
      <w:lvlText w:val="(%1)"/>
      <w:numFmt w:val="lowerRoman"/>
      <w:start w:val="4"/>
    </w:lvl>
    <w:lvl w:ilvl="1">
      <w:lvlJc w:val="left"/>
      <w:lvlText w:val="%2"/>
      <w:numFmt w:val="lowerLetter"/>
      <w:start w:val="1"/>
    </w:lvl>
  </w:abstractNum>
  <w:abstractNum w:abstractNumId="214">
    <w:nsid w:val="3746A5F2"/>
    <w:multiLevelType w:val="hybridMultilevel"/>
    <w:lvl w:ilvl="0">
      <w:lvlJc w:val="left"/>
      <w:lvlText w:val="(%1)"/>
      <w:numFmt w:val="lowerLetter"/>
      <w:start w:val="1"/>
    </w:lvl>
  </w:abstractNum>
  <w:abstractNum w:abstractNumId="215">
    <w:nsid w:val="682DFED6"/>
    <w:multiLevelType w:val="hybridMultilevel"/>
    <w:lvl w:ilvl="0">
      <w:lvlJc w:val="left"/>
      <w:lvlText w:val="(%1)"/>
      <w:numFmt w:val="lowerLetter"/>
      <w:start w:val="2"/>
    </w:lvl>
  </w:abstractNum>
  <w:abstractNum w:abstractNumId="216">
    <w:nsid w:val="606ED7F6"/>
    <w:multiLevelType w:val="hybridMultilevel"/>
    <w:lvl w:ilvl="0">
      <w:lvlJc w:val="left"/>
      <w:lvlText w:val="(%1)"/>
      <w:numFmt w:val="lowerRoman"/>
      <w:start w:val="1"/>
    </w:lvl>
  </w:abstractNum>
  <w:abstractNum w:abstractNumId="217">
    <w:nsid w:val="2D9DF57D"/>
    <w:multiLevelType w:val="hybridMultilevel"/>
    <w:lvl w:ilvl="0">
      <w:lvlJc w:val="left"/>
      <w:lvlText w:val="(%1)"/>
      <w:numFmt w:val="lowerLetter"/>
      <w:start w:val="1"/>
    </w:lvl>
  </w:abstractNum>
  <w:abstractNum w:abstractNumId="218">
    <w:nsid w:val="7FBD7A3E"/>
    <w:multiLevelType w:val="hybridMultilevel"/>
    <w:lvl w:ilvl="0">
      <w:lvlJc w:val="left"/>
      <w:lvlText w:val="%1."/>
      <w:numFmt w:val="decimal"/>
      <w:start w:val="1"/>
    </w:lvl>
  </w:abstractNum>
  <w:abstractNum w:abstractNumId="219">
    <w:nsid w:val="490B7C5"/>
    <w:multiLevelType w:val="hybridMultilevel"/>
    <w:lvl w:ilvl="0">
      <w:lvlJc w:val="left"/>
      <w:lvlText w:val="(%1)"/>
      <w:numFmt w:val="decimal"/>
      <w:start w:val="4"/>
    </w:lvl>
    <w:lvl w:ilvl="1">
      <w:lvlJc w:val="left"/>
      <w:lvlText w:val="(%2)"/>
      <w:numFmt w:val="lowerRoman"/>
      <w:start w:val="1"/>
    </w:lvl>
  </w:abstractNum>
  <w:abstractNum w:abstractNumId="220">
    <w:nsid w:val="4303A216"/>
    <w:multiLevelType w:val="hybridMultilevel"/>
    <w:lvl w:ilvl="0">
      <w:lvlJc w:val="left"/>
      <w:lvlText w:val="(%1)"/>
      <w:numFmt w:val="lowerRoman"/>
      <w:start w:val="5"/>
    </w:lvl>
  </w:abstractNum>
  <w:abstractNum w:abstractNumId="221">
    <w:nsid w:val="19B8A08E"/>
    <w:multiLevelType w:val="hybridMultilevel"/>
    <w:lvl w:ilvl="0">
      <w:lvlJc w:val="left"/>
      <w:lvlText w:val="(%1)"/>
      <w:numFmt w:val="lowerRoman"/>
      <w:start w:val="1"/>
    </w:lvl>
  </w:abstractNum>
  <w:abstractNum w:abstractNumId="222">
    <w:nsid w:val="54B59621"/>
    <w:multiLevelType w:val="hybridMultilevel"/>
    <w:lvl w:ilvl="0">
      <w:lvlJc w:val="left"/>
      <w:lvlText w:val="(%1)"/>
      <w:numFmt w:val="lowerRoman"/>
      <w:start w:val="1"/>
    </w:lvl>
  </w:abstractNum>
  <w:abstractNum w:abstractNumId="223">
    <w:nsid w:val="5992A02E"/>
    <w:multiLevelType w:val="hybridMultilevel"/>
    <w:lvl w:ilvl="0">
      <w:lvlJc w:val="left"/>
      <w:lvlText w:val="1"/>
      <w:numFmt w:val="bullet"/>
      <w:start w:val="1"/>
    </w:lvl>
  </w:abstractNum>
  <w:abstractNum w:abstractNumId="224">
    <w:nsid w:val="29EF532D"/>
    <w:multiLevelType w:val="hybridMultilevel"/>
    <w:lvl w:ilvl="0">
      <w:lvlJc w:val="left"/>
      <w:lvlText w:val="%1."/>
      <w:numFmt w:val="decimal"/>
      <w:start w:val="1"/>
    </w:lvl>
    <w:lvl w:ilvl="1">
      <w:lvlJc w:val="left"/>
      <w:lvlText w:val="(%2)"/>
      <w:numFmt w:val="lowerLetter"/>
      <w:start w:val="1"/>
    </w:lvl>
  </w:abstractNum>
  <w:abstractNum w:abstractNumId="225">
    <w:nsid w:val="71D601AF"/>
    <w:multiLevelType w:val="hybridMultilevel"/>
    <w:lvl w:ilvl="0">
      <w:lvlJc w:val="left"/>
      <w:lvlText w:val="(%1)"/>
      <w:numFmt w:val="lowerLetter"/>
      <w:start w:val="2"/>
    </w:lvl>
    <w:lvl w:ilvl="1">
      <w:lvlJc w:val="left"/>
      <w:lvlText w:val="(%2)"/>
      <w:numFmt w:val="lowerLetter"/>
      <w:start w:val="35"/>
    </w:lvl>
  </w:abstractNum>
  <w:abstractNum w:abstractNumId="226">
    <w:nsid w:val="52C7740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27">
    <w:nsid w:val="2BB5B1C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228">
    <w:nsid w:val="66BE6B9"/>
    <w:multiLevelType w:val="hybridMultilevel"/>
    <w:lvl w:ilvl="0">
      <w:lvlJc w:val="left"/>
      <w:lvlText w:val="(%1)"/>
      <w:numFmt w:val="decimal"/>
      <w:start w:val="2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29">
    <w:nsid w:val="62234363"/>
    <w:multiLevelType w:val="hybridMultilevel"/>
    <w:lvl w:ilvl="0">
      <w:lvlJc w:val="left"/>
      <w:lvlText w:val="%1"/>
      <w:numFmt w:val="decimal"/>
      <w:start w:val="1"/>
    </w:lvl>
    <w:lvl w:ilvl="1">
      <w:lvlJc w:val="left"/>
      <w:lvlText w:val="(%2)"/>
      <w:numFmt w:val="lowerLetter"/>
      <w:start w:val="5"/>
    </w:lvl>
  </w:abstractNum>
  <w:abstractNum w:abstractNumId="230">
    <w:nsid w:val="66D385C9"/>
    <w:multiLevelType w:val="hybridMultilevel"/>
    <w:lvl w:ilvl="0">
      <w:lvlJc w:val="left"/>
      <w:lvlText w:val="%1."/>
      <w:numFmt w:val="decimal"/>
      <w:start w:val="3"/>
    </w:lvl>
    <w:lvl w:ilvl="1">
      <w:lvlJc w:val="left"/>
      <w:lvlText w:val="(%2)"/>
      <w:numFmt w:val="lowerLetter"/>
      <w:start w:val="1"/>
    </w:lvl>
  </w:abstractNum>
  <w:abstractNum w:abstractNumId="231">
    <w:nsid w:val="596F6D8A"/>
    <w:multiLevelType w:val="hybridMultilevel"/>
    <w:lvl w:ilvl="0">
      <w:lvlJc w:val="left"/>
      <w:lvlText w:val="(%1)"/>
      <w:numFmt w:val="lowerLetter"/>
      <w:start w:val="3"/>
    </w:lvl>
    <w:lvl w:ilvl="1">
      <w:lvlJc w:val="left"/>
      <w:lvlText w:val="(%2)"/>
      <w:numFmt w:val="lowerLetter"/>
      <w:start w:val="9"/>
    </w:lvl>
  </w:abstractNum>
  <w:abstractNum w:abstractNumId="232">
    <w:nsid w:val="5749361F"/>
    <w:multiLevelType w:val="hybridMultilevel"/>
    <w:lvl w:ilvl="0">
      <w:lvlJc w:val="left"/>
      <w:lvlText w:val="(%1)"/>
      <w:numFmt w:val="upperLetter"/>
      <w:start w:val="2"/>
    </w:lvl>
    <w:lvl w:ilvl="1">
      <w:lvlJc w:val="left"/>
      <w:lvlText w:val="(%2)"/>
      <w:numFmt w:val="decimal"/>
      <w:start w:val="1"/>
    </w:lvl>
  </w:abstractNum>
  <w:abstractNum w:abstractNumId="233">
    <w:nsid w:val="73BC6770"/>
    <w:multiLevelType w:val="hybridMultilevel"/>
    <w:lvl w:ilvl="0">
      <w:lvlJc w:val="left"/>
      <w:lvlText w:val="%1"/>
      <w:numFmt w:val="lowerRoman"/>
      <w:start w:val="1"/>
    </w:lvl>
    <w:lvl w:ilvl="1">
      <w:lvlJc w:val="left"/>
      <w:lvlText w:val="(%2)"/>
      <w:numFmt w:val="decimal"/>
      <w:start w:val="3"/>
    </w:lvl>
  </w:abstractNum>
  <w:abstractNum w:abstractNumId="234">
    <w:nsid w:val="280E6897"/>
    <w:multiLevelType w:val="hybridMultilevel"/>
    <w:lvl w:ilvl="0">
      <w:lvlJc w:val="left"/>
      <w:lvlText w:val="(%1)"/>
      <w:numFmt w:val="lowerRoman"/>
      <w:start w:val="2"/>
    </w:lvl>
    <w:lvl w:ilvl="1">
      <w:lvlJc w:val="left"/>
      <w:lvlText w:val="%2"/>
      <w:numFmt w:val="decimal"/>
      <w:start w:val="1"/>
    </w:lvl>
  </w:abstractNum>
  <w:abstractNum w:abstractNumId="235">
    <w:nsid w:val="605138DE"/>
    <w:multiLevelType w:val="hybridMultilevel"/>
    <w:lvl w:ilvl="0">
      <w:lvlJc w:val="left"/>
      <w:lvlText w:val="(%1)"/>
      <w:numFmt w:val="upperLetter"/>
      <w:start w:val="1"/>
    </w:lvl>
  </w:abstractNum>
  <w:abstractNum w:abstractNumId="236">
    <w:nsid w:val="2622AD0C"/>
    <w:multiLevelType w:val="hybridMultilevel"/>
    <w:lvl w:ilvl="0">
      <w:lvlJc w:val="left"/>
      <w:lvlText w:val="%1"/>
      <w:numFmt w:val="lowerRoman"/>
      <w:start w:val="1"/>
    </w:lvl>
    <w:lvl w:ilvl="1">
      <w:lvlJc w:val="left"/>
      <w:lvlText w:val="(%2)"/>
      <w:numFmt w:val="upperLetter"/>
      <w:start w:val="5"/>
    </w:lvl>
  </w:abstractNum>
  <w:abstractNum w:abstractNumId="237">
    <w:nsid w:val="67997556"/>
    <w:multiLevelType w:val="hybridMultilevel"/>
    <w:lvl w:ilvl="0">
      <w:lvlJc w:val="left"/>
      <w:lvlText w:val="(%1)"/>
      <w:numFmt w:val="lowerRoman"/>
      <w:start w:val="3"/>
    </w:lvl>
    <w:lvl w:ilvl="1">
      <w:lvlJc w:val="left"/>
      <w:lvlText w:val="%2"/>
      <w:numFmt w:val="upperLetter"/>
      <w:start w:val="1"/>
    </w:lvl>
  </w:abstractNum>
  <w:abstractNum w:abstractNumId="238">
    <w:nsid w:val="18333C89"/>
    <w:multiLevelType w:val="hybridMultilevel"/>
    <w:lvl w:ilvl="0">
      <w:lvlJc w:val="left"/>
      <w:lvlText w:val="(%1)"/>
      <w:numFmt w:val="lowerLetter"/>
      <w:start w:val="5"/>
    </w:lvl>
  </w:abstractNum>
  <w:abstractNum w:abstractNumId="239">
    <w:nsid w:val="4BA9831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40">
    <w:nsid w:val="6D71A2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41">
    <w:nsid w:val="CFC7321"/>
    <w:multiLevelType w:val="hybridMultilevel"/>
    <w:lvl w:ilvl="0">
      <w:lvlJc w:val="left"/>
      <w:lvlText w:val="%1"/>
      <w:numFmt w:val="decimal"/>
      <w:start w:val="1"/>
    </w:lvl>
    <w:lvl w:ilvl="1">
      <w:lvlJc w:val="left"/>
      <w:lvlText w:val="(%2)"/>
      <w:numFmt w:val="lowerLetter"/>
      <w:start w:val="9"/>
    </w:lvl>
  </w:abstractNum>
  <w:abstractNum w:abstractNumId="242">
    <w:nsid w:val="1421971B"/>
    <w:multiLevelType w:val="hybridMultilevel"/>
    <w:lvl w:ilvl="0">
      <w:lvlJc w:val="left"/>
      <w:lvlText w:val="%1."/>
      <w:numFmt w:val="decimal"/>
      <w:start w:val="5"/>
    </w:lvl>
    <w:lvl w:ilvl="1">
      <w:lvlJc w:val="left"/>
      <w:lvlText w:val="(%2)"/>
      <w:numFmt w:val="lowerLetter"/>
      <w:start w:val="1"/>
    </w:lvl>
  </w:abstractNum>
  <w:abstractNum w:abstractNumId="243">
    <w:nsid w:val="1F404301"/>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1"/>
    </w:lvl>
  </w:abstractNum>
  <w:abstractNum w:abstractNumId="244">
    <w:nsid w:val="116E0907"/>
    <w:multiLevelType w:val="hybridMultilevel"/>
    <w:lvl w:ilvl="0">
      <w:lvlJc w:val="left"/>
      <w:lvlText w:val="%1"/>
      <w:numFmt w:val="decimal"/>
      <w:start w:val="1"/>
    </w:lvl>
    <w:lvl w:ilvl="1">
      <w:lvlJc w:val="left"/>
      <w:lvlText w:val="(%2)"/>
      <w:numFmt w:val="lowerLetter"/>
      <w:start w:val="7"/>
    </w:lvl>
  </w:abstractNum>
  <w:abstractNum w:abstractNumId="245">
    <w:nsid w:val="4B683D0D"/>
    <w:multiLevelType w:val="hybridMultilevel"/>
    <w:lvl w:ilvl="0">
      <w:lvlJc w:val="left"/>
      <w:lvlText w:val="%1."/>
      <w:numFmt w:val="decimal"/>
      <w:start w:val="7"/>
    </w:lvl>
    <w:lvl w:ilvl="1">
      <w:lvlJc w:val="left"/>
      <w:lvlText w:val="%2"/>
      <w:numFmt w:val="lowerLetter"/>
      <w:start w:val="1"/>
    </w:lvl>
  </w:abstractNum>
  <w:abstractNum w:abstractNumId="246">
    <w:nsid w:val="76E41D8"/>
    <w:multiLevelType w:val="hybridMultilevel"/>
    <w:lvl w:ilvl="0">
      <w:lvlJc w:val="left"/>
      <w:lvlText w:val="%1."/>
      <w:numFmt w:val="decimal"/>
      <w:start w:val="1"/>
    </w:lvl>
  </w:abstractNum>
  <w:abstractNum w:abstractNumId="247">
    <w:nsid w:val="71DCE0FD"/>
    <w:multiLevelType w:val="hybridMultilevel"/>
    <w:lvl w:ilvl="0">
      <w:lvlJc w:val="left"/>
      <w:lvlText w:val="%1."/>
      <w:numFmt w:val="decimal"/>
      <w:start w:val="1"/>
    </w:lvl>
  </w:abstractNum>
  <w:abstractNum w:abstractNumId="248">
    <w:nsid w:val="7906328B"/>
    <w:multiLevelType w:val="hybridMultilevel"/>
    <w:lvl w:ilvl="0">
      <w:lvlJc w:val="left"/>
      <w:lvlText w:val="%1."/>
      <w:numFmt w:val="decimal"/>
      <w:start w:val="1"/>
    </w:lvl>
  </w:abstractNum>
  <w:abstractNum w:abstractNumId="249">
    <w:nsid w:val="72BBC16"/>
    <w:multiLevelType w:val="hybridMultilevel"/>
    <w:lvl w:ilvl="0">
      <w:lvlJc w:val="left"/>
      <w:lvlText w:val="%1"/>
      <w:numFmt w:val="upperLetter"/>
      <w:start w:val="1"/>
    </w:lvl>
    <w:lvl w:ilvl="1">
      <w:lvlJc w:val="left"/>
      <w:lvlText w:val="%2."/>
      <w:numFmt w:val="decimal"/>
      <w:start w:val="2"/>
    </w:lvl>
  </w:abstractNum>
  <w:abstractNum w:abstractNumId="250">
    <w:nsid w:val="766D98C2"/>
    <w:multiLevelType w:val="hybridMultilevel"/>
    <w:lvl w:ilvl="0">
      <w:lvlJc w:val="left"/>
      <w:lvlText w:val="%1."/>
      <w:numFmt w:val="upperLetter"/>
      <w:start w:val="2"/>
    </w:lvl>
    <w:lvl w:ilvl="1">
      <w:lvlJc w:val="left"/>
      <w:lvlText w:val="%2"/>
      <w:numFmt w:val="decimal"/>
      <w:start w:val="1"/>
    </w:lvl>
  </w:abstractNum>
  <w:abstractNum w:abstractNumId="251">
    <w:nsid w:val="3C09D4A1"/>
    <w:multiLevelType w:val="hybridMultilevel"/>
    <w:lvl w:ilvl="0">
      <w:lvlJc w:val="left"/>
      <w:lvlText w:val="(%1)"/>
      <w:numFmt w:val="lowerLetter"/>
      <w:start w:val="1"/>
    </w:lvl>
  </w:abstractNum>
  <w:abstractNum w:abstractNumId="252">
    <w:nsid w:val="20E45CA4"/>
    <w:multiLevelType w:val="hybridMultilevel"/>
    <w:lvl w:ilvl="0">
      <w:lvlJc w:val="left"/>
      <w:lvlText w:val="(%1)"/>
      <w:numFmt w:val="lowerLetter"/>
      <w:start w:val="2"/>
    </w:lvl>
  </w:abstractNum>
  <w:abstractNum w:abstractNumId="253">
    <w:nsid w:val="4B232EE3"/>
    <w:multiLevelType w:val="hybridMultilevel"/>
    <w:lvl w:ilvl="0">
      <w:lvlJc w:val="left"/>
      <w:lvlText w:val="(%1)"/>
      <w:numFmt w:val="lowerLetter"/>
      <w:start w:val="1"/>
    </w:lvl>
  </w:abstractNum>
  <w:abstractNum w:abstractNumId="254">
    <w:nsid w:val="159C74CF"/>
    <w:multiLevelType w:val="hybridMultilevel"/>
    <w:lvl w:ilvl="0">
      <w:lvlJc w:val="left"/>
      <w:lvlText w:val="%1"/>
      <w:numFmt w:val="upperLetter"/>
      <w:start w:val="1"/>
    </w:lvl>
    <w:lvl w:ilvl="1">
      <w:lvlJc w:val="left"/>
      <w:lvlText w:val="(%2)"/>
      <w:numFmt w:val="lowerLetter"/>
      <w:start w:val="3"/>
    </w:lvl>
  </w:abstractNum>
  <w:abstractNum w:abstractNumId="255">
    <w:nsid w:val="4AD3AFD2"/>
    <w:multiLevelType w:val="hybridMultilevel"/>
    <w:lvl w:ilvl="0">
      <w:lvlJc w:val="left"/>
      <w:lvlText w:val="%1."/>
      <w:numFmt w:val="upperLetter"/>
      <w:start w:val="2"/>
    </w:lvl>
    <w:lvl w:ilvl="1">
      <w:lvlJc w:val="left"/>
      <w:lvlText w:val="%2"/>
      <w:numFmt w:val="lowerLetter"/>
      <w:start w:val="1"/>
    </w:lvl>
  </w:abstractNum>
  <w:abstractNum w:abstractNumId="256">
    <w:nsid w:val="3CF93092"/>
    <w:multiLevelType w:val="hybridMultilevel"/>
    <w:lvl w:ilvl="0">
      <w:lvlJc w:val="left"/>
      <w:lvlText w:val="(%1)"/>
      <w:numFmt w:val="lowerLetter"/>
      <w:start w:val="1"/>
    </w:lvl>
    <w:lvl w:ilvl="1">
      <w:lvlJc w:val="left"/>
      <w:lvlText w:val="(%2)"/>
      <w:numFmt w:val="decimal"/>
      <w:start w:val="1"/>
    </w:lvl>
  </w:abstractNum>
  <w:abstractNum w:abstractNumId="257">
    <w:nsid w:val="6863E8D2"/>
    <w:multiLevelType w:val="hybridMultilevel"/>
    <w:lvl w:ilvl="0">
      <w:lvlJc w:val="left"/>
      <w:lvlText w:val="(%1)"/>
      <w:numFmt w:val="lowerLetter"/>
      <w:start w:val="1"/>
    </w:lvl>
  </w:abstractNum>
  <w:abstractNum w:abstractNumId="258">
    <w:nsid w:val="76896198"/>
    <w:multiLevelType w:val="hybridMultilevel"/>
    <w:lvl w:ilvl="0">
      <w:lvlJc w:val="left"/>
      <w:lvlText w:val="(%1)"/>
      <w:numFmt w:val="lowerLetter"/>
      <w:start w:val="1"/>
    </w:lvl>
  </w:abstractNum>
  <w:abstractNum w:abstractNumId="259">
    <w:nsid w:val="4365174B"/>
    <w:multiLevelType w:val="hybridMultilevel"/>
    <w:lvl w:ilvl="0">
      <w:lvlJc w:val="left"/>
      <w:lvlText w:val="(%1)"/>
      <w:numFmt w:val="lowerLetter"/>
      <w:start w:val="2"/>
    </w:lvl>
  </w:abstractNum>
  <w:abstractNum w:abstractNumId="260">
    <w:nsid w:val="4A872C35"/>
    <w:multiLevelType w:val="hybridMultilevel"/>
    <w:lvl w:ilvl="0">
      <w:lvlJc w:val="left"/>
      <w:lvlText w:val="(%1)"/>
      <w:numFmt w:val="lowerLetter"/>
      <w:start w:val="1"/>
    </w:lvl>
  </w:abstractNum>
  <w:abstractNum w:abstractNumId="261">
    <w:nsid w:val="5D5CE761"/>
    <w:multiLevelType w:val="hybridMultilevel"/>
    <w:lvl w:ilvl="0">
      <w:lvlJc w:val="left"/>
      <w:lvlText w:val="(%1)"/>
      <w:numFmt w:val="upperLetter"/>
      <w:start w:val="1"/>
    </w:lvl>
  </w:abstractNum>
  <w:abstractNum w:abstractNumId="262">
    <w:nsid w:val="1CD484D5"/>
    <w:multiLevelType w:val="hybridMultilevel"/>
    <w:lvl w:ilvl="0">
      <w:lvlJc w:val="left"/>
      <w:lvlText w:val="(%1)"/>
      <w:numFmt w:val="lowerLetter"/>
      <w:start w:val="3"/>
    </w:lvl>
    <w:lvl w:ilvl="1">
      <w:lvlJc w:val="left"/>
      <w:lvlText w:val="(%2)"/>
      <w:numFmt w:val="lowerLetter"/>
      <w:start w:val="4"/>
    </w:lvl>
  </w:abstractNum>
  <w:abstractNum w:abstractNumId="263">
    <w:nsid w:val="21D06255"/>
    <w:multiLevelType w:val="hybridMultilevel"/>
    <w:lvl w:ilvl="0">
      <w:lvlJc w:val="left"/>
      <w:lvlText w:val="(%1)"/>
      <w:numFmt w:val="lowerLetter"/>
      <w:start w:val="1"/>
    </w:lvl>
  </w:abstractNum>
  <w:abstractNum w:abstractNumId="264">
    <w:nsid w:val="51194ED1"/>
    <w:multiLevelType w:val="hybridMultilevel"/>
    <w:lvl w:ilvl="0">
      <w:lvlJc w:val="left"/>
      <w:lvlText w:val="(%1)"/>
      <w:numFmt w:val="upperLetter"/>
      <w:start w:val="1"/>
    </w:lvl>
  </w:abstractNum>
  <w:abstractNum w:abstractNumId="265">
    <w:nsid w:val="44E2ED6C"/>
    <w:multiLevelType w:val="hybridMultilevel"/>
    <w:lvl w:ilvl="0">
      <w:lvlJc w:val="left"/>
      <w:lvlText w:val="(%1)"/>
      <w:numFmt w:val="lowerLetter"/>
      <w:start w:val="24"/>
    </w:lvl>
    <w:lvl w:ilvl="1">
      <w:lvlJc w:val="left"/>
      <w:lvlText w:val="(%2)"/>
      <w:numFmt w:val="lowerLetter"/>
      <w:start w:val="3"/>
    </w:lvl>
  </w:abstractNum>
  <w:abstractNum w:abstractNumId="266">
    <w:nsid w:val="2219B33"/>
    <w:multiLevelType w:val="hybridMultilevel"/>
    <w:lvl w:ilvl="0">
      <w:lvlJc w:val="left"/>
      <w:lvlText w:val="(%1)"/>
      <w:numFmt w:val="lowerLetter"/>
      <w:start w:val="5"/>
    </w:lvl>
  </w:abstractNum>
  <w:abstractNum w:abstractNumId="267">
    <w:nsid w:val="773BFBDD"/>
    <w:multiLevelType w:val="hybridMultilevel"/>
    <w:lvl w:ilvl="0">
      <w:lvlJc w:val="left"/>
      <w:lvlText w:val="%1"/>
      <w:numFmt w:val="lowerLetter"/>
      <w:start w:val="1"/>
    </w:lvl>
    <w:lvl w:ilvl="1">
      <w:lvlJc w:val="left"/>
      <w:lvlText w:val="(%2)"/>
      <w:numFmt w:val="lowerLetter"/>
      <w:start w:val="1"/>
    </w:lvl>
  </w:abstractNum>
  <w:abstractNum w:abstractNumId="268">
    <w:nsid w:val="2C7C62C2"/>
    <w:multiLevelType w:val="hybridMultilevel"/>
    <w:lvl w:ilvl="0">
      <w:lvlJc w:val="left"/>
      <w:lvlText w:val="(%1)"/>
      <w:numFmt w:val="lowerLetter"/>
      <w:start w:val="35"/>
    </w:lvl>
    <w:lvl w:ilvl="1">
      <w:lvlJc w:val="left"/>
      <w:lvlText w:val="(%2)"/>
      <w:numFmt w:val="lowerLetter"/>
      <w:start w:val="3"/>
    </w:lvl>
  </w:abstractNum>
  <w:abstractNum w:abstractNumId="269">
    <w:nsid w:val="1A54D7BC"/>
    <w:multiLevelType w:val="hybridMultilevel"/>
    <w:lvl w:ilvl="0">
      <w:lvlJc w:val="left"/>
      <w:lvlText w:val="(%1)"/>
      <w:numFmt w:val="lowerLetter"/>
      <w:start w:val="4"/>
    </w:lvl>
  </w:abstractNum>
  <w:abstractNum w:abstractNumId="270">
    <w:nsid w:val="42E57EF7"/>
    <w:multiLevelType w:val="hybridMultilevel"/>
    <w:lvl w:ilvl="0">
      <w:lvlJc w:val="left"/>
      <w:lvlText w:val="(%1)"/>
      <w:numFmt w:val="decimal"/>
      <w:start w:val="24"/>
    </w:lvl>
  </w:abstractNum>
  <w:abstractNum w:abstractNumId="271">
    <w:nsid w:val="33537CED"/>
    <w:multiLevelType w:val="hybridMultilevel"/>
    <w:lvl w:ilvl="0">
      <w:lvlJc w:val="left"/>
      <w:lvlText w:val="(%1)"/>
      <w:numFmt w:val="decimal"/>
      <w:start w:val="60"/>
    </w:lvl>
  </w:abstractNum>
  <w:abstractNum w:abstractNumId="272">
    <w:nsid w:val="27514ADE"/>
    <w:multiLevelType w:val="hybridMultilevel"/>
    <w:lvl w:ilvl="0">
      <w:lvlJc w:val="left"/>
      <w:lvlText w:val="(%1)"/>
      <w:numFmt w:val="lowerLetter"/>
      <w:start w:val="1"/>
    </w:lvl>
  </w:abstractNum>
  <w:abstractNum w:abstractNumId="273">
    <w:nsid w:val="57071613"/>
    <w:multiLevelType w:val="hybridMultilevel"/>
    <w:lvl w:ilvl="0">
      <w:lvlJc w:val="left"/>
      <w:lvlText w:val="(%1)"/>
      <w:numFmt w:val="lowerLetter"/>
      <w:start w:val="4"/>
    </w:lvl>
  </w:abstractNum>
  <w:abstractNum w:abstractNumId="274">
    <w:nsid w:val="5293BFEF"/>
    <w:multiLevelType w:val="hybridMultilevel"/>
    <w:lvl w:ilvl="0">
      <w:lvlJc w:val="left"/>
      <w:lvlText w:val="%1."/>
      <w:numFmt w:val="decimal"/>
      <w:start w:val="1"/>
    </w:lvl>
    <w:lvl w:ilvl="1">
      <w:lvlJc w:val="left"/>
      <w:lvlText w:val="(%2)"/>
      <w:numFmt w:val="lowerLetter"/>
      <w:start w:val="1"/>
    </w:lvl>
  </w:abstractNum>
  <w:abstractNum w:abstractNumId="275">
    <w:nsid w:val="38BF53E5"/>
    <w:multiLevelType w:val="hybridMultilevel"/>
    <w:lvl w:ilvl="0">
      <w:lvlJc w:val="left"/>
      <w:lvlText w:val="(%1)"/>
      <w:numFmt w:val="lowerLetter"/>
      <w:start w:val="3"/>
    </w:lvl>
  </w:abstractNum>
  <w:abstractNum w:abstractNumId="276">
    <w:nsid w:val="226F532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5"/>
    </w:lvl>
  </w:abstractNum>
  <w:abstractNum w:abstractNumId="277">
    <w:nsid w:val="5A0201C7"/>
    <w:multiLevelType w:val="hybridMultilevel"/>
    <w:lvl w:ilvl="0">
      <w:lvlJc w:val="left"/>
      <w:lvlText w:val="(%1)"/>
      <w:numFmt w:val="decimal"/>
      <w:start w:val="1"/>
    </w:lvl>
    <w:lvl w:ilvl="1">
      <w:lvlJc w:val="left"/>
      <w:lvlText w:val="%2."/>
      <w:numFmt w:val="decimal"/>
      <w:start w:val="1"/>
    </w:lvl>
    <w:lvl w:ilvl="2">
      <w:lvlJc w:val="left"/>
      <w:lvlText w:val="(%3)"/>
      <w:numFmt w:val="lowerLetter"/>
      <w:start w:val="20"/>
    </w:lvl>
  </w:abstractNum>
  <w:abstractNum w:abstractNumId="278">
    <w:nsid w:val="2A9C34E2"/>
    <w:multiLevelType w:val="hybridMultilevel"/>
    <w:lvl w:ilvl="0">
      <w:lvlJc w:val="left"/>
      <w:lvlText w:val="(%1)"/>
      <w:numFmt w:val="lowerLetter"/>
      <w:start w:val="1"/>
    </w:lvl>
  </w:abstractNum>
  <w:abstractNum w:abstractNumId="279">
    <w:nsid w:val="1B7585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0">
    <w:nsid w:val="612DBDDD"/>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281">
    <w:nsid w:val="2109CDA4"/>
    <w:multiLevelType w:val="hybridMultilevel"/>
    <w:lvl w:ilvl="0">
      <w:lvlJc w:val="left"/>
      <w:lvlText w:val="(%1)"/>
      <w:numFmt w:val="lowerLetter"/>
      <w:start w:val="1"/>
    </w:lvl>
  </w:abstractNum>
  <w:abstractNum w:abstractNumId="282">
    <w:nsid w:val="577F5A4D"/>
    <w:multiLevelType w:val="hybridMultilevel"/>
    <w:lvl w:ilvl="0">
      <w:lvlJc w:val="left"/>
      <w:lvlText w:val="(%1)"/>
      <w:numFmt w:val="lowerLetter"/>
      <w:start w:val="2"/>
    </w:lvl>
  </w:abstractNum>
  <w:abstractNum w:abstractNumId="283">
    <w:nsid w:val="2121A81"/>
    <w:multiLevelType w:val="hybridMultilevel"/>
    <w:lvl w:ilvl="0">
      <w:lvlJc w:val="left"/>
      <w:lvlText w:val="(%1)"/>
      <w:numFmt w:val="lowerLetter"/>
      <w:start w:val="1"/>
    </w:lvl>
    <w:lvl w:ilvl="1">
      <w:lvlJc w:val="left"/>
      <w:lvlText w:val="(%2)"/>
      <w:numFmt w:val="lowerRoman"/>
      <w:start w:val="1"/>
    </w:lvl>
  </w:abstractNum>
  <w:abstractNum w:abstractNumId="284">
    <w:nsid w:val="6C2CFC88"/>
    <w:multiLevelType w:val="hybridMultilevel"/>
    <w:lvl w:ilvl="0">
      <w:lvlJc w:val="left"/>
      <w:lvlText w:val="(%1)"/>
      <w:numFmt w:val="lowerLetter"/>
      <w:start w:val="4"/>
    </w:lvl>
  </w:abstractNum>
  <w:abstractNum w:abstractNumId="285">
    <w:nsid w:val="6D1BCF1C"/>
    <w:multiLevelType w:val="hybridMultilevel"/>
    <w:lvl w:ilvl="0">
      <w:lvlJc w:val="left"/>
      <w:lvlText w:val="(%1)"/>
      <w:numFmt w:val="lowerLetter"/>
      <w:start w:val="1"/>
    </w:lvl>
  </w:abstractNum>
  <w:abstractNum w:abstractNumId="286">
    <w:nsid w:val="4CE5CA53"/>
    <w:multiLevelType w:val="hybridMultilevel"/>
    <w:lvl w:ilvl="0">
      <w:lvlJc w:val="left"/>
      <w:lvlText w:val="(%1)"/>
      <w:numFmt w:val="lowerLetter"/>
      <w:start w:val="7"/>
    </w:lvl>
  </w:abstractNum>
  <w:abstractNum w:abstractNumId="287">
    <w:nsid w:val="29262D1A"/>
    <w:multiLevelType w:val="hybridMultilevel"/>
    <w:lvl w:ilvl="0">
      <w:lvlJc w:val="left"/>
      <w:lvlText w:val="(%1)"/>
      <w:numFmt w:val="lowerRoman"/>
      <w:start w:val="1"/>
    </w:lvl>
  </w:abstractNum>
  <w:abstractNum w:abstractNumId="288">
    <w:nsid w:val="557FB7EE"/>
    <w:multiLevelType w:val="hybridMultilevel"/>
    <w:lvl w:ilvl="0">
      <w:lvlJc w:val="left"/>
      <w:lvlText w:val="%1"/>
      <w:numFmt w:val="lowerLetter"/>
      <w:start w:val="1"/>
    </w:lvl>
    <w:lvl w:ilvl="1">
      <w:lvlJc w:val="left"/>
      <w:lvlText w:val="(%2)"/>
      <w:numFmt w:val="lowerLetter"/>
      <w:start w:val="1"/>
    </w:lvl>
  </w:abstractNum>
  <w:abstractNum w:abstractNumId="289">
    <w:nsid w:val="436F2BEB"/>
    <w:multiLevelType w:val="hybridMultilevel"/>
    <w:lvl w:ilvl="0">
      <w:lvlJc w:val="left"/>
      <w:lvlText w:val="(%1)"/>
      <w:numFmt w:val="lowerLetter"/>
      <w:start w:val="9"/>
    </w:lvl>
    <w:lvl w:ilvl="1">
      <w:lvlJc w:val="left"/>
      <w:lvlText w:val="(%2)"/>
      <w:numFmt w:val="lowerLetter"/>
      <w:start w:val="2"/>
    </w:lvl>
  </w:abstractNum>
  <w:abstractNum w:abstractNumId="290">
    <w:nsid w:val="6C8B4466"/>
    <w:multiLevelType w:val="hybridMultilevel"/>
    <w:lvl w:ilvl="0">
      <w:lvlJc w:val="left"/>
      <w:lvlText w:val="(%1)"/>
      <w:numFmt w:val="lowerLetter"/>
      <w:start w:val="3"/>
    </w:lvl>
  </w:abstractNum>
  <w:abstractNum w:abstractNumId="291">
    <w:nsid w:val="2006E424"/>
    <w:multiLevelType w:val="hybridMultilevel"/>
    <w:lvl w:ilvl="0">
      <w:lvlJc w:val="left"/>
      <w:lvlText w:val="(%1)"/>
      <w:numFmt w:val="lowerLetter"/>
      <w:start w:val="5"/>
    </w:lvl>
  </w:abstractNum>
  <w:abstractNum w:abstractNumId="292">
    <w:nsid w:val="20CC134C"/>
    <w:multiLevelType w:val="hybridMultilevel"/>
    <w:lvl w:ilvl="0">
      <w:lvlJc w:val="left"/>
      <w:lvlText w:val="(%1)"/>
      <w:numFmt w:val="lowerLetter"/>
      <w:start w:val="2"/>
    </w:lvl>
  </w:abstractNum>
  <w:abstractNum w:abstractNumId="293">
    <w:nsid w:val="95FC93B"/>
    <w:multiLevelType w:val="hybridMultilevel"/>
    <w:lvl w:ilvl="0">
      <w:lvlJc w:val="left"/>
      <w:lvlText w:val="%1"/>
      <w:numFmt w:val="lowerLetter"/>
      <w:start w:val="1"/>
    </w:lvl>
    <w:lvl w:ilvl="1">
      <w:lvlJc w:val="left"/>
      <w:lvlText w:val="(%2)"/>
      <w:numFmt w:val="lowerLetter"/>
      <w:start w:val="1"/>
    </w:lvl>
  </w:abstractNum>
  <w:abstractNum w:abstractNumId="294">
    <w:nsid w:val="41D74679"/>
    <w:multiLevelType w:val="hybridMultilevel"/>
    <w:lvl w:ilvl="0">
      <w:lvlJc w:val="left"/>
      <w:lvlText w:val="(%1)"/>
      <w:numFmt w:val="lowerLetter"/>
      <w:start w:val="9"/>
    </w:lvl>
    <w:lvl w:ilvl="1">
      <w:lvlJc w:val="left"/>
      <w:lvlText w:val="(%2)"/>
      <w:numFmt w:val="lowerLetter"/>
      <w:start w:val="2"/>
    </w:lvl>
  </w:abstractNum>
  <w:abstractNum w:abstractNumId="295">
    <w:nsid w:val="71E5621E"/>
    <w:multiLevelType w:val="hybridMultilevel"/>
    <w:lvl w:ilvl="0">
      <w:lvlJc w:val="left"/>
      <w:lvlText w:val="(%1)"/>
      <w:numFmt w:val="lowerLetter"/>
      <w:start w:val="1"/>
    </w:lvl>
  </w:abstractNum>
  <w:abstractNum w:abstractNumId="296">
    <w:nsid w:val="4E42B6A8"/>
    <w:multiLevelType w:val="hybridMultilevel"/>
    <w:lvl w:ilvl="0">
      <w:lvlJc w:val="left"/>
      <w:lvlText w:val="(%1)"/>
      <w:numFmt w:val="lowerLetter"/>
      <w:start w:val="3"/>
    </w:lvl>
  </w:abstractNum>
  <w:abstractNum w:abstractNumId="297">
    <w:nsid w:val="43F8E1AC"/>
    <w:multiLevelType w:val="hybridMultilevel"/>
    <w:lvl w:ilvl="0">
      <w:lvlJc w:val="left"/>
      <w:lvlText w:val="%1."/>
      <w:numFmt w:val="decimal"/>
      <w:start w:val="3"/>
    </w:lvl>
  </w:abstractNum>
  <w:abstractNum w:abstractNumId="298">
    <w:nsid w:val="69215D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9">
    <w:nsid w:val="7ABF196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00">
    <w:nsid w:val="5E4DB968"/>
    <w:multiLevelType w:val="hybridMultilevel"/>
    <w:lvl w:ilvl="0">
      <w:lvlJc w:val="left"/>
      <w:lvlText w:val="(%1)"/>
      <w:numFmt w:val="lowerRoman"/>
      <w:start w:val="4"/>
    </w:lvl>
  </w:abstractNum>
  <w:abstractNum w:abstractNumId="301">
    <w:nsid w:val="2C06DCF3"/>
    <w:multiLevelType w:val="hybridMultilevel"/>
    <w:lvl w:ilvl="0">
      <w:lvlJc w:val="left"/>
      <w:lvlText w:val="(%1)"/>
      <w:numFmt w:val="lowerLetter"/>
      <w:start w:val="2"/>
    </w:lvl>
  </w:abstractNum>
  <w:abstractNum w:abstractNumId="302">
    <w:nsid w:val="2E129658"/>
    <w:multiLevelType w:val="hybridMultilevel"/>
    <w:lvl w:ilvl="0">
      <w:lvlJc w:val="left"/>
      <w:lvlText w:val="(%1)"/>
      <w:numFmt w:val="lowerLetter"/>
      <w:start w:val="1"/>
    </w:lvl>
  </w:abstractNum>
  <w:abstractNum w:abstractNumId="303">
    <w:nsid w:val="59F0446"/>
    <w:multiLevelType w:val="hybridMultilevel"/>
    <w:lvl w:ilvl="0">
      <w:lvlJc w:val="left"/>
      <w:lvlText w:val="(%1)"/>
      <w:numFmt w:val="lowerLetter"/>
      <w:start w:val="3"/>
    </w:lvl>
  </w:abstractNum>
  <w:abstractNum w:abstractNumId="304">
    <w:nsid w:val="30DF306"/>
    <w:multiLevelType w:val="hybridMultilevel"/>
    <w:lvl w:ilvl="0">
      <w:lvlJc w:val="left"/>
      <w:lvlText w:val="%1"/>
      <w:numFmt w:val="lowerLetter"/>
      <w:start w:val="1"/>
    </w:lvl>
    <w:lvl w:ilvl="1">
      <w:lvlJc w:val="left"/>
      <w:lvlText w:val="(%2)"/>
      <w:numFmt w:val="lowerLetter"/>
      <w:start w:val="1"/>
    </w:lvl>
  </w:abstractNum>
  <w:abstractNum w:abstractNumId="305">
    <w:nsid w:val="A65647"/>
    <w:multiLevelType w:val="hybridMultilevel"/>
    <w:lvl w:ilvl="0">
      <w:lvlJc w:val="left"/>
      <w:lvlText w:val="(%1)"/>
      <w:numFmt w:val="lowerLetter"/>
      <w:start w:val="35"/>
    </w:lvl>
    <w:lvl w:ilvl="1">
      <w:lvlJc w:val="left"/>
      <w:lvlText w:val="(%2)"/>
      <w:numFmt w:val="lowerLetter"/>
      <w:start w:val="2"/>
    </w:lvl>
  </w:abstractNum>
  <w:abstractNum w:abstractNumId="306">
    <w:nsid w:val="3E5E582B"/>
    <w:multiLevelType w:val="hybridMultilevel"/>
    <w:lvl w:ilvl="0">
      <w:lvlJc w:val="left"/>
      <w:lvlText w:val="%1"/>
      <w:numFmt w:val="lowerLetter"/>
      <w:start w:val="1"/>
    </w:lvl>
    <w:lvl w:ilvl="1">
      <w:lvlJc w:val="left"/>
      <w:lvlText w:val="(%2)"/>
      <w:numFmt w:val="lowerLetter"/>
      <w:start w:val="4"/>
    </w:lvl>
  </w:abstractNum>
  <w:abstractNum w:abstractNumId="307">
    <w:nsid w:val="257D4626"/>
    <w:multiLevelType w:val="hybridMultilevel"/>
    <w:lvl w:ilvl="0">
      <w:lvlJc w:val="left"/>
      <w:lvlText w:val="(%1)"/>
      <w:numFmt w:val="lowerLetter"/>
      <w:start w:val="35"/>
    </w:lvl>
    <w:lvl w:ilvl="1">
      <w:lvlJc w:val="left"/>
      <w:lvlText w:val="(%2)"/>
      <w:numFmt w:val="lowerLetter"/>
      <w:start w:val="5"/>
    </w:lvl>
  </w:abstractNum>
  <w:abstractNum w:abstractNumId="308">
    <w:nsid w:val="5AA8580E"/>
    <w:multiLevelType w:val="hybridMultilevel"/>
    <w:lvl w:ilvl="0">
      <w:lvlJc w:val="left"/>
      <w:lvlText w:val="(%1)"/>
      <w:numFmt w:val="lowerLetter"/>
      <w:start w:val="1"/>
    </w:lvl>
  </w:abstractNum>
  <w:abstractNum w:abstractNumId="309">
    <w:nsid w:val="68FA8D0D"/>
    <w:multiLevelType w:val="hybridMultilevel"/>
    <w:lvl w:ilvl="0">
      <w:lvlJc w:val="left"/>
      <w:lvlText w:val="(%1)"/>
      <w:numFmt w:val="lowerLetter"/>
      <w:start w:val="1"/>
    </w:lvl>
  </w:abstractNum>
  <w:abstractNum w:abstractNumId="310">
    <w:nsid w:val="40F2CBD2"/>
    <w:multiLevelType w:val="hybridMultilevel"/>
    <w:lvl w:ilvl="0">
      <w:lvlJc w:val="left"/>
      <w:lvlText w:val="%1."/>
      <w:numFmt w:val="decimal"/>
      <w:start w:val="4"/>
    </w:lvl>
  </w:abstractNum>
  <w:abstractNum w:abstractNumId="311">
    <w:nsid w:val="3BD615EB"/>
    <w:multiLevelType w:val="hybridMultilevel"/>
    <w:lvl w:ilvl="0">
      <w:lvlJc w:val="left"/>
      <w:lvlText w:val="(%1)"/>
      <w:numFmt w:val="decimal"/>
      <w:start w:val="5"/>
    </w:lvl>
  </w:abstractNum>
  <w:abstractNum w:abstractNumId="312">
    <w:nsid w:val="A045AB2"/>
    <w:multiLevelType w:val="hybridMultilevel"/>
    <w:lvl w:ilvl="0">
      <w:lvlJc w:val="left"/>
      <w:lvlText w:val="%1."/>
      <w:numFmt w:val="decimal"/>
      <w:start w:val="1"/>
    </w:lvl>
    <w:lvl w:ilvl="1">
      <w:lvlJc w:val="left"/>
      <w:lvlText w:val="(%2)"/>
      <w:numFmt w:val="lowerLetter"/>
      <w:start w:val="1"/>
    </w:lvl>
  </w:abstractNum>
  <w:abstractNum w:abstractNumId="313">
    <w:nsid w:val="1872261F"/>
    <w:multiLevelType w:val="hybridMultilevel"/>
    <w:lvl w:ilvl="0">
      <w:lvlJc w:val="left"/>
      <w:lvlText w:val="%1"/>
      <w:numFmt w:val="decimal"/>
      <w:start w:val="1"/>
    </w:lvl>
    <w:lvl w:ilvl="1">
      <w:lvlJc w:val="left"/>
      <w:lvlText w:val="(%2)"/>
      <w:numFmt w:val="lowerLetter"/>
      <w:start w:val="2"/>
    </w:lvl>
  </w:abstractNum>
  <w:abstractNum w:abstractNumId="314">
    <w:nsid w:val="3DE8306C"/>
    <w:multiLevelType w:val="hybridMultilevel"/>
    <w:lvl w:ilvl="0">
      <w:lvlJc w:val="left"/>
      <w:lvlText w:val="%1."/>
      <w:numFmt w:val="decimal"/>
      <w:start w:val="2"/>
    </w:lvl>
    <w:lvl w:ilvl="1">
      <w:lvlJc w:val="left"/>
      <w:lvlText w:val="%2"/>
      <w:numFmt w:val="lowerLetter"/>
      <w:start w:val="1"/>
    </w:lvl>
  </w:abstractNum>
  <w:abstractNum w:abstractNumId="315">
    <w:nsid w:val="7631573A"/>
    <w:multiLevelType w:val="hybridMultilevel"/>
    <w:lvl w:ilvl="0">
      <w:lvlJc w:val="left"/>
      <w:lvlText w:val="%1."/>
      <w:numFmt w:val="decimal"/>
      <w:start w:val="3"/>
    </w:lvl>
    <w:lvl w:ilvl="1">
      <w:lvlJc w:val="left"/>
      <w:lvlText w:val="(%2)"/>
      <w:numFmt w:val="lowerLetter"/>
      <w:start w:val="1"/>
    </w:lvl>
  </w:abstractNum>
  <w:abstractNum w:abstractNumId="316">
    <w:nsid w:val="58DF53B"/>
    <w:multiLevelType w:val="hybridMultilevel"/>
    <w:lvl w:ilvl="0">
      <w:lvlJc w:val="left"/>
      <w:lvlText w:val="%1."/>
      <w:numFmt w:val="decimal"/>
      <w:start w:val="7"/>
    </w:lvl>
    <w:lvl w:ilvl="1">
      <w:lvlJc w:val="left"/>
      <w:lvlText w:val="(%2)"/>
      <w:numFmt w:val="lowerLetter"/>
      <w:start w:val="1"/>
    </w:lvl>
  </w:abstractNum>
  <w:abstractNum w:abstractNumId="317">
    <w:nsid w:val="ACDFAC0"/>
    <w:multiLevelType w:val="hybridMultilevel"/>
    <w:lvl w:ilvl="0">
      <w:lvlJc w:val="left"/>
      <w:lvlText w:val="%1."/>
      <w:numFmt w:val="decimal"/>
      <w:start w:val="9"/>
    </w:lvl>
    <w:lvl w:ilvl="1">
      <w:lvlJc w:val="left"/>
      <w:lvlText w:val="(%2)"/>
      <w:numFmt w:val="lowerLetter"/>
      <w:start w:val="1"/>
    </w:lvl>
  </w:abstractNum>
  <w:abstractNum w:abstractNumId="318">
    <w:nsid w:val="1F578454"/>
    <w:multiLevelType w:val="hybridMultilevel"/>
    <w:lvl w:ilvl="0">
      <w:lvlJc w:val="left"/>
      <w:lvlText w:val="%1"/>
      <w:numFmt w:val="decimal"/>
      <w:start w:val="1"/>
    </w:lvl>
    <w:lvl w:ilvl="1">
      <w:lvlJc w:val="left"/>
      <w:lvlText w:val="(%2)"/>
      <w:numFmt w:val="lowerLetter"/>
      <w:start w:val="3"/>
    </w:lvl>
  </w:abstractNum>
  <w:abstractNum w:abstractNumId="319">
    <w:nsid w:val="5B0DAD2A"/>
    <w:multiLevelType w:val="hybridMultilevel"/>
    <w:lvl w:ilvl="0">
      <w:lvlJc w:val="left"/>
      <w:lvlText w:val="%1."/>
      <w:numFmt w:val="decimal"/>
      <w:start w:val="11"/>
    </w:lvl>
    <w:lvl w:ilvl="1">
      <w:lvlJc w:val="left"/>
      <w:lvlText w:val="(%2)"/>
      <w:numFmt w:val="lowerLetter"/>
      <w:start w:val="1"/>
    </w:lvl>
  </w:abstractNum>
  <w:abstractNum w:abstractNumId="320">
    <w:nsid w:val="4E3D26AB"/>
    <w:multiLevelType w:val="hybridMultilevel"/>
    <w:lvl w:ilvl="0">
      <w:lvlJc w:val="left"/>
      <w:lvlText w:val="%1"/>
      <w:numFmt w:val="decimal"/>
      <w:start w:val="1"/>
    </w:lvl>
    <w:lvl w:ilvl="1">
      <w:lvlJc w:val="left"/>
      <w:lvlText w:val="(%2)"/>
      <w:numFmt w:val="lowerLetter"/>
      <w:start w:val="3"/>
    </w:lvl>
  </w:abstractNum>
  <w:abstractNum w:abstractNumId="321">
    <w:nsid w:val="BE2C8BA"/>
    <w:multiLevelType w:val="hybridMultilevel"/>
    <w:lvl w:ilvl="0">
      <w:lvlJc w:val="left"/>
      <w:lvlText w:val="%1."/>
      <w:numFmt w:val="decimal"/>
      <w:start w:val="12"/>
    </w:lvl>
    <w:lvl w:ilvl="1">
      <w:lvlJc w:val="left"/>
      <w:lvlText w:val="%2"/>
      <w:numFmt w:val="lowerLetter"/>
      <w:start w:val="1"/>
    </w:lvl>
  </w:abstractNum>
  <w:abstractNum w:abstractNumId="322">
    <w:nsid w:val="7B14914E"/>
    <w:multiLevelType w:val="hybridMultilevel"/>
    <w:lvl w:ilvl="0">
      <w:lvlJc w:val="left"/>
      <w:lvlText w:val="%1."/>
      <w:numFmt w:val="decimal"/>
      <w:start w:val="13"/>
    </w:lvl>
  </w:abstractNum>
  <w:abstractNum w:abstractNumId="323">
    <w:nsid w:val="6F0939F8"/>
    <w:multiLevelType w:val="hybridMultilevel"/>
    <w:lvl w:ilvl="0">
      <w:lvlJc w:val="left"/>
      <w:lvlText w:val="%1"/>
      <w:numFmt w:val="decimal"/>
      <w:start w:val="1"/>
    </w:lvl>
    <w:lvl w:ilvl="1">
      <w:lvlJc w:val="left"/>
      <w:lvlText w:val="%2."/>
      <w:numFmt w:val="decimal"/>
      <w:start w:val="16"/>
    </w:lvl>
  </w:abstractNum>
  <w:abstractNum w:abstractNumId="324">
    <w:nsid w:val="154291F6"/>
    <w:multiLevelType w:val="hybridMultilevel"/>
    <w:lvl w:ilvl="0">
      <w:lvlJc w:val="left"/>
      <w:lvlText w:val="(%1)"/>
      <w:numFmt w:val="decimal"/>
      <w:start w:val="3"/>
    </w:lvl>
    <w:lvl w:ilvl="1">
      <w:lvlJc w:val="left"/>
      <w:lvlText w:val="%2."/>
      <w:numFmt w:val="decimal"/>
      <w:start w:val="18"/>
    </w:lvl>
  </w:abstractNum>
  <w:abstractNum w:abstractNumId="325">
    <w:nsid w:val="3CEBD7C7"/>
    <w:multiLevelType w:val="hybridMultilevel"/>
    <w:lvl w:ilvl="0">
      <w:lvlJc w:val="left"/>
      <w:lvlText w:val="(%1)"/>
      <w:numFmt w:val="lowerLetter"/>
      <w:start w:val="1"/>
    </w:lvl>
  </w:abstractNum>
  <w:abstractNum w:abstractNumId="326">
    <w:nsid w:val="60EE9C16"/>
    <w:multiLevelType w:val="hybridMultilevel"/>
    <w:lvl w:ilvl="0">
      <w:lvlJc w:val="left"/>
      <w:lvlText w:val="(%1)"/>
      <w:numFmt w:val="lowerLetter"/>
      <w:start w:val="2"/>
    </w:lvl>
  </w:abstractNum>
  <w:abstractNum w:abstractNumId="327">
    <w:nsid w:val="6385489E"/>
    <w:multiLevelType w:val="hybridMultilevel"/>
    <w:lvl w:ilvl="0">
      <w:lvlJc w:val="left"/>
      <w:lvlText w:val="(%1)"/>
      <w:numFmt w:val="lowerLetter"/>
      <w:start w:val="1"/>
    </w:lvl>
  </w:abstractNum>
  <w:abstractNum w:abstractNumId="328">
    <w:nsid w:val="E4B973"/>
    <w:multiLevelType w:val="hybridMultilevel"/>
    <w:lvl w:ilvl="0">
      <w:lvlJc w:val="left"/>
      <w:lvlText w:val="(%1)"/>
      <w:numFmt w:val="lowerLetter"/>
      <w:start w:val="1"/>
    </w:lvl>
  </w:abstractNum>
  <w:abstractNum w:abstractNumId="329">
    <w:nsid w:val="4A0FFA11"/>
    <w:multiLevelType w:val="hybridMultilevel"/>
    <w:lvl w:ilvl="0">
      <w:lvlJc w:val="left"/>
      <w:lvlText w:val="(%1)"/>
      <w:numFmt w:val="lowerLetter"/>
      <w:start w:val="1"/>
    </w:lvl>
  </w:abstractNum>
  <w:abstractNum w:abstractNumId="330">
    <w:nsid w:val="5E446208"/>
    <w:multiLevelType w:val="hybridMultilevel"/>
    <w:lvl w:ilvl="0">
      <w:lvlJc w:val="left"/>
      <w:lvlText w:val="(%1)"/>
      <w:numFmt w:val="lowerLetter"/>
      <w:start w:val="1"/>
    </w:lvl>
  </w:abstractNum>
  <w:abstractNum w:abstractNumId="331">
    <w:nsid w:val="5F3272DB"/>
    <w:multiLevelType w:val="hybridMultilevel"/>
    <w:lvl w:ilvl="0">
      <w:lvlJc w:val="left"/>
      <w:lvlText w:val="(%1)"/>
      <w:numFmt w:val="lowerLetter"/>
      <w:start w:val="6"/>
    </w:lvl>
  </w:abstractNum>
  <w:abstractNum w:abstractNumId="332">
    <w:nsid w:val="7616D704"/>
    <w:multiLevelType w:val="hybridMultilevel"/>
    <w:lvl w:ilvl="0">
      <w:lvlJc w:val="left"/>
      <w:lvlText w:val="(%1)"/>
      <w:numFmt w:val="lowerRoman"/>
      <w:start w:val="1"/>
    </w:lvl>
  </w:abstractNum>
  <w:abstractNum w:abstractNumId="333">
    <w:nsid w:val="C56F860"/>
    <w:multiLevelType w:val="hybridMultilevel"/>
    <w:lvl w:ilvl="0">
      <w:lvlJc w:val="left"/>
      <w:lvlText w:val="(%1)"/>
      <w:numFmt w:val="lowerLetter"/>
      <w:start w:val="1"/>
    </w:lvl>
  </w:abstractNum>
  <w:abstractNum w:abstractNumId="334">
    <w:nsid w:val="64D17722"/>
    <w:multiLevelType w:val="hybridMultilevel"/>
    <w:lvl w:ilvl="0">
      <w:lvlJc w:val="left"/>
      <w:lvlText w:val="(%1)"/>
      <w:numFmt w:val="lowerLetter"/>
      <w:start w:val="1"/>
    </w:lvl>
  </w:abstractNum>
  <w:abstractNum w:abstractNumId="335">
    <w:nsid w:val="7924CA0A"/>
    <w:multiLevelType w:val="hybridMultilevel"/>
    <w:lvl w:ilvl="0">
      <w:lvlJc w:val="left"/>
      <w:lvlText w:val="(%1)"/>
      <w:numFmt w:val="lowerLetter"/>
      <w:start w:val="1"/>
    </w:lvl>
  </w:abstractNum>
  <w:abstractNum w:abstractNumId="336">
    <w:nsid w:val="CFD4EA7"/>
    <w:multiLevelType w:val="hybridMultilevel"/>
    <w:lvl w:ilvl="0">
      <w:lvlJc w:val="left"/>
      <w:lvlText w:val="(%1)"/>
      <w:numFmt w:val="lowerLetter"/>
      <w:start w:val="3"/>
    </w:lvl>
  </w:abstractNum>
  <w:abstractNum w:abstractNumId="337">
    <w:nsid w:val="232FCF4D"/>
    <w:multiLevelType w:val="hybridMultilevel"/>
    <w:lvl w:ilvl="0">
      <w:lvlJc w:val="left"/>
      <w:lvlText w:val="(%1)"/>
      <w:numFmt w:val="lowerLetter"/>
      <w:start w:val="1"/>
    </w:lvl>
    <w:lvl w:ilvl="1">
      <w:lvlJc w:val="left"/>
      <w:lvlText w:val="(%2)"/>
      <w:numFmt w:val="lowerRoman"/>
      <w:start w:val="1"/>
    </w:lvl>
  </w:abstractNum>
  <w:abstractNum w:abstractNumId="338">
    <w:nsid w:val="1EA21031"/>
    <w:multiLevelType w:val="hybridMultilevel"/>
    <w:lvl w:ilvl="0">
      <w:lvlJc w:val="left"/>
      <w:lvlText w:val="%1"/>
      <w:numFmt w:val="lowerLetter"/>
      <w:start w:val="1"/>
    </w:lvl>
    <w:lvl w:ilvl="1">
      <w:lvlJc w:val="left"/>
      <w:lvlText w:val="(%2)"/>
      <w:numFmt w:val="lowerRoman"/>
      <w:start w:val="3"/>
    </w:lvl>
  </w:abstractNum>
  <w:abstractNum w:abstractNumId="339">
    <w:nsid w:val="67A5A6B5"/>
    <w:multiLevelType w:val="hybridMultilevel"/>
    <w:lvl w:ilvl="0">
      <w:lvlJc w:val="left"/>
      <w:lvlText w:val="(%1)"/>
      <w:numFmt w:val="lowerLetter"/>
      <w:start w:val="2"/>
    </w:lvl>
    <w:lvl w:ilvl="1">
      <w:lvlJc w:val="left"/>
      <w:lvlText w:val="(%2)"/>
      <w:numFmt w:val="lowerRoman"/>
      <w:start w:val="1"/>
    </w:lvl>
  </w:abstractNum>
  <w:abstractNum w:abstractNumId="340">
    <w:nsid w:val="C2A5C5B"/>
    <w:multiLevelType w:val="hybridMultilevel"/>
    <w:lvl w:ilvl="0">
      <w:lvlJc w:val="left"/>
      <w:lvlText w:val="(%1)"/>
      <w:numFmt w:val="lowerLetter"/>
      <w:start w:val="4"/>
    </w:lvl>
    <w:lvl w:ilvl="1">
      <w:lvlJc w:val="left"/>
      <w:lvlText w:val="(%2)"/>
      <w:numFmt w:val="lowerRoman"/>
      <w:start w:val="1"/>
    </w:lvl>
  </w:abstractNum>
  <w:abstractNum w:abstractNumId="341">
    <w:nsid w:val="5F94DC03"/>
    <w:multiLevelType w:val="hybridMultilevel"/>
    <w:lvl w:ilvl="0">
      <w:lvlJc w:val="left"/>
      <w:lvlText w:val="(%1)"/>
      <w:numFmt w:val="lowerRoman"/>
      <w:start w:val="2"/>
    </w:lvl>
  </w:abstractNum>
  <w:abstractNum w:abstractNumId="342">
    <w:nsid w:val="237BBCA0"/>
    <w:multiLevelType w:val="hybridMultilevel"/>
    <w:lvl w:ilvl="0">
      <w:lvlJc w:val="left"/>
      <w:lvlText w:val="(%1)"/>
      <w:numFmt w:val="lowerLetter"/>
      <w:start w:val="1"/>
    </w:lvl>
  </w:abstractNum>
  <w:abstractNum w:abstractNumId="343">
    <w:nsid w:val="162EB70D"/>
    <w:multiLevelType w:val="hybridMultilevel"/>
    <w:lvl w:ilvl="0">
      <w:lvlJc w:val="left"/>
      <w:lvlText w:val="(%1)"/>
      <w:numFmt w:val="lowerLetter"/>
      <w:start w:val="1"/>
    </w:lvl>
  </w:abstractNum>
  <w:abstractNum w:abstractNumId="344">
    <w:nsid w:val="78070222"/>
    <w:multiLevelType w:val="hybridMultilevel"/>
    <w:lvl w:ilvl="0">
      <w:lvlJc w:val="left"/>
      <w:lvlText w:val="(%1)"/>
      <w:numFmt w:val="lowerLetter"/>
      <w:start w:val="1"/>
    </w:lvl>
  </w:abstractNum>
  <w:abstractNum w:abstractNumId="345">
    <w:nsid w:val="6163ED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46">
    <w:nsid w:val="C600E47"/>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47">
    <w:nsid w:val="7D94F75D"/>
    <w:multiLevelType w:val="hybridMultilevel"/>
    <w:lvl w:ilvl="0">
      <w:lvlJc w:val="left"/>
      <w:lvlText w:val="(%1)"/>
      <w:numFmt w:val="lowerLetter"/>
      <w:start w:val="6"/>
    </w:lvl>
  </w:abstractNum>
  <w:abstractNum w:abstractNumId="348">
    <w:nsid w:val="6C31E7CD"/>
    <w:multiLevelType w:val="hybridMultilevel"/>
    <w:lvl w:ilvl="0">
      <w:lvlJc w:val="left"/>
      <w:lvlText w:val="(%1)"/>
      <w:numFmt w:val="lowerLetter"/>
      <w:start w:val="1"/>
    </w:lvl>
  </w:abstractNum>
  <w:abstractNum w:abstractNumId="349">
    <w:nsid w:val="2BB7929B"/>
    <w:multiLevelType w:val="hybridMultilevel"/>
    <w:lvl w:ilvl="0">
      <w:lvlJc w:val="left"/>
      <w:lvlText w:val="(%1)"/>
      <w:numFmt w:val="lowerLetter"/>
      <w:start w:val="3"/>
    </w:lvl>
  </w:abstractNum>
  <w:abstractNum w:abstractNumId="350">
    <w:nsid w:val="58A2A487"/>
    <w:multiLevelType w:val="hybridMultilevel"/>
    <w:lvl w:ilvl="0">
      <w:lvlJc w:val="left"/>
      <w:lvlText w:val="(%1)"/>
      <w:numFmt w:val="lowerLetter"/>
      <w:start w:val="1"/>
    </w:lvl>
  </w:abstractNum>
  <w:abstractNum w:abstractNumId="351">
    <w:nsid w:val="3A6F0E78"/>
    <w:multiLevelType w:val="hybridMultilevel"/>
    <w:lvl w:ilvl="0">
      <w:lvlJc w:val="left"/>
      <w:lvlText w:val="(%1)"/>
      <w:numFmt w:val="lowerLetter"/>
      <w:start w:val="3"/>
    </w:lvl>
    <w:lvl w:ilvl="1">
      <w:lvlJc w:val="left"/>
      <w:lvlText w:val="(%2)"/>
      <w:numFmt w:val="lowerRoman"/>
      <w:start w:val="1"/>
    </w:lvl>
  </w:abstractNum>
  <w:abstractNum w:abstractNumId="352">
    <w:nsid w:val="379A5B56"/>
    <w:multiLevelType w:val="hybridMultilevel"/>
    <w:lvl w:ilvl="0">
      <w:lvlJc w:val="left"/>
      <w:lvlText w:val="(%1)"/>
      <w:numFmt w:val="lowerLetter"/>
      <w:start w:val="4"/>
    </w:lvl>
  </w:abstractNum>
  <w:abstractNum w:abstractNumId="353">
    <w:nsid w:val="53B735D5"/>
    <w:multiLevelType w:val="hybridMultilevel"/>
    <w:lvl w:ilvl="0">
      <w:lvlJc w:val="left"/>
      <w:lvlText w:val="(%1)"/>
      <w:numFmt w:val="lowerLetter"/>
      <w:start w:val="1"/>
    </w:lvl>
    <w:lvl w:ilvl="1">
      <w:lvlJc w:val="left"/>
      <w:lvlText w:val="(%2)"/>
      <w:numFmt w:val="lowerRoman"/>
      <w:start w:val="1"/>
    </w:lvl>
  </w:abstractNum>
  <w:abstractNum w:abstractNumId="354">
    <w:nsid w:val="29784870"/>
    <w:multiLevelType w:val="hybridMultilevel"/>
    <w:lvl w:ilvl="0">
      <w:lvlJc w:val="left"/>
      <w:lvlText w:val="(%1)"/>
      <w:numFmt w:val="lowerLetter"/>
      <w:start w:val="9"/>
    </w:lvl>
  </w:abstractNum>
  <w:abstractNum w:abstractNumId="355">
    <w:nsid w:val="4CDCED4C"/>
    <w:multiLevelType w:val="hybridMultilevel"/>
    <w:lvl w:ilvl="0">
      <w:lvlJc w:val="left"/>
      <w:lvlText w:val="%1."/>
      <w:numFmt w:val="decimal"/>
      <w:start w:val="1"/>
    </w:lvl>
  </w:abstractNum>
  <w:abstractNum w:abstractNumId="356">
    <w:nsid w:val="10A30D9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7">
    <w:nsid w:val="A66E486"/>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3"/>
    </w:lvl>
  </w:abstractNum>
  <w:abstractNum w:abstractNumId="358">
    <w:nsid w:val="306235EA"/>
    <w:multiLevelType w:val="hybridMultilevel"/>
    <w:lvl w:ilvl="0">
      <w:lvlJc w:val="left"/>
      <w:lvlText w:val="%1."/>
      <w:numFmt w:val="decimal"/>
      <w:start w:val="7"/>
    </w:lvl>
  </w:abstractNum>
  <w:abstractNum w:abstractNumId="359">
    <w:nsid w:val="1187C70F"/>
    <w:multiLevelType w:val="hybridMultilevel"/>
    <w:lvl w:ilvl="0">
      <w:lvlJc w:val="left"/>
      <w:lvlText w:val="%1."/>
      <w:numFmt w:val="decimal"/>
      <w:start w:val="8"/>
    </w:lvl>
    <w:lvl w:ilvl="1">
      <w:lvlJc w:val="left"/>
      <w:lvlText w:val="(%2)"/>
      <w:numFmt w:val="lowerLetter"/>
      <w:start w:val="1"/>
    </w:lvl>
  </w:abstractNum>
  <w:abstractNum w:abstractNumId="360">
    <w:nsid w:val="5476DE98"/>
    <w:multiLevelType w:val="hybridMultilevel"/>
    <w:lvl w:ilvl="0">
      <w:lvlJc w:val="left"/>
      <w:lvlText w:val="(%1)"/>
      <w:numFmt w:val="lowerLetter"/>
      <w:start w:val="1"/>
    </w:lvl>
  </w:abstractNum>
  <w:abstractNum w:abstractNumId="361">
    <w:nsid w:val="EA697F2"/>
    <w:multiLevelType w:val="hybridMultilevel"/>
    <w:lvl w:ilvl="0">
      <w:lvlJc w:val="left"/>
      <w:lvlText w:val="%1."/>
      <w:numFmt w:val="decimal"/>
      <w:start w:val="1"/>
    </w:lvl>
  </w:abstractNum>
  <w:abstractNum w:abstractNumId="362">
    <w:nsid w:val="70BA39EB"/>
    <w:multiLevelType w:val="hybridMultilevel"/>
    <w:lvl w:ilvl="0">
      <w:lvlJc w:val="left"/>
      <w:lvlText w:val="(%1)"/>
      <w:numFmt w:val="lowerLetter"/>
      <w:start w:val="2"/>
    </w:lvl>
  </w:abstractNum>
  <w:abstractNum w:abstractNumId="363">
    <w:nsid w:val="4A8DB59C"/>
    <w:multiLevelType w:val="hybridMultilevel"/>
    <w:lvl w:ilvl="0">
      <w:lvlJc w:val="left"/>
      <w:lvlText w:val="%1."/>
      <w:numFmt w:val="decimal"/>
      <w:start w:val="2"/>
    </w:lvl>
  </w:abstractNum>
  <w:abstractNum w:abstractNumId="364">
    <w:nsid w:val="1AFD9053"/>
    <w:multiLevelType w:val="hybridMultilevel"/>
    <w:lvl w:ilvl="0">
      <w:lvlJc w:val="left"/>
      <w:lvlText w:val="(%1)"/>
      <w:numFmt w:val="lowerLetter"/>
      <w:start w:val="3"/>
    </w:lvl>
  </w:abstractNum>
  <w:abstractNum w:abstractNumId="365">
    <w:nsid w:val="558BB10D"/>
    <w:multiLevelType w:val="hybridMultilevel"/>
    <w:lvl w:ilvl="0">
      <w:lvlJc w:val="left"/>
      <w:lvlText w:val="%1."/>
      <w:numFmt w:val="decimal"/>
      <w:start w:val="3"/>
    </w:lvl>
  </w:abstractNum>
  <w:abstractNum w:abstractNumId="366">
    <w:nsid w:val="43B27FA7"/>
    <w:multiLevelType w:val="hybridMultilevel"/>
    <w:lvl w:ilvl="0">
      <w:lvlJc w:val="left"/>
      <w:lvlText w:val="%1."/>
      <w:numFmt w:val="decimal"/>
      <w:start w:val="4"/>
    </w:lvl>
  </w:abstractNum>
  <w:abstractNum w:abstractNumId="367">
    <w:nsid w:val="27FADEFA"/>
    <w:multiLevelType w:val="hybridMultilevel"/>
    <w:lvl w:ilvl="0">
      <w:lvlJc w:val="left"/>
      <w:lvlText w:val="(%1)"/>
      <w:numFmt w:val="lowerLetter"/>
      <w:start w:val="1"/>
    </w:lvl>
  </w:abstractNum>
  <w:abstractNum w:abstractNumId="368">
    <w:nsid w:val="78BB805A"/>
    <w:multiLevelType w:val="hybridMultilevel"/>
    <w:lvl w:ilvl="0">
      <w:lvlJc w:val="left"/>
      <w:lvlText w:val="%1"/>
      <w:numFmt w:val="decimal"/>
      <w:start w:val="1"/>
    </w:lvl>
    <w:lvl w:ilvl="1">
      <w:lvlJc w:val="left"/>
      <w:lvlText w:val="(%2)"/>
      <w:numFmt w:val="lowerLetter"/>
      <w:start w:val="4"/>
    </w:lvl>
  </w:abstractNum>
  <w:abstractNum w:abstractNumId="369">
    <w:nsid w:val="62548FD8"/>
    <w:multiLevelType w:val="hybridMultilevel"/>
    <w:lvl w:ilvl="0">
      <w:lvlJc w:val="left"/>
      <w:lvlText w:val="%1."/>
      <w:numFmt w:val="decimal"/>
      <w:start w:val="5"/>
    </w:lvl>
    <w:lvl w:ilvl="1">
      <w:lvlJc w:val="left"/>
      <w:lvlText w:val="(%2)"/>
      <w:numFmt w:val="lowerLetter"/>
      <w:start w:val="1"/>
    </w:lvl>
  </w:abstractNum>
  <w:abstractNum w:abstractNumId="370">
    <w:nsid w:val="FA085B0"/>
    <w:multiLevelType w:val="hybridMultilevel"/>
    <w:lvl w:ilvl="0">
      <w:lvlJc w:val="left"/>
      <w:lvlText w:val="%1"/>
      <w:numFmt w:val="decimal"/>
      <w:start w:val="1"/>
    </w:lvl>
    <w:lvl w:ilvl="1">
      <w:lvlJc w:val="left"/>
      <w:lvlText w:val="(%2)"/>
      <w:numFmt w:val="lowerLetter"/>
      <w:start w:val="2"/>
    </w:lvl>
  </w:abstractNum>
  <w:abstractNum w:abstractNumId="371">
    <w:nsid w:val="4E5DCB5"/>
    <w:multiLevelType w:val="hybridMultilevel"/>
    <w:lvl w:ilvl="0">
      <w:lvlJc w:val="left"/>
      <w:lvlText w:val="%1."/>
      <w:numFmt w:val="decimal"/>
      <w:start w:val="6"/>
    </w:lvl>
    <w:lvl w:ilvl="1">
      <w:lvlJc w:val="left"/>
      <w:lvlText w:val="%2"/>
      <w:numFmt w:val="lowerLetter"/>
      <w:start w:val="1"/>
    </w:lvl>
  </w:abstractNum>
  <w:abstractNum w:abstractNumId="372">
    <w:nsid w:val="41E96BDB"/>
    <w:multiLevelType w:val="hybridMultilevel"/>
    <w:lvl w:ilvl="0">
      <w:lvlJc w:val="left"/>
      <w:lvlText w:val="(%1)"/>
      <w:numFmt w:val="lowerLetter"/>
      <w:start w:val="1"/>
    </w:lvl>
    <w:lvl w:ilvl="1">
      <w:lvlJc w:val="left"/>
      <w:lvlText w:val="(%2)"/>
      <w:numFmt w:val="lowerRoman"/>
      <w:start w:val="1"/>
    </w:lvl>
  </w:abstractNum>
  <w:abstractNum w:abstractNumId="373">
    <w:nsid w:val="331C4250"/>
    <w:multiLevelType w:val="hybridMultilevel"/>
    <w:lvl w:ilvl="0">
      <w:lvlJc w:val="left"/>
      <w:lvlText w:val="(%1)"/>
      <w:numFmt w:val="lowerLetter"/>
      <w:start w:val="2"/>
    </w:lvl>
    <w:lvl w:ilvl="1">
      <w:lvlJc w:val="left"/>
      <w:lvlText w:val="(%2)"/>
      <w:numFmt w:val="lowerRoman"/>
      <w:start w:val="1"/>
    </w:lvl>
  </w:abstractNum>
  <w:abstractNum w:abstractNumId="374">
    <w:nsid w:val="1B1493C2"/>
    <w:multiLevelType w:val="hybridMultilevel"/>
    <w:lvl w:ilvl="0">
      <w:lvlJc w:val="left"/>
      <w:lvlText w:val="(%1)"/>
      <w:numFmt w:val="lowerLetter"/>
      <w:start w:val="3"/>
    </w:lvl>
  </w:abstractNum>
  <w:abstractNum w:abstractNumId="375">
    <w:nsid w:val="39F06DFD"/>
    <w:multiLevelType w:val="hybridMultilevel"/>
    <w:lvl w:ilvl="0">
      <w:lvlJc w:val="left"/>
      <w:lvlText w:val="(%1)"/>
      <w:numFmt w:val="lowerRoman"/>
      <w:start w:val="1"/>
    </w:lvl>
  </w:abstractNum>
  <w:abstractNum w:abstractNumId="376">
    <w:nsid w:val="14802F5D"/>
    <w:multiLevelType w:val="hybridMultilevel"/>
    <w:lvl w:ilvl="0">
      <w:lvlJc w:val="left"/>
      <w:lvlText w:val="(%1)"/>
      <w:numFmt w:val="lowerLetter"/>
      <w:start w:val="1"/>
    </w:lvl>
  </w:abstractNum>
  <w:abstractNum w:abstractNumId="377">
    <w:nsid w:val="2774A20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8">
    <w:nsid w:val="3785655A"/>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379">
    <w:nsid w:val="B2172A"/>
    <w:multiLevelType w:val="hybridMultilevel"/>
    <w:lvl w:ilvl="0">
      <w:lvlJc w:val="left"/>
      <w:lvlText w:val="%1."/>
      <w:numFmt w:val="decimal"/>
      <w:start w:val="7"/>
    </w:lvl>
  </w:abstractNum>
  <w:abstractNum w:abstractNumId="380">
    <w:nsid w:val="532C34A5"/>
    <w:multiLevelType w:val="hybridMultilevel"/>
    <w:lvl w:ilvl="0">
      <w:lvlJc w:val="left"/>
      <w:lvlText w:val="(%1)"/>
      <w:numFmt w:val="lowerLetter"/>
      <w:start w:val="1"/>
    </w:lvl>
  </w:abstractNum>
  <w:abstractNum w:abstractNumId="381">
    <w:nsid w:val="102809E2"/>
    <w:multiLevelType w:val="hybridMultilevel"/>
    <w:lvl w:ilvl="0">
      <w:lvlJc w:val="left"/>
      <w:lvlText w:val="[***]"/>
      <w:numFmt w:val="bullet"/>
      <w:start w:val="1"/>
    </w:lvl>
    <w:lvl w:ilvl="1">
      <w:lvlJc w:val="left"/>
      <w:lvlText w:val="(%2)"/>
      <w:numFmt w:val="lowerLetter"/>
      <w:start w:val="1"/>
    </w:lvl>
  </w:abstractNum>
  <w:abstractNum w:abstractNumId="382">
    <w:nsid w:val="3B2125A3"/>
    <w:multiLevelType w:val="hybridMultilevel"/>
    <w:lvl w:ilvl="0">
      <w:lvlJc w:val="left"/>
      <w:lvlText w:val="[***]"/>
      <w:numFmt w:val="bullet"/>
      <w:start w:val="1"/>
    </w:lvl>
    <w:lvl w:ilvl="1">
      <w:lvlJc w:val="left"/>
      <w:lvlText w:val="(%2)"/>
      <w:numFmt w:val="lowerLetter"/>
      <w:start w:val="2"/>
    </w:lvl>
  </w:abstractNum>
  <w:abstractNum w:abstractNumId="383">
    <w:nsid w:val="AC68FFB"/>
    <w:multiLevelType w:val="hybridMultilevel"/>
    <w:lvl w:ilvl="0">
      <w:lvlJc w:val="left"/>
      <w:lvlText w:val="[***]"/>
      <w:numFmt w:val="bullet"/>
      <w:start w:val="1"/>
    </w:lvl>
    <w:lvl w:ilvl="1">
      <w:lvlJc w:val="left"/>
      <w:lvlText w:val="(%2)"/>
      <w:numFmt w:val="lowerLetter"/>
      <w:start w:val="3"/>
    </w:lvl>
  </w:abstractNum>
  <w:abstractNum w:abstractNumId="384">
    <w:nsid w:val="63DF3FB7"/>
    <w:multiLevelType w:val="hybridMultilevel"/>
    <w:lvl w:ilvl="0">
      <w:lvlJc w:val="left"/>
      <w:lvlText w:val="%1."/>
      <w:numFmt w:val="decimal"/>
      <w:start w:val="8"/>
    </w:lvl>
  </w:abstractNum>
  <w:abstractNum w:abstractNumId="385">
    <w:nsid w:val="64996E13"/>
    <w:multiLevelType w:val="hybridMultilevel"/>
    <w:lvl w:ilvl="0">
      <w:lvlJc w:val="left"/>
      <w:lvlText w:val="(%1)"/>
      <w:numFmt w:val="lowerLetter"/>
      <w:start w:val="1"/>
    </w:lvl>
  </w:abstractNum>
  <w:abstractNum w:abstractNumId="386">
    <w:nsid w:val="57A37D47"/>
    <w:multiLevelType w:val="hybridMultilevel"/>
    <w:lvl w:ilvl="0">
      <w:lvlJc w:val="left"/>
      <w:lvlText w:val="%1."/>
      <w:numFmt w:val="decimal"/>
      <w:start w:val="9"/>
    </w:lvl>
  </w:abstractNum>
  <w:abstractNum w:abstractNumId="387">
    <w:nsid w:val="74824D54"/>
    <w:multiLevelType w:val="hybridMultilevel"/>
    <w:lvl w:ilvl="0">
      <w:lvlJc w:val="left"/>
      <w:lvlText w:val="%1."/>
      <w:numFmt w:val="decimal"/>
      <w:start w:val="10"/>
    </w:lvl>
  </w:abstractNum>
  <w:abstractNum w:abstractNumId="388">
    <w:nsid w:val="6F00529A"/>
    <w:multiLevelType w:val="hybridMultilevel"/>
    <w:lvl w:ilvl="0">
      <w:lvlJc w:val="left"/>
      <w:lvlText w:val="(%1)"/>
      <w:numFmt w:val="lowerLetter"/>
      <w:start w:val="1"/>
    </w:lvl>
  </w:abstractNum>
  <w:abstractNum w:abstractNumId="389">
    <w:nsid w:val="805B331"/>
    <w:multiLevelType w:val="hybridMultilevel"/>
    <w:lvl w:ilvl="0">
      <w:lvlJc w:val="left"/>
      <w:lvlText w:val="(%1)"/>
      <w:numFmt w:val="lowerLetter"/>
      <w:start w:val="1"/>
    </w:lvl>
  </w:abstractNum>
  <w:abstractNum w:abstractNumId="390">
    <w:nsid w:val="60A1463"/>
    <w:multiLevelType w:val="hybridMultilevel"/>
    <w:lvl w:ilvl="0">
      <w:lvlJc w:val="left"/>
      <w:lvlText w:val="%1."/>
      <w:numFmt w:val="decimal"/>
      <w:start w:val="11"/>
    </w:lvl>
  </w:abstractNum>
  <w:abstractNum w:abstractNumId="391">
    <w:nsid w:val="43773132"/>
    <w:multiLevelType w:val="hybridMultilevel"/>
    <w:lvl w:ilvl="0">
      <w:lvlJc w:val="left"/>
      <w:lvlText w:val="(%1)"/>
      <w:numFmt w:val="lowerLetter"/>
      <w:start w:val="1"/>
    </w:lvl>
  </w:abstractNum>
  <w:abstractNum w:abstractNumId="392">
    <w:nsid w:val="16AC4B23"/>
    <w:multiLevelType w:val="hybridMultilevel"/>
    <w:lvl w:ilvl="0">
      <w:lvlJc w:val="left"/>
      <w:lvlText w:val="(%1)"/>
      <w:numFmt w:val="lowerLetter"/>
      <w:start w:val="4"/>
    </w:lvl>
  </w:abstractNum>
  <w:abstractNum w:abstractNumId="393">
    <w:nsid w:val="76C44E4E"/>
    <w:multiLevelType w:val="hybridMultilevel"/>
    <w:lvl w:ilvl="0">
      <w:lvlJc w:val="left"/>
      <w:lvlText w:val="(%1)"/>
      <w:numFmt w:val="lowerLetter"/>
      <w:start w:val="1"/>
    </w:lvl>
  </w:abstractNum>
  <w:abstractNum w:abstractNumId="394">
    <w:nsid w:val="E04E6CE"/>
    <w:multiLevelType w:val="hybridMultilevel"/>
    <w:lvl w:ilvl="0">
      <w:lvlJc w:val="left"/>
      <w:lvlText w:val="%1."/>
      <w:numFmt w:val="decimal"/>
      <w:start w:val="12"/>
    </w:lvl>
  </w:abstractNum>
  <w:abstractNum w:abstractNumId="395">
    <w:nsid w:val="31A9DB76"/>
    <w:multiLevelType w:val="hybridMultilevel"/>
    <w:lvl w:ilvl="0">
      <w:lvlJc w:val="left"/>
      <w:lvlText w:val="(%1)"/>
      <w:numFmt w:val="lowerLetter"/>
      <w:start w:val="1"/>
    </w:lvl>
  </w:abstractNum>
  <w:abstractNum w:abstractNumId="396">
    <w:nsid w:val="4C4FFF5B"/>
    <w:multiLevelType w:val="hybridMultilevel"/>
    <w:lvl w:ilvl="0">
      <w:lvlJc w:val="left"/>
      <w:lvlText w:val="(%1)"/>
      <w:numFmt w:val="lowerLetter"/>
      <w:start w:val="1"/>
    </w:lvl>
  </w:abstractNum>
  <w:abstractNum w:abstractNumId="397">
    <w:nsid w:val="51B76675"/>
    <w:multiLevelType w:val="hybridMultilevel"/>
    <w:lvl w:ilvl="0">
      <w:lvlJc w:val="left"/>
      <w:lvlText w:val="(%1)"/>
      <w:numFmt w:val="lowerLetter"/>
      <w:start w:val="1"/>
    </w:lvl>
  </w:abstractNum>
  <w:abstractNum w:abstractNumId="398">
    <w:nsid w:val="59A4BA71"/>
    <w:multiLevelType w:val="hybridMultilevel"/>
    <w:lvl w:ilvl="0">
      <w:lvlJc w:val="left"/>
      <w:lvlText w:val="(%1)"/>
      <w:numFmt w:val="lowerLetter"/>
      <w:start w:val="2"/>
    </w:lvl>
  </w:abstractNum>
  <w:abstractNum w:abstractNumId="399">
    <w:nsid w:val="450B7FB6"/>
    <w:multiLevelType w:val="hybridMultilevel"/>
    <w:lvl w:ilvl="0">
      <w:lvlJc w:val="left"/>
      <w:lvlText w:val="%1."/>
      <w:numFmt w:val="decimal"/>
      <w:start w:val="13"/>
    </w:lvl>
  </w:abstractNum>
  <w:abstractNum w:abstractNumId="400">
    <w:nsid w:val="340BF64D"/>
    <w:multiLevelType w:val="hybridMultilevel"/>
    <w:lvl w:ilvl="0">
      <w:lvlJc w:val="left"/>
      <w:lvlText w:val="(%1)"/>
      <w:numFmt w:val="lowerLetter"/>
      <w:start w:val="1"/>
    </w:lvl>
  </w:abstractNum>
  <w:abstractNum w:abstractNumId="401">
    <w:nsid w:val="69454021"/>
    <w:multiLevelType w:val="hybridMultilevel"/>
    <w:lvl w:ilvl="0">
      <w:lvlJc w:val="left"/>
      <w:lvlText w:val="(%1)"/>
      <w:numFmt w:val="lowerLetter"/>
      <w:start w:val="2"/>
    </w:lvl>
  </w:abstractNum>
  <w:abstractNum w:abstractNumId="402">
    <w:nsid w:val="49F15C6B"/>
    <w:multiLevelType w:val="hybridMultilevel"/>
    <w:lvl w:ilvl="0">
      <w:lvlJc w:val="left"/>
      <w:lvlText w:val="%1."/>
      <w:numFmt w:val="decimal"/>
      <w:start w:val="1"/>
    </w:lvl>
  </w:abstractNum>
  <w:abstractNum w:abstractNumId="403">
    <w:nsid w:val="75F56228"/>
    <w:multiLevelType w:val="hybridMultilevel"/>
    <w:lvl w:ilvl="0">
      <w:lvlJc w:val="left"/>
      <w:lvlText w:val="%1."/>
      <w:numFmt w:val="decimal"/>
      <w:start w:val="3"/>
    </w:lvl>
  </w:abstractNum>
  <w:abstractNum w:abstractNumId="404">
    <w:nsid w:val="1C618271"/>
    <w:multiLevelType w:val="hybridMultilevel"/>
    <w:lvl w:ilvl="0">
      <w:lvlJc w:val="left"/>
      <w:lvlText w:val="%1."/>
      <w:numFmt w:val="decimal"/>
      <w:start w:val="4"/>
    </w:lvl>
  </w:abstractNum>
  <w:abstractNum w:abstractNumId="405">
    <w:nsid w:val="6505F02E"/>
    <w:multiLevelType w:val="hybridMultilevel"/>
    <w:lvl w:ilvl="0">
      <w:lvlJc w:val="left"/>
      <w:lvlText w:val="%1."/>
      <w:numFmt w:val="decimal"/>
      <w:start w:val="5"/>
    </w:lvl>
  </w:abstractNum>
  <w:abstractNum w:abstractNumId="406">
    <w:nsid w:val="2FE5D025"/>
    <w:multiLevelType w:val="hybridMultilevel"/>
    <w:lvl w:ilvl="0">
      <w:lvlJc w:val="left"/>
      <w:lvlText w:val="\ldblquote"/>
      <w:numFmt w:val="bullet"/>
      <w:start w:val="1"/>
    </w:lvl>
  </w:abstractNum>
  <w:abstractNum w:abstractNumId="407">
    <w:nsid w:val="30E1B1CF"/>
    <w:multiLevelType w:val="hybridMultilevel"/>
    <w:lvl w:ilvl="0">
      <w:lvlJc w:val="left"/>
      <w:lvlText w:val="(%1)"/>
      <w:numFmt w:val="lowerLetter"/>
      <w:start w:val="1"/>
    </w:lvl>
  </w:abstractNum>
  <w:abstractNum w:abstractNumId="408">
    <w:nsid w:val="C7A9237"/>
    <w:multiLevelType w:val="hybridMultilevel"/>
    <w:lvl w:ilvl="0">
      <w:lvlJc w:val="left"/>
      <w:lvlText w:val="%1."/>
      <w:numFmt w:val="decimal"/>
      <w:start w:val="6"/>
    </w:lvl>
  </w:abstractNum>
  <w:abstractNum w:abstractNumId="409">
    <w:nsid w:val="676B3580"/>
    <w:multiLevelType w:val="hybridMultilevel"/>
    <w:lvl w:ilvl="0">
      <w:lvlJc w:val="left"/>
      <w:lvlText w:val="%1."/>
      <w:numFmt w:val="decimal"/>
      <w:start w:val="7"/>
    </w:lvl>
  </w:abstractNum>
  <w:abstractNum w:abstractNumId="410">
    <w:nsid w:val="3193C8F9"/>
    <w:multiLevelType w:val="hybridMultilevel"/>
    <w:lvl w:ilvl="0">
      <w:lvlJc w:val="left"/>
      <w:lvlText w:val="\ldblquote"/>
      <w:numFmt w:val="bullet"/>
      <w:start w:val="1"/>
    </w:lvl>
  </w:abstractNum>
  <w:abstractNum w:abstractNumId="411">
    <w:nsid w:val="5FA6C6DC"/>
    <w:multiLevelType w:val="hybridMultilevel"/>
    <w:lvl w:ilvl="0">
      <w:lvlJc w:val="left"/>
      <w:lvlText w:val="%1."/>
      <w:numFmt w:val="decimal"/>
      <w:start w:val="8"/>
    </w:lvl>
  </w:abstractNum>
  <w:abstractNum w:abstractNumId="412">
    <w:nsid w:val="77933F62"/>
    <w:multiLevelType w:val="hybridMultilevel"/>
    <w:lvl w:ilvl="0">
      <w:lvlJc w:val="left"/>
      <w:lvlText w:val="%1."/>
      <w:numFmt w:val="decimal"/>
      <w:start w:val="12"/>
    </w:lvl>
  </w:abstractNum>
  <w:abstractNum w:abstractNumId="413">
    <w:nsid w:val="6CB4EE9C"/>
    <w:multiLevelType w:val="hybridMultilevel"/>
    <w:lvl w:ilvl="0">
      <w:lvlJc w:val="left"/>
      <w:lvlText w:val="%1."/>
      <w:numFmt w:val="decimal"/>
      <w:start w:val="1"/>
    </w:lvl>
  </w:abstractNum>
  <w:abstractNum w:abstractNumId="414">
    <w:nsid w:val="6A6D56D7"/>
    <w:multiLevelType w:val="hybridMultilevel"/>
    <w:lvl w:ilvl="0">
      <w:lvlJc w:val="left"/>
      <w:lvlText w:val="(%1)"/>
      <w:numFmt w:val="lowerLetter"/>
      <w:start w:val="1"/>
    </w:lvl>
  </w:abstractNum>
  <w:abstractNum w:abstractNumId="415">
    <w:nsid w:val="5B727F19"/>
    <w:multiLevelType w:val="hybridMultilevel"/>
    <w:lvl w:ilvl="0">
      <w:lvlJc w:val="left"/>
      <w:lvlText w:val="%1."/>
      <w:numFmt w:val="decimal"/>
      <w:start w:val="2"/>
    </w:lvl>
  </w:abstractNum>
  <w:abstractNum w:abstractNumId="416">
    <w:nsid w:val="514E5CB0"/>
    <w:multiLevelType w:val="hybridMultilevel"/>
    <w:lvl w:ilvl="0">
      <w:lvlJc w:val="left"/>
      <w:lvlText w:val="(%1)"/>
      <w:numFmt w:val="lowerLetter"/>
      <w:start w:val="3"/>
    </w:lvl>
  </w:abstractNum>
  <w:abstractNum w:abstractNumId="417">
    <w:nsid w:val="4210D41E"/>
    <w:multiLevelType w:val="hybridMultilevel"/>
    <w:lvl w:ilvl="0">
      <w:lvlJc w:val="left"/>
      <w:lvlText w:val="%1."/>
      <w:numFmt w:val="decimal"/>
      <w:start w:val="3"/>
    </w:lvl>
  </w:abstractNum>
  <w:abstractNum w:abstractNumId="418">
    <w:nsid w:val="4FF4CC6D"/>
    <w:multiLevelType w:val="hybridMultilevel"/>
    <w:lvl w:ilvl="0">
      <w:lvlJc w:val="left"/>
      <w:lvlText w:val="%1."/>
      <w:numFmt w:val="decimal"/>
      <w:start w:val="4"/>
    </w:lvl>
  </w:abstractNum>
  <w:abstractNum w:abstractNumId="419">
    <w:nsid w:val="404EAF4A"/>
    <w:multiLevelType w:val="hybridMultilevel"/>
    <w:lvl w:ilvl="0">
      <w:lvlJc w:val="left"/>
      <w:lvlText w:val="(%1)"/>
      <w:numFmt w:val="lowerLetter"/>
      <w:start w:val="1"/>
    </w:lvl>
  </w:abstractNum>
  <w:abstractNum w:abstractNumId="420">
    <w:nsid w:val="4A16874F"/>
    <w:multiLevelType w:val="hybridMultilevel"/>
    <w:lvl w:ilvl="0">
      <w:lvlJc w:val="left"/>
      <w:lvlText w:val="(%1)"/>
      <w:numFmt w:val="lowerLetter"/>
      <w:start w:val="2"/>
    </w:lvl>
  </w:abstractNum>
  <w:abstractNum w:abstractNumId="421">
    <w:nsid w:val="55FEE0D1"/>
    <w:multiLevelType w:val="hybridMultilevel"/>
    <w:lvl w:ilvl="0">
      <w:lvlJc w:val="left"/>
      <w:lvlText w:val="%1."/>
      <w:numFmt w:val="decimal"/>
      <w:start w:val="5"/>
    </w:lvl>
    <w:lvl w:ilvl="1">
      <w:lvlJc w:val="left"/>
      <w:lvlText w:val="(%2)"/>
      <w:numFmt w:val="lowerLetter"/>
      <w:start w:val="1"/>
    </w:lvl>
  </w:abstractNum>
  <w:abstractNum w:abstractNumId="422">
    <w:nsid w:val="3C5E07C"/>
    <w:multiLevelType w:val="hybridMultilevel"/>
    <w:lvl w:ilvl="0">
      <w:lvlJc w:val="left"/>
      <w:lvlText w:val="%1."/>
      <w:numFmt w:val="decimal"/>
      <w:start w:val="6"/>
    </w:lvl>
  </w:abstractNum>
  <w:abstractNum w:abstractNumId="423">
    <w:nsid w:val="60C2D273"/>
    <w:multiLevelType w:val="hybridMultilevel"/>
    <w:lvl w:ilvl="0">
      <w:lvlJc w:val="left"/>
      <w:lvlText w:val="(%1)"/>
      <w:numFmt w:val="lowerLetter"/>
      <w:start w:val="1"/>
    </w:lvl>
  </w:abstractNum>
  <w:abstractNum w:abstractNumId="424">
    <w:nsid w:val="4CC32F1F"/>
    <w:multiLevelType w:val="hybridMultilevel"/>
    <w:lvl w:ilvl="0">
      <w:lvlJc w:val="left"/>
      <w:lvlText w:val="(%1)"/>
      <w:numFmt w:val="lowerLetter"/>
      <w:start w:val="1"/>
    </w:lvl>
    <w:lvl w:ilvl="1">
      <w:lvlJc w:val="left"/>
      <w:lvlText w:val="(%2)"/>
      <w:numFmt w:val="lowerRoman"/>
      <w:start w:val="1"/>
    </w:lvl>
  </w:abstractNum>
  <w:abstractNum w:abstractNumId="425">
    <w:nsid w:val="11CAC74A"/>
    <w:multiLevelType w:val="hybridMultilevel"/>
    <w:lvl w:ilvl="0">
      <w:lvlJc w:val="left"/>
      <w:lvlText w:val="(%1)"/>
      <w:numFmt w:val="lowerLetter"/>
      <w:start w:val="2"/>
    </w:lvl>
    <w:lvl w:ilvl="1">
      <w:lvlJc w:val="left"/>
      <w:lvlText w:val="(%2)"/>
      <w:numFmt w:val="lowerRoman"/>
      <w:start w:val="1"/>
    </w:lvl>
  </w:abstractNum>
  <w:abstractNum w:abstractNumId="426">
    <w:nsid w:val="126CADE9"/>
    <w:multiLevelType w:val="hybridMultilevel"/>
    <w:lvl w:ilvl="0">
      <w:lvlJc w:val="left"/>
      <w:lvlText w:val="(%1)"/>
      <w:numFmt w:val="lowerLetter"/>
      <w:start w:val="3"/>
    </w:lvl>
    <w:lvl w:ilvl="1">
      <w:lvlJc w:val="left"/>
      <w:lvlText w:val="(%2)"/>
      <w:numFmt w:val="lowerRoman"/>
      <w:start w:val="1"/>
    </w:lvl>
  </w:abstractNum>
  <w:abstractNum w:abstractNumId="427">
    <w:nsid w:val="19132E7B"/>
    <w:multiLevelType w:val="hybridMultilevel"/>
    <w:lvl w:ilvl="0">
      <w:lvlJc w:val="left"/>
      <w:lvlText w:val="(%1)"/>
      <w:numFmt w:val="lowerLetter"/>
      <w:start w:val="4"/>
    </w:lvl>
  </w:abstractNum>
  <w:abstractNum w:abstractNumId="428">
    <w:nsid w:val="63822DC0"/>
    <w:multiLevelType w:val="hybridMultilevel"/>
    <w:lvl w:ilvl="0">
      <w:lvlJc w:val="left"/>
      <w:lvlText w:val="(%1)"/>
      <w:numFmt w:val="lowerLetter"/>
      <w:start w:val="1"/>
    </w:lvl>
  </w:abstractNum>
  <w:abstractNum w:abstractNumId="429">
    <w:nsid w:val="6C11685A"/>
    <w:multiLevelType w:val="hybridMultilevel"/>
    <w:lvl w:ilvl="0">
      <w:lvlJc w:val="left"/>
      <w:lvlText w:val="(%1)"/>
      <w:numFmt w:val="lowerLetter"/>
      <w:start w:val="3"/>
    </w:lvl>
  </w:abstractNum>
  <w:abstractNum w:abstractNumId="430">
    <w:nsid w:val="5E1EAE3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31">
    <w:nsid w:val="178E240D"/>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432">
    <w:nsid w:val="5556A87B"/>
    <w:multiLevelType w:val="hybridMultilevel"/>
    <w:lvl w:ilvl="0">
      <w:lvlJc w:val="left"/>
      <w:lvlText w:val="(%1)"/>
      <w:numFmt w:val="lowerLetter"/>
      <w:start w:val="7"/>
    </w:lvl>
  </w:abstractNum>
  <w:abstractNum w:abstractNumId="433">
    <w:nsid w:val="28100A9C"/>
    <w:multiLevelType w:val="hybridMultilevel"/>
    <w:lvl w:ilvl="0">
      <w:lvlJc w:val="left"/>
      <w:lvlText w:val="(%1)"/>
      <w:numFmt w:val="lowerLetter"/>
      <w:start w:val="1"/>
    </w:lvl>
  </w:abstractNum>
  <w:abstractNum w:abstractNumId="434">
    <w:nsid w:val="D838636"/>
    <w:multiLevelType w:val="hybridMultilevel"/>
    <w:lvl w:ilvl="0">
      <w:lvlJc w:val="left"/>
      <w:lvlText w:val="(%1)"/>
      <w:numFmt w:val="lowerLetter"/>
      <w:start w:val="2"/>
    </w:lvl>
  </w:abstractNum>
  <w:abstractNum w:abstractNumId="435">
    <w:nsid w:val="71B82AED"/>
    <w:multiLevelType w:val="hybridMultilevel"/>
    <w:lvl w:ilvl="0">
      <w:lvlJc w:val="left"/>
      <w:lvlText w:val="%1."/>
      <w:numFmt w:val="decimal"/>
      <w:start w:val="7"/>
    </w:lvl>
  </w:abstractNum>
  <w:abstractNum w:abstractNumId="436">
    <w:nsid w:val="D15FACA"/>
    <w:multiLevelType w:val="hybridMultilevel"/>
    <w:lvl w:ilvl="0">
      <w:lvlJc w:val="left"/>
      <w:lvlText w:val="(%1)"/>
      <w:numFmt w:val="lowerLetter"/>
      <w:start w:val="1"/>
    </w:lvl>
  </w:abstractNum>
  <w:abstractNum w:abstractNumId="437">
    <w:nsid w:val="3D69565B"/>
    <w:multiLevelType w:val="hybridMultilevel"/>
    <w:lvl w:ilvl="0">
      <w:lvlJc w:val="left"/>
      <w:lvlText w:val="[***]"/>
      <w:numFmt w:val="bullet"/>
      <w:start w:val="1"/>
    </w:lvl>
    <w:lvl w:ilvl="1">
      <w:lvlJc w:val="left"/>
      <w:lvlText w:val="(%2)"/>
      <w:numFmt w:val="lowerLetter"/>
      <w:start w:val="1"/>
    </w:lvl>
  </w:abstractNum>
  <w:abstractNum w:abstractNumId="438">
    <w:nsid w:val="2299DCBC"/>
    <w:multiLevelType w:val="hybridMultilevel"/>
    <w:lvl w:ilvl="0">
      <w:lvlJc w:val="left"/>
      <w:lvlText w:val="[***]"/>
      <w:numFmt w:val="bullet"/>
      <w:start w:val="1"/>
    </w:lvl>
    <w:lvl w:ilvl="1">
      <w:lvlJc w:val="left"/>
      <w:lvlText w:val="(%2)"/>
      <w:numFmt w:val="lowerLetter"/>
      <w:start w:val="2"/>
    </w:lvl>
  </w:abstractNum>
  <w:abstractNum w:abstractNumId="439">
    <w:nsid w:val="19908D02"/>
    <w:multiLevelType w:val="hybridMultilevel"/>
    <w:lvl w:ilvl="0">
      <w:lvlJc w:val="left"/>
      <w:lvlText w:val="(%1)"/>
      <w:numFmt w:val="lowerLetter"/>
      <w:start w:val="3"/>
    </w:lvl>
  </w:abstractNum>
  <w:abstractNum w:abstractNumId="440">
    <w:nsid w:val="24D48BDB"/>
    <w:multiLevelType w:val="hybridMultilevel"/>
    <w:lvl w:ilvl="0">
      <w:lvlJc w:val="left"/>
      <w:lvlText w:val="%1."/>
      <w:numFmt w:val="decimal"/>
      <w:start w:val="8"/>
    </w:lvl>
  </w:abstractNum>
  <w:abstractNum w:abstractNumId="441">
    <w:nsid w:val="542DA5B5"/>
    <w:multiLevelType w:val="hybridMultilevel"/>
    <w:lvl w:ilvl="0">
      <w:lvlJc w:val="left"/>
      <w:lvlText w:val="(%1)"/>
      <w:numFmt w:val="lowerLetter"/>
      <w:start w:val="1"/>
    </w:lvl>
  </w:abstractNum>
  <w:abstractNum w:abstractNumId="442">
    <w:nsid w:val="793753DE"/>
    <w:multiLevelType w:val="hybridMultilevel"/>
    <w:lvl w:ilvl="0">
      <w:lvlJc w:val="left"/>
      <w:lvlText w:val="%1."/>
      <w:numFmt w:val="decimal"/>
      <w:start w:val="9"/>
    </w:lvl>
  </w:abstractNum>
  <w:abstractNum w:abstractNumId="443">
    <w:nsid w:val="1C67CB3D"/>
    <w:multiLevelType w:val="hybridMultilevel"/>
    <w:lvl w:ilvl="0">
      <w:lvlJc w:val="left"/>
      <w:lvlText w:val="%1."/>
      <w:numFmt w:val="decimal"/>
      <w:start w:val="10"/>
    </w:lvl>
  </w:abstractNum>
  <w:abstractNum w:abstractNumId="444">
    <w:nsid w:val="40E29452"/>
    <w:multiLevelType w:val="hybridMultilevel"/>
    <w:lvl w:ilvl="0">
      <w:lvlJc w:val="left"/>
      <w:lvlText w:val="(%1)"/>
      <w:numFmt w:val="lowerLetter"/>
      <w:start w:val="1"/>
    </w:lvl>
  </w:abstractNum>
  <w:abstractNum w:abstractNumId="445">
    <w:nsid w:val="63A4AAB6"/>
    <w:multiLevelType w:val="hybridMultilevel"/>
    <w:lvl w:ilvl="0">
      <w:lvlJc w:val="left"/>
      <w:lvlText w:val="(%1)"/>
      <w:numFmt w:val="lowerLetter"/>
      <w:start w:val="1"/>
    </w:lvl>
  </w:abstractNum>
  <w:abstractNum w:abstractNumId="446">
    <w:nsid w:val="77DA4A57"/>
    <w:multiLevelType w:val="hybridMultilevel"/>
    <w:lvl w:ilvl="0">
      <w:lvlJc w:val="left"/>
      <w:lvlText w:val="(%1)"/>
      <w:numFmt w:val="lowerLetter"/>
      <w:start w:val="2"/>
    </w:lvl>
  </w:abstractNum>
  <w:abstractNum w:abstractNumId="447">
    <w:nsid w:val="1230F102"/>
    <w:multiLevelType w:val="hybridMultilevel"/>
    <w:lvl w:ilvl="0">
      <w:lvlJc w:val="left"/>
      <w:lvlText w:val="%1."/>
      <w:numFmt w:val="decimal"/>
      <w:start w:val="11"/>
    </w:lvl>
  </w:abstractNum>
  <w:abstractNum w:abstractNumId="448">
    <w:nsid w:val="25B57ED4"/>
    <w:multiLevelType w:val="hybridMultilevel"/>
    <w:lvl w:ilvl="0">
      <w:lvlJc w:val="left"/>
      <w:lvlText w:val="(%1)"/>
      <w:numFmt w:val="lowerLetter"/>
      <w:start w:val="1"/>
    </w:lvl>
  </w:abstractNum>
  <w:abstractNum w:abstractNumId="449">
    <w:nsid w:val="47CF16C4"/>
    <w:multiLevelType w:val="hybridMultilevel"/>
    <w:lvl w:ilvl="0">
      <w:lvlJc w:val="left"/>
      <w:lvlText w:val="(%1)"/>
      <w:numFmt w:val="lowerLetter"/>
      <w:start w:val="2"/>
    </w:lvl>
  </w:abstractNum>
  <w:abstractNum w:abstractNumId="450">
    <w:nsid w:val="527FA04C"/>
    <w:multiLevelType w:val="hybridMultilevel"/>
    <w:lvl w:ilvl="0">
      <w:lvlJc w:val="left"/>
      <w:lvlText w:val="(%1)"/>
      <w:numFmt w:val="lowerLetter"/>
      <w:start w:val="1"/>
    </w:lvl>
  </w:abstractNum>
  <w:abstractNum w:abstractNumId="451">
    <w:nsid w:val="6FCC0624"/>
    <w:multiLevelType w:val="hybridMultilevel"/>
    <w:lvl w:ilvl="0">
      <w:lvlJc w:val="left"/>
      <w:lvlText w:val="%1"/>
      <w:numFmt w:val="decimal"/>
      <w:start w:val="1"/>
    </w:lvl>
    <w:lvl w:ilvl="1">
      <w:lvlJc w:val="left"/>
      <w:lvlText w:val="(%2)"/>
      <w:numFmt w:val="lowerLetter"/>
      <w:start w:val="4"/>
    </w:lvl>
  </w:abstractNum>
  <w:abstractNum w:abstractNumId="452">
    <w:nsid w:val="1DCDF795"/>
    <w:multiLevelType w:val="hybridMultilevel"/>
    <w:lvl w:ilvl="0">
      <w:lvlJc w:val="left"/>
      <w:lvlText w:val="%1."/>
      <w:numFmt w:val="decimal"/>
      <w:start w:val="12"/>
    </w:lvl>
    <w:lvl w:ilvl="1">
      <w:lvlJc w:val="left"/>
      <w:lvlText w:val="%2"/>
      <w:numFmt w:val="lowerLetter"/>
      <w:start w:val="1"/>
    </w:lvl>
  </w:abstractNum>
  <w:abstractNum w:abstractNumId="453">
    <w:nsid w:val="564580C8"/>
    <w:multiLevelType w:val="hybridMultilevel"/>
    <w:lvl w:ilvl="0">
      <w:lvlJc w:val="left"/>
      <w:lvlText w:val="(%1)"/>
      <w:numFmt w:val="lowerLetter"/>
      <w:start w:val="1"/>
    </w:lvl>
  </w:abstractNum>
  <w:abstractNum w:abstractNumId="454">
    <w:nsid w:val="508ED897"/>
    <w:multiLevelType w:val="hybridMultilevel"/>
    <w:lvl w:ilvl="0">
      <w:lvlJc w:val="left"/>
      <w:lvlText w:val="(%1)"/>
      <w:numFmt w:val="lowerLetter"/>
      <w:start w:val="1"/>
    </w:lvl>
  </w:abstractNum>
  <w:abstractNum w:abstractNumId="455">
    <w:nsid w:val="6A9126B5"/>
    <w:multiLevelType w:val="hybridMultilevel"/>
    <w:lvl w:ilvl="0">
      <w:lvlJc w:val="left"/>
      <w:lvlText w:val="(%1)"/>
      <w:numFmt w:val="lowerLetter"/>
      <w:start w:val="2"/>
    </w:lvl>
  </w:abstractNum>
  <w:abstractNum w:abstractNumId="456">
    <w:nsid w:val="68104812"/>
    <w:multiLevelType w:val="hybridMultilevel"/>
    <w:lvl w:ilvl="0">
      <w:lvlJc w:val="left"/>
      <w:lvlText w:val="(%1)"/>
      <w:numFmt w:val="lowerLetter"/>
      <w:start w:val="1"/>
    </w:lvl>
  </w:abstractNum>
  <w:abstractNum w:abstractNumId="457">
    <w:nsid w:val="62FB8680"/>
    <w:multiLevelType w:val="hybridMultilevel"/>
    <w:lvl w:ilvl="0">
      <w:lvlJc w:val="left"/>
      <w:lvlText w:val="%1."/>
      <w:numFmt w:val="decimal"/>
      <w:start w:val="13"/>
    </w:lvl>
  </w:abstractNum>
  <w:abstractNum w:abstractNumId="458">
    <w:nsid w:val="3A45530"/>
    <w:multiLevelType w:val="hybridMultilevel"/>
    <w:lvl w:ilvl="0">
      <w:lvlJc w:val="left"/>
      <w:lvlText w:val="(%1)"/>
      <w:numFmt w:val="lowerLetter"/>
      <w:start w:val="1"/>
    </w:lvl>
  </w:abstractNum>
  <w:abstractNum w:abstractNumId="459">
    <w:nsid w:val="4B9275D2"/>
    <w:multiLevelType w:val="hybridMultilevel"/>
    <w:lvl w:ilvl="0">
      <w:lvlJc w:val="left"/>
      <w:lvlText w:val="(%1)"/>
      <w:numFmt w:val="lowerLetter"/>
      <w:start w:val="2"/>
    </w:lvl>
  </w:abstractNum>
  <w:abstractNum w:abstractNumId="460">
    <w:nsid w:val="4F0CEEDB"/>
    <w:multiLevelType w:val="hybridMultilevel"/>
    <w:lvl w:ilvl="0">
      <w:lvlJc w:val="left"/>
      <w:lvlText w:val="(%1)"/>
      <w:numFmt w:val="decimal"/>
      <w:start w:val="1"/>
    </w:lvl>
  </w:abstractNum>
  <w:abstractNum w:abstractNumId="461">
    <w:nsid w:val="61C30361"/>
    <w:multiLevelType w:val="hybridMultilevel"/>
    <w:lvl w:ilvl="0">
      <w:lvlJc w:val="left"/>
      <w:lvlText w:val="•"/>
      <w:numFmt w:val="bullet"/>
      <w:start w:val="1"/>
    </w:lvl>
  </w:abstractNum>
  <w:abstractNum w:abstractNumId="462">
    <w:nsid w:val="632099E0"/>
    <w:multiLevelType w:val="hybridMultilevel"/>
    <w:lvl w:ilvl="0">
      <w:lvlJc w:val="left"/>
      <w:lvlText w:val="•"/>
      <w:numFmt w:val="bullet"/>
      <w:start w:val="1"/>
    </w:lvl>
  </w:abstractNum>
  <w:abstractNum w:abstractNumId="463">
    <w:nsid w:val="24639756"/>
    <w:multiLevelType w:val="hybridMultilevel"/>
    <w:lvl w:ilvl="0">
      <w:lvlJc w:val="left"/>
      <w:lvlText w:val="•"/>
      <w:numFmt w:val="bullet"/>
      <w:start w:val="1"/>
    </w:lvl>
  </w:abstractNum>
  <w:abstractNum w:abstractNumId="464">
    <w:nsid w:val="9D30DFD"/>
    <w:multiLevelType w:val="hybridMultilevel"/>
    <w:lvl w:ilvl="0">
      <w:lvlJc w:val="left"/>
      <w:lvlText w:val="•"/>
      <w:numFmt w:val="bullet"/>
      <w:start w:val="1"/>
    </w:lvl>
  </w:abstractNum>
  <w:abstractNum w:abstractNumId="465">
    <w:nsid w:val="70A42016"/>
    <w:multiLevelType w:val="hybridMultilevel"/>
    <w:lvl w:ilvl="0">
      <w:lvlJc w:val="left"/>
      <w:lvlText w:val="(%1)"/>
      <w:numFmt w:val="lowerLetter"/>
      <w:start w:val="4"/>
    </w:lvl>
  </w:abstractNum>
  <w:abstractNum w:abstractNumId="466">
    <w:nsid w:val="161BC24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jpe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png"/><Relationship Id="rId473" Type="http://schemas.openxmlformats.org/officeDocument/2006/relationships/image" Target="media/image457.png"/><Relationship Id="rId474" Type="http://schemas.openxmlformats.org/officeDocument/2006/relationships/image" Target="media/image458.pn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jpe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jpeg"/><Relationship Id="rId493" Type="http://schemas.openxmlformats.org/officeDocument/2006/relationships/image" Target="media/image477.jpe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jpe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png"/><Relationship Id="rId561" Type="http://schemas.openxmlformats.org/officeDocument/2006/relationships/image" Target="media/image545.png"/><Relationship Id="rId562" Type="http://schemas.openxmlformats.org/officeDocument/2006/relationships/image" Target="media/image546.png"/><Relationship Id="rId563" Type="http://schemas.openxmlformats.org/officeDocument/2006/relationships/image" Target="media/image547.png"/><Relationship Id="rId564" Type="http://schemas.openxmlformats.org/officeDocument/2006/relationships/image" Target="media/image548.png"/><Relationship Id="rId565" Type="http://schemas.openxmlformats.org/officeDocument/2006/relationships/image" Target="media/image549.png"/><Relationship Id="rId566" Type="http://schemas.openxmlformats.org/officeDocument/2006/relationships/image" Target="media/image550.png"/><Relationship Id="rId567" Type="http://schemas.openxmlformats.org/officeDocument/2006/relationships/image" Target="media/image551.pn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612" Type="http://schemas.openxmlformats.org/officeDocument/2006/relationships/image" Target="media/image596.png"/><Relationship Id="rId613"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0" Type="http://schemas.openxmlformats.org/officeDocument/2006/relationships/image" Target="media/image604.png"/><Relationship Id="rId621" Type="http://schemas.openxmlformats.org/officeDocument/2006/relationships/image" Target="media/image605.png"/><Relationship Id="rId622" Type="http://schemas.openxmlformats.org/officeDocument/2006/relationships/image" Target="media/image606.png"/><Relationship Id="rId623" Type="http://schemas.openxmlformats.org/officeDocument/2006/relationships/image" Target="media/image607.png"/><Relationship Id="rId624" Type="http://schemas.openxmlformats.org/officeDocument/2006/relationships/image" Target="media/image608.png"/><Relationship Id="rId625" Type="http://schemas.openxmlformats.org/officeDocument/2006/relationships/image" Target="media/image609.png"/><Relationship Id="rId626" Type="http://schemas.openxmlformats.org/officeDocument/2006/relationships/image" Target="media/image610.png"/><Relationship Id="rId627" Type="http://schemas.openxmlformats.org/officeDocument/2006/relationships/image" Target="media/image611.png"/><Relationship Id="rId628" Type="http://schemas.openxmlformats.org/officeDocument/2006/relationships/image" Target="media/image612.png"/><Relationship Id="rId629" Type="http://schemas.openxmlformats.org/officeDocument/2006/relationships/image" Target="media/image613.png"/><Relationship Id="rId630" Type="http://schemas.openxmlformats.org/officeDocument/2006/relationships/image" Target="media/image614.png"/><Relationship Id="rId631" Type="http://schemas.openxmlformats.org/officeDocument/2006/relationships/image" Target="media/image615.png"/><Relationship Id="rId632" Type="http://schemas.openxmlformats.org/officeDocument/2006/relationships/image" Target="media/image616.pn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289" Type="http://schemas.openxmlformats.org/officeDocument/2006/relationships/hyperlink" Target="http://www.sec.gov/Archives/edgar/data/1819790/000119312520254758/d30607ds1.htm" TargetMode="External"/><Relationship Id="rId338" Type="http://schemas.openxmlformats.org/officeDocument/2006/relationships/hyperlink" Target="http://www.sec.gov/Archives/edgar/data/1819790/000119312520254758/d30607dex102.htm" TargetMode="External"/><Relationship Id="rId339" Type="http://schemas.openxmlformats.org/officeDocument/2006/relationships/hyperlink" Target="http://www.sec.gov/Archives/edgar/data/1819790/000119312520254758/d30607dex106.htm" TargetMode="External"/><Relationship Id="rId340" Type="http://schemas.openxmlformats.org/officeDocument/2006/relationships/hyperlink" Target="http://www.sec.gov/Archives/edgar/data/1819790/000119312520254758/d30607dex107.htm" TargetMode="External"/><Relationship Id="rId341" Type="http://schemas.openxmlformats.org/officeDocument/2006/relationships/hyperlink" Target="http://www.sec.gov/Archives/edgar/data/1819790/000119312520254758/d30607dex108.htm" TargetMode="External"/><Relationship Id="rId342" Type="http://schemas.openxmlformats.org/officeDocument/2006/relationships/hyperlink" Target="http://www.sec.gov/Archives/edgar/data/1819790/000119312520254758/d30607dex109.htm" TargetMode="External"/><Relationship Id="rId343" Type="http://schemas.openxmlformats.org/officeDocument/2006/relationships/hyperlink" Target="http://www.sec.gov/Archives/edgar/data/1819790/000119312520254758/d30607dex1013.htm" TargetMode="External"/><Relationship Id="rId344" Type="http://schemas.openxmlformats.org/officeDocument/2006/relationships/hyperlink" Target="http://www.sec.gov/Archives/edgar/data/1819790/000119312520254758/d30607dex1014.htm" TargetMode="External"/><Relationship Id="rId345" Type="http://schemas.openxmlformats.org/officeDocument/2006/relationships/hyperlink" Target="http://www.sec.gov/Archives/edgar/data/1819790/000119312520254758/d3060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2020-10-09T16:20:46Z</dcterms:created>
  <dcterms:modified xsi:type="dcterms:W3CDTF">2020-10-09T16:20:46Z</dcterms:modified>
</cp:coreProperties>
</file>