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9, 2023</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77"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9, 2023, Tarsus Pharmaceuticals, Inc. (the “Company”) issued a press release, which, among other matters, sets forth the Company’s results of operations for the three months ended March 31, 2023.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dated May 9, 2023</w:t>
            </w:r>
          </w:p>
        </w:tc>
        <w:tc>
          <w:tcPr>
            <w:tcW w:w="5780" w:type="dxa"/>
            <w:vAlign w:val="bottom"/>
            <w:gridSpan w:val="2"/>
          </w:tcPr>
          <w:p>
            <w:pPr>
              <w:spacing w:after="0"/>
              <w:rPr>
                <w:sz w:val="17"/>
                <w:szCs w:val="17"/>
                <w:color w:val="auto"/>
              </w:rPr>
            </w:pPr>
          </w:p>
        </w:tc>
      </w:tr>
      <w:tr>
        <w:trPr>
          <w:trHeight w:val="291"/>
        </w:trPr>
        <w:tc>
          <w:tcPr>
            <w:tcW w:w="2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1760" w:val="left"/>
          <w:tab w:leader="none" w:pos="3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w:t>
      </w:r>
      <w:r>
        <w:rPr>
          <w:sz w:val="20"/>
          <w:szCs w:val="20"/>
          <w:color w:val="auto"/>
        </w:rPr>
        <w:tab/>
      </w:r>
      <w:r>
        <w:rPr>
          <w:rFonts w:ascii="Times New Roman" w:cs="Times New Roman" w:eastAsia="Times New Roman" w:hAnsi="Times New Roman"/>
          <w:sz w:val="17"/>
          <w:szCs w:val="17"/>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Reports First Quarter 2023 Financial Results and Recent Business Achievements</w:t>
      </w: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Continuing to build market awareness through disease education and deploying commercial leadership in anticipation of TP-03 August 25, 2023 PDUFA</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Presented health economics data suggesting a costly and substantial burden of illness in patients with Demodex blepharitis</w:t>
      </w:r>
    </w:p>
    <w:p>
      <w:pPr>
        <w:spacing w:after="0" w:line="239" w:lineRule="exact"/>
        <w:rPr>
          <w:sz w:val="20"/>
          <w:szCs w:val="20"/>
          <w:color w:val="auto"/>
        </w:rPr>
      </w:pPr>
    </w:p>
    <w:p>
      <w:pPr>
        <w:ind w:left="5120" w:right="40" w:hanging="4404"/>
        <w:spacing w:after="0" w:line="253" w:lineRule="auto"/>
        <w:rPr>
          <w:sz w:val="20"/>
          <w:szCs w:val="20"/>
          <w:color w:val="auto"/>
        </w:rPr>
      </w:pPr>
      <w:r>
        <w:rPr>
          <w:rFonts w:ascii="Times New Roman" w:cs="Times New Roman" w:eastAsia="Times New Roman" w:hAnsi="Times New Roman"/>
          <w:sz w:val="18"/>
          <w:szCs w:val="18"/>
          <w:i w:val="1"/>
          <w:iCs w:val="1"/>
          <w:color w:val="auto"/>
        </w:rPr>
        <w:t>Tarsus to host investor webcast highlighting planned commercialization strategy and opportunity for TP-03 in Demodex blepharitis on Thursday, June 15, 2023</w:t>
      </w:r>
    </w:p>
    <w:p>
      <w:pPr>
        <w:spacing w:after="0" w:line="200" w:lineRule="exact"/>
        <w:rPr>
          <w:sz w:val="20"/>
          <w:szCs w:val="20"/>
          <w:color w:val="auto"/>
        </w:rPr>
      </w:pPr>
    </w:p>
    <w:p>
      <w:pPr>
        <w:spacing w:after="0" w:line="23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IRVINE, Calif., May 9, 2023 (GLOBE NEWSWIRE) </w:t>
      </w:r>
      <w:r>
        <w:rPr>
          <w:rFonts w:ascii="Times New Roman" w:cs="Times New Roman" w:eastAsia="Times New Roman" w:hAnsi="Times New Roman"/>
          <w:sz w:val="18"/>
          <w:szCs w:val="18"/>
          <w:color w:val="auto"/>
        </w:rPr>
        <w:t>-- Tarsus Pharmaceuticals, Inc. (NASDAQ: TARS), whose mission is to focus on unmet needs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proven science and new technology to revolutionize treatment for patients, starting with eye care, today announced financial results for the first quarter ended March 31, 2023, and recent business achievements.</w:t>
      </w:r>
    </w:p>
    <w:p>
      <w:pPr>
        <w:spacing w:after="0" w:line="2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“We are off to a tremendous start this year highlighted by the progress and execution of our commercial strategy as we prepare for the potential launch of TP-03 in the fall,” said Bobak Azamian, M.D., Ph.D., Chief Executive Officer and Chairman of Tarsus. “TP-03 has the potential, if approved, to be the first FDA-approved treatment and standard of care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 prevalent eyelid condition that affects approximately 25 million patients in the United States. We look forward to providing an update on our expected commercial launch plans during our virtual event in June. In tandem, we have continued to advance our broad pipeline into proof-of-concept studies. Enrollment is ongoing in our Phase 2a rosacea trial of TP-04, and we remain on-track to provide readouts from our Phase 2a trials in Lyme disease prevention and Meibomian Gland Disease.”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 and Corporate Update</w:t>
      </w:r>
    </w:p>
    <w:p>
      <w:pPr>
        <w:spacing w:after="0" w:line="227" w:lineRule="exact"/>
        <w:rPr>
          <w:sz w:val="20"/>
          <w:szCs w:val="20"/>
          <w:color w:val="auto"/>
        </w:rPr>
      </w:pPr>
    </w:p>
    <w:p>
      <w:pPr>
        <w:ind w:left="660" w:right="520" w:hanging="328"/>
        <w:spacing w:after="0" w:line="24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Expert Panel on Treatment and Eyelid Health (DEPTH) published two papers on the importance of diagnosis and management of</w:t>
      </w:r>
      <w:r>
        <w:rPr>
          <w:rFonts w:ascii="Times New Roman" w:cs="Times New Roman" w:eastAsia="Times New Roman" w:hAnsi="Times New Roman"/>
          <w:sz w:val="18"/>
          <w:szCs w:val="18"/>
          <w:i w:val="1"/>
          <w:iCs w:val="1"/>
          <w:color w:val="auto"/>
        </w:rPr>
        <w:t xml:space="preserve"> Demodex </w:t>
      </w:r>
      <w:r>
        <w:rPr>
          <w:rFonts w:ascii="Times New Roman" w:cs="Times New Roman" w:eastAsia="Times New Roman" w:hAnsi="Times New Roman"/>
          <w:sz w:val="18"/>
          <w:szCs w:val="18"/>
          <w:color w:val="auto"/>
        </w:rPr>
        <w:t>blepharitis (DB) Eye; https://doi.org/10.1038/s41433-023-02500-4</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diagnosis and management of DB: established consensus about the disease, including signs, symptoms and diagnosis</w:t>
      </w:r>
    </w:p>
    <w:p>
      <w:pPr>
        <w:ind w:left="1300" w:right="400" w:hanging="320"/>
        <w:spacing w:after="0" w:line="234"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consensus regarding current clinical practice management options for DB: collarettes are pathognomonic, patients with &gt;10 collarettes should be treated even in the absence of symptoms; efficacy can be tracked by collarette resolution</w:t>
      </w:r>
    </w:p>
    <w:p>
      <w:pPr>
        <w:spacing w:after="0" w:line="1" w:lineRule="exact"/>
        <w:rPr>
          <w:rFonts w:ascii="Times New Roman" w:cs="Times New Roman" w:eastAsia="Times New Roman" w:hAnsi="Times New Roman"/>
          <w:sz w:val="18"/>
          <w:szCs w:val="18"/>
          <w:color w:val="auto"/>
        </w:rPr>
      </w:pPr>
    </w:p>
    <w:p>
      <w:pPr>
        <w:ind w:left="1300" w:right="560" w:hanging="320"/>
        <w:spacing w:after="0" w:line="243"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panel consensus was obtained by using the Delphi methodology, an approach that allows experts to achieve consensus by performing qualitative and quantitative analyses and utilizing sequential surveys</w:t>
      </w:r>
    </w:p>
    <w:p>
      <w:pPr>
        <w:spacing w:after="0" w:line="195" w:lineRule="exact"/>
        <w:rPr>
          <w:rFonts w:ascii="Times New Roman" w:cs="Times New Roman" w:eastAsia="Times New Roman" w:hAnsi="Times New Roman"/>
          <w:sz w:val="18"/>
          <w:szCs w:val="18"/>
          <w:color w:val="auto"/>
        </w:rPr>
      </w:pPr>
    </w:p>
    <w:p>
      <w:pPr>
        <w:ind w:left="660" w:right="100" w:hanging="328"/>
        <w:spacing w:after="0" w:line="24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health economics data (Academy of Managed Care Pharmacy 2023) that suggests a costly, substantial burden of illness in patients with DB and the need for a safe, effective, FDA-approved treatment</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disease impact and additional office visits are potentially driving up healthcare resource utilization</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reported having delayed diagnosis, multiple office visits, unresolved DB and high costs of disease management</w:t>
      </w:r>
    </w:p>
    <w:p>
      <w:pPr>
        <w:sectPr>
          <w:pgSz w:w="11900" w:h="16838" w:orient="portrait"/>
          <w:cols w:equalWidth="0" w:num="1">
            <w:col w:w="11220"/>
          </w:cols>
          <w:pgMar w:left="320" w:top="1440" w:right="359" w:bottom="1440" w:gutter="0" w:footer="0" w:header="0"/>
        </w:sectPr>
      </w:pPr>
    </w:p>
    <w:bookmarkStart w:id="4" w:name="page5"/>
    <w:bookmarkEnd w:id="4"/>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non-FDA approved therapies to manage DB do not address the root problem or provide satisfactory relief for most patients</w:t>
      </w:r>
    </w:p>
    <w:p>
      <w:pPr>
        <w:spacing w:after="0" w:line="238" w:lineRule="exact"/>
        <w:rPr>
          <w:rFonts w:ascii="Times New Roman" w:cs="Times New Roman" w:eastAsia="Times New Roman" w:hAnsi="Times New Roman"/>
          <w:sz w:val="18"/>
          <w:szCs w:val="18"/>
          <w:color w:val="auto"/>
        </w:rPr>
      </w:pPr>
    </w:p>
    <w:p>
      <w:pPr>
        <w:ind w:left="660" w:right="50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Trial and Usage (ATU) market research survey of ~250 optometrists and ophthalmologists to capture and analyze awareness and likelihood to prescribe a potential prescription therapeutic for DB</w:t>
      </w:r>
    </w:p>
    <w:p>
      <w:pPr>
        <w:ind w:left="1300" w:right="20" w:hanging="320"/>
        <w:spacing w:after="0" w:line="234"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confidence in making a diagnosis with 68% believing collarettes are pathognomonic to DB and 66% recognizing the importance of screening patients for the presence of collarettes during eye exams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indicated they would prescribe an FDA-approved therapeutic for DB</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education campaigns driving awareness on the prevalence and impact of DB</w:t>
      </w:r>
    </w:p>
    <w:p>
      <w:pPr>
        <w:spacing w:after="0" w:line="2" w:lineRule="exact"/>
        <w:rPr>
          <w:rFonts w:ascii="Times New Roman" w:cs="Times New Roman" w:eastAsia="Times New Roman" w:hAnsi="Times New Roman"/>
          <w:sz w:val="18"/>
          <w:szCs w:val="18"/>
          <w:color w:val="auto"/>
        </w:rPr>
      </w:pPr>
    </w:p>
    <w:p>
      <w:pPr>
        <w:ind w:left="1300" w:right="360" w:hanging="320"/>
        <w:spacing w:after="0" w:line="234"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“Look at the Lids” disease education campaign has generated nearly 200K unique website visits, up from 125K last quarter and more than 2.3M digital/media impressions, an increase of 300K impressions since last quarter</w:t>
      </w:r>
    </w:p>
    <w:p>
      <w:pPr>
        <w:spacing w:after="0" w:line="1" w:lineRule="exact"/>
        <w:rPr>
          <w:rFonts w:ascii="Times New Roman" w:cs="Times New Roman" w:eastAsia="Times New Roman" w:hAnsi="Times New Roman"/>
          <w:sz w:val="18"/>
          <w:szCs w:val="18"/>
          <w:color w:val="auto"/>
        </w:rPr>
      </w:pPr>
    </w:p>
    <w:p>
      <w:pPr>
        <w:ind w:left="1300" w:right="80" w:hanging="320"/>
        <w:spacing w:after="0" w:line="243"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w:t>
      </w:r>
      <w:r>
        <w:rPr>
          <w:rFonts w:ascii="Times New Roman" w:cs="Times New Roman" w:eastAsia="Times New Roman" w:hAnsi="Times New Roman"/>
          <w:sz w:val="18"/>
          <w:szCs w:val="18"/>
          <w:i w:val="1"/>
          <w:iCs w:val="1"/>
          <w:color w:val="auto"/>
        </w:rPr>
        <w:t>Don’t Freak Out. Get Checked Out.</w:t>
      </w:r>
      <w:r>
        <w:rPr>
          <w:rFonts w:ascii="Times New Roman" w:cs="Times New Roman" w:eastAsia="Times New Roman" w:hAnsi="Times New Roman"/>
          <w:sz w:val="18"/>
          <w:szCs w:val="18"/>
          <w:color w:val="auto"/>
        </w:rPr>
        <w:t>”, a disease education campaign designed to encourage patients who may have DB to visit their eye care provider for an eyelid check</w:t>
      </w:r>
    </w:p>
    <w:p>
      <w:pPr>
        <w:spacing w:after="0" w:line="206" w:lineRule="exact"/>
        <w:rPr>
          <w:rFonts w:ascii="Times New Roman" w:cs="Times New Roman" w:eastAsia="Times New Roman" w:hAnsi="Times New Roman"/>
          <w:sz w:val="18"/>
          <w:szCs w:val="18"/>
          <w:color w:val="auto"/>
        </w:rPr>
      </w:pPr>
    </w:p>
    <w:p>
      <w:pPr>
        <w:ind w:left="660" w:right="20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Continuing to engage with top commercial and Medicare accounts, educating on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prevalence and potential health economic value</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Salesforce infrastructure in place: VP of Sales, two regional directors and 11 district managers</w:t>
      </w:r>
    </w:p>
    <w:p>
      <w:pPr>
        <w:spacing w:after="0" w:line="15" w:lineRule="exact"/>
        <w:rPr>
          <w:rFonts w:ascii="Times New Roman" w:cs="Times New Roman" w:eastAsia="Times New Roman" w:hAnsi="Times New Roman"/>
          <w:sz w:val="18"/>
          <w:szCs w:val="18"/>
          <w:color w:val="auto"/>
        </w:rPr>
      </w:pPr>
    </w:p>
    <w:p>
      <w:pPr>
        <w:ind w:left="1300" w:right="260" w:hanging="320"/>
        <w:spacing w:after="0" w:line="243"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sales force targeting ~15K optometrists and ophthalmologists, which represents &gt;80% of the market; planned to activate upon potential FDA approval of TP-03</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Jeff Farrow as Chief Financial Officer and Chief Strategy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2023 Milestones</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Program</w:t>
            </w:r>
          </w:p>
        </w:tc>
        <w:tc>
          <w:tcPr>
            <w:tcW w:w="3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Milestone</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Anticipated Indication</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H1 2023</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H2 2023</w:t>
            </w:r>
          </w:p>
        </w:tc>
      </w:tr>
      <w:tr>
        <w:trPr>
          <w:trHeight w:val="260"/>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TP-04</w:t>
            </w:r>
          </w:p>
        </w:tc>
        <w:tc>
          <w:tcPr>
            <w:tcW w:w="3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Initiated Phase 2a (Galatea)</w:t>
            </w: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Rosacea</w:t>
            </w:r>
          </w:p>
        </w:tc>
        <w:tc>
          <w:tcPr>
            <w:tcW w:w="1260" w:type="dxa"/>
            <w:vAlign w:val="bottom"/>
            <w:tcBorders>
              <w:right w:val="single" w:sz="8" w:color="auto"/>
            </w:tcBorders>
          </w:tcPr>
          <w:p>
            <w:pPr>
              <w:jc w:val="center"/>
              <w:spacing w:after="0"/>
              <w:rPr>
                <w:sz w:val="20"/>
                <w:szCs w:val="20"/>
                <w:color w:val="auto"/>
              </w:rPr>
            </w:pPr>
            <w:r>
              <w:rPr>
                <w:rFonts w:ascii="Wingdings" w:cs="Wingdings" w:eastAsia="Wingdings" w:hAnsi="Wingdings"/>
                <w:sz w:val="22"/>
                <w:szCs w:val="22"/>
                <w:b w:val="1"/>
                <w:bCs w:val="1"/>
                <w:color w:val="auto"/>
              </w:rPr>
              <w:t>ü</w:t>
            </w:r>
          </w:p>
        </w:tc>
        <w:tc>
          <w:tcPr>
            <w:tcW w:w="1260" w:type="dxa"/>
            <w:vAlign w:val="bottom"/>
            <w:tcBorders>
              <w:right w:val="single" w:sz="8" w:color="auto"/>
            </w:tcBorders>
          </w:tcPr>
          <w:p>
            <w:pPr>
              <w:spacing w:after="0"/>
              <w:rPr>
                <w:sz w:val="22"/>
                <w:szCs w:val="22"/>
                <w:color w:val="auto"/>
              </w:rPr>
            </w:pPr>
          </w:p>
        </w:tc>
      </w:tr>
      <w:tr>
        <w:trPr>
          <w:trHeight w:val="34"/>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60"/>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TP-03</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Approval and Launch</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 xml:space="preserve">Demodex </w:t>
            </w:r>
            <w:r>
              <w:rPr>
                <w:rFonts w:ascii="Times New Roman" w:cs="Times New Roman" w:eastAsia="Times New Roman" w:hAnsi="Times New Roman"/>
                <w:sz w:val="20"/>
                <w:szCs w:val="20"/>
                <w:color w:val="auto"/>
                <w:w w:val="98"/>
              </w:rPr>
              <w:t>blepharitis</w:t>
            </w:r>
          </w:p>
        </w:tc>
        <w:tc>
          <w:tcPr>
            <w:tcW w:w="12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6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TP-03</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Topline Phase 2a (Ersa)</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Meibomian Gland Disease</w:t>
            </w:r>
          </w:p>
        </w:tc>
        <w:tc>
          <w:tcPr>
            <w:tcW w:w="12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6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TP-05</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Topline Phase 2a Data (Carpo)</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Lyme disease prevention</w:t>
            </w:r>
          </w:p>
        </w:tc>
        <w:tc>
          <w:tcPr>
            <w:tcW w:w="12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64"/>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TP-05</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Initiate Phase 2b</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Lyme disease prevention</w:t>
            </w:r>
          </w:p>
        </w:tc>
        <w:tc>
          <w:tcPr>
            <w:tcW w:w="12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2023 Financial Results</w:t>
      </w:r>
    </w:p>
    <w:p>
      <w:pPr>
        <w:spacing w:after="0" w:line="229"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net loss for 2023 was $23.4 million, compared to net loss of $20.2 million for the same period in 2022</w:t>
      </w:r>
    </w:p>
    <w:p>
      <w:pPr>
        <w:spacing w:after="0" w:line="15" w:lineRule="exact"/>
        <w:rPr>
          <w:rFonts w:ascii="Times New Roman" w:cs="Times New Roman" w:eastAsia="Times New Roman" w:hAnsi="Times New Roman"/>
          <w:sz w:val="18"/>
          <w:szCs w:val="18"/>
          <w:color w:val="auto"/>
        </w:rPr>
      </w:pPr>
    </w:p>
    <w:p>
      <w:pPr>
        <w:ind w:left="660" w:right="500" w:hanging="328"/>
        <w:spacing w:after="0" w:line="234"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2023 license fee and collaboration revenue, as part of the strategic partnership with LianBio, was $2.5 million, compared to $0.5 million for the same period in 2022</w:t>
      </w:r>
    </w:p>
    <w:p>
      <w:pPr>
        <w:spacing w:after="0" w:line="1" w:lineRule="exact"/>
        <w:rPr>
          <w:rFonts w:ascii="Times New Roman" w:cs="Times New Roman" w:eastAsia="Times New Roman" w:hAnsi="Times New Roman"/>
          <w:sz w:val="18"/>
          <w:szCs w:val="18"/>
          <w:color w:val="auto"/>
        </w:rPr>
      </w:pPr>
    </w:p>
    <w:p>
      <w:pPr>
        <w:ind w:left="660" w:right="60" w:hanging="328"/>
        <w:spacing w:after="0" w:line="234"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research and development expenses for 2023 were $12.4 million (inclusive of stock-based compensation of $1.2 million), compared to $12.1 million for the same period in 2022</w:t>
      </w:r>
    </w:p>
    <w:p>
      <w:pPr>
        <w:spacing w:after="0" w:line="1" w:lineRule="exact"/>
        <w:rPr>
          <w:rFonts w:ascii="Times New Roman" w:cs="Times New Roman" w:eastAsia="Times New Roman" w:hAnsi="Times New Roman"/>
          <w:sz w:val="18"/>
          <w:szCs w:val="18"/>
          <w:color w:val="auto"/>
        </w:rPr>
      </w:pPr>
    </w:p>
    <w:p>
      <w:pPr>
        <w:ind w:left="660" w:right="40" w:hanging="328"/>
        <w:spacing w:after="0" w:line="229"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general and administrative expenses for 2023 were $15.1 million (inclusive of stock-based compensation of $2.7 million), compared to $7.9 million for the same period in 2022, which was primarily due to an increase of $3.7 million of payroll and personnel-related costs; and $2.9 million of commercial and market research costs as we continue to prepare for the potential launch of TP-03</w:t>
      </w:r>
    </w:p>
    <w:p>
      <w:pPr>
        <w:spacing w:after="0" w:line="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cash, cash equivalents and marketable securities were $201.2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ectPr>
          <w:pgSz w:w="11900" w:h="16838" w:orient="portrait"/>
          <w:cols w:equalWidth="0" w:num="1">
            <w:col w:w="11260"/>
          </w:cols>
          <w:pgMar w:left="320" w:top="1404" w:right="319" w:bottom="1440" w:gutter="0" w:footer="0" w:header="0"/>
        </w:sectPr>
      </w:pPr>
    </w:p>
    <w:bookmarkStart w:id="5" w:name="page6"/>
    <w:bookmarkEnd w:id="5"/>
    <w:p>
      <w:pPr>
        <w:ind w:right="80"/>
        <w:spacing w:after="0" w:line="237" w:lineRule="auto"/>
        <w:rPr>
          <w:sz w:val="20"/>
          <w:szCs w:val="20"/>
          <w:color w:val="auto"/>
        </w:rPr>
      </w:pPr>
      <w:r>
        <w:rPr>
          <w:rFonts w:ascii="Times New Roman" w:cs="Times New Roman" w:eastAsia="Times New Roman" w:hAnsi="Times New Roman"/>
          <w:sz w:val="18"/>
          <w:szCs w:val="18"/>
          <w:color w:val="auto"/>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Tarsus is studying three investigational medicines in clinical trials. Its lead product candidate, TP-03, is a novel therapeutic which has demonstrated positive results in two pivotal trials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the New Drug Application for TP-03 has been accepted by the U.S. Food &amp; Drug Administration (FDA) with a PDUFA target action date of August 25, 2023. TP-03 is also being developed for the potential treatment of Meibomian Gland Disease, and is currently being studied in a Phase 2a clinical trial. In addition, Tarsus is developing TP-04 for the treatment of Rosacea and TP-05, an oral tablet for the potential prevention of Lyme disease. TP-04 and TP-05 are both currently being studied in Phase 2a clinical trials to evaluate safety, tolerability, and proof-of-activity.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approval and commercialization of TP-03, the market size for TP-03, TP-04, and TP-05, including our ability to educate the market about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the timing, objectives,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 xml:space="preserve">and results of the clinical trials, anticipated regulatory and development milestones, the initiation of Phase 2b studies for Lyme disease prevention, our ability to continue investing in our business, future events and Tarsus’ plans for and the anticipated benefits of its product candidates including TP-03, TP-04 and TP-05,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 looking statements as a result of various important factors. Important factors that could cause actual results to differ materially from those in the forward-looking statements include: Tarsus’ ability to obtain regulatory approval for and successfully commercialize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the COVID-19 pandemic may affect Tarsus’ ability to initiate and complete preclinical studies and clinical trials, disrupt regulatory activities, disrupt manufacturing and supply chain or have other adverse effects on Tarsus’ business and operations; even if TP-03, TP-04, TP-05, or any other product candidate that Tarsus develops receives marketing approval, Tarsus may not be successful in educating healthcare professionals and the market about the need for treatments specifically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MGD, rosacea, Lyme disease prevention,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2022 filed on March 17, 2023 and the most recent Form 10-Q quarterly filing filed with the SEC, which Tarsus incorporates by reference</w:t>
      </w:r>
    </w:p>
    <w:p>
      <w:pPr>
        <w:sectPr>
          <w:pgSz w:w="11900" w:h="16838" w:orient="portrait"/>
          <w:cols w:equalWidth="0" w:num="1">
            <w:col w:w="11240"/>
          </w:cols>
          <w:pgMar w:left="320" w:top="1404" w:right="339" w:bottom="144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18"/>
          <w:szCs w:val="18"/>
          <w:color w:val="auto"/>
        </w:rPr>
        <w:t>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Adrienne Kemp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63" w:lineRule="exact"/>
        <w:rPr>
          <w:sz w:val="20"/>
          <w:szCs w:val="20"/>
          <w:color w:val="auto"/>
        </w:rPr>
      </w:pPr>
    </w:p>
    <w:p>
      <w:pPr>
        <w:ind w:left="20" w:right="9460" w:firstLine="6"/>
        <w:spacing w:after="0" w:line="379" w:lineRule="auto"/>
        <w:tabs>
          <w:tab w:leader="none" w:pos="4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922-0801 AKemp@tarsusrx.com</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Nakasone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63" w:lineRule="exact"/>
        <w:rPr>
          <w:sz w:val="20"/>
          <w:szCs w:val="20"/>
          <w:color w:val="auto"/>
        </w:rPr>
      </w:pPr>
    </w:p>
    <w:p>
      <w:pPr>
        <w:ind w:left="20" w:right="9180" w:firstLine="6"/>
        <w:spacing w:after="0" w:line="297" w:lineRule="auto"/>
        <w:tabs>
          <w:tab w:leader="none" w:pos="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620-3223 DNakasone@tarsusrx.com</w:t>
      </w:r>
    </w:p>
    <w:p>
      <w:pPr>
        <w:sectPr>
          <w:pgSz w:w="11900" w:h="16838" w:orient="portrait"/>
          <w:cols w:equalWidth="0" w:num="1">
            <w:col w:w="11140"/>
          </w:cols>
          <w:pgMar w:left="320" w:top="1404" w:right="439" w:bottom="1440" w:gutter="0" w:footer="0" w:header="0"/>
        </w:sectPr>
      </w:pPr>
    </w:p>
    <w:bookmarkStart w:id="7" w:name="page8"/>
    <w:bookmarkEnd w:id="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license fees and collaboration revenue</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0" w:type="dxa"/>
            <w:vAlign w:val="bottom"/>
          </w:tcPr>
          <w:p>
            <w:pPr>
              <w:spacing w:after="0"/>
              <w:rPr>
                <w:sz w:val="1"/>
                <w:szCs w:val="1"/>
                <w:color w:val="auto"/>
              </w:rPr>
            </w:pPr>
          </w:p>
        </w:tc>
      </w:tr>
      <w:tr>
        <w:trPr>
          <w:trHeight w:val="207"/>
        </w:trPr>
        <w:tc>
          <w:tcPr>
            <w:tcW w:w="77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20,060</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 before other income (expense) and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(19,521)</w:t>
            </w:r>
          </w:p>
        </w:tc>
        <w:tc>
          <w:tcPr>
            <w:tcW w:w="0" w:type="dxa"/>
            <w:vAlign w:val="bottom"/>
          </w:tcPr>
          <w:p>
            <w:pPr>
              <w:spacing w:after="0"/>
              <w:rPr>
                <w:sz w:val="1"/>
                <w:szCs w:val="1"/>
                <w:color w:val="auto"/>
              </w:rPr>
            </w:pPr>
          </w:p>
        </w:tc>
      </w:tr>
      <w:tr>
        <w:trPr>
          <w:trHeight w:val="19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on equity investments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7"/>
        </w:trPr>
        <w:tc>
          <w:tcPr>
            <w:tcW w:w="77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marketable securities and cash equivalents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diluted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26,742,023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20,710,224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0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26,742,023</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20,710,224</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145,366</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225,375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211,214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227,863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19,434</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34,963</w:t>
            </w:r>
          </w:p>
        </w:tc>
        <w:tc>
          <w:tcPr>
            <w:tcW w:w="0" w:type="dxa"/>
            <w:vAlign w:val="bottom"/>
          </w:tcPr>
          <w:p>
            <w:pPr>
              <w:spacing w:after="0"/>
              <w:rPr>
                <w:sz w:val="1"/>
                <w:szCs w:val="1"/>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authorized; no shares issued and outstanding</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$0.0001 par value; 200,000,000 shares authorized; 26,800,512 shares issued and outstanding at March 31, 2023</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(unaudited); 26,727,458 shares issued and outstanding at December 31, 2022</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301,732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(132,182)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(108,763)</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173,404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211,214</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227,863</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49"/>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2023-05-09T15:39:20Z</dcterms:created>
  <dcterms:modified xsi:type="dcterms:W3CDTF">2023-05-09T15:39:20Z</dcterms:modified>
</cp:coreProperties>
</file>