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574675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201930</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74295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1480" w:hanging="1364"/>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6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0" w:lineRule="exact"/>
        <w:rPr>
          <w:sz w:val="24"/>
          <w:szCs w:val="24"/>
          <w:color w:val="auto"/>
        </w:rPr>
      </w:pPr>
    </w:p>
    <w:p>
      <w:pPr>
        <w:ind w:left="1440" w:hanging="1351"/>
        <w:spacing w:after="0"/>
        <w:tabs>
          <w:tab w:leader="none" w:pos="1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4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_____to ____.</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001-39614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TARSUS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210820</wp:posOffset>
            </wp:positionV>
            <wp:extent cx="1663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20" w:type="dxa"/>
            <w:vAlign w:val="bottom"/>
          </w:tcPr>
          <w:p>
            <w:pPr>
              <w:spacing w:after="0"/>
              <w:rPr>
                <w:sz w:val="18"/>
                <w:szCs w:val="18"/>
                <w:color w:val="auto"/>
              </w:rPr>
            </w:pPr>
          </w:p>
        </w:tc>
        <w:tc>
          <w:tcPr>
            <w:tcW w:w="374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620" w:type="dxa"/>
            <w:vAlign w:val="bottom"/>
            <w:gridSpan w:val="2"/>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00" w:type="dxa"/>
            <w:vAlign w:val="bottom"/>
          </w:tcPr>
          <w:p>
            <w:pPr>
              <w:jc w:val="center"/>
              <w:ind w:right="403"/>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3"/>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1260" w:type="dxa"/>
            <w:vAlign w:val="bottom"/>
          </w:tcPr>
          <w:p>
            <w:pPr>
              <w:spacing w:after="0"/>
              <w:rPr>
                <w:sz w:val="24"/>
                <w:szCs w:val="24"/>
                <w:color w:val="auto"/>
              </w:rPr>
            </w:pPr>
          </w:p>
        </w:tc>
        <w:tc>
          <w:tcPr>
            <w:tcW w:w="3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15440 Laguna Canyon Road, Suite 160</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Irvine, California</w:t>
            </w:r>
          </w:p>
        </w:tc>
        <w:tc>
          <w:tcPr>
            <w:tcW w:w="1420" w:type="dxa"/>
            <w:vAlign w:val="bottom"/>
          </w:tcPr>
          <w:p>
            <w:pPr>
              <w:spacing w:after="0"/>
              <w:rPr>
                <w:sz w:val="19"/>
                <w:szCs w:val="19"/>
                <w:color w:val="auto"/>
              </w:rPr>
            </w:pPr>
          </w:p>
        </w:tc>
        <w:tc>
          <w:tcPr>
            <w:tcW w:w="374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92618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383"/>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8"/>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(949) 418-1801</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8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306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1"/>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260" w:type="dxa"/>
            <w:vAlign w:val="bottom"/>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60" w:type="dxa"/>
            <w:vAlign w:val="bottom"/>
            <w:tcBorders>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Title of each class</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39"/>
        </w:trPr>
        <w:tc>
          <w:tcPr>
            <w:tcW w:w="1260" w:type="dxa"/>
            <w:vAlign w:val="bottom"/>
            <w:tcBorders>
              <w:right w:val="single" w:sz="8" w:color="auto"/>
            </w:tcBorders>
          </w:tcPr>
          <w:p>
            <w:pPr>
              <w:spacing w:after="0"/>
              <w:rPr>
                <w:sz w:val="12"/>
                <w:szCs w:val="12"/>
                <w:color w:val="auto"/>
              </w:rPr>
            </w:pPr>
          </w:p>
        </w:tc>
        <w:tc>
          <w:tcPr>
            <w:tcW w:w="36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TARS</w:t>
            </w:r>
          </w:p>
        </w:tc>
        <w:tc>
          <w:tcPr>
            <w:tcW w:w="640" w:type="dxa"/>
            <w:vAlign w:val="bottom"/>
          </w:tcPr>
          <w:p>
            <w:pPr>
              <w:spacing w:after="0"/>
              <w:rPr>
                <w:sz w:val="12"/>
                <w:szCs w:val="12"/>
                <w:color w:val="auto"/>
              </w:rPr>
            </w:pPr>
          </w:p>
        </w:tc>
        <w:tc>
          <w:tcPr>
            <w:tcW w:w="3100" w:type="dxa"/>
            <w:vAlign w:val="bottom"/>
            <w:tcBorders>
              <w:right w:val="single" w:sz="8" w:color="auto"/>
            </w:tcBorders>
          </w:tcPr>
          <w:p>
            <w:pPr>
              <w:jc w:val="center"/>
              <w:ind w:right="583"/>
              <w:spacing w:after="0" w:line="139" w:lineRule="exact"/>
              <w:rPr>
                <w:sz w:val="20"/>
                <w:szCs w:val="20"/>
                <w:color w:val="auto"/>
              </w:rPr>
            </w:pPr>
            <w:r>
              <w:rPr>
                <w:rFonts w:ascii="Times New Roman" w:cs="Times New Roman" w:eastAsia="Times New Roman" w:hAnsi="Times New Roman"/>
                <w:sz w:val="14"/>
                <w:szCs w:val="14"/>
                <w:color w:val="auto"/>
              </w:rPr>
              <w:t>The Nasdaq Global Market LLC</w:t>
            </w:r>
          </w:p>
        </w:tc>
        <w:tc>
          <w:tcPr>
            <w:tcW w:w="0" w:type="dxa"/>
            <w:vAlign w:val="bottom"/>
          </w:tcPr>
          <w:p>
            <w:pPr>
              <w:spacing w:after="0"/>
              <w:rPr>
                <w:sz w:val="1"/>
                <w:szCs w:val="1"/>
                <w:color w:val="auto"/>
              </w:rPr>
            </w:pPr>
          </w:p>
        </w:tc>
      </w:tr>
      <w:tr>
        <w:trPr>
          <w:trHeight w:val="193"/>
        </w:trPr>
        <w:tc>
          <w:tcPr>
            <w:tcW w:w="1260" w:type="dxa"/>
            <w:vAlign w:val="bottom"/>
            <w:tcBorders>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gridSpan w:val="2"/>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100" w:type="dxa"/>
            <w:vAlign w:val="bottom"/>
            <w:tcBorders>
              <w:bottom w:val="single" w:sz="8" w:color="auto"/>
              <w:right w:val="single" w:sz="8" w:color="auto"/>
            </w:tcBorders>
          </w:tcPr>
          <w:p>
            <w:pPr>
              <w:jc w:val="center"/>
              <w:ind w:right="583"/>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369"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47" w:lineRule="exact"/>
        <w:rPr>
          <w:sz w:val="24"/>
          <w:szCs w:val="24"/>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0" w:lineRule="exact"/>
        <w:rPr>
          <w:sz w:val="24"/>
          <w:szCs w:val="24"/>
          <w:color w:val="auto"/>
        </w:rPr>
      </w:pPr>
    </w:p>
    <w:p>
      <w:pPr>
        <w:ind w:right="56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24, 2025, the number of outstanding shares of the registrant's common stock, par value $0.0001 per share, was 42,014,237.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1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face risks and uncertainties associated with our business, many of which are beyond our control. Some of the more significant risks associated with our business include the following:</w:t>
      </w:r>
    </w:p>
    <w:p>
      <w:pPr>
        <w:spacing w:after="0" w:line="162" w:lineRule="exact"/>
        <w:rPr>
          <w:sz w:val="20"/>
          <w:szCs w:val="20"/>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commercial-stage biopharmaceutical company with a limited operating history and a single product approved for commercial sale. While we have generated revenue from the launch of XDEMVY, we have continued to incur significant losses and negative cash flows from operations since our inception and anticipate that we will continue to incur significant expenses and potential losses for the foreseeable future.</w:t>
      </w:r>
    </w:p>
    <w:p>
      <w:pPr>
        <w:spacing w:after="0" w:line="175"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spacing w:after="0" w:line="179"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regulatory approval for XDEMVY in the U.S. in July 2023 and have limited experience as a commercial company generating revenue from product sales. If the commercialization of XDEMVY becomes unsuccessful or any future approved product launches are unsuccessful, we may never be profitable.</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spacing w:after="0" w:line="159"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 successful in educating eye care providers ("ECPs"), and the market about the need for treatments specifically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spacing w:after="0" w:line="182" w:lineRule="exact"/>
        <w:rPr>
          <w:rFonts w:ascii="Times New Roman" w:cs="Times New Roman" w:eastAsia="Times New Roman" w:hAnsi="Times New Roman"/>
          <w:sz w:val="18"/>
          <w:szCs w:val="18"/>
          <w:color w:val="auto"/>
        </w:rPr>
      </w:pPr>
    </w:p>
    <w:p>
      <w:pPr>
        <w:ind w:left="660" w:right="20" w:hanging="328"/>
        <w:spacing w:after="0" w:line="290"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sizes of the market opportunity for XDEMVY for the treatment of </w:t>
      </w:r>
      <w:r>
        <w:rPr>
          <w:rFonts w:ascii="Times New Roman" w:cs="Times New Roman" w:eastAsia="Times New Roman" w:hAnsi="Times New Roman"/>
          <w:sz w:val="17"/>
          <w:szCs w:val="17"/>
          <w:i w:val="1"/>
          <w:iCs w:val="1"/>
          <w:color w:val="auto"/>
        </w:rPr>
        <w:t>Demodex</w:t>
      </w:r>
      <w:r>
        <w:rPr>
          <w:rFonts w:ascii="Times New Roman" w:cs="Times New Roman" w:eastAsia="Times New Roman" w:hAnsi="Times New Roman"/>
          <w:sz w:val="17"/>
          <w:szCs w:val="17"/>
          <w:color w:val="auto"/>
        </w:rPr>
        <w:t xml:space="preserve"> blepharitis,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55" w:lineRule="exact"/>
        <w:rPr>
          <w:rFonts w:ascii="Times New Roman" w:cs="Times New Roman" w:eastAsia="Times New Roman" w:hAnsi="Times New Roman"/>
          <w:sz w:val="17"/>
          <w:szCs w:val="17"/>
          <w:color w:val="auto"/>
        </w:rPr>
      </w:pPr>
    </w:p>
    <w:p>
      <w:pPr>
        <w:ind w:left="660" w:right="16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development and commercialization of our products, including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TP-04 for the potential treatment of Ocular Rosacea and TP-05 for potential Lyme disease prophylaxis and community malaria reduction, is dependent on intellectual property we license from Elanco Tiergesundheit AG ("Elanco").</w:t>
      </w:r>
    </w:p>
    <w:p>
      <w:pPr>
        <w:spacing w:after="0" w:line="1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regulatory and operational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commercial manufacture of XDEMVY and for the manufacture of our product candidates for preclinical studies, clinical trials and for eventual commercialization. In some instances, we or our third-party contract manufacturers rely on single source suppliers for certain of the materials for our product and product candidates. This reliance on third parties and single source suppliers increases the risk that we will not have sufficient quantities of XDEMVY, our product candidates, or compounds or that such supply will not be available to us at an acceptable cost, which could delay, prevent or impair our commercialization or development efforts, as we expect XDEMVY and each of our product candidates will continue to rely on single-source suppliers for the foreseeable future.</w:t>
      </w:r>
    </w:p>
    <w:p>
      <w:pPr>
        <w:spacing w:after="0" w:line="18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61" w:lineRule="exact"/>
        <w:rPr>
          <w:rFonts w:ascii="Times New Roman" w:cs="Times New Roman" w:eastAsia="Times New Roman" w:hAnsi="Times New Roman"/>
          <w:sz w:val="18"/>
          <w:szCs w:val="18"/>
          <w:color w:val="auto"/>
        </w:rPr>
      </w:pPr>
    </w:p>
    <w:p>
      <w:pPr>
        <w:jc w:val="both"/>
        <w:ind w:left="660" w:right="5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7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 candidates and preclinical programs for an adequate amount of time.</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60" w:type="dxa"/>
            <w:vAlign w:val="bottom"/>
          </w:tcPr>
          <w:p>
            <w:pPr>
              <w:spacing w:after="0"/>
              <w:rPr>
                <w:sz w:val="17"/>
                <w:szCs w:val="17"/>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6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6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1740" w:type="dxa"/>
            <w:vAlign w:val="bottom"/>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400" w:type="dxa"/>
            <w:vAlign w:val="bottom"/>
            <w:gridSpan w:val="5"/>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40" w:type="dxa"/>
            <w:vAlign w:val="bottom"/>
          </w:tcPr>
          <w:p>
            <w:pPr>
              <w:spacing w:after="0"/>
              <w:rPr>
                <w:sz w:val="18"/>
                <w:szCs w:val="18"/>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820" w:type="dxa"/>
            <w:vAlign w:val="bottom"/>
            <w:gridSpan w:val="7"/>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20" w:type="dxa"/>
            <w:vAlign w:val="bottom"/>
            <w:gridSpan w:val="3"/>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2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5860" w:type="dxa"/>
            <w:vAlign w:val="bottom"/>
            <w:gridSpan w:val="4"/>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860" w:type="dxa"/>
            <w:vAlign w:val="bottom"/>
            <w:gridSpan w:val="8"/>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82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105</w:t>
            </w:r>
          </w:p>
        </w:tc>
      </w:tr>
      <w:tr>
        <w:trPr>
          <w:trHeight w:val="1445"/>
        </w:trPr>
        <w:tc>
          <w:tcPr>
            <w:tcW w:w="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I.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23"/>
        </w:trPr>
        <w:tc>
          <w:tcPr>
            <w:tcW w:w="2720" w:type="dxa"/>
            <w:vAlign w:val="bottom"/>
            <w:gridSpan w:val="2"/>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Condensed Balance Sheets</w:t>
            </w:r>
          </w:p>
        </w:tc>
        <w:tc>
          <w:tcPr>
            <w:tcW w:w="7880" w:type="dxa"/>
            <w:vAlign w:val="bottom"/>
            <w:gridSpan w:val="4"/>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720" w:type="dxa"/>
            <w:vAlign w:val="bottom"/>
            <w:gridSpan w:val="2"/>
            <w:vMerge w:val="continue"/>
          </w:tcPr>
          <w:p>
            <w:pPr>
              <w:spacing w:after="0"/>
              <w:rPr>
                <w:sz w:val="14"/>
                <w:szCs w:val="14"/>
                <w:color w:val="auto"/>
              </w:rPr>
            </w:pPr>
          </w:p>
        </w:tc>
        <w:tc>
          <w:tcPr>
            <w:tcW w:w="7880" w:type="dxa"/>
            <w:vAlign w:val="bottom"/>
            <w:gridSpan w:val="4"/>
            <w:vMerge w:val="continue"/>
          </w:tcPr>
          <w:p>
            <w:pPr>
              <w:spacing w:after="0"/>
              <w:rPr>
                <w:sz w:val="14"/>
                <w:szCs w:val="14"/>
                <w:color w:val="auto"/>
              </w:rPr>
            </w:pPr>
          </w:p>
        </w:tc>
        <w:tc>
          <w:tcPr>
            <w:tcW w:w="580" w:type="dxa"/>
            <w:vAlign w:val="bottom"/>
            <w:gridSpan w:val="3"/>
          </w:tcPr>
          <w:p>
            <w:pPr>
              <w:ind w:left="320"/>
              <w:spacing w:after="0" w:line="156" w:lineRule="exact"/>
              <w:rPr>
                <w:sz w:val="20"/>
                <w:szCs w:val="20"/>
                <w:color w:val="auto"/>
              </w:rPr>
            </w:pPr>
            <w:r>
              <w:rPr>
                <w:rFonts w:ascii="Times New Roman" w:cs="Times New Roman" w:eastAsia="Times New Roman" w:hAnsi="Times New Roman"/>
                <w:sz w:val="18"/>
                <w:szCs w:val="18"/>
                <w:color w:val="0000FF"/>
                <w:w w:val="95"/>
              </w:rPr>
              <w:t>F-2</w:t>
            </w:r>
          </w:p>
        </w:tc>
        <w:tc>
          <w:tcPr>
            <w:tcW w:w="0" w:type="dxa"/>
            <w:vAlign w:val="bottom"/>
          </w:tcPr>
          <w:p>
            <w:pPr>
              <w:spacing w:after="0"/>
              <w:rPr>
                <w:sz w:val="1"/>
                <w:szCs w:val="1"/>
                <w:color w:val="auto"/>
              </w:rPr>
            </w:pPr>
          </w:p>
        </w:tc>
      </w:tr>
      <w:tr>
        <w:trPr>
          <w:trHeight w:val="27"/>
        </w:trPr>
        <w:tc>
          <w:tcPr>
            <w:tcW w:w="2720" w:type="dxa"/>
            <w:vAlign w:val="bottom"/>
            <w:gridSpan w:val="2"/>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0000FF"/>
                <w:w w:val="95"/>
              </w:rPr>
              <w:t>F-3</w:t>
            </w:r>
          </w:p>
        </w:tc>
        <w:tc>
          <w:tcPr>
            <w:tcW w:w="0" w:type="dxa"/>
            <w:vAlign w:val="bottom"/>
          </w:tcPr>
          <w:p>
            <w:pPr>
              <w:spacing w:after="0"/>
              <w:rPr>
                <w:sz w:val="1"/>
                <w:szCs w:val="1"/>
                <w:color w:val="auto"/>
              </w:rPr>
            </w:pPr>
          </w:p>
        </w:tc>
      </w:tr>
      <w:tr>
        <w:trPr>
          <w:trHeight w:val="20"/>
        </w:trPr>
        <w:tc>
          <w:tcPr>
            <w:tcW w:w="19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w:t>
            </w:r>
          </w:p>
        </w:tc>
        <w:tc>
          <w:tcPr>
            <w:tcW w:w="11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0000FF"/>
                <w:w w:val="95"/>
              </w:rPr>
              <w:t>F-4</w:t>
            </w:r>
          </w:p>
        </w:tc>
        <w:tc>
          <w:tcPr>
            <w:tcW w:w="0" w:type="dxa"/>
            <w:vAlign w:val="bottom"/>
          </w:tcPr>
          <w:p>
            <w:pPr>
              <w:spacing w:after="0"/>
              <w:rPr>
                <w:sz w:val="1"/>
                <w:szCs w:val="1"/>
                <w:color w:val="auto"/>
              </w:rPr>
            </w:pPr>
          </w:p>
        </w:tc>
      </w:tr>
      <w:tr>
        <w:trPr>
          <w:trHeight w:val="20"/>
        </w:trPr>
        <w:tc>
          <w:tcPr>
            <w:tcW w:w="19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680" w:type="dxa"/>
            <w:vAlign w:val="bottom"/>
            <w:gridSpan w:val="2"/>
          </w:tcPr>
          <w:p>
            <w:pPr>
              <w:spacing w:after="0"/>
              <w:rPr>
                <w:sz w:val="18"/>
                <w:szCs w:val="18"/>
                <w:color w:val="auto"/>
              </w:rPr>
            </w:pPr>
          </w:p>
        </w:tc>
        <w:tc>
          <w:tcPr>
            <w:tcW w:w="7200" w:type="dxa"/>
            <w:vAlign w:val="bottom"/>
            <w:gridSpan w:val="2"/>
          </w:tcPr>
          <w:p>
            <w:pPr>
              <w:spacing w:after="0"/>
              <w:rPr>
                <w:sz w:val="18"/>
                <w:szCs w:val="18"/>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0000FF"/>
                <w:w w:val="95"/>
              </w:rPr>
              <w:t>F-5</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the Condensed Financial Statements</w:t>
            </w: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0000FF"/>
                <w:w w:val="95"/>
              </w:rPr>
              <w:t>F-6</w:t>
            </w:r>
          </w:p>
        </w:tc>
        <w:tc>
          <w:tcPr>
            <w:tcW w:w="0" w:type="dxa"/>
            <w:vAlign w:val="bottom"/>
          </w:tcPr>
          <w:p>
            <w:pPr>
              <w:spacing w:after="0"/>
              <w:rPr>
                <w:sz w:val="1"/>
                <w:szCs w:val="1"/>
                <w:color w:val="auto"/>
              </w:rPr>
            </w:pPr>
          </w:p>
        </w:tc>
      </w:tr>
      <w:tr>
        <w:trPr>
          <w:trHeight w:val="20"/>
        </w:trPr>
        <w:tc>
          <w:tcPr>
            <w:tcW w:w="19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8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8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94,819</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196,557</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46,760</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14,650</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356,705</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 non-current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64,789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0" w:type="dxa"/>
            <w:vAlign w:val="bottom"/>
          </w:tcPr>
          <w:p>
            <w:pPr>
              <w:spacing w:after="0"/>
              <w:rPr>
                <w:sz w:val="1"/>
                <w:szCs w:val="1"/>
                <w:color w:val="auto"/>
              </w:rPr>
            </w:pPr>
          </w:p>
        </w:tc>
      </w:tr>
      <w:tr>
        <w:trPr>
          <w:trHeight w:val="207"/>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80,612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71,845</w:t>
            </w:r>
          </w:p>
        </w:tc>
        <w:tc>
          <w:tcPr>
            <w:tcW w:w="0" w:type="dxa"/>
            <w:vAlign w:val="bottom"/>
          </w:tcPr>
          <w:p>
            <w:pPr>
              <w:spacing w:after="0"/>
              <w:rPr>
                <w:sz w:val="1"/>
                <w:szCs w:val="1"/>
                <w:color w:val="auto"/>
              </w:rPr>
            </w:pP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152,457</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w:t>
            </w:r>
            <w:r>
              <w:rPr>
                <w:rFonts w:ascii="Times New Roman" w:cs="Times New Roman" w:eastAsia="Times New Roman" w:hAnsi="Times New Roman"/>
                <w:sz w:val="16"/>
                <w:szCs w:val="16"/>
                <w:b w:val="1"/>
                <w:bCs w:val="1"/>
                <w:i w:val="1"/>
                <w:iCs w:val="1"/>
                <w:color w:val="auto"/>
              </w:rPr>
              <w:t>Note 8</w:t>
            </w: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authorized; no shares issued and outstanding</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$0.0001 par value; 200,000,000 shares authorized; 41,995,537 shares issued and outstanding at</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 (unaudited); 38,349,826 shares issued and outstanding at December 31, 2024</w:t>
            </w: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584,559</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(360,210)</w:t>
            </w:r>
          </w:p>
        </w:tc>
        <w:tc>
          <w:tcPr>
            <w:tcW w:w="0" w:type="dxa"/>
            <w:vAlign w:val="bottom"/>
          </w:tcPr>
          <w:p>
            <w:pPr>
              <w:spacing w:after="0"/>
              <w:rPr>
                <w:sz w:val="1"/>
                <w:szCs w:val="1"/>
                <w:color w:val="auto"/>
              </w:rPr>
            </w:pP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342,458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224,534</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4"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sales, net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78,335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27,614</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51,578</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104,615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 before other income (expense)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0" w:type="dxa"/>
            <w:vAlign w:val="bottom"/>
          </w:tcPr>
          <w:p>
            <w:pPr>
              <w:spacing w:after="0"/>
              <w:rPr>
                <w:sz w:val="1"/>
                <w:szCs w:val="1"/>
                <w:color w:val="auto"/>
              </w:rPr>
            </w:pPr>
          </w:p>
        </w:tc>
      </w:tr>
      <w:tr>
        <w:trPr>
          <w:trHeight w:val="199"/>
        </w:trPr>
        <w:tc>
          <w:tcPr>
            <w:tcW w:w="7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marketable securities and cash equivalents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 and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39,345,359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35,300,655</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45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8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 Gain</w:t>
            </w:r>
          </w:p>
        </w:tc>
        <w:tc>
          <w:tcPr>
            <w:tcW w:w="160" w:type="dxa"/>
            <w:vAlign w:val="bottom"/>
          </w:tcPr>
          <w:p>
            <w:pPr>
              <w:spacing w:after="0"/>
              <w:rPr>
                <w:sz w:val="5"/>
                <w:szCs w:val="5"/>
                <w:color w:val="auto"/>
              </w:rPr>
            </w:pPr>
          </w:p>
        </w:tc>
        <w:tc>
          <w:tcPr>
            <w:tcW w:w="106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40" w:type="dxa"/>
            <w:vAlign w:val="bottom"/>
          </w:tcPr>
          <w:p>
            <w:pPr>
              <w:spacing w:after="0"/>
              <w:rPr>
                <w:sz w:val="5"/>
                <w:szCs w:val="5"/>
                <w:color w:val="auto"/>
              </w:rPr>
            </w:pPr>
          </w:p>
        </w:tc>
        <w:tc>
          <w:tcPr>
            <w:tcW w:w="960" w:type="dxa"/>
            <w:vAlign w:val="bottom"/>
          </w:tcPr>
          <w:p>
            <w:pPr>
              <w:jc w:val="center"/>
              <w:ind w:right="6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 Capital</w:t>
            </w:r>
          </w:p>
        </w:tc>
        <w:tc>
          <w:tcPr>
            <w:tcW w:w="26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5"/>
                <w:szCs w:val="15"/>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38,349,826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584,559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224,534</w:t>
            </w: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Recognition of 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 of $9.0 million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134,771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134,771</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the 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41,995,537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727,697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(385,330)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342,458</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4520" w:type="dxa"/>
            <w:vAlign w:val="bottom"/>
          </w:tcPr>
          <w:p>
            <w:pPr>
              <w:spacing w:after="0"/>
              <w:rPr>
                <w:sz w:val="24"/>
                <w:szCs w:val="24"/>
                <w:color w:val="auto"/>
              </w:rPr>
            </w:pPr>
          </w:p>
        </w:tc>
        <w:tc>
          <w:tcPr>
            <w:tcW w:w="1900" w:type="dxa"/>
            <w:vAlign w:val="bottom"/>
            <w:gridSpan w:val="4"/>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4520" w:type="dxa"/>
            <w:vAlign w:val="bottom"/>
          </w:tcPr>
          <w:p>
            <w:pPr>
              <w:spacing w:after="0"/>
              <w:rPr>
                <w:sz w:val="8"/>
                <w:szCs w:val="8"/>
                <w:color w:val="auto"/>
              </w:rPr>
            </w:pPr>
          </w:p>
        </w:tc>
        <w:tc>
          <w:tcPr>
            <w:tcW w:w="19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80" w:type="dxa"/>
            <w:vAlign w:val="bottom"/>
            <w:gridSpan w:val="3"/>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128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 Gain</w:t>
            </w:r>
          </w:p>
        </w:tc>
        <w:tc>
          <w:tcPr>
            <w:tcW w:w="160" w:type="dxa"/>
            <w:vAlign w:val="bottom"/>
          </w:tcPr>
          <w:p>
            <w:pPr>
              <w:spacing w:after="0"/>
              <w:rPr>
                <w:sz w:val="8"/>
                <w:szCs w:val="8"/>
                <w:color w:val="auto"/>
              </w:rPr>
            </w:pPr>
          </w:p>
        </w:tc>
        <w:tc>
          <w:tcPr>
            <w:tcW w:w="106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960" w:type="dxa"/>
            <w:vAlign w:val="bottom"/>
          </w:tcPr>
          <w:p>
            <w:pPr>
              <w:jc w:val="center"/>
              <w:ind w:right="65"/>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 Capital</w:t>
            </w:r>
          </w:p>
        </w:tc>
        <w:tc>
          <w:tcPr>
            <w:tcW w:w="26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5"/>
                <w:szCs w:val="15"/>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34,211,190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441,641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196,988</w:t>
            </w: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Recognition of 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 of $6.7 million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98,328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98,329</w:t>
            </w:r>
          </w:p>
        </w:tc>
        <w:tc>
          <w:tcPr>
            <w:tcW w:w="0" w:type="dxa"/>
            <w:vAlign w:val="bottom"/>
          </w:tcPr>
          <w:p>
            <w:pPr>
              <w:spacing w:after="0"/>
              <w:rPr>
                <w:sz w:val="1"/>
                <w:szCs w:val="1"/>
                <w:color w:val="auto"/>
              </w:rPr>
            </w:pPr>
          </w:p>
        </w:tc>
      </w:tr>
      <w:tr>
        <w:trPr>
          <w:trHeight w:val="165"/>
        </w:trPr>
        <w:tc>
          <w:tcPr>
            <w:tcW w:w="4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pre-funded warrants, net of issuance costs of $0.6</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million</w:t>
            </w: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the vesting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5"/>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37,749,468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555,655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275,211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debt-related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amortization/accretion of marketable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loss on equity investments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receivables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2"/>
        </w:trPr>
        <w:tc>
          <w:tcPr>
            <w:tcW w:w="80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(37,789)</w:t>
            </w:r>
          </w:p>
        </w:tc>
        <w:tc>
          <w:tcPr>
            <w:tcW w:w="0" w:type="dxa"/>
            <w:vAlign w:val="bottom"/>
          </w:tcPr>
          <w:p>
            <w:pPr>
              <w:spacing w:after="0"/>
              <w:rPr>
                <w:sz w:val="1"/>
                <w:szCs w:val="1"/>
                <w:color w:val="auto"/>
              </w:rPr>
            </w:pPr>
          </w:p>
        </w:tc>
      </w:tr>
      <w:tr>
        <w:trPr>
          <w:trHeight w:val="194"/>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(102,224)</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paid issuance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98,604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pre-funded warrants, net of paid issuance costs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108,771</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(31,242)</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224,947</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178,350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193,705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From Noncash, Investing and Financing Activities: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 paid in cash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Additions of property and equipment included within accounts payable and other accrued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Borders>
              <w:bottom w:val="single" w:sz="8" w:color="auto"/>
            </w:tcBorders>
          </w:tcPr>
          <w:p>
            <w:pPr>
              <w:jc w:val="right"/>
              <w:ind w:right="1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Offering costs included within accounts payable and other accrued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these unaudited condensed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PRESENTATION OF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80" w:firstLine="891"/>
        <w:spacing w:after="0" w:line="239" w:lineRule="auto"/>
        <w:rPr>
          <w:sz w:val="20"/>
          <w:szCs w:val="20"/>
          <w:color w:val="auto"/>
        </w:rPr>
      </w:pPr>
      <w:r>
        <w:rPr>
          <w:rFonts w:ascii="Times New Roman" w:cs="Times New Roman" w:eastAsia="Times New Roman" w:hAnsi="Times New Roman"/>
          <w:sz w:val="18"/>
          <w:szCs w:val="18"/>
          <w:color w:val="auto"/>
        </w:rPr>
        <w:t>Tarsus Pharmaceuticals, Inc. (“Tarsus” or the “Company”) is a commercial stage biopharmaceutical company focused on the development and commercialization of therapeutics, starting with eye care. The Company launched XDEMVY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(lotilaner ophthalmic solution) 0.25%, formerly known as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August 2023, after receiving United States ("U.S.") Food and Drug Administration ("FDA") approval in July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spacing w:after="0" w:line="180"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In February 2024, the Company filed an automatic shelf registration on Form S-3 ASR (the "2024 Shelf Registration Statement"). In March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March 31, 2025, 312,500 of pre-funded warrants are exercisable. The Company also granted the underwriters a 30-day option to purchase up to 468,750 additional shares of its common stock at the public offering price of $32.00 per share, which the underwriters exercised in full and was completed in March 2024. The aggregate net proceeds received by the Company were $107.7 million, after deducting underwriting discounts, commissions, and other estimated offering-related expenses.</w:t>
      </w:r>
    </w:p>
    <w:p>
      <w:pPr>
        <w:spacing w:after="0" w:line="194" w:lineRule="exact"/>
        <w:rPr>
          <w:sz w:val="20"/>
          <w:szCs w:val="20"/>
          <w:color w:val="auto"/>
        </w:rPr>
      </w:pPr>
    </w:p>
    <w:p>
      <w:pPr>
        <w:ind w:right="240" w:firstLine="891"/>
        <w:spacing w:after="0" w:line="258" w:lineRule="auto"/>
        <w:rPr>
          <w:sz w:val="20"/>
          <w:szCs w:val="20"/>
          <w:color w:val="auto"/>
        </w:rPr>
      </w:pPr>
      <w:r>
        <w:rPr>
          <w:rFonts w:ascii="Times New Roman" w:cs="Times New Roman" w:eastAsia="Times New Roman" w:hAnsi="Times New Roman"/>
          <w:sz w:val="18"/>
          <w:szCs w:val="18"/>
          <w:color w:val="auto"/>
        </w:rPr>
        <w:t>In March 2025, the Company completed an underwritten follow-on public offering under the 2024 Shelf Registration Statement, pursuant to which the Company sold 2,808,988 shares of its common stock at a public offering price of $44.50 per share (the “March 2025 Public Offering”). The Company also granted the underwriters a 30-day option to purchase up to 421,348 additional shares of its common stock at the public offering price of $44.50 per share, which the underwriters exercised in full in March 2025. The aggregate net proceeds received by the Company were approximately $134.8 million, after deducting underwriting discounts, commissions, and other estimated offering-related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229" w:lineRule="exact"/>
        <w:rPr>
          <w:sz w:val="20"/>
          <w:szCs w:val="20"/>
          <w:color w:val="auto"/>
        </w:rPr>
      </w:pPr>
    </w:p>
    <w:p>
      <w:pPr>
        <w:ind w:right="40" w:firstLine="891"/>
        <w:spacing w:after="0" w:line="243" w:lineRule="auto"/>
        <w:rPr>
          <w:sz w:val="20"/>
          <w:szCs w:val="20"/>
          <w:color w:val="auto"/>
        </w:rPr>
      </w:pPr>
      <w:r>
        <w:rPr>
          <w:rFonts w:ascii="Times New Roman" w:cs="Times New Roman" w:eastAsia="Times New Roman" w:hAnsi="Times New Roman"/>
          <w:sz w:val="18"/>
          <w:szCs w:val="18"/>
          <w:color w:val="auto"/>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(the "2021 ATM Prospectus"). Under the terms of the 2023 ATM Prospectus, Jefferies will act as the Company's sales agent and is entitled to compensation for its services equal to 3% of the gross proceeds of any shares of common stock sold. In December 2023, the Company sold 1,000,000 shares of common stock under the 2023 ATM Prospectus for net proceeds of $19.2 million, after deducting broker commissions and offering-related expenses.</w:t>
      </w:r>
    </w:p>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there were no sales of the Company's common stock pursuant to the 2023 ATM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40" w:right="176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43" w:lineRule="exact"/>
        <w:rPr>
          <w:sz w:val="20"/>
          <w:szCs w:val="20"/>
          <w:color w:val="auto"/>
        </w:rPr>
      </w:pPr>
    </w:p>
    <w:p>
      <w:pPr>
        <w:ind w:right="20" w:firstLine="891"/>
        <w:spacing w:after="0" w:line="237" w:lineRule="auto"/>
        <w:rPr>
          <w:sz w:val="20"/>
          <w:szCs w:val="20"/>
          <w:color w:val="auto"/>
        </w:rPr>
      </w:pPr>
      <w:r>
        <w:rPr>
          <w:rFonts w:ascii="Times New Roman" w:cs="Times New Roman" w:eastAsia="Times New Roman" w:hAnsi="Times New Roman"/>
          <w:sz w:val="18"/>
          <w:szCs w:val="18"/>
          <w:color w:val="auto"/>
        </w:rPr>
        <w:t>The Company has a limited operating history, limited history of product sales and has accumulated losses and negative cash flows from operations since inception. The Company has funded its inception-to-date operations through the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Pharmakon Advisors, LP ("Pharmakon") and the previous loan and security agreement with Hercules Capital, Inc. ("Hercules") and Silicon Valley Bank, a division of First-Citizens Bank &amp; Trust Company ("SVB") (collectively the "Credit Facilities"). The Company estimates that its existing capital resources will be sufficient to meet projected operating expense requirements and other liquidity needs for at least 12 months from the issuance date of the accompanying Condensed Financial Statements that have been prepared on a going-concern basis.</w:t>
      </w:r>
    </w:p>
    <w:p>
      <w:pPr>
        <w:spacing w:after="0" w:line="201" w:lineRule="exact"/>
        <w:rPr>
          <w:sz w:val="20"/>
          <w:szCs w:val="20"/>
          <w:color w:val="auto"/>
        </w:rPr>
      </w:pPr>
    </w:p>
    <w:p>
      <w:pPr>
        <w:ind w:firstLine="891"/>
        <w:spacing w:after="0" w:line="273" w:lineRule="auto"/>
        <w:rPr>
          <w:sz w:val="20"/>
          <w:szCs w:val="20"/>
          <w:color w:val="auto"/>
        </w:rPr>
      </w:pPr>
      <w:r>
        <w:rPr>
          <w:rFonts w:ascii="Times New Roman" w:cs="Times New Roman" w:eastAsia="Times New Roman" w:hAnsi="Times New Roman"/>
          <w:sz w:val="17"/>
          <w:szCs w:val="17"/>
          <w:color w:val="auto"/>
        </w:rPr>
        <w:t>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USE OF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generally accepted accounting principles ("GAAP") in the U.S. for interim financial information pursuant to Form 10-Q and with the rules and regulations 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2024, as filed with the SEC on February 25, 2025.</w:t>
      </w:r>
    </w:p>
    <w:p>
      <w:pPr>
        <w:spacing w:after="0" w:line="183"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The interim Condensed Balance Sheet as of March 31, 2025, the Condensed Statements of Operations and Comprehensive Loss, and the Condensed Statements of Stockholders’ Equity for the three months ended March 31, 2025 and 2024, and the Condensed Statements of Cash Flows for the three months ended March 31, 2025 and 2024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spacing w:after="0" w:line="183"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The financial data and other information disclosed in these notes related to the three month periods are also unaudited. The Condensed Balance Sheet as of December 31, 2024 has been derived from the audited financial statements at that date but does not include all information and footnotes required by GAAP for annual financial statements. The condensed interim operating results for three months ended March 31, 2025 are not necessarily indicative of results to be expected for the year ending December 31, 2025 or any other interim or annual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with the rules and regulations of the SEC requires management to make informed estimates and assumptions that affect the amounts reported in these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40" w:right="176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basis, management evaluates its estimates, including those related to the recognition of revenue, clinical trial accruals, contract manufacturing accruals, expected demand for inventory, fair value of assets and liabilities, income taxes, and stock-based compensation.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spacing w:after="0" w:line="183"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Company’s Condensed Financial Statements as of and for the three months ended March 31, 2025,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spacing w:after="0" w:line="187"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most significantly impact the presented amounts within these accompanying Condensed Financial Statements are further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20" w:firstLine="891"/>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2025 and December 31, 2024, the Company held $2.6 million of restricted cash as collateral for a letter of credit related to the Company's new office space lease that was executed in December 2024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The restricted cash will be held for longer than one year and is reported in non-current assets on the accompanying Condensed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and Long-Term Investments</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 xml:space="preserve">Marketable securities consist primarily of short-term fixed income investments carried at estimated fair value as determined based upon quoted market prices or pricing models for similar securities (see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spacing w:after="0" w:line="183"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Marketable securities are recorded at fair value with unrealized gains and losses reported as a component of accumulated other comprehensive income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in the accompanying Condensed Statements of Operations and Comprehensive Loss. The Company evaluates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60" w:right="174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firstLine="891"/>
        <w:spacing w:after="0" w:line="237" w:lineRule="auto"/>
        <w:rPr>
          <w:sz w:val="20"/>
          <w:szCs w:val="20"/>
          <w:color w:val="auto"/>
        </w:rPr>
      </w:pPr>
      <w:r>
        <w:rPr>
          <w:rFonts w:ascii="Times New Roman" w:cs="Times New Roman" w:eastAsia="Times New Roman" w:hAnsi="Times New Roman"/>
          <w:sz w:val="18"/>
          <w:szCs w:val="18"/>
          <w:color w:val="auto"/>
        </w:rPr>
        <w:t xml:space="preserve">In April 2024, the Company made a preferred stock investment in a privately-held eye care company which does not meet the criteria for in-substance common stock. This preferred stock investment is included in long-term investments in the accompanying Condensed Balance Sheets given the Company's intent to hold these securities for longer than one year. In accordance with the measurement alternative under the Accounting Standards Codification 321, </w:t>
      </w:r>
      <w:r>
        <w:rPr>
          <w:rFonts w:ascii="Times New Roman" w:cs="Times New Roman" w:eastAsia="Times New Roman" w:hAnsi="Times New Roman"/>
          <w:sz w:val="18"/>
          <w:szCs w:val="18"/>
          <w:i w:val="1"/>
          <w:iCs w:val="1"/>
          <w:color w:val="auto"/>
        </w:rPr>
        <w:t>Investments— Equity Securities</w:t>
      </w:r>
      <w:r>
        <w:rPr>
          <w:rFonts w:ascii="Times New Roman" w:cs="Times New Roman" w:eastAsia="Times New Roman" w:hAnsi="Times New Roman"/>
          <w:sz w:val="18"/>
          <w:szCs w:val="18"/>
          <w:color w:val="auto"/>
        </w:rPr>
        <w:t>, at each subsequent reporting period the Company records its preferred stock investment at cost, plus or minus changes resulting from observable price changes in orderly transactions for identical or similar equity financings at each subsequent reporting period. In addition, at each subsequent reporting period the Company will assess for possible impairment indicators. If the Company determines that the preferred stock fair value is less than its carrying value, it will recognize an impairment loss through other income (expense) on the Condensed Statements of Operations and Comprehensive Loss. As of March 31, 2025 and December 31, 2024, there have been no observable transactions or impairment indicators that resulted in a change to the fair value of the Company's preferred stock investment.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color w:val="auto"/>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months ended March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Inventories include the costs of material, third-party manufacturing costs, packaging services, and freight-in. Cost is determined on a first-in, first-out basis. Inventory is measured at the lower-of-cost and net realizable value, based on a number of factors including, but not limited to, damage, expiration, or changes in price level.</w:t>
      </w:r>
    </w:p>
    <w:p>
      <w:pPr>
        <w:spacing w:after="0" w:line="176"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The Company evaluates inventory levels that would be sold within one year. The portion of inventory that is not expected to be sold or used within one year is classified as inventory, non-current in the accompanying Condensed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right="60" w:firstLine="891"/>
        <w:spacing w:after="0" w:line="261" w:lineRule="auto"/>
        <w:rPr>
          <w:sz w:val="20"/>
          <w:szCs w:val="20"/>
          <w:color w:val="auto"/>
        </w:rPr>
      </w:pPr>
      <w:r>
        <w:rPr>
          <w:rFonts w:ascii="Times New Roman" w:cs="Times New Roman" w:eastAsia="Times New Roman" w:hAnsi="Times New Roman"/>
          <w:sz w:val="18"/>
          <w:szCs w:val="18"/>
          <w:color w:val="auto"/>
        </w:rPr>
        <w:t>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w:t>
      </w:r>
    </w:p>
    <w:p>
      <w:pPr>
        <w:spacing w:after="0" w:line="180" w:lineRule="exact"/>
        <w:rPr>
          <w:sz w:val="20"/>
          <w:szCs w:val="20"/>
          <w:color w:val="auto"/>
        </w:rPr>
      </w:pPr>
    </w:p>
    <w:p>
      <w:pPr>
        <w:jc w:val="both"/>
        <w:ind w:firstLine="891"/>
        <w:spacing w:after="0" w:line="261" w:lineRule="auto"/>
        <w:rPr>
          <w:sz w:val="20"/>
          <w:szCs w:val="20"/>
          <w:color w:val="auto"/>
        </w:rPr>
      </w:pPr>
      <w:r>
        <w:rPr>
          <w:rFonts w:ascii="Times New Roman" w:cs="Times New Roman" w:eastAsia="Times New Roman" w:hAnsi="Times New Roman"/>
          <w:sz w:val="18"/>
          <w:szCs w:val="18"/>
          <w:color w:val="auto"/>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660" w:firstLine="891"/>
        <w:spacing w:after="0" w:line="282"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40" w:right="176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78" w:lineRule="exact"/>
        <w:rPr>
          <w:sz w:val="20"/>
          <w:szCs w:val="20"/>
          <w:color w:val="auto"/>
        </w:rPr>
      </w:pPr>
    </w:p>
    <w:p>
      <w:pPr>
        <w:ind w:left="1020" w:hanging="32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publicly accessible at the measurement date.</w:t>
      </w:r>
    </w:p>
    <w:p>
      <w:pPr>
        <w:spacing w:after="0" w:line="225" w:lineRule="exact"/>
        <w:rPr>
          <w:rFonts w:ascii="Times New Roman" w:cs="Times New Roman" w:eastAsia="Times New Roman" w:hAnsi="Times New Roman"/>
          <w:sz w:val="18"/>
          <w:szCs w:val="18"/>
          <w:color w:val="auto"/>
        </w:rPr>
      </w:pPr>
    </w:p>
    <w:p>
      <w:pPr>
        <w:ind w:left="1020" w:right="80" w:hanging="324"/>
        <w:spacing w:after="0" w:line="284" w:lineRule="auto"/>
        <w:tabs>
          <w:tab w:leader="none" w:pos="10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that are corroborated by market data. These inputs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quoted prices for similar assets or liabilities or quoted market prices in markets that are not active to the general public.</w:t>
      </w:r>
    </w:p>
    <w:p>
      <w:pPr>
        <w:spacing w:after="0" w:line="158" w:lineRule="exact"/>
        <w:rPr>
          <w:rFonts w:ascii="Times New Roman" w:cs="Times New Roman" w:eastAsia="Times New Roman" w:hAnsi="Times New Roman"/>
          <w:sz w:val="18"/>
          <w:szCs w:val="18"/>
          <w:color w:val="auto"/>
        </w:rPr>
      </w:pPr>
    </w:p>
    <w:p>
      <w:pPr>
        <w:ind w:left="1020" w:right="620" w:hanging="324"/>
        <w:spacing w:after="0" w:line="284" w:lineRule="auto"/>
        <w:tabs>
          <w:tab w:leader="none" w:pos="10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for financial instruments consisting of cash, cash equivalents, accounts receivable, net, accounts payable and accrued liabilities approximate fair value due to the short maturities for each.</w:t>
      </w:r>
    </w:p>
    <w:p>
      <w:pPr>
        <w:spacing w:after="0" w:line="162"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60" w:firstLine="891"/>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Lease expense for the Company's operating leases are recognized on a straight-line basis over the lease term.</w:t>
      </w:r>
    </w:p>
    <w:p>
      <w:pPr>
        <w:spacing w:after="0" w:line="189"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The Company's variable lease costs, consisting primarily of real estate taxes, insurance costs, and common area maintenance, are expensed as incurred and excluded from the reported ROU assets and lease liabilities amounts presented in the accompanying Condensed Balance Sheets. The current and noncurrent portion of the operating lease liability are included in accounts payable and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60" w:right="174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spacing w:after="0" w:line="187"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with certain limited specialty pharmacies and specialty distributors for the sale of XDEMVY in the U.S. For the three months ended March 31, 2025 and 2024, the Company's two and five largest customers, respectively, each individually accounted for more than 10% of total gross product sales. These customers on a combined basis accounted for 72.3% and 99.6% of gross product sales for the respective periods.</w:t>
      </w:r>
    </w:p>
    <w:p>
      <w:pPr>
        <w:spacing w:after="0" w:line="180"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Company's two largest customers each exceeded 10% of gross accounts receivable. These customers accounted for approximately 72.3% and 68.4% of the accounts receivable balance on a combined basis for the respective periods. The Company believes that the concentration of credit risk in its accounts receivable is mitigated by its credit evaluation process, relatively short collection terms, and the level of credit worthiness of its customers.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The Company does not currently own manufacturing facilities and depends on an outsourced manufacturing strategy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 Product Sales, Net</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The Company recognizes product sales, net, when a customer obtains control of the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40" w:right="176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Company sells XDEMVY to customers in the U.S., which became available for commercial sale during the third quarter of 2023. These customers include a limited number of specialty pharmacies and distributors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may include fixed or variable consideration for</w:t>
      </w:r>
    </w:p>
    <w:p>
      <w:pPr>
        <w:spacing w:after="0" w:line="27" w:lineRule="exact"/>
        <w:rPr>
          <w:sz w:val="20"/>
          <w:szCs w:val="20"/>
          <w:color w:val="auto"/>
        </w:rPr>
      </w:pPr>
    </w:p>
    <w:p>
      <w:pPr>
        <w:ind w:right="20" w:firstLine="8"/>
        <w:spacing w:after="0" w:line="251"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The Company categorizes product sales deduction estimates as follows:</w:t>
      </w:r>
    </w:p>
    <w:p>
      <w:pPr>
        <w:spacing w:after="0" w:line="190" w:lineRule="exact"/>
        <w:rPr>
          <w:sz w:val="20"/>
          <w:szCs w:val="20"/>
          <w:color w:val="auto"/>
        </w:rPr>
      </w:pPr>
    </w:p>
    <w:p>
      <w:pPr>
        <w:jc w:val="both"/>
        <w:ind w:right="10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Service Fees: </w:t>
      </w:r>
      <w:r>
        <w:rPr>
          <w:rFonts w:ascii="Times New Roman" w:cs="Times New Roman" w:eastAsia="Times New Roman" w:hAnsi="Times New Roman"/>
          <w:sz w:val="18"/>
          <w:szCs w:val="18"/>
          <w:color w:val="auto"/>
        </w:rPr>
        <w:t>The Company engages with wholesalers and specialty pharmacies to distribute its products to end customers.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spacing w:after="0" w:line="180" w:lineRule="exact"/>
        <w:rPr>
          <w:sz w:val="20"/>
          <w:szCs w:val="20"/>
          <w:color w:val="auto"/>
        </w:rPr>
      </w:pPr>
    </w:p>
    <w:p>
      <w:pPr>
        <w:ind w:right="36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Prompt Pay Discounts: </w:t>
      </w:r>
      <w:r>
        <w:rPr>
          <w:rFonts w:ascii="Times New Roman" w:cs="Times New Roman" w:eastAsia="Times New Roman" w:hAnsi="Times New Roman"/>
          <w:sz w:val="18"/>
          <w:szCs w:val="18"/>
          <w:color w:val="auto"/>
        </w:rPr>
        <w:t>The Company provides its customers with a percentage discount on their invoice if the customers pay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spacing w:after="0" w:line="180"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customers are contractually permitted to return product within the contractual allowable time, both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after the applicable expiration date. In the initial sales period, the Company estimates its provision for returns based on industry data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spacing w:after="0" w:line="180"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A chargeback is the difference between the Company's invoice price to the wholesaler and the wholesaler’s customer's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spacing w:after="0" w:line="180" w:lineRule="exact"/>
        <w:rPr>
          <w:sz w:val="20"/>
          <w:szCs w:val="20"/>
          <w:color w:val="auto"/>
        </w:rPr>
      </w:pPr>
    </w:p>
    <w:p>
      <w:pPr>
        <w:ind w:right="24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meet certain eligibility requirements may receive co-payment assistance funded by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80" w:right="172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The Company accrues rebates for contractually agreed-upon discounts with commercial payers and mandated discounts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such as the Medicaid Drug Rebate Program, Medicare Part D Prescription Drug Program, and other government health care programs in the U.S. The Company's estimates for expected utilization of 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spacing w:after="0" w:line="186" w:lineRule="exact"/>
        <w:rPr>
          <w:sz w:val="20"/>
          <w:szCs w:val="20"/>
          <w:color w:val="auto"/>
        </w:rPr>
      </w:pPr>
    </w:p>
    <w:p>
      <w:pPr>
        <w:ind w:left="660" w:right="7700" w:hanging="490"/>
        <w:spacing w:after="0" w:line="503" w:lineRule="auto"/>
        <w:tabs>
          <w:tab w:leader="none" w:pos="439"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License Fees and Collaboration Revenue China Out-License</w:t>
      </w: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 xml:space="preserve">License fees and collaboration revenue in the accompanying Condensed Statements of Operations and Comprehensive Loss have historically been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187"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spacing w:after="0" w:line="183"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 xml:space="preserve">The China Out-License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Contractual Terms for Receipt of Payments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76"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spacing w:after="0" w:line="160" w:lineRule="exact"/>
        <w:rPr>
          <w:sz w:val="20"/>
          <w:szCs w:val="20"/>
          <w:color w:val="auto"/>
        </w:rPr>
      </w:pPr>
    </w:p>
    <w:p>
      <w:pPr>
        <w:ind w:right="56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Upfront License Fees: </w:t>
      </w:r>
      <w:r>
        <w:rPr>
          <w:rFonts w:ascii="Times New Roman" w:cs="Times New Roman" w:eastAsia="Times New Roman" w:hAnsi="Times New Roman"/>
          <w:sz w:val="18"/>
          <w:szCs w:val="18"/>
          <w:color w:val="auto"/>
        </w:rPr>
        <w:t>The Company determines whether non-refundable license fee consideration is recognized at the time of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(i.e., when the license is transferred to the customer and the customer is able to use and benefit</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60" w:right="174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spacing w:after="0" w:line="178"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Development Milestones: </w:t>
      </w:r>
      <w:r>
        <w:rPr>
          <w:rFonts w:ascii="Times New Roman" w:cs="Times New Roman" w:eastAsia="Times New Roman" w:hAnsi="Times New Roman"/>
          <w:sz w:val="18"/>
          <w:szCs w:val="18"/>
          <w:color w:val="auto"/>
        </w:rPr>
        <w:t>The Company utilizes the most likely amount method to estimate the amount of consideration to which it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spacing w:after="0" w:line="183" w:lineRule="exact"/>
        <w:rPr>
          <w:sz w:val="20"/>
          <w:szCs w:val="20"/>
          <w:color w:val="auto"/>
        </w:rPr>
      </w:pPr>
    </w:p>
    <w:p>
      <w:pPr>
        <w:ind w:right="16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Regulatory Milestones: </w:t>
      </w:r>
      <w:r>
        <w:rPr>
          <w:rFonts w:ascii="Times New Roman" w:cs="Times New Roman" w:eastAsia="Times New Roman" w:hAnsi="Times New Roman"/>
          <w:sz w:val="18"/>
          <w:szCs w:val="18"/>
          <w:color w:val="auto"/>
        </w:rPr>
        <w:t>The Company utilizes the most likely amount method to estimate the consideration to which it will be entitled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spacing w:after="0" w:line="182" w:lineRule="exact"/>
        <w:rPr>
          <w:sz w:val="20"/>
          <w:szCs w:val="20"/>
          <w:color w:val="auto"/>
        </w:rPr>
      </w:pPr>
    </w:p>
    <w:p>
      <w:pPr>
        <w:ind w:right="40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Under the sales-or-usage-based royalty exception the Company recognizes revenue based on the contractual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spacing w:after="0" w:line="178" w:lineRule="exact"/>
        <w:rPr>
          <w:sz w:val="20"/>
          <w:szCs w:val="20"/>
          <w:color w:val="auto"/>
        </w:rPr>
      </w:pPr>
    </w:p>
    <w:p>
      <w:pPr>
        <w:ind w:right="100" w:firstLine="891"/>
        <w:spacing w:after="0" w:line="259" w:lineRule="auto"/>
        <w:rPr>
          <w:sz w:val="20"/>
          <w:szCs w:val="20"/>
          <w:color w:val="auto"/>
        </w:rPr>
      </w:pPr>
      <w:r>
        <w:rPr>
          <w:rFonts w:ascii="Times New Roman" w:cs="Times New Roman" w:eastAsia="Times New Roman" w:hAnsi="Times New Roman"/>
          <w:sz w:val="18"/>
          <w:szCs w:val="18"/>
          <w:i w:val="1"/>
          <w:iCs w:val="1"/>
          <w:color w:val="auto"/>
        </w:rPr>
        <w:t>Sales Threshold Milestones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to royalties, applying the sales-or-usage-based royalty exception, the Company recognizes revenue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spacing w:after="0" w:line="183"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 Company re-evaluates the measure of progress to each performance obligation in each reporting period as uncertain events are resolved and other changes in circumstances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to support the Company's commercial launch</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starting in August 2023, consulting fees, legal services, rent and other facilities costs, patient assistance donations, the U.S. healthcare reform federal excise fee on Branded Prescription Pharmaceutical Manufacturers and Importers, and other general operating expenses not otherwise classified as research and development expenses. Advertising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20" w:firstLine="891"/>
        <w:spacing w:after="0" w:line="252"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personnel-related costs (including stock-based compensation expense), license fees, materials,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spacing w:after="0" w:line="19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grant-date.</w:t>
      </w:r>
    </w:p>
    <w:p>
      <w:pPr>
        <w:spacing w:after="0" w:line="183"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will recognize compensation expense when performance conditions are achieved or when the Company determines it is probable the performance conditions will be achieved by the end of the requisite service period. Compensation expense will be recognized on a cumulative catch-up basis in the period of achievement, and on a straight-line basis thereafter until the end of the requisite service period. The expense recognized for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awards is based on the grant date fair value of a unit multiplied by the number of units expected to be earned with respect to the related performance conditions. Depending on the outcome of these performance goals, a recipient may ultimately earn a number of units greater or less than the number of units granted. Shares of the Company's common stock are issued on a one-for-one basis for each performance unit earned. In general, performance unit awards vest at the end of the performance period. At each reporting period, the Company reassesses the probability of the achievement of the performance vesting conditions. As applicable, the Company reverses previously recognized expense for unvested awards in the same period of forfeiture.</w:t>
      </w:r>
    </w:p>
    <w:p>
      <w:pPr>
        <w:spacing w:after="0" w:line="168" w:lineRule="exact"/>
        <w:rPr>
          <w:sz w:val="20"/>
          <w:szCs w:val="20"/>
          <w:color w:val="auto"/>
        </w:rPr>
      </w:pPr>
    </w:p>
    <w:p>
      <w:pPr>
        <w:jc w:val="both"/>
        <w:ind w:right="180" w:firstLine="891"/>
        <w:spacing w:after="0" w:line="261" w:lineRule="auto"/>
        <w:rPr>
          <w:sz w:val="20"/>
          <w:szCs w:val="20"/>
          <w:color w:val="auto"/>
        </w:rPr>
      </w:pPr>
      <w:r>
        <w:rPr>
          <w:rFonts w:ascii="Times New Roman" w:cs="Times New Roman" w:eastAsia="Times New Roman" w:hAnsi="Times New Roman"/>
          <w:sz w:val="18"/>
          <w:szCs w:val="18"/>
          <w:color w:val="auto"/>
        </w:rPr>
        <w:t>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expected term, (iii) the prevailing risk-free interest rate over the expected term, and (iv) expected dividend payments over the expected term.</w:t>
      </w:r>
    </w:p>
    <w:p>
      <w:pPr>
        <w:spacing w:after="0" w:line="180"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spacing w:after="0" w:line="178" w:lineRule="exact"/>
        <w:rPr>
          <w:sz w:val="20"/>
          <w:szCs w:val="20"/>
          <w:color w:val="auto"/>
        </w:rPr>
      </w:pPr>
    </w:p>
    <w:p>
      <w:pPr>
        <w:ind w:left="660" w:right="34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The fair value of the Company’s common stock is based on the closing quoted market price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reported by the Nasdaq Global Select Market on the date of the option grant.</w:t>
      </w:r>
    </w:p>
    <w:p>
      <w:pPr>
        <w:spacing w:after="0" w:line="158" w:lineRule="exact"/>
        <w:rPr>
          <w:sz w:val="20"/>
          <w:szCs w:val="20"/>
          <w:color w:val="auto"/>
        </w:rPr>
      </w:pPr>
    </w:p>
    <w:p>
      <w:pPr>
        <w:ind w:left="660" w:right="16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Company’s expected term represents the period that the Company’s stock option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w:t>
      </w:r>
    </w:p>
    <w:p>
      <w:pPr>
        <w:spacing w:after="0" w:line="180" w:lineRule="exact"/>
        <w:rPr>
          <w:sz w:val="20"/>
          <w:szCs w:val="20"/>
          <w:color w:val="auto"/>
        </w:rPr>
      </w:pPr>
    </w:p>
    <w:p>
      <w:pPr>
        <w:ind w:left="660"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Prior to 2023, the Company did not have sufficient trading history for its common stock to use its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spacing w:after="0" w:line="180" w:lineRule="exact"/>
        <w:rPr>
          <w:sz w:val="20"/>
          <w:szCs w:val="20"/>
          <w:color w:val="auto"/>
        </w:rPr>
      </w:pPr>
    </w:p>
    <w:p>
      <w:pPr>
        <w:ind w:left="660" w:right="10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Company estimates the risk-free interest rate based upon the U.S. Department of Treasury yield curve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effect at award grant date for the time period that corresponds with the expected term of the awarded stock option.</w:t>
      </w:r>
    </w:p>
    <w:p>
      <w:pPr>
        <w:spacing w:after="0" w:line="158" w:lineRule="exact"/>
        <w:rPr>
          <w:sz w:val="20"/>
          <w:szCs w:val="20"/>
          <w:color w:val="auto"/>
        </w:rPr>
      </w:pPr>
    </w:p>
    <w:p>
      <w:pPr>
        <w:ind w:left="660" w:right="8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Company’s expected dividend yield is zero because it has never paid cash dividends and does not expect to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Interest and penalties related to unrecognized tax benefits, if any, are recorded as a component of income tax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w:t>
      </w:r>
    </w:p>
    <w:p>
      <w:pPr>
        <w:spacing w:after="0" w:line="207"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Due to net losses in all periods presented, all otherwise potentially dilutive securities are antidilutive, and accordingly, the reported basic net loss per share equals diluted net loss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Comprehensive loss represents (i) net loss for the periods presented, and (ii) unrealized gains or losses on debt securities included in the Company's reported marketable securities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or Effective Accounting Standards</w:t>
      </w:r>
    </w:p>
    <w:p>
      <w:pPr>
        <w:spacing w:after="0" w:line="229"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Recently issued or effective accounting pronouncements that impact, or may have an impact, on the Company’s financial statements have been discussed within the footnote to which each relates. Outside of the pronouncement below, other recent accounting pronouncements not disclosed in these Condensed Financial Statements have been determined by the Company’s management to have no impact, or an immaterial impact, on its current financial position, results of operations, or cash flows.</w:t>
      </w:r>
    </w:p>
    <w:p>
      <w:pPr>
        <w:spacing w:after="0" w:line="178"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 </w:t>
      </w:r>
      <w:r>
        <w:rPr>
          <w:rFonts w:ascii="Times New Roman" w:cs="Times New Roman" w:eastAsia="Times New Roman" w:hAnsi="Times New Roman"/>
          <w:sz w:val="18"/>
          <w:szCs w:val="18"/>
          <w:color w:val="auto"/>
        </w:rPr>
        <w:t>("ASU 2023-09"). ASU 2023-09 requires annual disclosures of specific categories in the rate reconciliation,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its Annual Report on Form 10-K for the year ending 2025. The Company is currently assessing the impact this standard will have on its financial statements.</w:t>
      </w:r>
    </w:p>
    <w:p>
      <w:pPr>
        <w:spacing w:after="0" w:line="182"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ASU 2024-03 improves the disclosures about a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expenses by requiring more detailed information about the types of expenses (including purchases of inventory, employee compensation, depreciation and amortization) included within income statement expense captions. The standard is effective for the Company beginning with its Annual Report on Form 10-K for the year ending 2027. Early adoption is permitted. ASU 2024-03 should be applied prospectively. Retrospective adoption is permitted. The Company is currently assessing the impact this standard will have on its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subject to fair value measurements on a recurring basis and the level of inputs used in such measurements by major security type are presented in the following table:</w:t>
      </w:r>
    </w:p>
    <w:p>
      <w:pPr>
        <w:spacing w:after="0" w:line="19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42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175,787</w:t>
            </w:r>
          </w:p>
        </w:tc>
        <w:tc>
          <w:tcPr>
            <w:tcW w:w="100" w:type="dxa"/>
            <w:vAlign w:val="bottom"/>
          </w:tcPr>
          <w:p>
            <w:pPr>
              <w:spacing w:after="0"/>
              <w:rPr>
                <w:sz w:val="18"/>
                <w:szCs w:val="18"/>
                <w:color w:val="auto"/>
              </w:rPr>
            </w:pP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175,787</w:t>
            </w: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Treasury securities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128,112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128,112</w:t>
            </w:r>
          </w:p>
        </w:tc>
      </w:tr>
      <w:tr>
        <w:trPr>
          <w:trHeight w:val="213"/>
        </w:trPr>
        <w:tc>
          <w:tcPr>
            <w:tcW w:w="4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Commercial paper</w:t>
            </w: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45,205</w:t>
            </w:r>
          </w:p>
        </w:tc>
      </w:tr>
      <w:tr>
        <w:trPr>
          <w:trHeight w:val="21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42,937</w:t>
            </w:r>
          </w:p>
        </w:tc>
      </w:tr>
      <w:tr>
        <w:trPr>
          <w:trHeight w:val="213"/>
        </w:trPr>
        <w:tc>
          <w:tcPr>
            <w:tcW w:w="4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Government-related debt securities</w:t>
            </w: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15,875</w:t>
            </w:r>
          </w:p>
        </w:tc>
      </w:tr>
      <w:tr>
        <w:trPr>
          <w:trHeight w:val="235"/>
        </w:trPr>
        <w:tc>
          <w:tcPr>
            <w:tcW w:w="44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104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303,899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407,916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60" w:hanging="134"/>
        <w:spacing w:after="0"/>
        <w:tabs>
          <w:tab w:leader="none" w:pos="16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balance includes cash requirements settled on a nightly basis.</w:t>
      </w:r>
    </w:p>
    <w:p>
      <w:pPr>
        <w:spacing w:after="0" w:line="35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4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89,822</w:t>
            </w:r>
          </w:p>
        </w:tc>
        <w:tc>
          <w:tcPr>
            <w:tcW w:w="100" w:type="dxa"/>
            <w:vAlign w:val="bottom"/>
          </w:tcPr>
          <w:p>
            <w:pPr>
              <w:spacing w:after="0"/>
              <w:rPr>
                <w:sz w:val="18"/>
                <w:szCs w:val="18"/>
                <w:color w:val="auto"/>
              </w:rPr>
            </w:pPr>
          </w:p>
        </w:tc>
        <w:tc>
          <w:tcPr>
            <w:tcW w:w="1080" w:type="dxa"/>
            <w:vAlign w:val="bottom"/>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89,822</w:t>
            </w: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Treasury securities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103,314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103,314</w:t>
            </w: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Commercial paper</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21,795</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21,795</w:t>
            </w: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46,644</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46,644</w:t>
            </w: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Government-related debt securities</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29,801</w:t>
            </w:r>
          </w:p>
        </w:tc>
      </w:tr>
      <w:tr>
        <w:trPr>
          <w:trHeight w:val="234"/>
        </w:trPr>
        <w:tc>
          <w:tcPr>
            <w:tcW w:w="44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104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193,136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291,376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60" w:hanging="134"/>
        <w:spacing w:after="0"/>
        <w:tabs>
          <w:tab w:leader="none" w:pos="16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balance includes cash requirements settled on a nightly basis.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and U.S. Treasury Securities</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Corporate Debt Securities and Government-related Debt Securities</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fair value and amortized cost of cash equivalents and available-for-sale investments by major security type are presented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6"/>
                <w:szCs w:val="16"/>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6"/>
        </w:trPr>
        <w:tc>
          <w:tcPr>
            <w:tcW w:w="44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175,787</w:t>
            </w:r>
          </w:p>
        </w:tc>
        <w:tc>
          <w:tcPr>
            <w:tcW w:w="10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175,787</w:t>
            </w:r>
          </w:p>
        </w:tc>
      </w:tr>
      <w:tr>
        <w:trPr>
          <w:trHeight w:val="232"/>
        </w:trPr>
        <w:tc>
          <w:tcPr>
            <w:tcW w:w="44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cash equivalents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175,787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128,042</w:t>
            </w:r>
          </w:p>
        </w:tc>
        <w:tc>
          <w:tcPr>
            <w:tcW w:w="10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128,112</w:t>
            </w:r>
          </w:p>
        </w:tc>
      </w:tr>
      <w:tr>
        <w:trPr>
          <w:trHeight w:val="21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45,205</w:t>
            </w:r>
          </w:p>
        </w:tc>
      </w:tr>
      <w:tr>
        <w:trPr>
          <w:trHeight w:val="213"/>
        </w:trPr>
        <w:tc>
          <w:tcPr>
            <w:tcW w:w="4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42,937</w:t>
            </w:r>
          </w:p>
        </w:tc>
      </w:tr>
      <w:tr>
        <w:trPr>
          <w:trHeight w:val="21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Government-related debt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w:t>
            </w:r>
          </w:p>
        </w:tc>
      </w:tr>
      <w:tr>
        <w:trPr>
          <w:trHeight w:val="207"/>
        </w:trPr>
        <w:tc>
          <w:tcPr>
            <w:tcW w:w="4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232,044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232,129</w:t>
            </w:r>
          </w:p>
        </w:tc>
      </w:tr>
      <w:tr>
        <w:trPr>
          <w:trHeight w:val="23"/>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This balance includes cash requirements settled on a nightly basis.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6"/>
                <w:szCs w:val="16"/>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6"/>
        </w:trPr>
        <w:tc>
          <w:tcPr>
            <w:tcW w:w="44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89,822</w:t>
            </w: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89,822</w:t>
            </w:r>
          </w:p>
        </w:tc>
      </w:tr>
      <w:tr>
        <w:trPr>
          <w:trHeight w:val="216"/>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r>
      <w:tr>
        <w:trPr>
          <w:trHeight w:val="207"/>
        </w:trPr>
        <w:tc>
          <w:tcPr>
            <w:tcW w:w="4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cash equivalents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94,818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94,819</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6"/>
        </w:trPr>
        <w:tc>
          <w:tcPr>
            <w:tcW w:w="4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98,247</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98,317</w:t>
            </w:r>
          </w:p>
        </w:tc>
      </w:tr>
      <w:tr>
        <w:trPr>
          <w:trHeight w:val="213"/>
        </w:trPr>
        <w:tc>
          <w:tcPr>
            <w:tcW w:w="4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21,795</w:t>
            </w:r>
          </w:p>
        </w:tc>
      </w:tr>
      <w:tr>
        <w:trPr>
          <w:trHeight w:val="21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46,644</w:t>
            </w:r>
          </w:p>
        </w:tc>
      </w:tr>
      <w:tr>
        <w:trPr>
          <w:trHeight w:val="213"/>
        </w:trPr>
        <w:tc>
          <w:tcPr>
            <w:tcW w:w="4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Government-related debt securities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29,801</w:t>
            </w:r>
          </w:p>
        </w:tc>
      </w:tr>
      <w:tr>
        <w:trPr>
          <w:trHeight w:val="234"/>
        </w:trPr>
        <w:tc>
          <w:tcPr>
            <w:tcW w:w="4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196,557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(1 )</w:t>
      </w:r>
      <w:r>
        <w:rPr>
          <w:rFonts w:ascii="Times New Roman" w:cs="Times New Roman" w:eastAsia="Times New Roman" w:hAnsi="Times New Roman"/>
          <w:sz w:val="14"/>
          <w:szCs w:val="14"/>
          <w:color w:val="auto"/>
        </w:rPr>
        <w:t xml:space="preserve"> This balance includes cash requirements settled on a nightly basis.</w:t>
      </w:r>
    </w:p>
    <w:p>
      <w:pPr>
        <w:spacing w:after="0" w:line="19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substantially all available-for-sale debt securities had a maturity of 12 months or less. As of March 31, 2025, eight securities had a contractual maturity between one and two years, with an estimated fair market value of $19.5 million and amortized cost of $19.4 million. As of December 31, 2024, eight available-for-sale debt securities had a maturity between one and two years, with an estimated fair market value of $19.0 million and amortized cost of $19.0 million.</w:t>
      </w:r>
    </w:p>
    <w:p>
      <w:pPr>
        <w:spacing w:after="0" w:line="180"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the Company had nineteen and ten available-for-sale debt securities, respectively, in a continuous gross unrealized loss position for less than one year. As of March 31, 2025 and December 31, 2024, unrealized credit losses on these securities were not material. Further, the Company does not intend to sell these investments prior to maturity and it is not more likely than not that the Company will be required to sell these investments before recovery of their amortized cost basis. Accordingly, the Company did not recognize any other-than-temporary impairment losses.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ACCOUNT DETAIL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composition of selected captions within the accompanying Condensed Balance Sheets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Work in progress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r>
      <w:tr>
        <w:trPr>
          <w:trHeight w:val="207"/>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Raw materials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w:t>
            </w:r>
          </w:p>
        </w:tc>
      </w:tr>
      <w:tr>
        <w:trPr>
          <w:trHeight w:val="212"/>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 non-current</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w:t>
            </w: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4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Laboratory equipment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 equipment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w:t>
            </w:r>
          </w:p>
        </w:tc>
      </w:tr>
      <w:tr>
        <w:trPr>
          <w:trHeight w:val="21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3"/>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$0.2 million and $0.2 million, respectively. There were no impairments recognized during the three months ended March 31, 2025 and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r>
      <w:tr>
        <w:trPr>
          <w:trHeight w:val="21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23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are amortized to cost of sales over the remaining useful life of 8.4 years as of March 31, 2025, with an initial useful life of 10 years from the date of first commercial sale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Amortization expense for the three months ended March 31, 2025 and 2024 was $0.2 million and $0.1 million, respectively.</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of March 31, 2025, the expected future amortization expense for the Company's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 nine months)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235"/>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amortization</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have been no impairments of intangible assets for the three months ended March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Other Accrued Liabilities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payable and other accrued liabilities consists of the following:</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 and other</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27,739</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product sales deductions</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43,692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33,122</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royalty payable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3,320</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608</w:t>
            </w:r>
          </w:p>
        </w:tc>
      </w:tr>
      <w:tr>
        <w:trPr>
          <w:trHeight w:val="23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76,375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64,789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 and Reserves for Future Issuance</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had 41,995,537 and 38,349,826 shares of common stock issued and outstanding, respectively, excluding 312,500 of pre-funded warrants that remained exercisable at period end and are reserved for future issuance. Common stockholders have one vote for each share of common stock held and are entitled to receive dividends declared by the Company's Board of Directors when legally available for distribution, then-subject to the dividend rights of the holders of preferred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 Company's total shares reserved for future issuance under its 2020 and 2016 Equity Incentive Plans and 2020 Employee Stock Purchase Plan ("ESPP") are summarized below:</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Pre-funded warrants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312,500</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award plans: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awards reserved for future issuance under 2020 and 2016 Equity Incentive Plans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7,269,407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7,204,677</w:t>
            </w:r>
          </w:p>
        </w:tc>
      </w:tr>
      <w:tr>
        <w:trPr>
          <w:trHeight w:val="21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awards reserved for future issuance under the 2020 Employee Stock Purchase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2,864,930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2,765,942</w:t>
            </w:r>
          </w:p>
        </w:tc>
      </w:tr>
      <w:tr>
        <w:trPr>
          <w:trHeight w:val="21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issued and outstanding (unvested and vested) under 2020 and 2016 Equity Incentive Plans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5,352,939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5,007,908</w:t>
            </w:r>
          </w:p>
        </w:tc>
      </w:tr>
      <w:tr>
        <w:trPr>
          <w:trHeight w:val="21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units issued and outstanding (unvested) under 2020 Equity Incentive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1,931,515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1,915,281</w:t>
            </w:r>
          </w:p>
        </w:tc>
      </w:tr>
      <w:tr>
        <w:trPr>
          <w:trHeight w:val="21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 stock units issued and outstanding (unvested) under 2020 Equity Incentive Plan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692,623</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shares of common stock reserved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18,423,914</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17,206,308</w:t>
            </w:r>
          </w:p>
        </w:tc>
      </w:tr>
      <w:tr>
        <w:trPr>
          <w:trHeight w:val="23"/>
        </w:trPr>
        <w:tc>
          <w:tcPr>
            <w:tcW w:w="78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340" w:firstLine="891"/>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restricted stock units, and the ESPP was recognized in the accompanying Condensed Statements of Operations and Comprehensive Loss as follows: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84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5,519</w:t>
            </w:r>
          </w:p>
        </w:tc>
      </w:tr>
      <w:tr>
        <w:trPr>
          <w:trHeight w:val="23"/>
        </w:trPr>
        <w:tc>
          <w:tcPr>
            <w:tcW w:w="7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540" w:firstLine="891"/>
        <w:spacing w:after="0" w:line="282" w:lineRule="auto"/>
        <w:rPr>
          <w:sz w:val="20"/>
          <w:szCs w:val="20"/>
          <w:color w:val="auto"/>
        </w:rPr>
      </w:pPr>
      <w:r>
        <w:rPr>
          <w:rFonts w:ascii="Times New Roman" w:cs="Times New Roman" w:eastAsia="Times New Roman" w:hAnsi="Times New Roman"/>
          <w:sz w:val="18"/>
          <w:szCs w:val="18"/>
          <w:color w:val="auto"/>
        </w:rPr>
        <w:t>The fair value of granted stock options was estimated as of the date of grant using the Black-Scholes option-pricing model, based on the following inputs: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940" w:type="dxa"/>
            <w:vAlign w:val="bottom"/>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risk-free interest rate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4.15 %</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4.08 %</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volatility</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71.23 %</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 rate</w:t>
            </w:r>
          </w:p>
        </w:tc>
        <w:tc>
          <w:tcPr>
            <w:tcW w:w="1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grant-date fair value per stock option</w:t>
            </w:r>
          </w:p>
        </w:tc>
        <w:tc>
          <w:tcPr>
            <w:tcW w:w="1100" w:type="dxa"/>
            <w:vAlign w:val="bottom"/>
            <w:shd w:val="clear" w:color="auto" w:fill="CCEEFF"/>
          </w:tcPr>
          <w:p>
            <w:pPr>
              <w:jc w:val="right"/>
              <w:ind w:right="925"/>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44.88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period presented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64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180" w:type="dxa"/>
            <w:vAlign w:val="bottom"/>
          </w:tcPr>
          <w:p>
            <w:pPr>
              <w:jc w:val="center"/>
              <w:ind w:left="366"/>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16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180" w:type="dxa"/>
            <w:vAlign w:val="bottom"/>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rPr>
              <w:t>Price/Share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4"/>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5,007,908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0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19.29</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180,669</w:t>
            </w: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456,823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44.88</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18.31</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22.90</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March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5,352,939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21.47</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160,110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 March 31, 2025</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3,572,844</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17.14</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122,312</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 March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1,780,095</w:t>
            </w:r>
          </w:p>
        </w:tc>
        <w:tc>
          <w:tcPr>
            <w:tcW w:w="1280" w:type="dxa"/>
            <w:vAlign w:val="bottom"/>
            <w:tcBorders>
              <w:bottom w:val="single" w:sz="8" w:color="CCEEFF"/>
            </w:tcBorders>
            <w:gridSpan w:val="2"/>
            <w:shd w:val="clear" w:color="auto" w:fill="CCEEFF"/>
          </w:tcPr>
          <w:p>
            <w:pPr>
              <w:jc w:val="right"/>
              <w:ind w:right="1006"/>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30.16</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aggregate intrinsic value is calculated as the difference between the exercise price of the options and the fair value of the Company’s common stock as of March 31, 2025.</w:t>
      </w:r>
    </w:p>
    <w:p>
      <w:pPr>
        <w:spacing w:after="0" w:line="194"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$34.0 million of unrecognized compensation expense related to unvested stock options, which the Company expects to recognize over a weighted average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Restricted stock unit activity for the period presented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w:t>
            </w: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1,915,281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408,091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(54,918)</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March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1,931,515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891"/>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$51.1 million of unrecognized compensation expense related to unvested restricted stock units, which the Company expects to recognize over a weighted average period of 3.2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 Activity</w:t>
      </w:r>
    </w:p>
    <w:p>
      <w:pPr>
        <w:spacing w:after="0" w:line="229"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the Company granted certain employees performance stock units. Performance stock unit activity for the period presented was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78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78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w:t>
            </w: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692,623</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March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692,623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As of March 31, 2025, there was approximately $30.8 million of grant-date fair value unrecognized compensation expense related to unvested performance stock units. For the three months ended March 31, 2025, there was no stock-based compensation expense recognized given that none of the performance conditions were achieved or considered probable of being achieved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the ESPP was $0.3 million and $0.2 million, respectively, for the three months ended March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(35,731)</w:t>
            </w:r>
          </w:p>
        </w:tc>
      </w:tr>
      <w:tr>
        <w:trPr>
          <w:trHeight w:val="216"/>
        </w:trPr>
        <w:tc>
          <w:tcPr>
            <w:tcW w:w="7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Weighted-average shares outstanding — basic and diluted</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39,345,359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35,300,655</w:t>
            </w: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-141605</wp:posOffset>
            </wp:positionV>
            <wp:extent cx="711517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ind w:left="300" w:hanging="153"/>
        <w:spacing w:after="0" w:line="232" w:lineRule="auto"/>
        <w:tabs>
          <w:tab w:leader="none" w:pos="3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Weighted-average shares outstanding includes pre-funded warrants issued on 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-104140</wp:posOffset>
            </wp:positionV>
            <wp:extent cx="21513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83"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30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unexercised — vested and unvested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5,352,939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5,217,617</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stock units — unvested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1,931,515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1,981,673</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7,284,454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7,199,290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The accounting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policies of the therapeutics segment are the same as those described in the summary of significant accounting policies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 ("CODM") is its Chief Executive Officer. The CODM uses net loss, as reported in the accompanying Condensed Statements of Operations and Comprehensive Loss, to assess performance of the therapeutics segment and in deciding whether to allocate resources into the therapeutics segment or outside the segment, such as for acquisitions or new in-license agreements. The CODM uses net loss to regularly monitor budget versus actual results which are used in assessing performance of the segment and in establishing management’s compensation. The CODM does not review assets in evaluating the results of the therapeutics segment, and therefore, such information is not presented.</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the therapeutics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6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78,335</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0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78,335</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27,614</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and marketing</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104,615</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65,298</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(26,280)</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reconciling items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 disclosures: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6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7840" w:firstLine="8"/>
        <w:spacing w:after="0" w:line="500" w:lineRule="auto"/>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&amp; CONTINGENCIES Lease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Lease Agreement</w:t>
      </w:r>
    </w:p>
    <w:p>
      <w:pPr>
        <w:spacing w:after="0" w:line="216" w:lineRule="exact"/>
        <w:rPr>
          <w:sz w:val="20"/>
          <w:szCs w:val="20"/>
          <w:color w:val="auto"/>
        </w:rPr>
      </w:pPr>
    </w:p>
    <w:p>
      <w:pPr>
        <w:ind w:right="740" w:firstLine="891"/>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lease agreements with unaffiliated third parties for its facilities and office equipment. As of March 31, 2025, the Company had six active leases for adjacent office and laboratory suites in Irvine, California.</w:t>
      </w:r>
    </w:p>
    <w:p>
      <w:pPr>
        <w:spacing w:after="0" w:line="162" w:lineRule="exact"/>
        <w:rPr>
          <w:sz w:val="20"/>
          <w:szCs w:val="20"/>
          <w:color w:val="auto"/>
        </w:rPr>
      </w:pPr>
    </w:p>
    <w:p>
      <w:pPr>
        <w:ind w:firstLine="891"/>
        <w:spacing w:after="0" w:line="239" w:lineRule="auto"/>
        <w:rPr>
          <w:sz w:val="20"/>
          <w:szCs w:val="20"/>
          <w:color w:val="auto"/>
        </w:rPr>
      </w:pPr>
      <w:r>
        <w:rPr>
          <w:rFonts w:ascii="Times New Roman" w:cs="Times New Roman" w:eastAsia="Times New Roman" w:hAnsi="Times New Roman"/>
          <w:sz w:val="18"/>
          <w:szCs w:val="18"/>
          <w:color w:val="auto"/>
        </w:rPr>
        <w:t>In December 2024, the Company entered into an agreement to terminate its existing facility lease agreements (the "Current Lease") and entered into a new lease agreement (the "New Lease"), both with the same landlord, to relocate its corporate headquarters to another location in Irvine, California. The Current Lease will terminate upon the earlier of the substantial completion of tenant improvements at the New Lease premises or the commencement of the Company's regular business activities at the New Lease premises, which the Company expects to begin occupying in late 2025, as discussed in more detail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total lease expense for the Current Lease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8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14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1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information related to the Current Lease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04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4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lease term (years)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bl>
    <w:p>
      <w:pPr>
        <w:spacing w:after="0" w:line="279" w:lineRule="exact"/>
        <w:rPr>
          <w:sz w:val="20"/>
          <w:szCs w:val="20"/>
          <w:color w:val="auto"/>
        </w:rPr>
      </w:pPr>
    </w:p>
    <w:p>
      <w:pPr>
        <w:ind w:right="480" w:firstLine="891"/>
        <w:spacing w:after="0" w:line="250" w:lineRule="auto"/>
        <w:rPr>
          <w:sz w:val="20"/>
          <w:szCs w:val="20"/>
          <w:color w:val="auto"/>
        </w:rPr>
      </w:pPr>
      <w:r>
        <w:rPr>
          <w:rFonts w:ascii="Times New Roman" w:cs="Times New Roman" w:eastAsia="Times New Roman" w:hAnsi="Times New Roman"/>
          <w:sz w:val="18"/>
          <w:szCs w:val="18"/>
          <w:color w:val="auto"/>
        </w:rPr>
        <w:t>The below table summarizes the (i) minimum lease payments for the remainder of the year and thereafter, (ii) lease arrangement imputed interest, and (iii) present value of future lease payments for the Current Lease: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 nine months)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lease payments, undiscounted</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3"/>
        </w:trPr>
        <w:tc>
          <w:tcPr>
            <w:tcW w:w="9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2"/>
        </w:trPr>
        <w:tc>
          <w:tcPr>
            <w:tcW w:w="9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Present value of operating lease payments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Lease Agreement</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In December 2024, the Company entered into the New Lease for 59,626 square feet of office space located in Irvine, California for a 10-year lease term. The lease payments are expected to commence in late 2025 following the earlier of: (i) eleven months following the lease execution date, or (ii) the date the Company commences its regular business activities at the premises following completion of tenant improvements. The base rent for the first year of the lease will be $2.5 million and is subject to annual increases of 3% thereafter. The Company is entitled to an abatement of base rent for the first five full calendar months from the beginning of the lease commencement date for an aggregate amount of $0.7 million. The lease also provides for a tenant improvement allowance, not to exceed $6.0 million, to be applied to the construction costs of the premises. The tenant improvement allowance must be used within one year of the Company commencing its regular business activities otherwise it will be forfeited with no further obligation by the landlord. As of March 31, 2025, no rent payments were made and the landlord had not provided any of the tenant improvement allowance.</w:t>
      </w:r>
    </w:p>
    <w:p>
      <w:pPr>
        <w:spacing w:after="0" w:line="192"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Upon lease execution, the Company provided the landlord a letter of credit for $2.6 million to serve as a security deposit. Provided that no defaults occur and the Company meets certain financial milestones for certain time periods, the security deposit can subsequently be reduced.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40" w:right="176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 Agreements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Elanco In-License Agreement for Skin and Eye Disease or Conditions in Humans</w:t>
      </w:r>
    </w:p>
    <w:p>
      <w:pPr>
        <w:spacing w:after="0" w:line="229" w:lineRule="exact"/>
        <w:rPr>
          <w:sz w:val="20"/>
          <w:szCs w:val="20"/>
          <w:color w:val="auto"/>
        </w:rPr>
      </w:pPr>
    </w:p>
    <w:p>
      <w:pPr>
        <w:ind w:right="380" w:firstLine="891"/>
        <w:spacing w:after="0" w:line="261" w:lineRule="auto"/>
        <w:rPr>
          <w:sz w:val="20"/>
          <w:szCs w:val="20"/>
          <w:color w:val="auto"/>
        </w:rPr>
      </w:pPr>
      <w:r>
        <w:rPr>
          <w:rFonts w:ascii="Times New Roman" w:cs="Times New Roman" w:eastAsia="Times New Roman" w:hAnsi="Times New Roman"/>
          <w:sz w:val="18"/>
          <w:szCs w:val="18"/>
          <w:color w:val="auto"/>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spacing w:after="0" w:line="180"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w:t>
      </w:r>
    </w:p>
    <w:p>
      <w:pPr>
        <w:spacing w:after="0" w:line="176" w:lineRule="exact"/>
        <w:rPr>
          <w:sz w:val="20"/>
          <w:szCs w:val="20"/>
          <w:color w:val="auto"/>
        </w:rPr>
      </w:pPr>
    </w:p>
    <w:p>
      <w:pPr>
        <w:ind w:right="220" w:firstLine="891"/>
        <w:spacing w:after="0" w:line="261" w:lineRule="auto"/>
        <w:rPr>
          <w:sz w:val="20"/>
          <w:szCs w:val="20"/>
          <w:color w:val="auto"/>
        </w:rPr>
      </w:pPr>
      <w:r>
        <w:rPr>
          <w:rFonts w:ascii="Times New Roman" w:cs="Times New Roman" w:eastAsia="Times New Roman" w:hAnsi="Times New Roman"/>
          <w:sz w:val="18"/>
          <w:szCs w:val="18"/>
          <w:color w:val="auto"/>
        </w:rPr>
        <w:t>In August 2023, a milestone of $4.0 million was achieved and paid to Elanco upon the first commercial sale of XDEMVY in the U.S. and in September 2024, a $5.0 million sales-based milestone obligation to Elanco was triggered for the achievement of reaching $100.0 million in net product sales of XDEMVY. These respective milestone payments were recorded to intangible assets, net in the accompanying Condensed Balance Sheets as of March 31, 2025 and December 31, 2024.</w:t>
      </w:r>
    </w:p>
    <w:p>
      <w:pPr>
        <w:spacing w:after="0" w:line="180"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is obligated to make further cash payments to Elanco of $2.0 million under the Eye and Derm Elanco Agreement upon achievement of the last clinical milestone in the treatment of human skin diseases using lotilaner and a maximum of $70.0 million for various commercial and sales threshold milestones for the treatment of human skin diseases and the treatment of blepharitis in humans using lotilaner.</w:t>
      </w:r>
    </w:p>
    <w:p>
      <w:pPr>
        <w:spacing w:after="0" w:line="176"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In addition, the Company is obligated to pay tiered contractual royalties to Elanco in the mid to high single digits of its product sales, net. If the Company receives certain types of payments from its sublicensees, it will be obligated to pay Elanco a variable percentage in the low to mid double-digits of such proceeds, until achievement of the first applicable regulatory approval of a product covered under the license, which occurred in July 2023 with the FDA approval of XDEMVY. As a result of the commercialization of XDEMVY, the Company accrued royalties payable to Elanco, which are recorded to cost of sales in the accompanying Condensed Statement of Operations and Comprehensive Loss for the three months ended March 31, 2025 and 2024, and accounts payable and other accrued liabilities in the accompanying Condensed Balance Sheets as of March 31, 2025 and December 31, 2024. Royalty expense during the three months ended March 31, 2025 and 2024, was $3.9 million and $1.2 million, respectively.</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Elanco In-License Agreement for All Other Diseases or Conditions in Humans</w:t>
      </w:r>
    </w:p>
    <w:p>
      <w:pPr>
        <w:spacing w:after="0" w:line="22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spacing w:after="0" w:line="176" w:lineRule="exact"/>
        <w:rPr>
          <w:sz w:val="20"/>
          <w:szCs w:val="20"/>
          <w:color w:val="auto"/>
        </w:rPr>
      </w:pPr>
    </w:p>
    <w:p>
      <w:pPr>
        <w:ind w:right="120" w:firstLine="891"/>
        <w:spacing w:after="0" w:line="255" w:lineRule="auto"/>
        <w:rPr>
          <w:sz w:val="20"/>
          <w:szCs w:val="20"/>
          <w:color w:val="auto"/>
        </w:rPr>
      </w:pPr>
      <w:r>
        <w:rPr>
          <w:rFonts w:ascii="Times New Roman" w:cs="Times New Roman" w:eastAsia="Times New Roman" w:hAnsi="Times New Roman"/>
          <w:sz w:val="18"/>
          <w:szCs w:val="18"/>
          <w:color w:val="auto"/>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to Elanco in the single digits of its product sales, net.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360" w:right="174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In-License Agreement for All Ophthalmic Uses in Humans</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In October 2024, the Company executed a new in-license agreement from a third party for the exclusive worldwide rights to develop, manufacture, and commercialize a compound for all ophthalmic uses. The Company made an upfront payment of $2.5 million upon contract execution in October 2024, which was recorded to research and development expense in the Statements of Operations for the year ended December 31, 2024. As of March 31, 2025, the Company is obligated to make potential future cash payments under this in-license agreement of $3.0 million upon the achievement of an event-based development milestone and up to $102.0 million for various commercial and sales threshold milestones. Future annual worldwide net sales of products developed from the compound will also be subject to incremental royalty rates in the range of mid to high single digits.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agreements, including severance and change in control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Contingencies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 and Guarantees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OUT-LICENSE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of TP-03 Commercial Rights in the China Territory in March 2021</w:t>
      </w:r>
    </w:p>
    <w:p>
      <w:pPr>
        <w:spacing w:after="0" w:line="22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 xml:space="preserve">In March 2021, the Company entered into the China Out-License with LianBio for its exclusive development and commercialization rights of TP-03 (lotilaner ophthalmic solution) 0.25% in the China Territory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MGD. LianBio is contractually responsible for all clinical development and commercialization activities and costs within the China Territory.</w:t>
      </w:r>
    </w:p>
    <w:p>
      <w:pPr>
        <w:spacing w:after="0" w:line="176"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spacing w:after="0" w:line="183" w:lineRule="exact"/>
        <w:rPr>
          <w:sz w:val="20"/>
          <w:szCs w:val="20"/>
          <w:color w:val="auto"/>
        </w:rPr>
      </w:pPr>
    </w:p>
    <w:p>
      <w:pPr>
        <w:jc w:val="both"/>
        <w:ind w:right="240" w:firstLine="891"/>
        <w:spacing w:after="0" w:line="266" w:lineRule="auto"/>
        <w:rPr>
          <w:sz w:val="20"/>
          <w:szCs w:val="20"/>
          <w:color w:val="auto"/>
        </w:rPr>
      </w:pPr>
      <w:r>
        <w:rPr>
          <w:rFonts w:ascii="Times New Roman" w:cs="Times New Roman" w:eastAsia="Times New Roman" w:hAnsi="Times New Roman"/>
          <w:sz w:val="18"/>
          <w:szCs w:val="18"/>
          <w:color w:val="auto"/>
        </w:rPr>
        <w:t>The assessment of the initial transaction price for the China Out-License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equity warrants.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accounted for each performance obligation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Out-License</w:t>
      </w:r>
    </w:p>
    <w:p>
      <w:pPr>
        <w:spacing w:after="0" w:line="229"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229"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spacing w:after="0" w:line="194"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 xml:space="preserve">In February 2024, LianBio announced its plan to wind down its operations and in March 2024 made a special cash dividend payment to the Company of $0.7 million (equivalent to $4.80 per share - 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In March 2024, the Company executed an agreement with GrandPharma and LianBio to transition the rights to develop and commercialize TP-03 in China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MGD from LianBio to GrandPharma ("the Novation Agreement") and, upon execution of the Novation Agreement, the China Out-License with LianBio was assigned to GrandPharma with a one-time payment of $2.5 million (the "Termination Payment") made to the Company from LianBio in April 2024. This Termination Payment was recorded as license fees and collaboration revenue in the Condensed Statements of Operations and Comprehensive Loss for the three months ended March 31, 2024. The Novation Agreement amended the $15.0 million future development milestone payable on China regulatory approval of the China Out-License with a combined condition of patent issuance related to TP-03 in China.</w:t>
      </w:r>
    </w:p>
    <w:p>
      <w:pPr>
        <w:spacing w:after="0" w:line="192"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Simultaneous with the execution of the Novation Agreement, the Company entered into a warrant termination agreement (the "Warrant Termination Agreement") for a total cancellation payment of $0.4 million (the "Warrant Cancellation Payment"). This Warrant Cancellation Payment was recorded as license fees and collaboration revenue in the Condensed Statements of Operations and Comprehensive Loss for the three months ended March 31, 2024.</w:t>
      </w:r>
    </w:p>
    <w:p>
      <w:pPr>
        <w:spacing w:after="0" w:line="180"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Through March 31, 2025, the Company received aggregate payments from LianBio totaling $86.1 million, comprised of (i) initial consideration of $15.0 million, (ii) $67.5 million for the achievement of specified milestones, (iii) $2.5 million upon execution of the Novation Agreement, (iv) $0.4 million upon execution of the Warrant Termination Agreement, and (v) $0.7 million related to a special cash dividend.</w:t>
      </w:r>
    </w:p>
    <w:p>
      <w:pPr>
        <w:spacing w:after="0" w:line="176" w:lineRule="exact"/>
        <w:rPr>
          <w:sz w:val="20"/>
          <w:szCs w:val="20"/>
          <w:color w:val="auto"/>
        </w:rPr>
      </w:pPr>
    </w:p>
    <w:p>
      <w:pPr>
        <w:jc w:val="both"/>
        <w:ind w:right="140" w:firstLine="891"/>
        <w:spacing w:after="0" w:line="261" w:lineRule="auto"/>
        <w:rPr>
          <w:sz w:val="20"/>
          <w:szCs w:val="20"/>
          <w:color w:val="auto"/>
        </w:rPr>
      </w:pPr>
      <w:r>
        <w:rPr>
          <w:rFonts w:ascii="Times New Roman" w:cs="Times New Roman" w:eastAsia="Times New Roman" w:hAnsi="Times New Roman"/>
          <w:sz w:val="18"/>
          <w:szCs w:val="18"/>
          <w:color w:val="auto"/>
        </w:rPr>
        <w:t>As of March 31, 2025 the Company is eligible to receive further consideration from GrandPharma upon the achievement of additional TP-03 events, including: (i) additional regulatory approval and/or patent issuance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CREDIT FACILITY AGREEMENTS</w:t>
      </w:r>
    </w:p>
    <w:p>
      <w:pPr>
        <w:spacing w:after="0" w:line="229"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In February 2022, the Company executed the Credit Facility with Hercules and SVB (the "2022 Credit Facility") and concurrently made a $20.0 million draw. The 2022 Credit Facility was amended in 2023. During 2023, the Company made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two separate draws totaling $10.0 million from the $25.0 million tranche associated with the New Drug Application submission of TP-03. The Company did not incur any lender fees as part of the 2022 Credit Facility.</w:t>
      </w:r>
    </w:p>
    <w:p>
      <w:pPr>
        <w:spacing w:after="0" w:line="162" w:lineRule="exact"/>
        <w:rPr>
          <w:sz w:val="20"/>
          <w:szCs w:val="20"/>
          <w:color w:val="auto"/>
        </w:rPr>
      </w:pPr>
    </w:p>
    <w:p>
      <w:pPr>
        <w:ind w:right="60" w:firstLine="891"/>
        <w:spacing w:after="0" w:line="253" w:lineRule="auto"/>
        <w:rPr>
          <w:sz w:val="20"/>
          <w:szCs w:val="20"/>
          <w:color w:val="auto"/>
        </w:rPr>
      </w:pPr>
      <w:r>
        <w:rPr>
          <w:rFonts w:ascii="Times New Roman" w:cs="Times New Roman" w:eastAsia="Times New Roman" w:hAnsi="Times New Roman"/>
          <w:sz w:val="18"/>
          <w:szCs w:val="18"/>
          <w:color w:val="auto"/>
        </w:rPr>
        <w:t>In April 2024, the Company executed a loan and security agreement (the "2024 Credit Facility") with Pharmakon with maturity in April 2029. The 2024 Credit Facility is collateralized by substantially all of the Company's presently existing and subsequently acquired assets. Upon execution, the Company made a $75.0 million draw from the initial tranche of the 2024 Credit Facility, a portion of which was utilized to repay all outstanding indebtedness on the 2022 Credit Facility, resulting in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The Company did not draw on the first additional tranche of</w:t>
      </w:r>
    </w:p>
    <w:p>
      <w:pPr>
        <w:spacing w:after="0" w:line="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$25.0 million, which expired on December 31, 2024. The two remaining additional tranches may be requested at the Company's option on or prior to June 30, 2025 and December 31, 2025, respectively.</w:t>
      </w:r>
    </w:p>
    <w:p>
      <w:pPr>
        <w:spacing w:after="0" w:line="181" w:lineRule="exact"/>
        <w:rPr>
          <w:sz w:val="20"/>
          <w:szCs w:val="20"/>
          <w:color w:val="auto"/>
        </w:rPr>
      </w:pPr>
    </w:p>
    <w:p>
      <w:pPr>
        <w:ind w:right="300" w:firstLine="891"/>
        <w:spacing w:after="0" w:line="266" w:lineRule="auto"/>
        <w:rPr>
          <w:sz w:val="20"/>
          <w:szCs w:val="20"/>
          <w:color w:val="auto"/>
        </w:rPr>
      </w:pPr>
      <w:r>
        <w:rPr>
          <w:rFonts w:ascii="Times New Roman" w:cs="Times New Roman" w:eastAsia="Times New Roman" w:hAnsi="Times New Roman"/>
          <w:sz w:val="18"/>
          <w:szCs w:val="18"/>
          <w:color w:val="auto"/>
        </w:rPr>
        <w:t>Under the 2024 Credit Facility, the outstanding principal draws accrue interest at a floating rate based upon the secured overnight financing rate (“SOFR”), plus a margin of 6.75% per annum. The SOFR is subject to a 3.75% floor. At the extinguishment date of the 2022 Credit Facility, the outstanding principal was accruing interest at the aggregate cap of 11.45%.</w:t>
      </w:r>
    </w:p>
    <w:p>
      <w:pPr>
        <w:spacing w:after="0" w:line="176"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The Company was required to pay a specified fee upon the earlier of (i) February 2, 2027 or (ii) the date the Company prepays, in full or in part, the outstanding principal balance of the 2022 Credit Facility ("End of Term Charge"). As the 2022 Credit Facility was paid in full upon the signing of the 2024 Credit Facility, the End of Term Charge of $1.4 million was paid in April 2024, which was derived by multiplying 4.75% by the $30.0 million outstanding principal balance. Prior to being paid, the End of Term Charge was accreted to interest expense over the expected maturity date. The Company recognized a loss on debt extinguishment of $1.9 million during 2024 in the Statement of Operations and Comprehensive Loss.</w:t>
      </w:r>
    </w:p>
    <w:p>
      <w:pPr>
        <w:spacing w:after="0" w:line="183"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As of March 31, 2025 and 2024, the effective interest rates for the full term of the Credit Facilities was 12.32% and 11.96%, respectively. The Company recognized interest expense in the accompanying Condensed Statements of Operations and Comprehensive Loss in connection with the Credit Facilities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8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for long-term debt</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end of term charge</w:t>
            </w:r>
          </w:p>
        </w:tc>
        <w:tc>
          <w:tcPr>
            <w:tcW w:w="10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3"/>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The carrying value of the Credit Facilities consists of principal outstanding less legal and administrative issuance costs that were recorded as a debt discount to the long-term debt, net and will continue to be accreted to interest expense using the effective interest method during its term. The principal balance of the Credit Facilities and related accretion and amortization are reported on a combined basis as long-term debt, net in the accompanying Condensed Balance Sheets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gross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 of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71,984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71,845</w:t>
            </w: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left="460" w:right="1640"/>
        <w:spacing w:after="0" w:line="278" w:lineRule="auto"/>
        <w:rPr>
          <w:sz w:val="20"/>
          <w:szCs w:val="20"/>
          <w:color w:val="auto"/>
        </w:rPr>
      </w:pPr>
      <w:r>
        <w:rPr>
          <w:rFonts w:ascii="Times New Roman" w:cs="Times New Roman" w:eastAsia="Times New Roman" w:hAnsi="Times New Roman"/>
          <w:sz w:val="18"/>
          <w:szCs w:val="18"/>
          <w:b w:val="1"/>
          <w:bCs w:val="1"/>
          <w:color w:val="auto"/>
        </w:rPr>
        <w:t>NOTES TO THE CONDENSED FINANCIAL STATEMENTS (all tabular amounts presented in thousands, except share, per share, per unit, and number of years)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Privately-Held Eye Care Company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In April 2024, the Company participated in an equity funding round of an early clinical-stage private eye care company. Pursuant to the terms</w:t>
      </w:r>
    </w:p>
    <w:p>
      <w:pPr>
        <w:spacing w:after="0" w:line="6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of a Preferred Stock Purchase Agreement the Company purchased $3.0 million of preferred stock. Drs. Azamian (the Company's CEO) and Link (a director of the Company) are board members of this private company. The Company owns a small minority of this private company.</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right="340" w:firstLine="891"/>
        <w:spacing w:after="0" w:line="266" w:lineRule="auto"/>
        <w:rPr>
          <w:sz w:val="20"/>
          <w:szCs w:val="20"/>
          <w:color w:val="auto"/>
        </w:rPr>
      </w:pPr>
      <w:r>
        <w:rPr>
          <w:rFonts w:ascii="Times New Roman" w:cs="Times New Roman" w:eastAsia="Times New Roman" w:hAnsi="Times New Roman"/>
          <w:sz w:val="18"/>
          <w:szCs w:val="18"/>
          <w:color w:val="auto"/>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spacing w:after="0" w:line="10" w:lineRule="exact"/>
        <w:rPr>
          <w:sz w:val="20"/>
          <w:szCs w:val="20"/>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XDEMVY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formerly known as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8"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prevalence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the size of the market opportunity for XDEMVY;</w:t>
      </w:r>
    </w:p>
    <w:p>
      <w:pPr>
        <w:spacing w:after="0" w:line="43" w:lineRule="exact"/>
        <w:rPr>
          <w:rFonts w:ascii="Times New Roman" w:cs="Times New Roman" w:eastAsia="Times New Roman" w:hAnsi="Times New Roman"/>
          <w:sz w:val="18"/>
          <w:szCs w:val="18"/>
          <w:color w:val="auto"/>
        </w:rPr>
      </w:pPr>
    </w:p>
    <w:p>
      <w:pPr>
        <w:ind w:left="1020" w:right="340" w:hanging="324"/>
        <w:spacing w:after="0" w:line="26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continued commercialization of XDEMVY and our product candidates, if approved, including commercialization timelines and sales strategy;</w:t>
      </w:r>
    </w:p>
    <w:p>
      <w:pPr>
        <w:jc w:val="both"/>
        <w:ind w:left="1020" w:right="120" w:hanging="324"/>
        <w:spacing w:after="0" w:line="255"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spacing w:after="0" w:line="2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XDEMVY and our product candidates;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63" w:lineRule="exact"/>
        <w:rPr>
          <w:rFonts w:ascii="Times New Roman" w:cs="Times New Roman" w:eastAsia="Times New Roman" w:hAnsi="Times New Roman"/>
          <w:sz w:val="18"/>
          <w:szCs w:val="18"/>
          <w:color w:val="auto"/>
        </w:rPr>
      </w:pPr>
    </w:p>
    <w:p>
      <w:pPr>
        <w:ind w:left="1020" w:right="320" w:hanging="324"/>
        <w:spacing w:after="0" w:line="28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1" w:lineRule="exact"/>
        <w:rPr>
          <w:rFonts w:ascii="Times New Roman" w:cs="Times New Roman" w:eastAsia="Times New Roman" w:hAnsi="Times New Roman"/>
          <w:sz w:val="18"/>
          <w:szCs w:val="18"/>
          <w:color w:val="auto"/>
        </w:rPr>
      </w:pPr>
    </w:p>
    <w:p>
      <w:pPr>
        <w:ind w:left="1020" w:right="360" w:hanging="324"/>
        <w:spacing w:after="0" w:line="28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 and our ability to meet existing or future regulatory standards or comply with post-approval requirements;</w:t>
      </w:r>
    </w:p>
    <w:p>
      <w:pPr>
        <w:spacing w:after="0" w:line="1" w:lineRule="exact"/>
        <w:rPr>
          <w:rFonts w:ascii="Times New Roman" w:cs="Times New Roman" w:eastAsia="Times New Roman" w:hAnsi="Times New Roman"/>
          <w:sz w:val="18"/>
          <w:szCs w:val="18"/>
          <w:color w:val="auto"/>
        </w:rPr>
      </w:pPr>
    </w:p>
    <w:p>
      <w:pPr>
        <w:ind w:left="1020" w:right="60" w:hanging="324"/>
        <w:spacing w:after="0" w:line="28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our business and operations;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unfavorable global and geopolitical economic conditions on our business and operations;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61"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estimates of the number of patients in the United States ("U.S.") or globally, as applicable,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rosacea, Lyme disease and malaria and the number of patients that will enroll in our clinical trials;</w:t>
      </w:r>
    </w:p>
    <w:p>
      <w:pPr>
        <w:spacing w:after="0" w:line="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63" w:lineRule="exact"/>
        <w:rPr>
          <w:rFonts w:ascii="Times New Roman" w:cs="Times New Roman" w:eastAsia="Times New Roman" w:hAnsi="Times New Roman"/>
          <w:sz w:val="18"/>
          <w:szCs w:val="18"/>
          <w:color w:val="auto"/>
        </w:rPr>
      </w:pPr>
    </w:p>
    <w:p>
      <w:pPr>
        <w:ind w:left="1020" w:right="640" w:hanging="324"/>
        <w:spacing w:after="0" w:line="28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and our product candidates to meet existing or future regulatory standards;</w:t>
      </w:r>
    </w:p>
    <w:p>
      <w:pPr>
        <w:spacing w:after="0" w:line="1" w:lineRule="exact"/>
        <w:rPr>
          <w:rFonts w:ascii="Times New Roman" w:cs="Times New Roman" w:eastAsia="Times New Roman" w:hAnsi="Times New Roman"/>
          <w:sz w:val="18"/>
          <w:szCs w:val="18"/>
          <w:color w:val="auto"/>
        </w:rPr>
      </w:pPr>
    </w:p>
    <w:p>
      <w:pPr>
        <w:ind w:left="1020" w:right="180" w:hanging="324"/>
        <w:spacing w:after="0" w:line="28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and product candidates, including additional indications for which we may pursue;</w:t>
      </w:r>
    </w:p>
    <w:p>
      <w:pPr>
        <w:spacing w:after="0" w:line="1" w:lineRule="exact"/>
        <w:rPr>
          <w:rFonts w:ascii="Times New Roman" w:cs="Times New Roman" w:eastAsia="Times New Roman" w:hAnsi="Times New Roman"/>
          <w:sz w:val="18"/>
          <w:szCs w:val="18"/>
          <w:color w:val="auto"/>
        </w:rPr>
      </w:pPr>
    </w:p>
    <w:p>
      <w:pPr>
        <w:ind w:left="1020" w:right="200" w:hanging="324"/>
        <w:spacing w:after="0" w:line="28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 w:lineRule="exact"/>
        <w:rPr>
          <w:rFonts w:ascii="Times New Roman" w:cs="Times New Roman" w:eastAsia="Times New Roman" w:hAnsi="Times New Roman"/>
          <w:sz w:val="18"/>
          <w:szCs w:val="18"/>
          <w:color w:val="auto"/>
        </w:rPr>
      </w:pPr>
    </w:p>
    <w:p>
      <w:pPr>
        <w:jc w:val="both"/>
        <w:ind w:left="1020" w:hanging="324"/>
        <w:spacing w:after="0" w:line="266"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U.S. and other jurisdictions;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32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63" w:lineRule="exact"/>
        <w:rPr>
          <w:rFonts w:ascii="Times New Roman" w:cs="Times New Roman" w:eastAsia="Times New Roman" w:hAnsi="Times New Roman"/>
          <w:sz w:val="18"/>
          <w:szCs w:val="18"/>
          <w:color w:val="auto"/>
        </w:rPr>
      </w:pPr>
    </w:p>
    <w:p>
      <w:pPr>
        <w:ind w:left="1020" w:right="140" w:hanging="324"/>
        <w:spacing w:after="0" w:line="281" w:lineRule="auto"/>
        <w:tabs>
          <w:tab w:leader="none" w:pos="10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63" w:lineRule="exact"/>
        <w:rPr>
          <w:rFonts w:ascii="Times New Roman" w:cs="Times New Roman" w:eastAsia="Times New Roman" w:hAnsi="Times New Roman"/>
          <w:sz w:val="18"/>
          <w:szCs w:val="18"/>
          <w:color w:val="auto"/>
        </w:rPr>
      </w:pPr>
    </w:p>
    <w:p>
      <w:pPr>
        <w:ind w:left="1020" w:right="80" w:hanging="324"/>
        <w:spacing w:after="0" w:line="258" w:lineRule="auto"/>
        <w:tabs>
          <w:tab w:leader="none" w:pos="10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spacing w:after="0" w:line="183"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83"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ind w:right="1120" w:firstLine="891"/>
        <w:spacing w:after="0" w:line="282" w:lineRule="auto"/>
        <w:rPr>
          <w:sz w:val="20"/>
          <w:szCs w:val="20"/>
          <w:color w:val="auto"/>
        </w:rPr>
      </w:pPr>
      <w:r>
        <w:rPr>
          <w:rFonts w:ascii="Times New Roman" w:cs="Times New Roman" w:eastAsia="Times New Roman" w:hAnsi="Times New Roman"/>
          <w:sz w:val="18"/>
          <w:szCs w:val="18"/>
          <w:color w:val="auto"/>
        </w:rPr>
        <w:t>References in this Quarterly Report on Form 10-Q to the terms, “Tarsus,” the “Company,” “we,” “our,” and “us” refer to Tarsus Pharmaceuticals, Inc., unless the context otherwise indicates.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ind w:right="20" w:firstLine="891"/>
        <w:spacing w:after="0" w:line="234"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development and commercialization of therapeutics, starting with eye care. We launched XDEMVY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(lotilaner ophthalmic solution) 0.25%, formerly known as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August 2023 after receiving U.S. Food and Drug Administration ("FDA") approval in July 2023.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is caused by the infestation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Poorly controlled and progressive blepharitis can lead to corneal damage over time and, in extreme cases, blindness. There may be as many as approximately 25 million people in the U.S.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XDEMVY is the first and only therapeutic approved by the FDA and we believe is the definitive standard of care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25" w:lineRule="exact"/>
        <w:rPr>
          <w:sz w:val="20"/>
          <w:szCs w:val="20"/>
          <w:color w:val="auto"/>
        </w:rPr>
      </w:pPr>
    </w:p>
    <w:p>
      <w:pPr>
        <w:jc w:val="both"/>
        <w:ind w:right="240" w:firstLine="891"/>
        <w:spacing w:after="0" w:line="267" w:lineRule="auto"/>
        <w:rPr>
          <w:sz w:val="20"/>
          <w:szCs w:val="20"/>
          <w:color w:val="auto"/>
        </w:rPr>
      </w:pPr>
      <w:r>
        <w:rPr>
          <w:rFonts w:ascii="Times New Roman" w:cs="Times New Roman" w:eastAsia="Times New Roman" w:hAnsi="Times New Roman"/>
          <w:sz w:val="18"/>
          <w:szCs w:val="18"/>
          <w:color w:val="auto"/>
        </w:rPr>
        <w:t xml:space="preserve">XDEMVY targets and eradicates the root cause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The active pharmaceutical ingredient ("API") of XDEMVY, lotilaner, paralyzes and eradicates mites and other parasites through the inhibition of parasite-specific gamma-aminobutyric acid-gated chloride ("GABA-Cl") channels with no GABA-Cl inhibition in humans.</w:t>
      </w:r>
    </w:p>
    <w:p>
      <w:pPr>
        <w:spacing w:after="0" w:line="17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 xml:space="preserve">To date, we have completed seven clinical trials that include a Phase 3 Saturn-2 trial, a Phase 2b/3 Saturn-1 trial, four Phase 2 trials, and a Phase 1 trial for XDEMVY in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all of which met their primary, secondary and/or certain exploratory endpoints, with the drug well tolerated throughout each trial. We have also completed, and/or have ongoing clinical trials for the potential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patients with Meibomian Gland Disease ("MGD") including the Ersa clinical trial involving XDEMVY, and the Rhea clinical trial involving an XDEMVY vehicle; TP-04 for the potential treatment of Ocular Rosacea, and TP-05 for potential Lyme disease prophylaxis, among others.</w:t>
      </w:r>
    </w:p>
    <w:p>
      <w:pPr>
        <w:spacing w:after="0" w:line="183"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in human medicine, including eye care, and infectious disease prevention. We are investigating the development of our product candidates to address targeted diseases with high unmet medical needs, which currently include TP-04, a novel gel formulation of lotilaner for the potential treatment of Ocular Rosacea and TP-05, a novel investigational oral formulation of lotilaner, for potential Lyme disease prophylaxis and community malaria reduction.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Business and Clinical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XDEMVY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right="4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XDEMVY is on track to potentially be one of the fastest growing and best-selling anterior segment medicines. During the first quarter of 2025, the Company:</w:t>
      </w:r>
    </w:p>
    <w:p>
      <w:pPr>
        <w:spacing w:after="0" w:line="53" w:lineRule="exact"/>
        <w:rPr>
          <w:rFonts w:ascii="Times New Roman" w:cs="Times New Roman" w:eastAsia="Times New Roman" w:hAnsi="Times New Roman"/>
          <w:sz w:val="18"/>
          <w:szCs w:val="18"/>
          <w:color w:val="auto"/>
        </w:rPr>
      </w:pPr>
    </w:p>
    <w:p>
      <w:pPr>
        <w:ind w:left="1960" w:right="140" w:hanging="332"/>
        <w:spacing w:after="0" w:line="282" w:lineRule="auto"/>
        <w:tabs>
          <w:tab w:leader="none" w:pos="19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$78.3 million in XDEMVY net product sales, an increase of 217% compared to the first quarter of 2024, and 18% compared to the fourth quarter of 2024.</w:t>
      </w:r>
    </w:p>
    <w:p>
      <w:pPr>
        <w:spacing w:after="0" w:line="5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Dispensed approximately 72,000 bottles of XDEMVY to patients, an increase of 23% compared to the fourth quarter of 2024.</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commercial, Medicare, and Medicaid reimbursement of XDEMVY now extends to more than 90% of covered lives.</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 gross-to-net discount of approximately 47% in the first quarter of 2025.</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increased the depth of prescribing among our target Eye Care Professionals ("ECPs").</w:t>
      </w:r>
    </w:p>
    <w:p>
      <w:pPr>
        <w:spacing w:after="0" w:line="117" w:lineRule="exact"/>
        <w:rPr>
          <w:rFonts w:ascii="Times New Roman" w:cs="Times New Roman" w:eastAsia="Times New Roman" w:hAnsi="Times New Roman"/>
          <w:sz w:val="18"/>
          <w:szCs w:val="18"/>
          <w:color w:val="auto"/>
        </w:rPr>
      </w:pPr>
    </w:p>
    <w:p>
      <w:pPr>
        <w:ind w:left="1960" w:right="420" w:hanging="332"/>
        <w:spacing w:after="0" w:line="282" w:lineRule="auto"/>
        <w:tabs>
          <w:tab w:leader="none" w:pos="19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first quarter of 2025, the number of ECPs writing more than one prescription per week increased by nearly 110% compared to the third quarter of 2024.</w:t>
      </w:r>
    </w:p>
    <w:p>
      <w:pPr>
        <w:spacing w:after="0" w:line="175" w:lineRule="exact"/>
        <w:rPr>
          <w:rFonts w:ascii="Times New Roman" w:cs="Times New Roman" w:eastAsia="Times New Roman" w:hAnsi="Times New Roman"/>
          <w:sz w:val="18"/>
          <w:szCs w:val="18"/>
          <w:color w:val="auto"/>
        </w:rPr>
      </w:pPr>
    </w:p>
    <w:p>
      <w:pPr>
        <w:ind w:left="1300" w:right="580" w:hanging="320"/>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advertising drove a 140% increase in the average weekly website visits in March 2025 compared to December 2024.</w:t>
      </w:r>
    </w:p>
    <w:p>
      <w:pPr>
        <w:spacing w:after="0" w:line="8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Ongoing investment expected to increase alongside leading indicators of utilization.</w:t>
      </w:r>
    </w:p>
    <w:p>
      <w:pPr>
        <w:spacing w:after="0" w:line="209" w:lineRule="exact"/>
        <w:rPr>
          <w:rFonts w:ascii="Arial" w:cs="Arial" w:eastAsia="Arial" w:hAnsi="Arial"/>
          <w:sz w:val="22"/>
          <w:szCs w:val="22"/>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new data showing the global prevalence and real-world patient burden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119" w:lineRule="exact"/>
        <w:rPr>
          <w:rFonts w:ascii="Times New Roman" w:cs="Times New Roman" w:eastAsia="Times New Roman" w:hAnsi="Times New Roman"/>
          <w:sz w:val="18"/>
          <w:szCs w:val="18"/>
          <w:color w:val="auto"/>
        </w:rPr>
      </w:pPr>
    </w:p>
    <w:p>
      <w:pPr>
        <w:ind w:left="1960" w:right="80" w:hanging="332"/>
        <w:spacing w:after="0" w:line="266" w:lineRule="auto"/>
        <w:tabs>
          <w:tab w:leader="none" w:pos="19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Orion registry showed patients treated with XDEMVY experienced meaningful improvements in some of the most impactful symptoms of the disease, including fluctuating vision, redness, itchy eyelids, burning or stinging, dryness and crusted eyes.</w:t>
      </w:r>
    </w:p>
    <w:p>
      <w:pPr>
        <w:spacing w:after="0" w:line="189"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financial position with a $134.8 million upsized public equity offering which will continue to fund the launch of XDEMVY and ongoing pipeline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TP-03 </w:t>
      </w:r>
      <w:r>
        <w:rPr>
          <w:rFonts w:ascii="Times New Roman" w:cs="Times New Roman" w:eastAsia="Times New Roman" w:hAnsi="Times New Roman"/>
          <w:sz w:val="18"/>
          <w:szCs w:val="18"/>
          <w:b w:val="1"/>
          <w:bCs w:val="1"/>
          <w:i w:val="1"/>
          <w:iCs w:val="1"/>
          <w:u w:val="single" w:color="auto"/>
          <w:color w:val="auto"/>
        </w:rPr>
        <w:t>Demodex</w:t>
      </w:r>
      <w:r>
        <w:rPr>
          <w:rFonts w:ascii="Times New Roman" w:cs="Times New Roman" w:eastAsia="Times New Roman" w:hAnsi="Times New Roman"/>
          <w:sz w:val="18"/>
          <w:szCs w:val="18"/>
          <w:b w:val="1"/>
          <w:bCs w:val="1"/>
          <w:u w:val="single" w:color="auto"/>
          <w:color w:val="auto"/>
        </w:rPr>
        <w:t xml:space="preserve"> blepharitis in patients with Meibomian Gland Disease, Ersa and Rhea Trials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 xml:space="preserve">In December 2023, we announced positive topline results of the Ersa trial evaluating XDEMVY administered twice daily ("BID") or three times a day ("TID") for 6 weeks and 12 weeks for the treatment of MGD in patients with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XDEMVY demonstrated statistically significant and clinically meaningful improvements compared to baseline in two objective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 pilot study evaluating XDEMVY vehicle for the treatment of MGD in patients with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at the American Academy of Optometry ("AAOpt") Annual Meeting 2024, and in April 2025 at the American Society of Cataract and Refractive Surgery ("ASCRS") Annual Meeting 2025. The Rhea trial enrolled a similar patient population as Ersa, and evaluated the same outcomes, with the same dosing regimens, except the Rhea trial participants received XDEMVY vehicle. Both the Ersa and Rhea trials also assessed patient reported outcomes for some of the most commonly reported patient symptoms in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MGD, namely fluctuating vision, itching, redness, and burning.</w:t>
      </w:r>
    </w:p>
    <w:p>
      <w:pPr>
        <w:spacing w:after="0" w:line="202" w:lineRule="exact"/>
        <w:rPr>
          <w:sz w:val="20"/>
          <w:szCs w:val="20"/>
          <w:color w:val="auto"/>
        </w:rPr>
      </w:pPr>
    </w:p>
    <w:p>
      <w:pPr>
        <w:ind w:right="40" w:firstLine="891"/>
        <w:spacing w:after="0" w:line="236" w:lineRule="auto"/>
        <w:rPr>
          <w:sz w:val="20"/>
          <w:szCs w:val="20"/>
          <w:color w:val="auto"/>
        </w:rPr>
      </w:pPr>
      <w:r>
        <w:rPr>
          <w:rFonts w:ascii="Times New Roman" w:cs="Times New Roman" w:eastAsia="Times New Roman" w:hAnsi="Times New Roman"/>
          <w:sz w:val="18"/>
          <w:szCs w:val="18"/>
          <w:color w:val="auto"/>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1) the presence and quality of liquid secretion as measured by the Meibomian Gland Secretion Score; 2) the number of glands secreting normal or clear liquid; and 3)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our medical affairs team is moving forward with sharing this data with ECPs.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TP-04 Rosacea, Galatea Trial</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In February 2024, we announced positive topline results from the Galatea trial, a Phase 2a trial evaluating TP-04, a novel gel formulation of lotilaner, for the treatment of rosacea. The positive topline results demonstrated statistically significant improvements (p&lt;0.05) in inflammatory lesions and Investigator's Global Assessment score (change in baseline and success rate) were observed compared to vehicle at week 12. TP-04 was generally well tolerated. After review of this data with the FDA and Key Opinion Leaders, we decided to pursue development of TP-04 for the potential treatment for Ocular Rosacea, a highly prevalent and underserved eye disease with no FDA-approved therapy. In January 2025, we announced plans to initiate a Phase 2 study in the second half of 2025 for the potential treatment of Ocular Rosacea, which remains on track.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TP-05 Lyme Disease, Carpo Trial</w:t>
      </w:r>
    </w:p>
    <w:p>
      <w:pPr>
        <w:spacing w:after="0" w:line="229" w:lineRule="exact"/>
        <w:rPr>
          <w:sz w:val="20"/>
          <w:szCs w:val="20"/>
          <w:color w:val="auto"/>
        </w:rPr>
      </w:pPr>
    </w:p>
    <w:p>
      <w:pPr>
        <w:jc w:val="both"/>
        <w:ind w:right="180" w:firstLine="891"/>
        <w:spacing w:after="0" w:line="266" w:lineRule="auto"/>
        <w:rPr>
          <w:sz w:val="20"/>
          <w:szCs w:val="20"/>
          <w:color w:val="auto"/>
        </w:rPr>
      </w:pPr>
      <w:r>
        <w:rPr>
          <w:rFonts w:ascii="Times New Roman" w:cs="Times New Roman" w:eastAsia="Times New Roman" w:hAnsi="Times New Roman"/>
          <w:sz w:val="18"/>
          <w:szCs w:val="18"/>
          <w:color w:val="auto"/>
        </w:rPr>
        <w:t>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spacing w:after="0" w:line="216" w:lineRule="exact"/>
        <w:rPr>
          <w:sz w:val="20"/>
          <w:szCs w:val="20"/>
          <w:color w:val="auto"/>
        </w:rPr>
      </w:pPr>
    </w:p>
    <w:p>
      <w:pPr>
        <w:ind w:right="220" w:firstLine="891"/>
        <w:spacing w:after="0" w:line="258" w:lineRule="auto"/>
        <w:rPr>
          <w:sz w:val="20"/>
          <w:szCs w:val="20"/>
          <w:color w:val="auto"/>
        </w:rPr>
      </w:pPr>
      <w:r>
        <w:rPr>
          <w:rFonts w:ascii="Times New Roman" w:cs="Times New Roman" w:eastAsia="Times New Roman" w:hAnsi="Times New Roman"/>
          <w:sz w:val="18"/>
          <w:szCs w:val="18"/>
          <w:color w:val="auto"/>
        </w:rPr>
        <w:t>In February 2024, we announced positive topline results from the Carpo trial, which demonstrated statistical significance in the mortality of ticks compared to vehicle (p&lt;0.001), regardless of treatment arm, and was well tolerated. The Carpo trial is designed to evaluate TP-05, a novel investigational oral,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spacing w:after="0" w:line="183"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In December 2024, we met with the FDA about our Lyme disease program. The FDA agreed to our proposed approach for a Phase 2b clinical trial of TP-05 (an investigational oral tablet), which would include several hundred subjects with trial initiation expected in 2026. Additionally, the FDA confirmed that a Phase 3 clinical study would require a disease prevention field study that would likely require the enrollment of thousands of patients. We continue to believe that the best approach to get this potential prophylactic therapy to patients is to partner this program either prior to the initiation of the Phase 2b study or after the completion of the study.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Potential Growth Drivers in 2025 and Beyond</w:t>
      </w:r>
    </w:p>
    <w:p>
      <w:pPr>
        <w:spacing w:after="0" w:line="229" w:lineRule="exact"/>
        <w:rPr>
          <w:sz w:val="20"/>
          <w:szCs w:val="20"/>
          <w:color w:val="auto"/>
        </w:rPr>
      </w:pPr>
    </w:p>
    <w:p>
      <w:pPr>
        <w:ind w:right="640" w:firstLine="891"/>
        <w:spacing w:after="0" w:line="282" w:lineRule="auto"/>
        <w:rPr>
          <w:sz w:val="20"/>
          <w:szCs w:val="20"/>
          <w:color w:val="auto"/>
        </w:rPr>
      </w:pPr>
      <w:r>
        <w:rPr>
          <w:rFonts w:ascii="Times New Roman" w:cs="Times New Roman" w:eastAsia="Times New Roman" w:hAnsi="Times New Roman"/>
          <w:sz w:val="18"/>
          <w:szCs w:val="18"/>
          <w:color w:val="auto"/>
        </w:rPr>
        <w:t>We believe we are on track for potential European regulatory approval in 2027 of a preservative-free formulation of XDEMVY for the potential treatment of Demodex blepharitis.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300" w:firstLine="891"/>
        <w:spacing w:after="0" w:line="267" w:lineRule="auto"/>
        <w:rPr>
          <w:sz w:val="20"/>
          <w:szCs w:val="20"/>
          <w:color w:val="auto"/>
        </w:rPr>
      </w:pPr>
      <w:r>
        <w:rPr>
          <w:rFonts w:ascii="Times New Roman" w:cs="Times New Roman" w:eastAsia="Times New Roman" w:hAnsi="Times New Roman"/>
          <w:sz w:val="18"/>
          <w:szCs w:val="18"/>
          <w:color w:val="auto"/>
        </w:rPr>
        <w:t xml:space="preserve">In Japan, we expect to share results from a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prevalence study (the "Elara study") in the first half of 2025 and meet with Japanese regulatory authorities in the second half of 2025 to help determine a regulatory path forward. The Elara study showed the high prevalence and significant impact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Japan, consistent with the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Financial Overview</w:t>
      </w:r>
    </w:p>
    <w:p>
      <w:pPr>
        <w:spacing w:after="0" w:line="229"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spacing w:after="0" w:line="180" w:lineRule="exact"/>
        <w:rPr>
          <w:sz w:val="20"/>
          <w:szCs w:val="20"/>
          <w:color w:val="auto"/>
        </w:rPr>
      </w:pPr>
    </w:p>
    <w:p>
      <w:pPr>
        <w:ind w:right="160" w:firstLine="891"/>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through private placements of preferred stock, convertible promissory notes, net proceeds from issuance of common stock in our IPO, our subsequent Follow-On Public Offerings and our 2023 ATM Prospectus, as well as proceeds from net product sales, our China Out-License, and drawdowns from the 2024 Credit Facility and the previous loan and security agreement with Hercules Capital, Inc. and Silicon Valley Bank, a division of First Citizens Bank &amp; Trust Company ("the 2022 Credit Facility", and collectively the "Credit Facilities").</w:t>
      </w:r>
    </w:p>
    <w:p>
      <w:pPr>
        <w:spacing w:after="0" w:line="180"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 xml:space="preserve">We have incurred significant net operating losses ("NOLs") in every year since our inception and expect to continue to incur significant operating expenses as we commercialize XDEMVY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as we advance our other product candidates through clinical trials, regulatory submissions, and potential commercialization. Our net losses were $25.1 million and $35.7 million for the three months ended March 31, 2025 and 2024, respectively. Our net losses may fluctuate significantly from quarter to quarter and year to year and could be substantial. We anticipate that our operating expenses will increase significantly as we:</w:t>
      </w:r>
    </w:p>
    <w:p>
      <w:pPr>
        <w:spacing w:after="0" w:line="183" w:lineRule="exact"/>
        <w:rPr>
          <w:sz w:val="20"/>
          <w:szCs w:val="20"/>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XDEMVY and our other product candidates for which we obtain regulatory approvals;</w:t>
      </w:r>
    </w:p>
    <w:p>
      <w:pPr>
        <w:spacing w:after="0" w:line="225" w:lineRule="exact"/>
        <w:rPr>
          <w:rFonts w:ascii="Times New Roman" w:cs="Times New Roman" w:eastAsia="Times New Roman" w:hAnsi="Times New Roman"/>
          <w:sz w:val="18"/>
          <w:szCs w:val="18"/>
          <w:color w:val="auto"/>
        </w:rPr>
      </w:pPr>
    </w:p>
    <w:p>
      <w:pPr>
        <w:ind w:left="1020" w:right="20" w:hanging="324"/>
        <w:spacing w:after="0" w:line="282"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regulatory approval for XDEMVY and seek regulatory approval for our other product candidates that successfully complete clinical development, if any;</w:t>
      </w:r>
    </w:p>
    <w:p>
      <w:pPr>
        <w:spacing w:after="0" w:line="161" w:lineRule="exact"/>
        <w:rPr>
          <w:rFonts w:ascii="Times New Roman" w:cs="Times New Roman" w:eastAsia="Times New Roman" w:hAnsi="Times New Roman"/>
          <w:sz w:val="18"/>
          <w:szCs w:val="18"/>
          <w:color w:val="auto"/>
        </w:rPr>
      </w:pPr>
    </w:p>
    <w:p>
      <w:pPr>
        <w:ind w:left="1020" w:right="800" w:hanging="324"/>
        <w:spacing w:after="0" w:line="282"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TP-04 for the potential treatment of Ocular Rosacea and TP-05 for the potential Lyme disease prophylaxis;</w:t>
      </w:r>
    </w:p>
    <w:p>
      <w:pPr>
        <w:spacing w:after="0" w:line="161"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contract manufacturers to ensure a sufficient supply chain capacity to provide commercial quantities of XDEMVY and any other products for which we may obtain marketing approval;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technical, regulatory, marketing, sales, operations, financial, and other support personnel, to execute our business plan; and</w:t>
      </w:r>
    </w:p>
    <w:p>
      <w:pPr>
        <w:spacing w:after="0" w:line="161" w:lineRule="exact"/>
        <w:rPr>
          <w:rFonts w:ascii="Times New Roman" w:cs="Times New Roman" w:eastAsia="Times New Roman" w:hAnsi="Times New Roman"/>
          <w:sz w:val="18"/>
          <w:szCs w:val="18"/>
          <w:color w:val="auto"/>
        </w:rPr>
      </w:pPr>
    </w:p>
    <w:p>
      <w:pPr>
        <w:ind w:left="1020" w:right="360" w:hanging="324"/>
        <w:spacing w:after="0" w:line="282"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information systems and personnel to support our product development and continued commercialization efforts, and to enable us to operate as a public company.</w:t>
      </w:r>
    </w:p>
    <w:p>
      <w:pPr>
        <w:spacing w:after="0" w:line="162"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We began generating XDEMVY product sales in August 2023, following FDA approval in July 2023. Our reported revenue within license fees and collaboration revenue is from our China Out-License and clinical supply agreement; we expect to report additional revenue under this caption in future periods.</w:t>
      </w:r>
    </w:p>
    <w:p>
      <w:pPr>
        <w:spacing w:after="0" w:line="176"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and achieve profitability, if ever, we expect to finance our operations through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9"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product development and commercialization, we are unable to accurately predict the timing or amount of increased expenses or when or if we will be able to achieve or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spacing w:after="0" w:line="162" w:lineRule="exact"/>
        <w:rPr>
          <w:sz w:val="20"/>
          <w:szCs w:val="20"/>
          <w:color w:val="auto"/>
        </w:rPr>
      </w:pPr>
    </w:p>
    <w:p>
      <w:pPr>
        <w:ind w:right="600" w:firstLine="891"/>
        <w:spacing w:after="0" w:line="282" w:lineRule="auto"/>
        <w:rPr>
          <w:sz w:val="20"/>
          <w:szCs w:val="20"/>
          <w:color w:val="auto"/>
        </w:rPr>
      </w:pPr>
      <w:r>
        <w:rPr>
          <w:rFonts w:ascii="Times New Roman" w:cs="Times New Roman" w:eastAsia="Times New Roman" w:hAnsi="Times New Roman"/>
          <w:sz w:val="18"/>
          <w:szCs w:val="18"/>
          <w:color w:val="auto"/>
        </w:rPr>
        <w:t>As of March 31, 2025, our aggregate cash, cash equivalents and marketable securities was $407.9 million – see the section below titled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Macroeconomic Environment</w:t>
      </w:r>
    </w:p>
    <w:p>
      <w:pPr>
        <w:spacing w:after="0" w:line="229"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Recently, the economy has experienced significant volatility and escalating trade tensions. Together with high rates of inflation and energy supply issues experienced in certain regions, the potential enactment of tariffs, war and geopolitical conflicts, these conditions have led to regional and/or global macroeconomic challenges, the effects of which may be of an extended duration.</w:t>
      </w:r>
    </w:p>
    <w:p>
      <w:pPr>
        <w:spacing w:after="0" w:line="174" w:lineRule="exact"/>
        <w:rPr>
          <w:sz w:val="20"/>
          <w:szCs w:val="20"/>
          <w:color w:val="auto"/>
        </w:rPr>
      </w:pPr>
    </w:p>
    <w:p>
      <w:pPr>
        <w:ind w:right="20" w:firstLine="891"/>
        <w:spacing w:after="0" w:line="284"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Item 1A of Part II of this Quarterly Report on Form 10-Q, for a further discussion of the potential adverse impact of unfavorable global and geopolitical economic conditions on our business, results of operations and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78,335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78,335</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50,721</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84,995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33,417</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104,615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39,317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 before other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w:t>
            </w:r>
          </w:p>
        </w:tc>
        <w:tc>
          <w:tcPr>
            <w:tcW w:w="0" w:type="dxa"/>
            <w:vAlign w:val="bottom"/>
          </w:tcPr>
          <w:p>
            <w:pPr>
              <w:spacing w:after="0"/>
              <w:rPr>
                <w:sz w:val="1"/>
                <w:szCs w:val="1"/>
                <w:color w:val="auto"/>
              </w:rPr>
            </w:pPr>
          </w:p>
        </w:tc>
      </w:tr>
      <w:tr>
        <w:trPr>
          <w:trHeight w:val="199"/>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10,611</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43" w:lineRule="exact"/>
        <w:rPr>
          <w:sz w:val="20"/>
          <w:szCs w:val="20"/>
          <w:color w:val="auto"/>
        </w:rPr>
      </w:pPr>
    </w:p>
    <w:p>
      <w:pPr>
        <w:ind w:right="380" w:firstLine="891"/>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revenue of $78.3 million and $24.7 million, respectively, from product sales, net of rebates, chargebacks, discounts, and other adjustments driven by approximately 72,000 bottles of XDEMVY delivered to patients compared to 26,000 bottles delivered in the prior year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Fees and Collaboration Revenue</w:t>
      </w:r>
    </w:p>
    <w:p>
      <w:pPr>
        <w:spacing w:after="0" w:line="229"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we did not recognize any license fees and collaboration revenue. During the three months ended March 31, 2024, we recognized $2.9 million of license fees and collaboration revenue related to the China Out-License including $2.5 million for a termination payment and $0.4 million for a warrant termination payment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we recognized $5.2 million and $1.7 million, respectively, in cost of sales for XDEMVY. Cost of sales consists of direct and indirect costs related to the manufacturing and distribution of XDEMVY, including raw materials, third-party manufacturing costs, packaging services, freight-in, third-party royalties payable on our product sales, net, and amortization of capitalized intangible assets associated with XDEMVY.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external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TP-03 program</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TP-04 program</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TP-05 program</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early-stage programs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Indirect expenses: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personnel-related</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88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$2.3 million for the three months ended March 31, 2025, as compared to the prior year period. The increase was primarily due to (i) $0.5 million of increased TP-04 program expenses, (ii) $0.9 million of increased payroll and personnel-related costs (including a slight increase in stock-based compensation expense) related to employee additions to drive our product development initiatives, (iii) $0.9 million of increased early-stage programs, and (iv) $0.3 million of increased other indirect expenses. These increases were partially offset by $0.4 million of decreased TP-03 program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43" w:lineRule="exact"/>
        <w:rPr>
          <w:sz w:val="20"/>
          <w:szCs w:val="20"/>
          <w:color w:val="auto"/>
        </w:rPr>
      </w:pPr>
    </w:p>
    <w:p>
      <w:pPr>
        <w:ind w:right="120" w:firstLine="891"/>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expenses increased by $33.4 million for the three months ended March 31, 2025, as compared to the prior year period. The increase was primarily due to (i) $9.6 million of increased payroll and personnel-related costs (including increased stock-based compensation expense of $1.4 million) for commercial and corporate employee additions to support our business growth and commercial leadership hires for XDEMVY, and (ii) $25.6 million of increased commercial and marketing costs, including direct-to-consumer advertising costs, as we continued our commercial expansion of XDEMVY. The increases were partially offset by $1.9 million of decreased information technology applications, legal, professional and other corporate expenses. We expect increased vendor expenses in 2025 given further growth and expansion of our commercial activities for XDEMVY and other corporate initiatives.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43" w:lineRule="exact"/>
        <w:rPr>
          <w:sz w:val="20"/>
          <w:szCs w:val="20"/>
          <w:color w:val="auto"/>
        </w:rPr>
      </w:pPr>
    </w:p>
    <w:p>
      <w:pPr>
        <w:jc w:val="both"/>
        <w:ind w:right="260" w:firstLine="891"/>
        <w:spacing w:after="0" w:line="250" w:lineRule="auto"/>
        <w:rPr>
          <w:sz w:val="20"/>
          <w:szCs w:val="20"/>
          <w:color w:val="auto"/>
        </w:rPr>
      </w:pPr>
      <w:r>
        <w:rPr>
          <w:rFonts w:ascii="Times New Roman" w:cs="Times New Roman" w:eastAsia="Times New Roman" w:hAnsi="Times New Roman"/>
          <w:sz w:val="18"/>
          <w:szCs w:val="18"/>
          <w:color w:val="auto"/>
        </w:rPr>
        <w:t>Other income (expense), net decreased by $0.8 million compared to the prior year period primarily due to $1.2 million of increased interest expense related to the Credit Facilities, partially offset by $0.3 million of increased interest income earned on our cash, cash equivalents and marketable securities and $0.1 million of other miscellaneous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Since our inception, we have financed our operations substantially through private placements of preferred stock, net proceeds from the issuance of common stock through our IPO, Follow-on Public Offerings, and the 2023 ATM Prospectus, as well as proceeds from product sales, net, the China Out-License, and drawdowns from our Credit Facilities. As of March 31, 2025, we had cash, cash equivalents and marketable securities of $407.9 million.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In February 2024, we filed an automatic shelf registration statement on Form S-3 ASR (the "2024 Shelf Registration Statement"). In March 2024, we completed the March 2024 Public Offering. The 2024 Public Offering was an underwritten follow-on public offering under the 2024 Shelf Registration Statement, pursuant to which we sold 2,812,500 shares of our common stock, and, in lieu of common stock to a certain investor, pre-funded warrants to purchase 312,500 shares of our common stock.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our common stock at the public offering price of $32.00 per share, which the underwriters exercised in full in March 2024. We received $107.7 million of aggregate net proceeds, after deducting underwriting discounts, commissions, and other estimated offering-related expenses.</w:t>
      </w:r>
    </w:p>
    <w:p>
      <w:pPr>
        <w:spacing w:after="0" w:line="192"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In March 2025, we completed an underwritten follow-on public offering under the 2024 Shelf Registration Statement pursuant to which we sold 2,808,988 shares of our common stock. The price to the public was $44.50 per share. We also granted the underwriters a 30-day option to purchase up to 421,348 additional shares of our common stock at the public offering price of $44.50 per share, which the underwriters exercised in full in March 2025. We received approximately $134.8 million of aggregate net proceeds, after deducting underwriting discounts, commissions, and other estimated offering-related expenses.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China Out-License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of the date of this filing, we have received $86.1 million of total proceeds in connection with our China Out-License comprised of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million of initial consideration, (ii) $67.5 million for the achievement of specified milestones, (iii) $0.7 million related to a special cash dividend,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million related to the Novation Agreement, and (v) $0.4 million related to a warrant termination agreement.</w:t>
      </w:r>
    </w:p>
    <w:p>
      <w:pPr>
        <w:spacing w:after="0" w:line="207"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As of March 31, 2025 we are eligible to receive further consideration from GrandPharma upon the achievement of additional TP-03 events, including: (i) additional regulatory approval and/or patent issuance milestones and one-time payments of up to an aggregate of $20.0 million; (ii) China-based TP-03 sales threshold milestones of up to an aggregate of $100.0 million; and (iii) tiered low-to-high-teen royalties for China Territory TP-03 product sales.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In February 2022, we executed the 2022 Credit Facility. Concurrent with the execution of the 2022 Credit Facility we drew $20.0 million. The 2022 Credit Facility was amended in 2023. During 2023, we made two separate draws totaling $10.0 million from the $25.0 million tranche associated with the New Drug Application ("NDA") submission of TP-03. We did not incur lender fees as part of the 2022 Credit Facility.</w:t>
      </w:r>
    </w:p>
    <w:p>
      <w:pPr>
        <w:spacing w:after="0" w:line="176"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In April 2024, we executed the 2024 Credit Facility with Pharmakon with maturity in April 2029. The 2024 Credit Facility is collateralized by substantially all of our presently existing and subsequently acquired assets. Upon execution, we made a $75.0 million draw from the initial tranche, a portion of which was utilized to repay all outstanding indebtedness associated with the 2022 Credit Facility, for total net proceeds of $39.6 million. The 2024 Credit Facility provided for three potential additional term loan tranches in principal amounts up to $25.0 million, $50.0 million, and $50.0 million,</w:t>
      </w:r>
    </w:p>
    <w:p>
      <w:pPr>
        <w:spacing w:after="0" w:line="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respectively, subject to customary conditions to funding and, in the case of the last two tranches, achieving minimum net sales milestones. We did not draw on the first additional tranche of $25.0 million, which expired on December 31, 2024. The two additional tranches may be requested at our option on or prior to June 30, 2025 and December 31, 2025, respectively.</w:t>
      </w:r>
    </w:p>
    <w:p>
      <w:pPr>
        <w:spacing w:after="0" w:line="176"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The 2024 Credit Facility bears interest at a floating rate based upon the secured overnight financing rate (“SOFR”), plus a margin of 6.75% per annum. The SOFR is subject to a 3.75% floor. The 2024 Credit Facility contains representations and warranties, affirmative and negative covenants in each case. There is also no warrant coverage to the lenders and no financial covenants associated with the financing.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$385.3 million and $360.2 million as of March 31, 2025 and December 31, 2024, respectively.</w:t>
      </w:r>
    </w:p>
    <w:p>
      <w:pPr>
        <w:spacing w:after="0" w:line="166" w:lineRule="exact"/>
        <w:rPr>
          <w:sz w:val="20"/>
          <w:szCs w:val="20"/>
          <w:color w:val="auto"/>
        </w:rPr>
      </w:pPr>
    </w:p>
    <w:p>
      <w:pPr>
        <w:ind w:right="20" w:firstLine="891"/>
        <w:spacing w:after="0" w:line="242"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of $407.9 million as of March 31, 2025, is sufficient to fund our current and planned operations for at least the next twelve months from the date of filing this Quarterly Report on Form 10-Q. We have additional availability from our 2024 Credit Facility of $100.0 million contingent on reaching certain sales milestones.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spacing w:after="0" w:line="176" w:lineRule="exact"/>
        <w:rPr>
          <w:sz w:val="20"/>
          <w:szCs w:val="20"/>
          <w:color w:val="auto"/>
        </w:rPr>
      </w:pPr>
    </w:p>
    <w:p>
      <w:pPr>
        <w:ind w:right="60" w:firstLine="891"/>
        <w:spacing w:after="0" w:line="245" w:lineRule="auto"/>
        <w:rPr>
          <w:sz w:val="20"/>
          <w:szCs w:val="20"/>
          <w:color w:val="auto"/>
        </w:rPr>
      </w:pPr>
      <w:r>
        <w:rPr>
          <w:rFonts w:ascii="Times New Roman" w:cs="Times New Roman" w:eastAsia="Times New Roman" w:hAnsi="Times New Roman"/>
          <w:sz w:val="18"/>
          <w:szCs w:val="18"/>
          <w:color w:val="auto"/>
        </w:rPr>
        <w:t>In November 2023, we filed a shelf registration statement on Form S-3 that was declared effective by the SEC on November 21, 2023, (the "2023 Shelf Registration Statement"), and as part of the 2023 Shelf Registration Statement, we concurrently filed the 2023 ATM Prospectus with Jefferies. The 2023 ATM Prospectus covers the sale of up to $100.0 million of our common stock pursuant to an Open Market Sales Agreement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 In December 2023, we sold 1,000,000 shares of our common stock under the 2023 ATM Prospectus for $20.00 per share and received net proceeds of $19.2 million, after deducting broker commission and offering-related expenses. We have not sold any shares of our common stock under the 2023 ATM Prospectus during the three months ended March 31, 2025 or the year ended December 31, 2024.</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Liquidity Risks</w:t>
      </w:r>
    </w:p>
    <w:p>
      <w:pPr>
        <w:spacing w:after="0" w:line="229" w:lineRule="exact"/>
        <w:rPr>
          <w:sz w:val="20"/>
          <w:szCs w:val="20"/>
          <w:color w:val="auto"/>
        </w:rPr>
      </w:pPr>
    </w:p>
    <w:p>
      <w:pPr>
        <w:ind w:right="320" w:firstLine="891"/>
        <w:spacing w:after="0" w:line="266" w:lineRule="auto"/>
        <w:rPr>
          <w:sz w:val="20"/>
          <w:szCs w:val="20"/>
          <w:color w:val="auto"/>
        </w:rPr>
      </w:pPr>
      <w:r>
        <w:rPr>
          <w:rFonts w:ascii="Times New Roman" w:cs="Times New Roman" w:eastAsia="Times New Roman" w:hAnsi="Times New Roman"/>
          <w:sz w:val="18"/>
          <w:szCs w:val="18"/>
          <w:color w:val="auto"/>
        </w:rPr>
        <w:t>We expect to incur significant operating losses for the foreseeable future, and for these losses to further increase, as we expand our clinical development programs for our other product candidates and continue to commercialize XDEMVY. We may also encounter unforeseen expenses, difficulties, complications, delays and other currently unknown factors that could adversely affect our business.</w:t>
      </w:r>
    </w:p>
    <w:p>
      <w:pPr>
        <w:spacing w:after="0" w:line="176"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We may require additional capital to fully develop our product candidates and to execute our business strategy. Our requirements of a future capital raise will depend on many factors, including:</w:t>
      </w:r>
    </w:p>
    <w:p>
      <w:pPr>
        <w:spacing w:after="0" w:line="162" w:lineRule="exact"/>
        <w:rPr>
          <w:sz w:val="20"/>
          <w:szCs w:val="20"/>
          <w:color w:val="auto"/>
        </w:rPr>
      </w:pPr>
    </w:p>
    <w:p>
      <w:pPr>
        <w:ind w:left="1020" w:hanging="324"/>
        <w:spacing w:after="0" w:line="282"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received from commercial sales of XDEMVY or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XDEMVY or our product candidates, if they receive marketing approval;</w:t>
      </w:r>
    </w:p>
    <w:p>
      <w:pPr>
        <w:spacing w:after="0" w:line="225"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efforts, preclinical development activities,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40" w:hanging="324"/>
        <w:spacing w:after="0" w:line="282"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might have at such time;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2024 Credit Facility;</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 systems;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health epidemics on our clinical development or operations;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9"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Statements of 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4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(37,789)</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(102,224)</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136,562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108,771</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Net cash used in operating activities was $20.7 million for the three months ended March 31, 2025, which primarily consisted of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million and a net decrease in net operating assets and liabilities of $1.9 million, partially offset by net increases in non-cash and other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million. The decrease in net operating assets and liabilities were primarily due to cash decreases in accounts receivable of $15.7 million and accrued</w:t>
      </w:r>
    </w:p>
    <w:p>
      <w:pPr>
        <w:spacing w:after="0" w:line="9" w:lineRule="exact"/>
        <w:rPr>
          <w:sz w:val="20"/>
          <w:szCs w:val="20"/>
          <w:color w:val="auto"/>
        </w:rPr>
      </w:pPr>
    </w:p>
    <w:p>
      <w:pPr>
        <w:ind w:right="700"/>
        <w:spacing w:after="0" w:line="253" w:lineRule="auto"/>
        <w:rPr>
          <w:sz w:val="20"/>
          <w:szCs w:val="20"/>
          <w:color w:val="auto"/>
        </w:rPr>
      </w:pPr>
      <w:r>
        <w:rPr>
          <w:rFonts w:ascii="Times New Roman" w:cs="Times New Roman" w:eastAsia="Times New Roman" w:hAnsi="Times New Roman"/>
          <w:sz w:val="18"/>
          <w:szCs w:val="18"/>
          <w:color w:val="auto"/>
        </w:rPr>
        <w:t>payroll and benefits of $5.9 million, partially offset by cash increases including $11.3 million of accounts payable and other accrued liabilities and $8.7 million of prepaid expenses. The increase in net non-cash and other charges were primarily related to stock-based compensation expense of $6.9 million and amortization of intangible assets and depreciation of property, plant and equipment totaling $0.5 million, partially offset by net amortization/accretion of marketable securities of $1.3 million.</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Net cash used in operating activities was $37.8 million for the three months ended March 31, 2024, which primarily consisted of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 million and a net decrease in net operating assets and liabilities of $8.6 million, partially offset by net increases in non-cash and other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million. The net decrease in net operating assets and liabilities were primarily due to an increase in accounts receivable of $13.3 million and a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accrued payroll and benefits of $7.3 million, partially offset by an increase in accounts payable and other accrued liabilities of $12.3 million. The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and other charges were primarily related to stock-based compensation expense of $5.5 million and unrealized loss on equity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right="180" w:firstLine="89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$34.9 million for the three months ended March 31, 2025, and primarily related to $125.6 million of purchased marketable securities and $0.6 million of purchased property, plant and equipment. These cash decreases were partially offset by $91.2 million of proceeds from sales and maturities of marketable securities.</w:t>
      </w:r>
    </w:p>
    <w:p>
      <w:pPr>
        <w:spacing w:after="0" w:line="176"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$102.2 million for the three months ended March 31, 2024, and primarily related to $104.6 million of purchased marketable securities and $0.2 million of purchased property, plant and equipment, partially offset by $2.5 million of proceeds from maturities of marketable securities.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$136.6 million for the three months ended March 31, 2025, and related to $135.1 million of net proceeds from the issuance of common stock related to the March 2025 Public Offering and $1.4 million of proceeds from employee stock option exercises.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Net cash provided by financing activities was $108.8 million for the three months ended March 31, 2024, which primarily related to</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$98.6 million of net proceeds from the issuance of common stock and $9.4 million of net proceeds from the issuance of pre-funded warrants related to the March 2024 Public Offering, and $0.8 million of proceeds from employee stock option exercises.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 A summary of our critical accounting policies is presented in our filed Annual Report on Form 10-K for the year ended December 31, 2024.</w:t>
      </w:r>
    </w:p>
    <w:p>
      <w:pPr>
        <w:spacing w:after="0" w:line="188"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also included in this Quarterly Report on Form 10-Q, we believe this critical accounting policy is the most important to understanding and evaluating our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Rebates</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the notes to which they relate within these accompanying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have been no material changes in our market risks during the three months ended March 31, 2025.</w:t>
      </w:r>
    </w:p>
    <w:p>
      <w:pPr>
        <w:spacing w:after="0" w:line="225"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March 31, 2025, we had cash, cash equivalents and marketable securities of $407.9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w:t>
      </w:r>
    </w:p>
    <w:p>
      <w:pPr>
        <w:spacing w:after="0" w:line="183"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As of March 31, 2025,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 believe that a hypothetical 100 basis point increase or decrease in the applicable interest rate would have had a significant impact on our interest expense for the three months ended March 31, 2025.</w:t>
      </w:r>
    </w:p>
    <w:p>
      <w:pPr>
        <w:spacing w:after="0" w:line="162"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Conclusions Regarding the Effectiveness of Disclosure Controls and Procedures</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Security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187"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March 31, 2025. Based upon that evaluation, our Chief Executive Officer and Chief Financial Officer have concluded that, as of March 31, 2025, the Company's 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ind w:right="60"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ind w:right="300" w:firstLine="891"/>
        <w:spacing w:after="0" w:line="239" w:lineRule="auto"/>
        <w:rPr>
          <w:sz w:val="20"/>
          <w:szCs w:val="20"/>
          <w:color w:val="auto"/>
        </w:rPr>
      </w:pPr>
      <w:r>
        <w:rPr>
          <w:rFonts w:ascii="Times New Roman" w:cs="Times New Roman" w:eastAsia="Times New Roman" w:hAnsi="Times New Roman"/>
          <w:sz w:val="18"/>
          <w:szCs w:val="18"/>
          <w:i w:val="1"/>
          <w:iCs w:val="1"/>
          <w:color w:val="auto"/>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right="720" w:firstLine="88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early commercial-stage biopharmaceutical company with a limited operating history and a single product approved for commercial sale. We have incurred significant losses and negative cash flows from operations since our inception and could continue to incur significant expenses and losses for the foreseeable future.</w:t>
      </w:r>
    </w:p>
    <w:p>
      <w:pPr>
        <w:spacing w:after="0" w:line="175" w:lineRule="exact"/>
        <w:rPr>
          <w:sz w:val="20"/>
          <w:szCs w:val="20"/>
          <w:color w:val="auto"/>
        </w:rPr>
      </w:pPr>
    </w:p>
    <w:p>
      <w:pPr>
        <w:ind w:firstLine="881"/>
        <w:spacing w:after="0" w:line="247" w:lineRule="auto"/>
        <w:rPr>
          <w:sz w:val="20"/>
          <w:szCs w:val="20"/>
          <w:color w:val="auto"/>
        </w:rPr>
      </w:pPr>
      <w:r>
        <w:rPr>
          <w:rFonts w:ascii="Times New Roman" w:cs="Times New Roman" w:eastAsia="Times New Roman" w:hAnsi="Times New Roman"/>
          <w:sz w:val="18"/>
          <w:szCs w:val="18"/>
          <w:color w:val="auto"/>
        </w:rPr>
        <w:t xml:space="preserve">We have one product, XDEMVY®, formerly known as TP-03, which obtained Food and Drug Administration ("FDA") approval for the treatment of </w:t>
      </w:r>
      <w:r>
        <w:rPr>
          <w:rFonts w:ascii="Times New Roman" w:cs="Times New Roman" w:eastAsia="Times New Roman" w:hAnsi="Times New Roman"/>
          <w:sz w:val="18"/>
          <w:szCs w:val="18"/>
          <w:i w:val="1"/>
          <w:iCs w:val="1"/>
          <w:color w:val="auto"/>
        </w:rPr>
        <w:t>Demode</w:t>
      </w:r>
      <w:r>
        <w:rPr>
          <w:rFonts w:ascii="Times New Roman" w:cs="Times New Roman" w:eastAsia="Times New Roman" w:hAnsi="Times New Roman"/>
          <w:sz w:val="18"/>
          <w:szCs w:val="18"/>
          <w:color w:val="auto"/>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Open Market Sale Agreement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(the "2023 ATM Prospectus"), as well as proceeds from product sales, net, our China Out-License and draws from our Credit Facilities (as defined below). For the three months ended March 31, 2025 and 2024 our net losses were $25.1 million and $35.7 million, respectively. As of March 31, 2025 and December 31, 2024, we had an accumulated deficit of $385.3 million and $360.2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initiated sales and marketing activities to commercialize XDEMVY in August 2023. We could potentially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spacing w:after="0" w:line="196" w:lineRule="exact"/>
        <w:rPr>
          <w:sz w:val="20"/>
          <w:szCs w:val="20"/>
          <w:color w:val="auto"/>
        </w:rPr>
      </w:pPr>
    </w:p>
    <w:p>
      <w:pPr>
        <w:ind w:right="260" w:firstLine="881"/>
        <w:spacing w:after="0" w:line="282" w:lineRule="auto"/>
        <w:rPr>
          <w:sz w:val="20"/>
          <w:szCs w:val="20"/>
          <w:color w:val="auto"/>
        </w:rPr>
      </w:pPr>
      <w:r>
        <w:rPr>
          <w:rFonts w:ascii="Times New Roman" w:cs="Times New Roman" w:eastAsia="Times New Roman" w:hAnsi="Times New Roman"/>
          <w:sz w:val="18"/>
          <w:szCs w:val="18"/>
          <w:color w:val="auto"/>
        </w:rPr>
        <w:t>We expect to continue incurring significant expenses and increasing operating losses for the foreseeable future. We expect that our expenses will increase substantially as we:</w:t>
      </w:r>
    </w:p>
    <w:p>
      <w:pPr>
        <w:spacing w:after="0" w:line="162" w:lineRule="exact"/>
        <w:rPr>
          <w:sz w:val="20"/>
          <w:szCs w:val="20"/>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XDEMVY and any other products for which we may obtain marketing approval;</w:t>
      </w:r>
    </w:p>
    <w:p>
      <w:pPr>
        <w:spacing w:after="0" w:line="225" w:lineRule="exact"/>
        <w:rPr>
          <w:rFonts w:ascii="Times New Roman" w:cs="Times New Roman" w:eastAsia="Times New Roman" w:hAnsi="Times New Roman"/>
          <w:sz w:val="18"/>
          <w:szCs w:val="18"/>
          <w:color w:val="auto"/>
        </w:rPr>
      </w:pPr>
    </w:p>
    <w:p>
      <w:pPr>
        <w:ind w:left="1020" w:right="760" w:hanging="324"/>
        <w:spacing w:after="0" w:line="282" w:lineRule="auto"/>
        <w:tabs>
          <w:tab w:leader="none" w:pos="10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product development and planned future commercialization efforts of our product candidates, including through hiring additional clinical, regulatory, quality control and scientific personnel;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and reimbursement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and initiate additional preclinical, clinical and other studies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some of which may require additional permits or other governmental approvals;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520" w:hanging="324"/>
        <w:spacing w:after="0" w:line="282"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including adding operational, financial and management information systems and personnel;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or other payments in connection with the development or approval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and expand our intellectual property portfolio;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25"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176" w:lineRule="exact"/>
        <w:rPr>
          <w:sz w:val="20"/>
          <w:szCs w:val="20"/>
          <w:color w:val="auto"/>
        </w:rPr>
      </w:pPr>
    </w:p>
    <w:p>
      <w:pPr>
        <w:ind w:left="1020" w:right="620" w:hanging="324"/>
        <w:spacing w:after="0" w:line="282" w:lineRule="auto"/>
        <w:tabs>
          <w:tab w:leader="none" w:pos="10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establishing appropriate manufacturing arrangements for or completing the development of any of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by regulatory authorities to perform clinical trials or studies in addition to, or different than, those that we currently expect; or</w:t>
      </w:r>
    </w:p>
    <w:p>
      <w:pPr>
        <w:spacing w:after="0" w:line="236" w:lineRule="exact"/>
        <w:rPr>
          <w:rFonts w:ascii="Times New Roman" w:cs="Times New Roman" w:eastAsia="Times New Roman" w:hAnsi="Times New Roman"/>
          <w:sz w:val="17"/>
          <w:szCs w:val="17"/>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operational, sales, marketing, and distribution capabilities and, as a result, we may encounter difficulties in managing our growth, which could disrupt our operations.</w:t>
      </w:r>
    </w:p>
    <w:p>
      <w:pPr>
        <w:spacing w:after="0" w:line="159" w:lineRule="exact"/>
        <w:rPr>
          <w:sz w:val="20"/>
          <w:szCs w:val="20"/>
          <w:color w:val="auto"/>
        </w:rPr>
      </w:pPr>
    </w:p>
    <w:p>
      <w:pPr>
        <w:jc w:val="both"/>
        <w:ind w:right="460" w:firstLine="881"/>
        <w:spacing w:after="0" w:line="266" w:lineRule="auto"/>
        <w:rPr>
          <w:sz w:val="20"/>
          <w:szCs w:val="20"/>
          <w:color w:val="auto"/>
        </w:rPr>
      </w:pPr>
      <w:r>
        <w:rPr>
          <w:rFonts w:ascii="Times New Roman" w:cs="Times New Roman" w:eastAsia="Times New Roman" w:hAnsi="Times New Roman"/>
          <w:sz w:val="18"/>
          <w:szCs w:val="18"/>
          <w:color w:val="auto"/>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spacing w:after="0" w:line="176" w:lineRule="exact"/>
        <w:rPr>
          <w:sz w:val="20"/>
          <w:szCs w:val="20"/>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integrate, maintain and motivate additional qualified personnel;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development efforts effectively, including the initiation and execution of clinical trials for our product candidates;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225"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189" w:lineRule="exact"/>
        <w:rPr>
          <w:sz w:val="20"/>
          <w:szCs w:val="20"/>
          <w:color w:val="auto"/>
        </w:rPr>
      </w:pPr>
    </w:p>
    <w:p>
      <w:pPr>
        <w:jc w:val="both"/>
        <w:ind w:right="140" w:firstLine="881"/>
        <w:spacing w:after="0" w:line="266"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87"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229"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76" w:lineRule="exact"/>
        <w:rPr>
          <w:sz w:val="20"/>
          <w:szCs w:val="20"/>
          <w:color w:val="auto"/>
        </w:rPr>
      </w:pPr>
    </w:p>
    <w:p>
      <w:pPr>
        <w:ind w:right="100" w:firstLine="881"/>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189"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189"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spacing w:after="0" w:line="180" w:lineRule="exact"/>
        <w:rPr>
          <w:sz w:val="20"/>
          <w:szCs w:val="20"/>
          <w:color w:val="auto"/>
        </w:rPr>
      </w:pPr>
    </w:p>
    <w:p>
      <w:pPr>
        <w:ind w:right="100" w:firstLine="881"/>
        <w:spacing w:after="0" w:line="261"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to third parties, and as a result we manage a number of third-party contractors who have access to our confidential information.</w:t>
      </w:r>
    </w:p>
    <w:p>
      <w:pPr>
        <w:spacing w:after="0" w:line="225" w:lineRule="exact"/>
        <w:rPr>
          <w:sz w:val="20"/>
          <w:szCs w:val="20"/>
          <w:color w:val="auto"/>
        </w:rPr>
      </w:pPr>
    </w:p>
    <w:p>
      <w:pPr>
        <w:ind w:right="40" w:firstLine="881"/>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 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spacing w:after="0" w:line="190"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spacing w:after="0" w:line="200" w:lineRule="exact"/>
        <w:rPr>
          <w:sz w:val="20"/>
          <w:szCs w:val="20"/>
          <w:color w:val="auto"/>
        </w:rPr>
      </w:pPr>
    </w:p>
    <w:p>
      <w:pPr>
        <w:spacing w:after="0" w:line="211" w:lineRule="exact"/>
        <w:rPr>
          <w:sz w:val="20"/>
          <w:szCs w:val="20"/>
          <w:color w:val="auto"/>
        </w:rPr>
      </w:pPr>
    </w:p>
    <w:p>
      <w:pPr>
        <w:ind w:right="220" w:firstLine="881"/>
        <w:spacing w:after="0" w:line="282" w:lineRule="auto"/>
        <w:rPr>
          <w:sz w:val="20"/>
          <w:szCs w:val="20"/>
          <w:color w:val="auto"/>
        </w:rPr>
      </w:pPr>
      <w:r>
        <w:rPr>
          <w:rFonts w:ascii="Times New Roman" w:cs="Times New Roman" w:eastAsia="Times New Roman" w:hAnsi="Times New Roman"/>
          <w:sz w:val="18"/>
          <w:szCs w:val="18"/>
          <w:color w:val="auto"/>
        </w:rPr>
        <w:t>We maintain specific coverage to mitigate losses associated with certain cybersecurity incidents that impact our or our third parties’ systems, networks, and technologies.</w:t>
      </w:r>
    </w:p>
    <w:p>
      <w:pPr>
        <w:spacing w:after="0" w:line="158"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could divert our resources and could limit or delay our commercialization of XDEMVY or any product candidates that we may develop.</w:t>
      </w:r>
    </w:p>
    <w:p>
      <w:pPr>
        <w:spacing w:after="0" w:line="159" w:lineRule="exact"/>
        <w:rPr>
          <w:sz w:val="20"/>
          <w:szCs w:val="20"/>
          <w:color w:val="auto"/>
        </w:rPr>
      </w:pPr>
    </w:p>
    <w:p>
      <w:pPr>
        <w:ind w:right="140" w:firstLine="881"/>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spacing w:after="0" w:line="189" w:lineRule="exact"/>
        <w:rPr>
          <w:sz w:val="20"/>
          <w:szCs w:val="20"/>
          <w:color w:val="auto"/>
        </w:rPr>
      </w:pPr>
    </w:p>
    <w:p>
      <w:pPr>
        <w:ind w:left="1020" w:hanging="32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delay of our efforts to commercialize XDEMVY or any products that we may develop;</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XDEMVY or any product candidates or products that we may develop;</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120" w:hanging="324"/>
        <w:spacing w:after="0" w:line="282" w:lineRule="auto"/>
        <w:tabs>
          <w:tab w:leader="none" w:pos="10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recall, restriction on the approval or a black box warning or contraindication for XDEMVY or any future product candidates, if approved;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variation or termination of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 or challenges with clinical trial enrollment;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diversion of management’s time and our resources;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study subjects or patients;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new labeling requirements, marketing or promotional restrictions; or</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spacing w:after="0" w:line="179"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175" w:lineRule="exact"/>
        <w:rPr>
          <w:sz w:val="20"/>
          <w:szCs w:val="20"/>
          <w:color w:val="auto"/>
        </w:rPr>
      </w:pPr>
    </w:p>
    <w:p>
      <w:pPr>
        <w:ind w:right="20" w:firstLine="881"/>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and geopolitical economic conditions could adversely affect our business, financial condition or results of operations.</w:t>
      </w:r>
    </w:p>
    <w:p>
      <w:pPr>
        <w:spacing w:after="0" w:line="229" w:lineRule="exact"/>
        <w:rPr>
          <w:sz w:val="20"/>
          <w:szCs w:val="20"/>
          <w:color w:val="auto"/>
        </w:rPr>
      </w:pPr>
    </w:p>
    <w:p>
      <w:pPr>
        <w:jc w:val="both"/>
        <w:ind w:firstLine="881"/>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spacing w:after="0" w:line="192"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8"/>
          <w:szCs w:val="18"/>
          <w:color w:val="auto"/>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spacing w:after="0" w:line="180"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Additionally, the U.S. government has made statements and taken certain actions that may lead to changes in U.S. and international trade policies towards China and other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 We are closely monitoring changes and developments in international trade policy and assessing the potential impact of these and other trade policy changes on our business operations and financial performance. XDEMVY is currently being filled and finished by a reputable contract manufacturer in Europe, and we are in discussions to potentially add a second contract manufacturer domiciled in the U.S. If tariffs are imposed, we believe the potential impact will be insignificant to our gross margins or other operating expenses.</w:t>
      </w:r>
    </w:p>
    <w:p>
      <w:pPr>
        <w:spacing w:after="0" w:line="189" w:lineRule="exact"/>
        <w:rPr>
          <w:sz w:val="20"/>
          <w:szCs w:val="20"/>
          <w:color w:val="auto"/>
        </w:rPr>
      </w:pPr>
    </w:p>
    <w:p>
      <w:pPr>
        <w:ind w:right="140" w:firstLine="881"/>
        <w:spacing w:after="0" w:line="256"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capital controls or tariffs, or any countermeasures imposed in response thereto, may negatively affect the demand and competitive position of our products or future products to the extent any of our product candidates are approved for commercial sale, negatively affect our costs, or negatively impact our supply chain, among other potential negative impacts. If any new tariffs, legislation and/or regulations are implemented, or if existing trade agreements are renegotiated or, in particular, if the U.S. government, or other governments take retaliatory trade actions due to the recent trade tensions, including U.S.-China trade tensions, such changes could have an adverse effect on our business, financial condition and results of operations.</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spacing w:after="0" w:line="180" w:lineRule="exact"/>
        <w:rPr>
          <w:sz w:val="20"/>
          <w:szCs w:val="20"/>
          <w:color w:val="auto"/>
        </w:rPr>
      </w:pPr>
    </w:p>
    <w:p>
      <w:pPr>
        <w:ind w:right="20" w:firstLine="881"/>
        <w:spacing w:after="0" w:line="254"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88" w:lineRule="exact"/>
        <w:rPr>
          <w:sz w:val="20"/>
          <w:szCs w:val="20"/>
          <w:color w:val="auto"/>
        </w:rPr>
      </w:pPr>
    </w:p>
    <w:p>
      <w:pPr>
        <w:ind w:right="360" w:firstLine="881"/>
        <w:spacing w:after="0" w:line="266" w:lineRule="auto"/>
        <w:rPr>
          <w:sz w:val="20"/>
          <w:szCs w:val="20"/>
          <w:color w:val="auto"/>
        </w:rPr>
      </w:pPr>
      <w:r>
        <w:rPr>
          <w:rFonts w:ascii="Times New Roman" w:cs="Times New Roman" w:eastAsia="Times New Roman" w:hAnsi="Times New Roman"/>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may experience disruptions that could severely impact our business, preclinical studies, and clinical trials, including:</w:t>
      </w:r>
    </w:p>
    <w:p>
      <w:pPr>
        <w:spacing w:after="0" w:line="225" w:lineRule="exact"/>
        <w:rPr>
          <w:sz w:val="20"/>
          <w:szCs w:val="20"/>
          <w:color w:val="auto"/>
        </w:rPr>
      </w:pPr>
    </w:p>
    <w:p>
      <w:pPr>
        <w:ind w:left="1020" w:right="76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investigational new drug ("IND");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supply chain disruptions;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225" w:lineRule="exact"/>
        <w:rPr>
          <w:rFonts w:ascii="Times New Roman" w:cs="Times New Roman" w:eastAsia="Times New Roman" w:hAnsi="Times New Roman"/>
          <w:sz w:val="18"/>
          <w:szCs w:val="18"/>
          <w:color w:val="auto"/>
        </w:rPr>
      </w:pPr>
    </w:p>
    <w:p>
      <w:pPr>
        <w:ind w:left="1020" w:right="24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a health epidemic which may require us to change the ways in which our clinical trials are conducted, which may result in unexpected costs, or to discontinue the clinical trials altogether;</w:t>
      </w:r>
    </w:p>
    <w:p>
      <w:pPr>
        <w:spacing w:after="0" w:line="161"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1020" w:right="56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61" w:lineRule="exact"/>
        <w:rPr>
          <w:rFonts w:ascii="Times New Roman" w:cs="Times New Roman" w:eastAsia="Times New Roman" w:hAnsi="Times New Roman"/>
          <w:sz w:val="18"/>
          <w:szCs w:val="18"/>
          <w:color w:val="auto"/>
        </w:rPr>
      </w:pPr>
    </w:p>
    <w:p>
      <w:pPr>
        <w:ind w:left="1020" w:right="40" w:hanging="324"/>
        <w:spacing w:after="0" w:line="261"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79" w:lineRule="exact"/>
        <w:rPr>
          <w:rFonts w:ascii="Times New Roman" w:cs="Times New Roman" w:eastAsia="Times New Roman" w:hAnsi="Times New Roman"/>
          <w:sz w:val="18"/>
          <w:szCs w:val="18"/>
          <w:color w:val="auto"/>
        </w:rPr>
      </w:pPr>
    </w:p>
    <w:p>
      <w:pPr>
        <w:ind w:left="1020" w:right="52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spacing w:after="0" w:line="161" w:lineRule="exact"/>
        <w:rPr>
          <w:rFonts w:ascii="Times New Roman" w:cs="Times New Roman" w:eastAsia="Times New Roman" w:hAnsi="Times New Roman"/>
          <w:sz w:val="18"/>
          <w:szCs w:val="18"/>
          <w:color w:val="auto"/>
        </w:rPr>
      </w:pPr>
    </w:p>
    <w:p>
      <w:pPr>
        <w:ind w:left="1020" w:right="26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61" w:lineRule="exact"/>
        <w:rPr>
          <w:rFonts w:ascii="Times New Roman" w:cs="Times New Roman" w:eastAsia="Times New Roman" w:hAnsi="Times New Roman"/>
          <w:sz w:val="18"/>
          <w:szCs w:val="18"/>
          <w:color w:val="auto"/>
        </w:rPr>
      </w:pPr>
    </w:p>
    <w:p>
      <w:pPr>
        <w:ind w:left="1020" w:right="42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which may impact review and approval timelines;</w:t>
      </w:r>
    </w:p>
    <w:p>
      <w:pPr>
        <w:spacing w:after="0" w:line="225"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focusing on clinical trials related to therapies and vaccines targeting health epidemics;</w:t>
      </w:r>
    </w:p>
    <w:p>
      <w:pPr>
        <w:spacing w:after="0" w:line="161"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including from clinical trials in affected geographies or failure to comply with updated FDA guidance and expectations related to the conduct of clinical trials during a health epidemic; and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shutdowns or business disruptions, our ability to conduct our business in the manner and on the timelines presently planned could be materially and negatively impacted.</w:t>
      </w:r>
    </w:p>
    <w:p>
      <w:pPr>
        <w:spacing w:after="0" w:line="162"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on may be adversely affected by earthquakes, fires or other natural disasters, or geopolitical events and our business continuity and disaster recovery plans may not adequately protect us from a serious disaster.</w:t>
      </w:r>
    </w:p>
    <w:p>
      <w:pPr>
        <w:spacing w:after="0" w:line="159"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regulatory approval for XDEMVY in the U.S. in July 2023 and commenced the commercial launch of XDEMVY in August 2023. We have limited experience as a commercial company and generating revenue from product sales. If the commercial launch of XDEMVY is unsuccessful or any future approved products are unsuccessful, we may never be profitable.</w:t>
      </w:r>
    </w:p>
    <w:p>
      <w:pPr>
        <w:spacing w:after="0" w:line="173"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 xml:space="preserve">We received approval by the FDA for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eye care providers ("ECPs") and third-party payers. Further, our commercial success is dependent on our ability to educate ECPs, patients and others in the medical community about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If XDEMVY, or any other future approved product, does not achieve an adequate level of acceptance, coverage, pricing or reimbursement, we may not generate significant revenue 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spacing w:after="0" w:line="192"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successful commercialization of XDEMVY and the development, regulatory approval, and commercialization of our current and future product candidates.</w:t>
      </w:r>
    </w:p>
    <w:p>
      <w:pPr>
        <w:spacing w:after="0" w:line="159" w:lineRule="exact"/>
        <w:rPr>
          <w:sz w:val="20"/>
          <w:szCs w:val="20"/>
          <w:color w:val="auto"/>
        </w:rPr>
      </w:pPr>
    </w:p>
    <w:p>
      <w:pPr>
        <w:ind w:right="100" w:firstLine="881"/>
        <w:spacing w:after="0" w:line="258" w:lineRule="auto"/>
        <w:rPr>
          <w:sz w:val="20"/>
          <w:szCs w:val="20"/>
          <w:color w:val="auto"/>
        </w:rPr>
      </w:pPr>
      <w:r>
        <w:rPr>
          <w:rFonts w:ascii="Times New Roman" w:cs="Times New Roman" w:eastAsia="Times New Roman" w:hAnsi="Times New Roman"/>
          <w:sz w:val="18"/>
          <w:szCs w:val="18"/>
          <w:color w:val="auto"/>
        </w:rPr>
        <w:t xml:space="preserve">We currently have one product approved for commercial sale, XDEMVY, which was approved by the FDA in July 2023 for the treatment of </w:t>
      </w: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 in the U.S. The success of our business, including our ability to generate revenue from product sales in the future, will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 on the continued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spacing w:after="0" w:line="183" w:lineRule="exact"/>
        <w:rPr>
          <w:sz w:val="20"/>
          <w:szCs w:val="20"/>
          <w:color w:val="auto"/>
        </w:rPr>
      </w:pPr>
    </w:p>
    <w:p>
      <w:pPr>
        <w:ind w:left="1020" w:right="16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approvals from applicable regulatory authorities for our product candidates for which we successfully complete clinical development;</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our product candidates;</w:t>
      </w:r>
    </w:p>
    <w:p>
      <w:pPr>
        <w:spacing w:after="0" w:line="22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successfully educating ECPs about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related diagnosis;</w:t>
      </w:r>
    </w:p>
    <w:p>
      <w:pPr>
        <w:spacing w:after="0" w:line="227" w:lineRule="exact"/>
        <w:rPr>
          <w:rFonts w:ascii="Times New Roman" w:cs="Times New Roman" w:eastAsia="Times New Roman" w:hAnsi="Times New Roman"/>
          <w:sz w:val="18"/>
          <w:szCs w:val="18"/>
          <w:color w:val="auto"/>
        </w:rPr>
      </w:pPr>
    </w:p>
    <w:p>
      <w:pPr>
        <w:ind w:left="1020" w:right="4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regulatory approval, including leveraging our commercial infrastructure in-house or with one or more collaborators;</w:t>
      </w:r>
    </w:p>
    <w:p>
      <w:pPr>
        <w:spacing w:after="0" w:line="161"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XDEMVY and any of our other product candidates by patients, the medical community and third-party payers, including our planned direct-to-consumer television advertising campaign;</w:t>
      </w:r>
    </w:p>
    <w:p>
      <w:pPr>
        <w:spacing w:after="0" w:line="161"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CROs and clinical sites for the clinical development, both in the U.S. and internationally, of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required post-marketing approval commitments to applicable regulatory authorities;</w:t>
      </w:r>
    </w:p>
    <w:p>
      <w:pPr>
        <w:spacing w:after="0" w:line="225" w:lineRule="exact"/>
        <w:rPr>
          <w:rFonts w:ascii="Times New Roman" w:cs="Times New Roman" w:eastAsia="Times New Roman" w:hAnsi="Times New Roman"/>
          <w:sz w:val="18"/>
          <w:szCs w:val="18"/>
          <w:color w:val="auto"/>
        </w:rPr>
      </w:pPr>
    </w:p>
    <w:p>
      <w:pPr>
        <w:ind w:left="1020" w:right="160" w:hanging="324"/>
        <w:spacing w:after="0" w:line="266"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75"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IND prior to commencing clinical trials in the U.S. for drug for a particular indication, such as TP-04 for the potential treatment of Ocular Rosacea and TP-05 for potential Lyme disease prophylaxis and community malaria reduction;</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both prior to and following any marketing approval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225" w:lineRule="exact"/>
        <w:rPr>
          <w:rFonts w:ascii="Times New Roman" w:cs="Times New Roman" w:eastAsia="Times New Roman" w:hAnsi="Times New Roman"/>
          <w:sz w:val="18"/>
          <w:szCs w:val="18"/>
          <w:color w:val="auto"/>
        </w:rPr>
      </w:pPr>
    </w:p>
    <w:p>
      <w:pPr>
        <w:ind w:left="1020" w:right="108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U.S. and internationally;</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225"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61" w:lineRule="exact"/>
        <w:rPr>
          <w:rFonts w:ascii="Times New Roman" w:cs="Times New Roman" w:eastAsia="Times New Roman" w:hAnsi="Times New Roman"/>
          <w:sz w:val="18"/>
          <w:szCs w:val="18"/>
          <w:color w:val="auto"/>
        </w:rPr>
      </w:pPr>
    </w:p>
    <w:p>
      <w:pPr>
        <w:ind w:left="1020" w:right="4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for customers and patients from government and third-party payers for XDEMVY and other potential product candidates that we develop;</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spacing w:after="0" w:line="180" w:lineRule="exact"/>
        <w:rPr>
          <w:sz w:val="20"/>
          <w:szCs w:val="20"/>
          <w:color w:val="auto"/>
        </w:rPr>
      </w:pPr>
    </w:p>
    <w:p>
      <w:pPr>
        <w:ind w:firstLine="891"/>
        <w:spacing w:after="0" w:line="277" w:lineRule="auto"/>
        <w:rPr>
          <w:sz w:val="20"/>
          <w:szCs w:val="20"/>
          <w:color w:val="auto"/>
        </w:rPr>
      </w:pPr>
      <w:r>
        <w:rPr>
          <w:rFonts w:ascii="Times New Roman" w:cs="Times New Roman" w:eastAsia="Times New Roman" w:hAnsi="Times New Roman"/>
          <w:sz w:val="17"/>
          <w:szCs w:val="17"/>
          <w:color w:val="auto"/>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 w:cs="Times New Roman" w:eastAsia="Times New Roman" w:hAnsi="Times New Roman"/>
          <w:sz w:val="17"/>
          <w:szCs w:val="17"/>
          <w:i w:val="1"/>
          <w:iCs w:val="1"/>
          <w:color w:val="auto"/>
        </w:rPr>
        <w:t>Demodex</w:t>
      </w:r>
      <w:r>
        <w:rPr>
          <w:rFonts w:ascii="Times New Roman" w:cs="Times New Roman" w:eastAsia="Times New Roman" w:hAnsi="Times New Roman"/>
          <w:sz w:val="17"/>
          <w:szCs w:val="17"/>
          <w:color w:val="auto"/>
        </w:rPr>
        <w:t xml:space="preserve"> blepharitis and the only other current treatments include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be successful.</w:t>
      </w:r>
    </w:p>
    <w:p>
      <w:pPr>
        <w:spacing w:after="0" w:line="166"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 xml:space="preserve">Although XDEMVY is approved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ECPs and potential patients may not have sufficient information about, or recognize the need for a treatment specifically targeting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It is possible that ECPs may continue to rely on other treatments for treating symptoms consistent with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 key tenet of our continued commercialization strategy is to educate ECPs on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how to diagnose it with a simple slit lamp examination as well as raise patient awareness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However, our efforts may prove to be unsuccessful, and we may not be able to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because of the possibility that the disease will recur despite mite eradication, or after adoption fail to continue to use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187"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spacing w:after="0" w:line="180"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spacing w:after="0" w:line="176" w:lineRule="exact"/>
        <w:rPr>
          <w:sz w:val="20"/>
          <w:szCs w:val="20"/>
          <w:color w:val="auto"/>
        </w:rPr>
      </w:pPr>
    </w:p>
    <w:p>
      <w:pPr>
        <w:ind w:left="1020" w:right="560" w:hanging="324"/>
        <w:spacing w:after="0" w:line="282" w:lineRule="auto"/>
        <w:tabs>
          <w:tab w:leader="none" w:pos="1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XDEMVY, or our product candidates, if approved, compared to alternative treatments, including the existing standard-of-care, and the perceptions by members of the healthcare community of the same;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 particularly in light of the lower cost of alternative treatments;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ECPs to prescribe these therapies;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our marketing and distribution support, which may be adversely impacted by health epidemics;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perception by patients or physicians that the diseases we are targeting, including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are not burdensome;</w:t>
      </w:r>
    </w:p>
    <w:p>
      <w:pPr>
        <w:spacing w:after="0" w:line="227"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competitors to limit our access to the market through anti-competitive contracts or other arrangements;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reimbursement;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successfully commercialize XDEMVY or any future approved products.</w:t>
      </w:r>
    </w:p>
    <w:p>
      <w:pPr>
        <w:spacing w:after="0" w:line="180" w:lineRule="exact"/>
        <w:rPr>
          <w:sz w:val="20"/>
          <w:szCs w:val="20"/>
          <w:color w:val="auto"/>
        </w:rPr>
      </w:pPr>
    </w:p>
    <w:p>
      <w:pPr>
        <w:ind w:right="60" w:firstLine="891"/>
        <w:spacing w:after="0" w:line="253" w:lineRule="auto"/>
        <w:rPr>
          <w:sz w:val="20"/>
          <w:szCs w:val="20"/>
          <w:color w:val="auto"/>
        </w:rPr>
      </w:pPr>
      <w:r>
        <w:rPr>
          <w:rFonts w:ascii="Times New Roman" w:cs="Times New Roman" w:eastAsia="Times New Roman" w:hAnsi="Times New Roman"/>
          <w:sz w:val="18"/>
          <w:szCs w:val="18"/>
          <w:color w:val="auto"/>
        </w:rPr>
        <w:t>We began commercializing our first product, XDEMVY, in the U.S. in July 2023.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example, the commercialization of XDEMVY may not develop as planned or anticipated, which may require us to, among other items, adjust or amend our business plan and strategies and incur significant expenses.</w:t>
      </w:r>
    </w:p>
    <w:p>
      <w:pPr>
        <w:spacing w:after="0" w:line="194"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planned, we may require significant additional capital and financial resources, we may not become profitable, and we may not be able to compete against more established companies in our industry.</w:t>
      </w:r>
    </w:p>
    <w:p>
      <w:pPr>
        <w:spacing w:after="0" w:line="180"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9" w:lineRule="exact"/>
        <w:rPr>
          <w:sz w:val="20"/>
          <w:szCs w:val="20"/>
          <w:color w:val="auto"/>
        </w:rPr>
      </w:pPr>
    </w:p>
    <w:p>
      <w:pPr>
        <w:ind w:right="20" w:firstLine="891"/>
        <w:spacing w:after="0" w:line="289" w:lineRule="auto"/>
        <w:rPr>
          <w:sz w:val="20"/>
          <w:szCs w:val="20"/>
          <w:color w:val="auto"/>
        </w:rPr>
      </w:pPr>
      <w:r>
        <w:rPr>
          <w:rFonts w:ascii="Times New Roman" w:cs="Times New Roman" w:eastAsia="Times New Roman" w:hAnsi="Times New Roman"/>
          <w:sz w:val="17"/>
          <w:szCs w:val="17"/>
          <w:color w:val="auto"/>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sizes of the market opportunities for our product or product candidates, particularly XDEMVY for the treatment of </w:t>
      </w:r>
      <w:r>
        <w:rPr>
          <w:rFonts w:ascii="Times New Roman" w:cs="Times New Roman" w:eastAsia="Times New Roman" w:hAnsi="Times New Roman"/>
          <w:sz w:val="18"/>
          <w:szCs w:val="18"/>
          <w:b w:val="1"/>
          <w:bCs w:val="1"/>
          <w:color w:val="auto"/>
        </w:rPr>
        <w:t>Demodex</w:t>
      </w:r>
      <w:r>
        <w:rPr>
          <w:rFonts w:ascii="Times New Roman" w:cs="Times New Roman" w:eastAsia="Times New Roman" w:hAnsi="Times New Roman"/>
          <w:sz w:val="18"/>
          <w:szCs w:val="18"/>
          <w:b w:val="1"/>
          <w:bCs w:val="1"/>
          <w:i w:val="1"/>
          <w:iCs w:val="1"/>
          <w:color w:val="auto"/>
        </w:rPr>
        <w:t xml:space="preserve"> blepharitis, may be smaller than we estimate, possibly materially. If we overestimate the size of these markets, our sales growth may be adversely affected. We may also not be able to grow the markets for our product candidates as intended or at all.</w:t>
      </w:r>
    </w:p>
    <w:p>
      <w:pPr>
        <w:spacing w:after="0" w:line="175" w:lineRule="exact"/>
        <w:rPr>
          <w:sz w:val="20"/>
          <w:szCs w:val="20"/>
          <w:color w:val="auto"/>
        </w:rPr>
      </w:pPr>
    </w:p>
    <w:p>
      <w:pPr>
        <w:ind w:right="60" w:firstLine="881"/>
        <w:spacing w:after="0" w:line="252" w:lineRule="auto"/>
        <w:rPr>
          <w:sz w:val="20"/>
          <w:szCs w:val="20"/>
          <w:color w:val="auto"/>
        </w:rPr>
      </w:pPr>
      <w:r>
        <w:rPr>
          <w:rFonts w:ascii="Times New Roman" w:cs="Times New Roman" w:eastAsia="Times New Roman" w:hAnsi="Times New Roman"/>
          <w:sz w:val="18"/>
          <w:szCs w:val="18"/>
          <w:color w:val="auto"/>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spacing w:after="0" w:line="175"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3"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spacing w:after="0" w:line="180" w:lineRule="exact"/>
        <w:rPr>
          <w:sz w:val="20"/>
          <w:szCs w:val="20"/>
          <w:color w:val="auto"/>
        </w:rPr>
      </w:pPr>
    </w:p>
    <w:p>
      <w:pPr>
        <w:ind w:right="240" w:firstLine="881"/>
        <w:spacing w:after="0" w:line="266"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76"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7" w:lineRule="exact"/>
        <w:rPr>
          <w:sz w:val="20"/>
          <w:szCs w:val="20"/>
          <w:color w:val="auto"/>
        </w:rPr>
      </w:pPr>
    </w:p>
    <w:p>
      <w:pPr>
        <w:ind w:right="200" w:firstLine="881"/>
        <w:spacing w:after="0" w:line="267" w:lineRule="auto"/>
        <w:rPr>
          <w:sz w:val="20"/>
          <w:szCs w:val="20"/>
          <w:color w:val="auto"/>
        </w:rPr>
      </w:pPr>
      <w:r>
        <w:rPr>
          <w:rFonts w:ascii="Times New Roman" w:cs="Times New Roman" w:eastAsia="Times New Roman" w:hAnsi="Times New Roman"/>
          <w:sz w:val="18"/>
          <w:szCs w:val="18"/>
          <w:color w:val="auto"/>
        </w:rPr>
        <w:t xml:space="preserve">Additionally, while XDEMVY is approved for the treatment of blepharitis 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specifically, a number of other treatments are currently available for blepharitis in the U.S. Current treatments for blepharitis in the U.S. include over the counter remedies such as tea tree oil, lid wipes and artificial tears, as well as off-label prescription products. If</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ECPs were to continue to prescribe these other existing treatments instead of XDEMVY, our business would be adversely affected.</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spacing w:after="0" w:line="175"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spacing w:after="0" w:line="19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spacing w:after="0" w:line="180" w:lineRule="exact"/>
        <w:rPr>
          <w:sz w:val="20"/>
          <w:szCs w:val="20"/>
          <w:color w:val="auto"/>
        </w:rPr>
      </w:pPr>
    </w:p>
    <w:p>
      <w:pPr>
        <w:ind w:right="20" w:firstLine="881"/>
        <w:spacing w:after="0" w:line="266"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176" w:lineRule="exact"/>
        <w:rPr>
          <w:sz w:val="20"/>
          <w:szCs w:val="20"/>
          <w:color w:val="auto"/>
        </w:rPr>
      </w:pPr>
    </w:p>
    <w:p>
      <w:pPr>
        <w:ind w:right="60" w:firstLine="881"/>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spacing w:after="0" w:line="187"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183"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spacing w:after="0" w:line="162" w:lineRule="exact"/>
        <w:rPr>
          <w:sz w:val="20"/>
          <w:szCs w:val="20"/>
          <w:color w:val="auto"/>
        </w:rPr>
      </w:pPr>
    </w:p>
    <w:p>
      <w:pPr>
        <w:ind w:left="1020" w:right="300" w:hanging="324"/>
        <w:spacing w:after="0" w:line="282" w:lineRule="auto"/>
        <w:tabs>
          <w:tab w:leader="none" w:pos="10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or require additional warnings on the label such as a black box warning, a contraindication or other limitations on the product's approved use, or issue safety alerts,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Dear Healthcare Provider letters, press releases or other communications containing warnings or other safety information about the product;</w:t>
      </w:r>
    </w:p>
    <w:p>
      <w:pPr>
        <w:spacing w:after="0" w:line="225" w:lineRule="exact"/>
        <w:rPr>
          <w:sz w:val="20"/>
          <w:szCs w:val="20"/>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seized by regulatory authorities;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recall of the product;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25" w:lineRule="exact"/>
        <w:rPr>
          <w:rFonts w:ascii="Times New Roman" w:cs="Times New Roman" w:eastAsia="Times New Roman" w:hAnsi="Times New Roman"/>
          <w:sz w:val="18"/>
          <w:szCs w:val="18"/>
          <w:color w:val="auto"/>
        </w:rPr>
      </w:pPr>
    </w:p>
    <w:p>
      <w:pPr>
        <w:ind w:left="1020" w:right="100" w:hanging="324"/>
        <w:spacing w:after="0" w:line="266"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there may be resulting harm to physician or patient acceptance of our product.</w:t>
      </w:r>
    </w:p>
    <w:p>
      <w:pPr>
        <w:spacing w:after="0" w:line="225"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215" w:lineRule="exact"/>
        <w:rPr>
          <w:sz w:val="20"/>
          <w:szCs w:val="20"/>
          <w:color w:val="auto"/>
        </w:rPr>
      </w:pPr>
    </w:p>
    <w:p>
      <w:pPr>
        <w:ind w:right="140" w:firstLine="881"/>
        <w:spacing w:after="0" w:line="270" w:lineRule="auto"/>
        <w:rPr>
          <w:sz w:val="20"/>
          <w:szCs w:val="20"/>
          <w:color w:val="auto"/>
        </w:rPr>
      </w:pPr>
      <w:r>
        <w:rPr>
          <w:rFonts w:ascii="Times New Roman" w:cs="Times New Roman" w:eastAsia="Times New Roman" w:hAnsi="Times New Roman"/>
          <w:sz w:val="17"/>
          <w:szCs w:val="17"/>
          <w:color w:val="auto"/>
        </w:rPr>
        <w:t>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w:t>
      </w:r>
    </w:p>
    <w:p>
      <w:pPr>
        <w:spacing w:after="0" w:line="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required price data on a timely basis, or if we misclassify or misreport product information. CMS could also decide to terminate our Medicaid Drug Rebate Program, in which case federal payments may not be available under Medicaid or Medicare Part B for our covered outpatient drugs.</w:t>
      </w:r>
    </w:p>
    <w:p>
      <w:pPr>
        <w:spacing w:after="0" w:line="162"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The Affordable Care Act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managers ("PBM") “accumulator” and "maximizer" programs were invalidated by a court, such programs may continue to negatively affect us in other ways. Our failure to comply with these price reporting and rebate payment options, as well as PBM “accumulator” and "maximizer" programs, could negatively impact our financial results.</w:t>
      </w:r>
    </w:p>
    <w:p>
      <w:pPr>
        <w:spacing w:after="0" w:line="192" w:lineRule="exact"/>
        <w:rPr>
          <w:sz w:val="20"/>
          <w:szCs w:val="20"/>
          <w:color w:val="auto"/>
        </w:rPr>
      </w:pPr>
    </w:p>
    <w:p>
      <w:pPr>
        <w:ind w:right="100" w:firstLine="881"/>
        <w:spacing w:after="0" w:line="258" w:lineRule="auto"/>
        <w:rPr>
          <w:sz w:val="20"/>
          <w:szCs w:val="20"/>
          <w:color w:val="auto"/>
        </w:rPr>
      </w:pPr>
      <w:r>
        <w:rPr>
          <w:rFonts w:ascii="Times New Roman" w:cs="Times New Roman" w:eastAsia="Times New Roman" w:hAnsi="Times New Roman"/>
          <w:sz w:val="18"/>
          <w:szCs w:val="18"/>
          <w:color w:val="auto"/>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spacing w:after="0" w:line="183"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Further, the Inflation Reduction Act ("IRA") established a Medicare Part D Prescription Drug Program ("Medicare Part D") inflation rebate scheme, with the first rebate period taking place in the fourth quarter of 2022 through the third quarter of 2023, and a drug price negotiation program, with the first negotiated prices to take effect in 2026. It also makes several changes to the Medicare Part D benefit, including the creation of a new Manufacturer Discount Program ("MDP") in place of the current coverage gap discount program (which began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spacing w:after="0" w:line="189" w:lineRule="exact"/>
        <w:rPr>
          <w:sz w:val="20"/>
          <w:szCs w:val="20"/>
          <w:color w:val="auto"/>
        </w:rPr>
      </w:pPr>
    </w:p>
    <w:p>
      <w:pPr>
        <w:ind w:right="140" w:firstLine="881"/>
        <w:spacing w:after="0" w:line="258" w:lineRule="auto"/>
        <w:rPr>
          <w:sz w:val="20"/>
          <w:szCs w:val="20"/>
          <w:color w:val="auto"/>
        </w:rPr>
      </w:pPr>
      <w:r>
        <w:rPr>
          <w:rFonts w:ascii="Times New Roman" w:cs="Times New Roman" w:eastAsia="Times New Roman" w:hAnsi="Times New Roman"/>
          <w:sz w:val="18"/>
          <w:szCs w:val="18"/>
          <w:color w:val="auto"/>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spacing w:after="0" w:line="183"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Our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w:t>
      </w:r>
    </w:p>
    <w:p>
      <w:pPr>
        <w:spacing w:after="0" w:line="194"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187"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difference to the government. Failure to make necessary disclosures and/or to identify contract overcharges can result in allegations against us under the False Claims Act and other laws and regulations.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on the commercialization of XDEMVY for the treatment of Demodex blepharitis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 xml:space="preserve">Because we have limited financial and managerial resources, we must prioritize our research programs and will need to focus our product candidates on the potential treatment of certain indications. We are currently focused on the commercialization, of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XDEMVY and other product candidates may not yield any commercially viable products. If we do not accurately evaluate the commercial potential or target market for XDEMVY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spacing w:after="0" w:line="175"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92" w:lineRule="exact"/>
        <w:rPr>
          <w:sz w:val="20"/>
          <w:szCs w:val="20"/>
          <w:color w:val="auto"/>
        </w:rPr>
      </w:pPr>
    </w:p>
    <w:p>
      <w:pPr>
        <w:ind w:right="120" w:firstLine="881"/>
        <w:spacing w:after="0" w:line="256" w:lineRule="auto"/>
        <w:rPr>
          <w:sz w:val="20"/>
          <w:szCs w:val="20"/>
          <w:color w:val="auto"/>
        </w:rPr>
      </w:pPr>
      <w:r>
        <w:rPr>
          <w:rFonts w:ascii="Times New Roman" w:cs="Times New Roman" w:eastAsia="Times New Roman" w:hAnsi="Times New Roman"/>
          <w:sz w:val="18"/>
          <w:szCs w:val="18"/>
          <w:color w:val="auto"/>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2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XDEMVY 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175" w:lineRule="exact"/>
        <w:rPr>
          <w:sz w:val="20"/>
          <w:szCs w:val="20"/>
          <w:color w:val="auto"/>
        </w:rPr>
      </w:pPr>
    </w:p>
    <w:p>
      <w:pPr>
        <w:ind w:right="80" w:firstLine="891"/>
        <w:spacing w:after="0" w:line="277" w:lineRule="auto"/>
        <w:rPr>
          <w:sz w:val="20"/>
          <w:szCs w:val="20"/>
          <w:color w:val="auto"/>
        </w:rPr>
      </w:pPr>
      <w:r>
        <w:rPr>
          <w:rFonts w:ascii="Times New Roman" w:cs="Times New Roman" w:eastAsia="Times New Roman" w:hAnsi="Times New Roman"/>
          <w:sz w:val="17"/>
          <w:szCs w:val="17"/>
          <w:color w:val="auto"/>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 w:cs="Times New Roman" w:eastAsia="Times New Roman" w:hAnsi="Times New Roman"/>
          <w:sz w:val="17"/>
          <w:szCs w:val="17"/>
          <w:i w:val="1"/>
          <w:iCs w:val="1"/>
          <w:color w:val="auto"/>
        </w:rPr>
        <w:t>Demodex</w:t>
      </w:r>
      <w:r>
        <w:rPr>
          <w:rFonts w:ascii="Times New Roman" w:cs="Times New Roman" w:eastAsia="Times New Roman" w:hAnsi="Times New Roman"/>
          <w:sz w:val="17"/>
          <w:szCs w:val="17"/>
          <w:color w:val="auto"/>
        </w:rPr>
        <w:t xml:space="preserve"> blepharitis, and we are not permitted to promote XDEMVY for any other uses, unless and until such uses are approved.</w:t>
      </w:r>
    </w:p>
    <w:p>
      <w:pPr>
        <w:spacing w:after="0" w:line="168"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spacing w:after="0" w:line="19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right="80" w:firstLine="881"/>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spacing w:after="0" w:line="192"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87"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spacing w:after="0" w:line="188" w:lineRule="exact"/>
        <w:rPr>
          <w:sz w:val="20"/>
          <w:szCs w:val="20"/>
          <w:color w:val="auto"/>
        </w:rPr>
      </w:pPr>
    </w:p>
    <w:p>
      <w:pPr>
        <w:ind w:left="1020" w:right="140" w:hanging="324"/>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61"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1020" w:right="180" w:hanging="324"/>
        <w:spacing w:after="0" w:line="266"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spacing w:after="0" w:line="175" w:lineRule="exact"/>
        <w:rPr>
          <w:rFonts w:ascii="Times New Roman" w:cs="Times New Roman" w:eastAsia="Times New Roman" w:hAnsi="Times New Roman"/>
          <w:sz w:val="18"/>
          <w:szCs w:val="18"/>
          <w:color w:val="auto"/>
        </w:rPr>
      </w:pPr>
    </w:p>
    <w:p>
      <w:pPr>
        <w:ind w:left="1020" w:hanging="324"/>
        <w:spacing w:after="0" w:line="266"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225" w:lineRule="exact"/>
        <w:rPr>
          <w:rFonts w:ascii="Times New Roman" w:cs="Times New Roman" w:eastAsia="Times New Roman" w:hAnsi="Times New Roman"/>
          <w:sz w:val="18"/>
          <w:szCs w:val="18"/>
          <w:color w:val="auto"/>
        </w:rPr>
      </w:pPr>
    </w:p>
    <w:p>
      <w:pPr>
        <w:ind w:left="1020" w:right="20" w:hanging="324"/>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61" w:lineRule="exact"/>
        <w:rPr>
          <w:rFonts w:ascii="Times New Roman" w:cs="Times New Roman" w:eastAsia="Times New Roman" w:hAnsi="Times New Roman"/>
          <w:sz w:val="18"/>
          <w:szCs w:val="18"/>
          <w:color w:val="auto"/>
        </w:rPr>
      </w:pPr>
    </w:p>
    <w:p>
      <w:pPr>
        <w:ind w:left="1020" w:right="560" w:hanging="324"/>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be delayed;</w:t>
      </w:r>
    </w:p>
    <w:p>
      <w:pPr>
        <w:spacing w:after="0" w:line="161" w:lineRule="exact"/>
        <w:rPr>
          <w:rFonts w:ascii="Times New Roman" w:cs="Times New Roman" w:eastAsia="Times New Roman" w:hAnsi="Times New Roman"/>
          <w:sz w:val="18"/>
          <w:szCs w:val="18"/>
          <w:color w:val="auto"/>
        </w:rPr>
      </w:pPr>
    </w:p>
    <w:p>
      <w:pPr>
        <w:ind w:left="1020" w:right="260" w:hanging="324"/>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trials;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determine that the planned design of our clinical trials is flawed or inadequate;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their approval of a product or impose restrictions on its distribution;</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timely or at all obtain INDs for a product candidate;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modify a preclinical study or clinical trial protocol;</w:t>
      </w:r>
    </w:p>
    <w:p>
      <w:pPr>
        <w:spacing w:after="0" w:line="225" w:lineRule="exact"/>
        <w:rPr>
          <w:rFonts w:ascii="Times New Roman" w:cs="Times New Roman" w:eastAsia="Times New Roman" w:hAnsi="Times New Roman"/>
          <w:sz w:val="18"/>
          <w:szCs w:val="18"/>
          <w:color w:val="auto"/>
        </w:rPr>
      </w:pPr>
    </w:p>
    <w:p>
      <w:pPr>
        <w:ind w:left="1020" w:right="220" w:hanging="324"/>
        <w:spacing w:after="0" w:line="282"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020" w:right="760" w:hanging="324"/>
        <w:spacing w:after="0" w:line="312" w:lineRule="auto"/>
        <w:tabs>
          <w:tab w:leader="none" w:pos="10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139" w:lineRule="exact"/>
        <w:rPr>
          <w:rFonts w:ascii="Times New Roman" w:cs="Times New Roman" w:eastAsia="Times New Roman" w:hAnsi="Times New Roman"/>
          <w:sz w:val="17"/>
          <w:szCs w:val="17"/>
          <w:color w:val="auto"/>
        </w:rPr>
      </w:pPr>
    </w:p>
    <w:p>
      <w:pPr>
        <w:jc w:val="both"/>
        <w:ind w:left="1020" w:right="120" w:hanging="324"/>
        <w:spacing w:after="0" w:line="266"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spacing w:after="0" w:line="175" w:lineRule="exact"/>
        <w:rPr>
          <w:rFonts w:ascii="Times New Roman" w:cs="Times New Roman" w:eastAsia="Times New Roman" w:hAnsi="Times New Roman"/>
          <w:sz w:val="18"/>
          <w:szCs w:val="18"/>
          <w:color w:val="auto"/>
        </w:rPr>
      </w:pPr>
    </w:p>
    <w:p>
      <w:pPr>
        <w:ind w:left="1020" w:right="380" w:hanging="324"/>
        <w:spacing w:after="0" w:line="266"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76"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80" w:lineRule="exact"/>
        <w:rPr>
          <w:sz w:val="20"/>
          <w:szCs w:val="20"/>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still require significant testing. We only recently began clinical trials to test TP-04 and TP-05 in humans and, as a company, we have limited experience in this area.</w:t>
      </w:r>
    </w:p>
    <w:p>
      <w:pPr>
        <w:spacing w:after="0" w:line="15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 xml:space="preserve">We are early in our development efforts for our product candidates and indications, including TP-04 for the treatment of Ocular Rosacea and TP-05 for potential Lyme disease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to satisfy the preclinical study requirements for TP-04 and TP-05 and other indications. For rosacea, we conducted the Phase 1 Galatea trial with TP-04 and initiated the Phase 2a Galatea trial,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treatment of rosacea in March 2023. In February 2024 we announced positive topline results and in January 2025 we announced plans to initiate a Phase 2 study in the second half of 2025. With respect to Lyme disease, in December 2022 we announced positive topline results from the completed Callisto trial and enrollment of the first patient in the Carpo trial. The Carpo trial, evaluating TP-05, a novel investigational oral,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In December 2024, we met with the FDA about our Lyme disease program. The FDA agreed to our proposed approach for a Phase 2b clinical trial, which would include several hundred subjects. Additionally, the FDA confirmed that a Phase 3 clinical study would require a disease prevention field study that would likely require the enrollment of thousands of patients.</w:t>
      </w:r>
    </w:p>
    <w:p>
      <w:pPr>
        <w:spacing w:after="0" w:line="186"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The FDA may reject our use of data from TP-03 preclinical studies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185"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encounter difficulties or delays enrolling patients in our clinical trials, which could cause delays in or adverse effects of our clinical development activities.</w:t>
      </w:r>
    </w:p>
    <w:p>
      <w:pPr>
        <w:spacing w:after="0" w:line="159" w:lineRule="exact"/>
        <w:rPr>
          <w:sz w:val="20"/>
          <w:szCs w:val="20"/>
          <w:color w:val="auto"/>
        </w:rPr>
      </w:pPr>
    </w:p>
    <w:p>
      <w:pPr>
        <w:ind w:right="120" w:firstLine="881"/>
        <w:spacing w:after="0" w:line="258" w:lineRule="auto"/>
        <w:rPr>
          <w:sz w:val="20"/>
          <w:szCs w:val="20"/>
          <w:color w:val="auto"/>
        </w:rPr>
      </w:pPr>
      <w:r>
        <w:rPr>
          <w:rFonts w:ascii="Times New Roman" w:cs="Times New Roman" w:eastAsia="Times New Roman" w:hAnsi="Times New Roman"/>
          <w:sz w:val="18"/>
          <w:szCs w:val="18"/>
          <w:color w:val="auto"/>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pushing to February 2024 as a result of patient enrollment delays. The enrollment of patients depends on many factors, including:</w:t>
      </w:r>
    </w:p>
    <w:p>
      <w:pPr>
        <w:spacing w:after="0" w:line="183" w:lineRule="exact"/>
        <w:rPr>
          <w:sz w:val="20"/>
          <w:szCs w:val="20"/>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20" w:right="560" w:hanging="324"/>
        <w:spacing w:after="0" w:line="282" w:lineRule="auto"/>
        <w:tabs>
          <w:tab w:leader="none" w:pos="10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or lack of adequate compensation for, prospective patients;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of enrolling patients or patients continuing to participate in follow-up visits due to ongoing or new health epidemics;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In addition, our clinical trials may compete with other clinical trials for product candidates that are in the same therapeutic areas as our product candidates, and this competition would reduce the number and types of patients available to us,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180" w:lineRule="exact"/>
        <w:rPr>
          <w:sz w:val="20"/>
          <w:szCs w:val="20"/>
          <w:color w:val="auto"/>
        </w:rPr>
      </w:pPr>
    </w:p>
    <w:p>
      <w:pPr>
        <w:ind w:right="520" w:firstLine="881"/>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spacing w:after="0" w:line="159" w:lineRule="exact"/>
        <w:rPr>
          <w:sz w:val="20"/>
          <w:szCs w:val="20"/>
          <w:color w:val="auto"/>
        </w:rPr>
      </w:pPr>
    </w:p>
    <w:p>
      <w:pPr>
        <w:ind w:right="220" w:firstLine="881"/>
        <w:spacing w:after="0" w:line="256" w:lineRule="auto"/>
        <w:rPr>
          <w:sz w:val="20"/>
          <w:szCs w:val="20"/>
          <w:color w:val="auto"/>
        </w:rPr>
      </w:pPr>
      <w:r>
        <w:rPr>
          <w:rFonts w:ascii="Times New Roman" w:cs="Times New Roman" w:eastAsia="Times New Roman" w:hAnsi="Times New Roman"/>
          <w:sz w:val="18"/>
          <w:szCs w:val="18"/>
          <w:color w:val="auto"/>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187" w:lineRule="exact"/>
        <w:rPr>
          <w:sz w:val="20"/>
          <w:szCs w:val="20"/>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placing the clinical trial on hold;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or other product candidates, or participating in competing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of the product;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interruptions or delays in the supply of our product candidates for our clinical trials;</w:t>
      </w:r>
    </w:p>
    <w:p>
      <w:pPr>
        <w:spacing w:after="0" w:line="225" w:lineRule="exact"/>
        <w:rPr>
          <w:rFonts w:ascii="Times New Roman" w:cs="Times New Roman" w:eastAsia="Times New Roman" w:hAnsi="Times New Roman"/>
          <w:sz w:val="18"/>
          <w:szCs w:val="18"/>
          <w:color w:val="auto"/>
        </w:rPr>
      </w:pPr>
    </w:p>
    <w:p>
      <w:pPr>
        <w:ind w:left="1020" w:right="260" w:hanging="324"/>
        <w:spacing w:after="0" w:line="266" w:lineRule="auto"/>
        <w:tabs>
          <w:tab w:leader="none" w:pos="10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vendors and clinical trial sites;</w:t>
      </w:r>
    </w:p>
    <w:p>
      <w:pPr>
        <w:spacing w:after="0" w:line="225" w:lineRule="exact"/>
        <w:rPr>
          <w:rFonts w:ascii="Times New Roman" w:cs="Times New Roman" w:eastAsia="Times New Roman" w:hAnsi="Times New Roman"/>
          <w:sz w:val="18"/>
          <w:szCs w:val="18"/>
          <w:color w:val="auto"/>
        </w:rPr>
      </w:pPr>
    </w:p>
    <w:p>
      <w:pPr>
        <w:ind w:left="1020" w:hanging="324"/>
        <w:spacing w:after="0" w:line="266" w:lineRule="auto"/>
        <w:tabs>
          <w:tab w:leader="none" w:pos="10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spacing w:after="0" w:line="175" w:lineRule="exact"/>
        <w:rPr>
          <w:rFonts w:ascii="Times New Roman" w:cs="Times New Roman" w:eastAsia="Times New Roman" w:hAnsi="Times New Roman"/>
          <w:sz w:val="18"/>
          <w:szCs w:val="18"/>
          <w:color w:val="auto"/>
        </w:rPr>
      </w:pPr>
    </w:p>
    <w:p>
      <w:pPr>
        <w:ind w:left="1020" w:right="100" w:hanging="324"/>
        <w:spacing w:after="0" w:line="266" w:lineRule="auto"/>
        <w:tabs>
          <w:tab w:leader="none" w:pos="10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75" w:lineRule="exact"/>
        <w:rPr>
          <w:rFonts w:ascii="Times New Roman" w:cs="Times New Roman" w:eastAsia="Times New Roman" w:hAnsi="Times New Roman"/>
          <w:sz w:val="18"/>
          <w:szCs w:val="18"/>
          <w:color w:val="auto"/>
        </w:rPr>
      </w:pPr>
    </w:p>
    <w:p>
      <w:pPr>
        <w:ind w:left="1020" w:right="480" w:hanging="324"/>
        <w:spacing w:after="0" w:line="282" w:lineRule="auto"/>
        <w:tabs>
          <w:tab w:leader="none" w:pos="10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IRBs, other ethics committees refusing to approve, suspending or terminating the trial at an investigational site, precluding enrollment of additional subjects, or withdrawing its approval of the trial; 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300" w:hanging="324"/>
        <w:spacing w:after="0" w:line="282" w:lineRule="auto"/>
        <w:tabs>
          <w:tab w:leader="none" w:pos="10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spacing w:after="0" w:line="162" w:lineRule="exact"/>
        <w:rPr>
          <w:sz w:val="20"/>
          <w:szCs w:val="20"/>
          <w:color w:val="auto"/>
        </w:rPr>
      </w:pPr>
    </w:p>
    <w:p>
      <w:pPr>
        <w:ind w:right="100" w:firstLine="881"/>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92" w:lineRule="exact"/>
        <w:rPr>
          <w:sz w:val="20"/>
          <w:szCs w:val="20"/>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MGD. As of the date of this filing, it is uncertain if and when we will receive any future milestone consideration under the China Out-License.</w:t>
      </w:r>
    </w:p>
    <w:p>
      <w:pPr>
        <w:spacing w:after="0" w:line="192"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spacing w:after="0" w:line="180"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 number of our completed clinical trials and may conduct ongoing clinical trials for our product candidates at sites outside the U.S., and the FDA may not accept data from trials conducted in such locations.</w:t>
      </w:r>
    </w:p>
    <w:p>
      <w:pPr>
        <w:spacing w:after="0" w:line="15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spacing w:after="0" w:line="194"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In addition, there are risks inherent in conducting clinical trials in multiple jurisdictions, inside and outside of the U.S. and if we conduct trials outside of the U.S., we may face risks, such as:</w:t>
      </w:r>
    </w:p>
    <w:p>
      <w:pPr>
        <w:spacing w:after="0" w:line="162" w:lineRule="exact"/>
        <w:rPr>
          <w:sz w:val="20"/>
          <w:szCs w:val="20"/>
          <w:color w:val="auto"/>
        </w:rPr>
      </w:pPr>
    </w:p>
    <w:p>
      <w:pPr>
        <w:ind w:left="1020" w:hanging="324"/>
        <w:spacing w:after="0" w:line="282" w:lineRule="auto"/>
        <w:tabs>
          <w:tab w:leader="none" w:pos="10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administrative requirements of the jurisdiction where the trial is conducted that could burden or limit our ability to conduct our clinical trials;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or legal differences in the standards for medical practice and clinical research;</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cultural attitudes to self-reported adverse events (such as burning, stinging, blurry vision) leading to a different safety profile;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40" w:hanging="324"/>
        <w:spacing w:after="0" w:line="282" w:lineRule="auto"/>
        <w:tabs>
          <w:tab w:leader="none" w:pos="10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patient populations in such trials are not considered representative as compared to the patient population in the target markets where approval is being sought.</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obligations under our in-license and out-license agreements and other strategic agreements may divert management time and attention, causing delays or disruptions to our business.</w:t>
      </w:r>
    </w:p>
    <w:p>
      <w:pPr>
        <w:spacing w:after="0" w:line="15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We have entered into two license agreements with Elanco Tiergesundheit AG ("Elanco"): (i) a license agreement for exclusive worldwide rights to certain intellectual property for the development and commercialization of lotilaner in the treatment or cure of any eye or skin disease or condition in humans, as amended in June 2022 ("Eye and Derm Elanco Agreement") and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and have also entered into the China Out-License as discussed elsewhere herein. We have also entered into and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92" w:lineRule="exact"/>
        <w:rPr>
          <w:sz w:val="20"/>
          <w:szCs w:val="20"/>
          <w:color w:val="auto"/>
        </w:rPr>
      </w:pPr>
    </w:p>
    <w:p>
      <w:pPr>
        <w:ind w:right="280" w:firstLine="881"/>
        <w:spacing w:after="0" w:line="261" w:lineRule="auto"/>
        <w:rPr>
          <w:sz w:val="20"/>
          <w:szCs w:val="20"/>
          <w:color w:val="auto"/>
        </w:rPr>
      </w:pPr>
      <w:r>
        <w:rPr>
          <w:rFonts w:ascii="Times New Roman" w:cs="Times New Roman" w:eastAsia="Times New Roman" w:hAnsi="Times New Roman"/>
          <w:sz w:val="18"/>
          <w:szCs w:val="18"/>
          <w:color w:val="auto"/>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15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59"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right="260" w:firstLine="881"/>
        <w:spacing w:after="0" w:line="258" w:lineRule="auto"/>
        <w:rPr>
          <w:sz w:val="20"/>
          <w:szCs w:val="20"/>
          <w:color w:val="auto"/>
        </w:rPr>
      </w:pPr>
      <w:r>
        <w:rPr>
          <w:rFonts w:ascii="Times New Roman" w:cs="Times New Roman" w:eastAsia="Times New Roman" w:hAnsi="Times New Roman"/>
          <w:sz w:val="18"/>
          <w:szCs w:val="18"/>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and longer-term planning for commercialization efforts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XDEMVY and our other potential product candidates.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spacing w:after="0" w:line="18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ongoing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spacing w:after="0" w:line="180"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Facilities.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spacing w:after="0" w:line="192" w:lineRule="exact"/>
        <w:rPr>
          <w:sz w:val="20"/>
          <w:szCs w:val="20"/>
          <w:color w:val="auto"/>
        </w:rPr>
      </w:pPr>
    </w:p>
    <w:p>
      <w:pPr>
        <w:ind w:right="120" w:firstLine="891"/>
        <w:spacing w:after="0" w:line="312" w:lineRule="auto"/>
        <w:rPr>
          <w:sz w:val="20"/>
          <w:szCs w:val="20"/>
          <w:color w:val="auto"/>
        </w:rPr>
      </w:pPr>
      <w:r>
        <w:rPr>
          <w:rFonts w:ascii="Times New Roman" w:cs="Times New Roman" w:eastAsia="Times New Roman" w:hAnsi="Times New Roman"/>
          <w:sz w:val="17"/>
          <w:szCs w:val="17"/>
          <w:color w:val="auto"/>
        </w:rPr>
        <w:t>We believe that our cash, cash equivalents and marketable securities of $407.9 million as of March 31, 2025 and expected sales of XDEMVY is sufficient to fund our current and planned operations for at least the next twelve months from the date of filing this Quarterly Report on Form 10-Q.</w:t>
      </w:r>
    </w:p>
    <w:p>
      <w:pPr>
        <w:spacing w:after="0" w:line="140" w:lineRule="exact"/>
        <w:rPr>
          <w:sz w:val="20"/>
          <w:szCs w:val="20"/>
          <w:color w:val="auto"/>
        </w:rPr>
      </w:pPr>
    </w:p>
    <w:p>
      <w:pPr>
        <w:jc w:val="both"/>
        <w:ind w:right="260" w:firstLine="891"/>
        <w:spacing w:after="0" w:line="266"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XDEMVY and our other product candidates through one or more of: equity offerings, draws from our Credit Facilities, marketing and distribution arrangements and other collaborations, strategic alliances and licensing arrangements or other sources.</w:t>
      </w:r>
    </w:p>
    <w:p>
      <w:pPr>
        <w:spacing w:after="0" w:line="176"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187" w:lineRule="exact"/>
        <w:rPr>
          <w:sz w:val="20"/>
          <w:szCs w:val="20"/>
          <w:color w:val="auto"/>
        </w:rPr>
      </w:pPr>
    </w:p>
    <w:p>
      <w:pPr>
        <w:ind w:left="1020" w:right="240" w:hanging="324"/>
        <w:spacing w:after="0" w:line="282" w:lineRule="auto"/>
        <w:tabs>
          <w:tab w:leader="none" w:pos="10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receipt and amount of sales and marketing capabilities of any current and future products, including the success of our commercialization efforts involving XDEMVY;</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including XDEMVY, and the impact of any competing products;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or healthcare providers to obtain coverage of or sufficient reimbursement for any current or future products;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 and our ability to scale them up;</w:t>
      </w:r>
    </w:p>
    <w:p>
      <w:pPr>
        <w:spacing w:after="0" w:line="225"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costs and results of our drug discovery, preclinical development activities,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20" w:right="20" w:hanging="324"/>
        <w:spacing w:after="0" w:line="266"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spacing w:after="0" w:line="175"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delays in enrollment of our ongoing and future clinical trials, issues with data collection, or changes to the number of subjects we decide to enroll in clinical trials, including as a result of health pandemics, competing trials, or otherwise;</w:t>
      </w:r>
    </w:p>
    <w:p>
      <w:pPr>
        <w:spacing w:after="0" w:line="161" w:lineRule="exact"/>
        <w:rPr>
          <w:rFonts w:ascii="Times New Roman" w:cs="Times New Roman" w:eastAsia="Times New Roman" w:hAnsi="Times New Roman"/>
          <w:sz w:val="18"/>
          <w:szCs w:val="18"/>
          <w:color w:val="auto"/>
        </w:rPr>
      </w:pPr>
    </w:p>
    <w:p>
      <w:pPr>
        <w:ind w:left="1020" w:right="66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current or future products that are approved for sale, including marketing, sales, and distribution costs, and any discounts or rebates to obtain access;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 and enforcement rules;</w:t>
      </w:r>
    </w:p>
    <w:p>
      <w:pPr>
        <w:spacing w:after="0" w:line="225"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outstanding debt obligations;</w:t>
      </w:r>
    </w:p>
    <w:p>
      <w:pPr>
        <w:spacing w:after="0" w:line="225" w:lineRule="exact"/>
        <w:rPr>
          <w:rFonts w:ascii="Times New Roman" w:cs="Times New Roman" w:eastAsia="Times New Roman" w:hAnsi="Times New Roman"/>
          <w:sz w:val="18"/>
          <w:szCs w:val="18"/>
          <w:color w:val="auto"/>
        </w:rPr>
      </w:pPr>
    </w:p>
    <w:p>
      <w:pPr>
        <w:ind w:left="1020" w:right="280" w:hanging="324"/>
        <w:spacing w:after="0" w:line="266"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pharmaceutical pricing and reimbursement infrastructure;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any future collaboration or licensing partners upon the achievement of negotiated milestones;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liability or other lawsuits related to our products;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needed to attract and retain skilled personnel;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140" w:firstLine="881"/>
        <w:spacing w:after="0" w:line="258" w:lineRule="auto"/>
        <w:rPr>
          <w:sz w:val="20"/>
          <w:szCs w:val="20"/>
          <w:color w:val="auto"/>
        </w:rPr>
      </w:pPr>
      <w:r>
        <w:rPr>
          <w:rFonts w:ascii="Times New Roman" w:cs="Times New Roman" w:eastAsia="Times New Roman" w:hAnsi="Times New Roman"/>
          <w:sz w:val="18"/>
          <w:szCs w:val="18"/>
          <w:color w:val="auto"/>
        </w:rPr>
        <w:t>Until such time we can generate substantial revenue from product sales, including from XDEMVY, our only approved product,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2023, March 2024, and March 2025, we completed the Follow-On Public Offerings, in which we received total net proceeds of $74.2 million, $99.3 million, $107.7 million, and $134.8 million, respectively (after deducting underwriting discounts, commissions and other estimated offering-related expenses) through the issuance of 5,889,832 shares of our common stock in the May 2022 Public Offering, 6,069,449 shares of our common stock in the August 2023 Public Offering, 3,281,250 shares of our common stock and, in lieu of common stock to a certain investor, pre-funded warrants to purchase 312,500 shares of our common stock in the March 2024 Public Offering, and 3,230,336 shares of our common stock in the March 2025 Public Offering. Debt financing, if available, may involve agreements that include covenants limiting or restricting our ability to take specific actions. For example, the 2024 Credit Facility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spacing w:after="0" w:line="192"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spacing w:after="0" w:line="159" w:lineRule="exact"/>
        <w:rPr>
          <w:sz w:val="20"/>
          <w:szCs w:val="20"/>
          <w:color w:val="auto"/>
        </w:rPr>
      </w:pPr>
    </w:p>
    <w:p>
      <w:pPr>
        <w:ind w:right="20" w:firstLine="881"/>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 In March 2023, First Citizens Bank assumed all of SVBB’s obligations and commitments, and SVBB began operating as SVB,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w:t>
      </w:r>
    </w:p>
    <w:p>
      <w:pPr>
        <w:spacing w:after="0" w:line="192"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w:t>
      </w:r>
    </w:p>
    <w:p>
      <w:pPr>
        <w:spacing w:after="0" w:line="180" w:lineRule="exact"/>
        <w:rPr>
          <w:sz w:val="20"/>
          <w:szCs w:val="20"/>
          <w:color w:val="auto"/>
        </w:rPr>
      </w:pPr>
    </w:p>
    <w:p>
      <w:pPr>
        <w:ind w:right="180" w:firstLine="881"/>
        <w:spacing w:after="0" w:line="256" w:lineRule="auto"/>
        <w:rPr>
          <w:sz w:val="20"/>
          <w:szCs w:val="20"/>
          <w:color w:val="auto"/>
        </w:rPr>
      </w:pPr>
      <w:r>
        <w:rPr>
          <w:rFonts w:ascii="Times New Roman" w:cs="Times New Roman" w:eastAsia="Times New Roman" w:hAnsi="Times New Roman"/>
          <w:sz w:val="18"/>
          <w:szCs w:val="18"/>
          <w:color w:val="auto"/>
        </w:rPr>
        <w:t>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financial institutions in the future and uncertainty remains over liquidity concerns in the broader financial services industry.</w:t>
      </w:r>
    </w:p>
    <w:p>
      <w:pPr>
        <w:spacing w:after="0" w:line="187"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indebtedness may limit our flexibility in financing and operating our business and adversely affect our business, financial condition and results of operations.</w:t>
      </w:r>
    </w:p>
    <w:p>
      <w:pPr>
        <w:spacing w:after="0" w:line="159" w:lineRule="exact"/>
        <w:rPr>
          <w:sz w:val="20"/>
          <w:szCs w:val="20"/>
          <w:color w:val="auto"/>
        </w:rPr>
      </w:pPr>
    </w:p>
    <w:p>
      <w:pPr>
        <w:ind w:firstLine="881"/>
        <w:spacing w:after="0" w:line="270" w:lineRule="auto"/>
        <w:rPr>
          <w:sz w:val="20"/>
          <w:szCs w:val="20"/>
          <w:color w:val="auto"/>
        </w:rPr>
      </w:pPr>
      <w:r>
        <w:rPr>
          <w:rFonts w:ascii="Times New Roman" w:cs="Times New Roman" w:eastAsia="Times New Roman" w:hAnsi="Times New Roman"/>
          <w:sz w:val="17"/>
          <w:szCs w:val="17"/>
          <w:color w:val="auto"/>
        </w:rPr>
        <w:t>In April 2024 we entered into the 2024 Credit Facility with Pharmakon. The 2024 Credit Facility provides a $75.0 million initial term loan which was drawn in April 2024, a portion of which was utilized to repay all outstanding indebtedness,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We did not draw on the first additional tranche of $25.0 million prior to December 31, 2024. The two remaining additional tranches may be requested at our option on or prior to June 30, 2025 and December 31, 2025, respectively.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spacing w:after="0" w:line="177" w:lineRule="exact"/>
        <w:rPr>
          <w:sz w:val="20"/>
          <w:szCs w:val="20"/>
          <w:color w:val="auto"/>
        </w:rPr>
      </w:pPr>
    </w:p>
    <w:p>
      <w:pPr>
        <w:ind w:right="260" w:firstLine="881"/>
        <w:spacing w:after="0" w:line="258" w:lineRule="auto"/>
        <w:rPr>
          <w:sz w:val="20"/>
          <w:szCs w:val="20"/>
          <w:color w:val="auto"/>
        </w:rPr>
      </w:pPr>
      <w:r>
        <w:rPr>
          <w:rFonts w:ascii="Times New Roman" w:cs="Times New Roman" w:eastAsia="Times New Roman" w:hAnsi="Times New Roman"/>
          <w:sz w:val="18"/>
          <w:szCs w:val="18"/>
          <w:color w:val="auto"/>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159" w:lineRule="exact"/>
        <w:rPr>
          <w:sz w:val="20"/>
          <w:szCs w:val="20"/>
          <w:color w:val="auto"/>
        </w:rPr>
      </w:pPr>
    </w:p>
    <w:p>
      <w:pPr>
        <w:ind w:right="280" w:firstLine="881"/>
        <w:spacing w:after="0" w:line="258"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w:t>
      </w:r>
    </w:p>
    <w:p>
      <w:pPr>
        <w:spacing w:after="0" w:line="183" w:lineRule="exact"/>
        <w:rPr>
          <w:sz w:val="20"/>
          <w:szCs w:val="20"/>
          <w:color w:val="auto"/>
        </w:rPr>
      </w:pPr>
    </w:p>
    <w:p>
      <w:pPr>
        <w:ind w:right="20" w:firstLine="881"/>
        <w:spacing w:after="0" w:line="277" w:lineRule="auto"/>
        <w:rPr>
          <w:sz w:val="20"/>
          <w:szCs w:val="20"/>
          <w:color w:val="auto"/>
        </w:rPr>
      </w:pPr>
      <w:r>
        <w:rPr>
          <w:rFonts w:ascii="Times New Roman" w:cs="Times New Roman" w:eastAsia="Times New Roman" w:hAnsi="Times New Roman"/>
          <w:sz w:val="17"/>
          <w:szCs w:val="17"/>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we may be unable to use a material portion of our NOLs and other tax attributes, which could adversely affect our future 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ind w:right="220" w:firstLine="881"/>
        <w:spacing w:after="0" w:line="26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75"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8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right="100" w:firstLine="881"/>
        <w:spacing w:after="0" w:line="258" w:lineRule="auto"/>
        <w:rPr>
          <w:sz w:val="20"/>
          <w:szCs w:val="20"/>
          <w:color w:val="auto"/>
        </w:rPr>
      </w:pPr>
      <w:r>
        <w:rPr>
          <w:rFonts w:ascii="Times New Roman" w:cs="Times New Roman" w:eastAsia="Times New Roman" w:hAnsi="Times New Roman"/>
          <w:sz w:val="18"/>
          <w:szCs w:val="18"/>
          <w:color w:val="auto"/>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3" w:lineRule="exact"/>
        <w:rPr>
          <w:sz w:val="20"/>
          <w:szCs w:val="20"/>
          <w:color w:val="auto"/>
        </w:rPr>
      </w:pPr>
    </w:p>
    <w:p>
      <w:pPr>
        <w:ind w:right="60" w:firstLine="881"/>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81"/>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commercial manufacture of XDEMVY and for the manufacture of our product candidates for preclinical studies, clinical trials and eventual commercialization. In some instances, we or our third-party contract manufacturers rely on single source suppliers for certain of the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spacing w:after="0" w:line="183" w:lineRule="exact"/>
        <w:rPr>
          <w:sz w:val="20"/>
          <w:szCs w:val="20"/>
          <w:color w:val="auto"/>
        </w:rPr>
      </w:pPr>
    </w:p>
    <w:p>
      <w:pPr>
        <w:ind w:right="40" w:firstLine="881"/>
        <w:spacing w:after="0" w:line="252" w:lineRule="auto"/>
        <w:rPr>
          <w:sz w:val="20"/>
          <w:szCs w:val="20"/>
          <w:color w:val="auto"/>
        </w:rPr>
      </w:pPr>
      <w:r>
        <w:rPr>
          <w:rFonts w:ascii="Times New Roman" w:cs="Times New Roman" w:eastAsia="Times New Roman" w:hAnsi="Times New Roman"/>
          <w:sz w:val="18"/>
          <w:szCs w:val="18"/>
          <w:color w:val="auto"/>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third-party manufacturers, which exacerbates these and other related risks for us. Additionally, we and our third-party contract manufacturers rely and we expect that we will continue to rely on single source suppliers for certain of the materials for our products and product candidates for the foreseeable future. For example, we purchase our API for XDEMVY, lotilaner, from Elanco, who sources through a single source supplier.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materials to manufacture our products and product candidates, we may experience delays in our commercialization and development efforts, which would have an adverse affect on our business and results of operations.</w:t>
      </w:r>
    </w:p>
    <w:p>
      <w:pPr>
        <w:spacing w:after="0" w:line="196"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w:t>
      </w:r>
    </w:p>
    <w:p>
      <w:pPr>
        <w:spacing w:after="0" w:line="195" w:lineRule="exact"/>
        <w:rPr>
          <w:sz w:val="20"/>
          <w:szCs w:val="20"/>
          <w:color w:val="auto"/>
        </w:rPr>
      </w:pPr>
    </w:p>
    <w:p>
      <w:pPr>
        <w:ind w:right="260" w:firstLine="881"/>
        <w:spacing w:after="0" w:line="261"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w:t>
      </w:r>
    </w:p>
    <w:p>
      <w:pPr>
        <w:spacing w:after="0" w:line="188"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62" w:lineRule="exact"/>
        <w:rPr>
          <w:sz w:val="20"/>
          <w:szCs w:val="20"/>
          <w:color w:val="auto"/>
        </w:rPr>
      </w:pPr>
    </w:p>
    <w:p>
      <w:pPr>
        <w:ind w:left="1020" w:hanging="32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meet commercial demands for XDEMVY or any other future product that is approved;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XDEMVY 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our product candidates under development;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 including by Elanco and under the Elanco Agreements;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22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spacing w:after="0" w:line="183"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spacing w:after="0" w:line="179"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spacing w:after="0" w:line="136"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other jurisdictions could diminish the value of patents in general, thereby impairing our ability to protect XDEMVY or our product candidates.</w:t>
      </w:r>
    </w:p>
    <w:p>
      <w:pPr>
        <w:spacing w:after="0" w:line="159" w:lineRule="exact"/>
        <w:rPr>
          <w:sz w:val="20"/>
          <w:szCs w:val="20"/>
          <w:color w:val="auto"/>
        </w:rPr>
      </w:pPr>
    </w:p>
    <w:p>
      <w:pPr>
        <w:ind w:firstLine="891"/>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7" w:lineRule="exact"/>
        <w:rPr>
          <w:sz w:val="20"/>
          <w:szCs w:val="20"/>
          <w:color w:val="auto"/>
        </w:rPr>
      </w:pPr>
    </w:p>
    <w:p>
      <w:pPr>
        <w:ind w:right="140" w:firstLine="881"/>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0"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spacing w:after="0" w:line="18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our products, including our lead product XDEMVY, for the treatment of Demodex blepharitis, TP-04 for the potential treatment of Ocular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180" w:lineRule="exact"/>
        <w:rPr>
          <w:sz w:val="20"/>
          <w:szCs w:val="20"/>
          <w:color w:val="auto"/>
        </w:rPr>
      </w:pPr>
    </w:p>
    <w:p>
      <w:pPr>
        <w:ind w:right="80" w:firstLine="881"/>
        <w:spacing w:after="0" w:line="273" w:lineRule="auto"/>
        <w:rPr>
          <w:sz w:val="20"/>
          <w:szCs w:val="20"/>
          <w:color w:val="auto"/>
        </w:rPr>
      </w:pPr>
      <w:r>
        <w:rPr>
          <w:rFonts w:ascii="Times New Roman" w:cs="Times New Roman" w:eastAsia="Times New Roman" w:hAnsi="Times New Roman"/>
          <w:sz w:val="17"/>
          <w:szCs w:val="17"/>
          <w:color w:val="auto"/>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171"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5" w:lineRule="exact"/>
        <w:rPr>
          <w:sz w:val="20"/>
          <w:szCs w:val="20"/>
          <w:color w:val="auto"/>
        </w:rPr>
      </w:pPr>
    </w:p>
    <w:p>
      <w:pPr>
        <w:ind w:right="40" w:firstLine="881"/>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spacing w:after="0" w:line="187"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spacing w:after="0" w:line="192"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with a combined condition of patent issuance related to TP-03 in China. If we are not able to maintain the aforementioned patent issuance in China, the likelihood we achieve the associated milestone, as well as commercialization in the China Territory may be substantially decreased.</w:t>
      </w:r>
    </w:p>
    <w:p>
      <w:pPr>
        <w:spacing w:after="0" w:line="192" w:lineRule="exact"/>
        <w:rPr>
          <w:sz w:val="20"/>
          <w:szCs w:val="20"/>
          <w:color w:val="auto"/>
        </w:rPr>
      </w:pPr>
    </w:p>
    <w:p>
      <w:pPr>
        <w:ind w:right="20" w:firstLine="881"/>
        <w:spacing w:after="0" w:line="252" w:lineRule="auto"/>
        <w:rPr>
          <w:sz w:val="20"/>
          <w:szCs w:val="20"/>
          <w:color w:val="auto"/>
        </w:rPr>
      </w:pPr>
      <w:r>
        <w:rPr>
          <w:rFonts w:ascii="Times New Roman" w:cs="Times New Roman" w:eastAsia="Times New Roman" w:hAnsi="Times New Roman"/>
          <w:sz w:val="18"/>
          <w:szCs w:val="18"/>
          <w:color w:val="auto"/>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spacing w:after="0" w:line="18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90" w:lineRule="exact"/>
        <w:rPr>
          <w:sz w:val="20"/>
          <w:szCs w:val="20"/>
          <w:color w:val="auto"/>
        </w:rPr>
      </w:pPr>
    </w:p>
    <w:p>
      <w:pPr>
        <w:ind w:right="80" w:firstLine="881"/>
        <w:spacing w:after="0" w:line="255" w:lineRule="auto"/>
        <w:rPr>
          <w:sz w:val="20"/>
          <w:szCs w:val="20"/>
          <w:color w:val="auto"/>
        </w:rPr>
      </w:pPr>
      <w:r>
        <w:rPr>
          <w:rFonts w:ascii="Times New Roman" w:cs="Times New Roman" w:eastAsia="Times New Roman" w:hAnsi="Times New Roman"/>
          <w:sz w:val="18"/>
          <w:szCs w:val="18"/>
          <w:color w:val="auto"/>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spacing w:after="0" w:line="188"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spacing w:after="0" w:line="15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90" w:lineRule="exact"/>
        <w:rPr>
          <w:sz w:val="20"/>
          <w:szCs w:val="20"/>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for the product candidate;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complexities of manufacturing and delivering such product candidate to patients;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results of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approval by the FDA or comparable foreign regulatory authorities;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competing products;</w:t>
      </w:r>
    </w:p>
    <w:p>
      <w:pPr>
        <w:spacing w:after="0" w:line="225" w:lineRule="exact"/>
        <w:rPr>
          <w:rFonts w:ascii="Times New Roman" w:cs="Times New Roman" w:eastAsia="Times New Roman" w:hAnsi="Times New Roman"/>
          <w:sz w:val="18"/>
          <w:szCs w:val="18"/>
          <w:color w:val="auto"/>
        </w:rPr>
      </w:pPr>
    </w:p>
    <w:p>
      <w:pPr>
        <w:ind w:left="1020" w:right="580" w:hanging="324"/>
        <w:spacing w:after="0" w:line="282" w:lineRule="auto"/>
        <w:tabs>
          <w:tab w:leader="none" w:pos="10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conditions generally.</w:t>
      </w:r>
    </w:p>
    <w:p>
      <w:pPr>
        <w:spacing w:after="0" w:line="225"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2" w:lineRule="exact"/>
        <w:rPr>
          <w:sz w:val="20"/>
          <w:szCs w:val="20"/>
          <w:color w:val="auto"/>
        </w:rPr>
      </w:pPr>
    </w:p>
    <w:p>
      <w:pPr>
        <w:ind w:right="100" w:firstLine="881"/>
        <w:spacing w:after="0" w:line="282" w:lineRule="auto"/>
        <w:rPr>
          <w:sz w:val="20"/>
          <w:szCs w:val="20"/>
          <w:color w:val="auto"/>
        </w:rPr>
      </w:pPr>
      <w:r>
        <w:rPr>
          <w:rFonts w:ascii="Times New Roman" w:cs="Times New Roman" w:eastAsia="Times New Roman" w:hAnsi="Times New Roman"/>
          <w:sz w:val="18"/>
          <w:szCs w:val="18"/>
          <w:color w:val="auto"/>
        </w:rPr>
        <w:t>Collaborations that we have entered into and may enter in the future may not be successful, and any success will depend heavily on the efforts and activities of such collaborators. Collaborations pose a number of risks, including the following: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80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1020" w:right="160" w:hanging="324"/>
        <w:spacing w:after="0" w:line="266"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1020" w:right="40" w:hanging="324"/>
        <w:spacing w:after="0" w:line="261"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179" w:lineRule="exact"/>
        <w:rPr>
          <w:rFonts w:ascii="Times New Roman" w:cs="Times New Roman" w:eastAsia="Times New Roman" w:hAnsi="Times New Roman"/>
          <w:sz w:val="18"/>
          <w:szCs w:val="18"/>
          <w:color w:val="auto"/>
        </w:rPr>
      </w:pPr>
    </w:p>
    <w:p>
      <w:pPr>
        <w:ind w:left="1020" w:right="48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1020" w:right="40" w:hanging="324"/>
        <w:spacing w:after="0" w:line="266"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75" w:lineRule="exact"/>
        <w:rPr>
          <w:rFonts w:ascii="Times New Roman" w:cs="Times New Roman" w:eastAsia="Times New Roman" w:hAnsi="Times New Roman"/>
          <w:sz w:val="18"/>
          <w:szCs w:val="18"/>
          <w:color w:val="auto"/>
        </w:rPr>
      </w:pPr>
    </w:p>
    <w:p>
      <w:pPr>
        <w:ind w:left="1020" w:right="60" w:hanging="324"/>
        <w:spacing w:after="0" w:line="266"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161"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61" w:lineRule="exact"/>
        <w:rPr>
          <w:rFonts w:ascii="Times New Roman" w:cs="Times New Roman" w:eastAsia="Times New Roman" w:hAnsi="Times New Roman"/>
          <w:sz w:val="18"/>
          <w:szCs w:val="18"/>
          <w:color w:val="auto"/>
        </w:rPr>
      </w:pPr>
    </w:p>
    <w:p>
      <w:pPr>
        <w:ind w:left="1020" w:right="50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1020" w:right="200" w:hanging="324"/>
        <w:spacing w:after="0" w:line="261"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ind w:left="1020" w:hanging="324"/>
        <w:spacing w:after="0" w:line="266"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225" w:lineRule="exact"/>
        <w:rPr>
          <w:rFonts w:ascii="Times New Roman" w:cs="Times New Roman" w:eastAsia="Times New Roman" w:hAnsi="Times New Roman"/>
          <w:sz w:val="18"/>
          <w:szCs w:val="18"/>
          <w:color w:val="auto"/>
        </w:rPr>
      </w:pPr>
    </w:p>
    <w:p>
      <w:pPr>
        <w:ind w:left="1020" w:right="42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120" w:hanging="324"/>
        <w:spacing w:after="0" w:line="282"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59" w:lineRule="exact"/>
        <w:rPr>
          <w:sz w:val="20"/>
          <w:szCs w:val="20"/>
          <w:color w:val="auto"/>
        </w:rPr>
      </w:pPr>
    </w:p>
    <w:p>
      <w:pPr>
        <w:jc w:val="both"/>
        <w:ind w:right="440" w:firstLine="881"/>
        <w:spacing w:after="0" w:line="289" w:lineRule="auto"/>
        <w:rPr>
          <w:sz w:val="20"/>
          <w:szCs w:val="20"/>
          <w:color w:val="auto"/>
        </w:rPr>
      </w:pPr>
      <w:r>
        <w:rPr>
          <w:rFonts w:ascii="Times New Roman" w:cs="Times New Roman" w:eastAsia="Times New Roman" w:hAnsi="Times New Roman"/>
          <w:sz w:val="17"/>
          <w:szCs w:val="17"/>
          <w:color w:val="auto"/>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158"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3"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40" w:firstLine="881"/>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intellectual property of the licensor that is not subject to the licensing agreement;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020" w:right="140" w:hanging="324"/>
        <w:spacing w:after="0" w:line="282" w:lineRule="auto"/>
        <w:tabs>
          <w:tab w:leader="none" w:pos="10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Although we have pending U.S. and foreign patent applications in our portfolio, we cannot predict:</w:t>
      </w:r>
    </w:p>
    <w:p>
      <w:pPr>
        <w:spacing w:after="0" w:line="225" w:lineRule="exact"/>
        <w:rPr>
          <w:sz w:val="20"/>
          <w:szCs w:val="20"/>
          <w:color w:val="auto"/>
        </w:rPr>
      </w:pPr>
    </w:p>
    <w:p>
      <w:pPr>
        <w:ind w:left="1020" w:hanging="32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claimed in our patents and patent applications;</w:t>
      </w:r>
    </w:p>
    <w:p>
      <w:pPr>
        <w:spacing w:after="0" w:line="225" w:lineRule="exact"/>
        <w:rPr>
          <w:rFonts w:ascii="Times New Roman" w:cs="Times New Roman" w:eastAsia="Times New Roman" w:hAnsi="Times New Roman"/>
          <w:sz w:val="18"/>
          <w:szCs w:val="18"/>
          <w:color w:val="auto"/>
        </w:rPr>
      </w:pPr>
    </w:p>
    <w:p>
      <w:pPr>
        <w:ind w:left="1020" w:right="520" w:hanging="324"/>
        <w:spacing w:after="0" w:line="282" w:lineRule="auto"/>
        <w:tabs>
          <w:tab w:leader="none" w:pos="10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161" w:lineRule="exact"/>
        <w:rPr>
          <w:rFonts w:ascii="Times New Roman" w:cs="Times New Roman" w:eastAsia="Times New Roman" w:hAnsi="Times New Roman"/>
          <w:sz w:val="18"/>
          <w:szCs w:val="18"/>
          <w:color w:val="auto"/>
        </w:rPr>
      </w:pPr>
    </w:p>
    <w:p>
      <w:pPr>
        <w:ind w:left="1020" w:right="720" w:hanging="324"/>
        <w:spacing w:after="0" w:line="282" w:lineRule="auto"/>
        <w:tabs>
          <w:tab w:leader="none" w:pos="10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products or product candidates or uses thereof in the U.S. or in other foreign countries.</w:t>
      </w:r>
    </w:p>
    <w:p>
      <w:pPr>
        <w:spacing w:after="0" w:line="162" w:lineRule="exact"/>
        <w:rPr>
          <w:sz w:val="20"/>
          <w:szCs w:val="20"/>
          <w:color w:val="auto"/>
        </w:rPr>
      </w:pPr>
    </w:p>
    <w:p>
      <w:pPr>
        <w:ind w:right="100" w:firstLine="881"/>
        <w:spacing w:after="0" w:line="282" w:lineRule="auto"/>
        <w:rPr>
          <w:sz w:val="20"/>
          <w:szCs w:val="20"/>
          <w:color w:val="auto"/>
        </w:rPr>
      </w:pPr>
      <w:r>
        <w:rPr>
          <w:rFonts w:ascii="Times New Roman" w:cs="Times New Roman" w:eastAsia="Times New Roman" w:hAnsi="Times New Roman"/>
          <w:sz w:val="18"/>
          <w:szCs w:val="18"/>
          <w:color w:val="auto"/>
        </w:rPr>
        <w:t>We cannot be certain that the claims in our pending patent applications directed to our products or product candidates and/or technologies will be considered patentable by the USPTO or by patent offices in foreign countries. One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59"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spacing w:after="0" w:line="18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3"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97" w:lineRule="exact"/>
        <w:rPr>
          <w:sz w:val="20"/>
          <w:szCs w:val="20"/>
          <w:color w:val="auto"/>
        </w:rPr>
      </w:pPr>
    </w:p>
    <w:p>
      <w:pPr>
        <w:ind w:right="20" w:firstLine="881"/>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9" w:lineRule="exact"/>
        <w:rPr>
          <w:sz w:val="20"/>
          <w:szCs w:val="20"/>
          <w:color w:val="auto"/>
        </w:rPr>
      </w:pPr>
    </w:p>
    <w:p>
      <w:pPr>
        <w:ind w:firstLine="881"/>
        <w:spacing w:after="0" w:line="251" w:lineRule="auto"/>
        <w:rPr>
          <w:sz w:val="20"/>
          <w:szCs w:val="20"/>
          <w:color w:val="auto"/>
        </w:rPr>
      </w:pPr>
      <w:r>
        <w:rPr>
          <w:rFonts w:ascii="Times New Roman" w:cs="Times New Roman" w:eastAsia="Times New Roman" w:hAnsi="Times New Roman"/>
          <w:sz w:val="18"/>
          <w:szCs w:val="18"/>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other jurisdictions could diminish the value of patents in general, thereby impairing our ability to protect our product candidates.</w:t>
      </w:r>
    </w:p>
    <w:p>
      <w:pPr>
        <w:spacing w:after="0" w:line="159" w:lineRule="exact"/>
        <w:rPr>
          <w:sz w:val="20"/>
          <w:szCs w:val="20"/>
          <w:color w:val="auto"/>
        </w:rPr>
      </w:pPr>
    </w:p>
    <w:p>
      <w:pPr>
        <w:ind w:right="60" w:firstLine="881"/>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7" w:lineRule="exact"/>
        <w:rPr>
          <w:sz w:val="20"/>
          <w:szCs w:val="20"/>
          <w:color w:val="auto"/>
        </w:rPr>
      </w:pPr>
    </w:p>
    <w:p>
      <w:pPr>
        <w:ind w:right="160" w:firstLine="881"/>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0" w:lineRule="exact"/>
        <w:rPr>
          <w:sz w:val="20"/>
          <w:szCs w:val="20"/>
          <w:color w:val="auto"/>
        </w:rPr>
      </w:pPr>
    </w:p>
    <w:p>
      <w:pPr>
        <w:ind w:right="140" w:firstLine="881"/>
        <w:spacing w:after="0" w:line="274" w:lineRule="auto"/>
        <w:rPr>
          <w:sz w:val="20"/>
          <w:szCs w:val="20"/>
          <w:color w:val="auto"/>
        </w:rPr>
      </w:pPr>
      <w:r>
        <w:rPr>
          <w:rFonts w:ascii="Times New Roman" w:cs="Times New Roman" w:eastAsia="Times New Roman" w:hAnsi="Times New Roman"/>
          <w:sz w:val="17"/>
          <w:szCs w:val="17"/>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240" w:firstLine="881"/>
        <w:spacing w:after="0" w:line="282"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product candidates throughout the world would be prohibitively expensive, and the laws of foreign countries may not protect our rights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59" w:lineRule="exact"/>
        <w:rPr>
          <w:sz w:val="20"/>
          <w:szCs w:val="20"/>
          <w:color w:val="auto"/>
        </w:rPr>
      </w:pPr>
    </w:p>
    <w:p>
      <w:pPr>
        <w:ind w:right="40" w:firstLine="881"/>
        <w:spacing w:after="0" w:line="255"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89" w:lineRule="exact"/>
        <w:rPr>
          <w:sz w:val="20"/>
          <w:szCs w:val="20"/>
          <w:color w:val="auto"/>
        </w:rPr>
      </w:pPr>
    </w:p>
    <w:p>
      <w:pPr>
        <w:ind w:right="20" w:firstLine="881"/>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280" w:firstLine="881"/>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1020" w:right="28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1020" w:right="10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1020" w:right="76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1020" w:right="72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61" w:lineRule="exact"/>
        <w:rPr>
          <w:rFonts w:ascii="Times New Roman" w:cs="Times New Roman" w:eastAsia="Times New Roman" w:hAnsi="Times New Roman"/>
          <w:sz w:val="18"/>
          <w:szCs w:val="18"/>
          <w:color w:val="auto"/>
        </w:rPr>
      </w:pPr>
    </w:p>
    <w:p>
      <w:pPr>
        <w:ind w:left="1020" w:right="48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61" w:lineRule="exact"/>
        <w:rPr>
          <w:rFonts w:ascii="Times New Roman" w:cs="Times New Roman" w:eastAsia="Times New Roman" w:hAnsi="Times New Roman"/>
          <w:sz w:val="18"/>
          <w:szCs w:val="18"/>
          <w:color w:val="auto"/>
        </w:rPr>
      </w:pPr>
    </w:p>
    <w:p>
      <w:pPr>
        <w:ind w:left="1020" w:right="38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Supreme Court, other U.S. federal courts, U.S. Congress, the USPTO or similar foreign authorities may change the standards of patentability and any such changes could narrow or invalidate, or change the scope of, our or our licensors’ patents;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 candidates for an adequate amount of time;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225"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161"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and preclinical programs for an adequate amount of time.</w:t>
      </w:r>
    </w:p>
    <w:p>
      <w:pPr>
        <w:spacing w:after="0" w:line="159"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right="7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spacing w:after="0" w:line="136"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92" w:lineRule="exact"/>
        <w:rPr>
          <w:sz w:val="20"/>
          <w:szCs w:val="20"/>
          <w:color w:val="auto"/>
        </w:rPr>
      </w:pPr>
    </w:p>
    <w:p>
      <w:pPr>
        <w:ind w:left="1020" w:right="80" w:hanging="324"/>
        <w:spacing w:after="0" w:line="282"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study or clinical trial may fail to produce safety and efficacy results satisfactory to the FDA or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ind w:left="1020" w:right="320" w:hanging="324"/>
        <w:spacing w:after="0" w:line="266"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1020" w:right="620" w:hanging="324"/>
        <w:spacing w:after="0" w:line="282"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ind w:left="1020" w:right="100" w:hanging="324"/>
        <w:spacing w:after="0" w:line="266"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020" w:right="20" w:hanging="324"/>
        <w:spacing w:after="0" w:line="266" w:lineRule="auto"/>
        <w:tabs>
          <w:tab w:leader="none" w:pos="10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176"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at any stage of the approval process.</w:t>
      </w:r>
    </w:p>
    <w:p>
      <w:pPr>
        <w:spacing w:after="0" w:line="16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59" w:lineRule="exact"/>
        <w:rPr>
          <w:sz w:val="20"/>
          <w:szCs w:val="20"/>
          <w:color w:val="auto"/>
        </w:rPr>
      </w:pPr>
    </w:p>
    <w:p>
      <w:pPr>
        <w:ind w:right="80" w:firstLine="881"/>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7"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spacing w:after="0" w:line="197" w:lineRule="exact"/>
        <w:rPr>
          <w:sz w:val="20"/>
          <w:szCs w:val="20"/>
          <w:color w:val="auto"/>
        </w:rPr>
      </w:pPr>
    </w:p>
    <w:p>
      <w:pPr>
        <w:ind w:right="80" w:firstLine="881"/>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measures, and other judicial challenges to elements of the ACA or other such measures may be brought. The extent to which any such changes may impact our business or financial condition is uncertain.</w:t>
      </w:r>
    </w:p>
    <w:p>
      <w:pPr>
        <w:spacing w:after="0" w:line="162"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spacing w:after="0" w:line="180" w:lineRule="exact"/>
        <w:rPr>
          <w:sz w:val="20"/>
          <w:szCs w:val="20"/>
          <w:color w:val="auto"/>
        </w:rPr>
      </w:pPr>
    </w:p>
    <w:p>
      <w:pPr>
        <w:ind w:right="520" w:firstLine="881"/>
        <w:spacing w:after="0" w:line="27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extended the 2% reduction, generally to 2031. 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w:t>
      </w:r>
    </w:p>
    <w:p>
      <w:pPr>
        <w:spacing w:after="0" w:line="188" w:lineRule="exact"/>
        <w:rPr>
          <w:sz w:val="20"/>
          <w:szCs w:val="20"/>
          <w:color w:val="auto"/>
        </w:rPr>
      </w:pPr>
    </w:p>
    <w:p>
      <w:pPr>
        <w:ind w:right="40" w:firstLine="881"/>
        <w:spacing w:after="0" w:line="253" w:lineRule="auto"/>
        <w:rPr>
          <w:sz w:val="20"/>
          <w:szCs w:val="20"/>
          <w:color w:val="auto"/>
        </w:rPr>
      </w:pPr>
      <w:r>
        <w:rPr>
          <w:rFonts w:ascii="Times New Roman" w:cs="Times New Roman" w:eastAsia="Times New Roman" w:hAnsi="Times New Roman"/>
          <w:sz w:val="18"/>
          <w:szCs w:val="18"/>
          <w:color w:val="auto"/>
        </w:rPr>
        <w:t>The IRA introduces several changes to the Medicare Part D benefit, including a limit on annual out-of-pocket costs and a change in manufacturer liability under the program which could negatively affect the profitability of our product candidates. The IRA sunsets the current Medicare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scheme, under which, generally speaking, manufacturers will owe rebates if the price of a Medicare Part B or Part D drug increases faster than the pace of inflation. Failure to timely pay a Medicare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 FAMP starting in 2026. Failure to comply with requirements under the drug price negotiation program is subject to an excise tax and/or a civil monetary penalty. This or any other legislative change could impact the market conditions for our products.</w:t>
      </w:r>
    </w:p>
    <w:p>
      <w:pPr>
        <w:spacing w:after="0" w:line="194"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spacing w:after="0" w:line="176" w:lineRule="exact"/>
        <w:rPr>
          <w:sz w:val="20"/>
          <w:szCs w:val="20"/>
          <w:color w:val="auto"/>
        </w:rPr>
      </w:pPr>
    </w:p>
    <w:p>
      <w:pPr>
        <w:ind w:right="120" w:firstLine="881"/>
        <w:spacing w:after="0" w:line="255" w:lineRule="auto"/>
        <w:rPr>
          <w:sz w:val="20"/>
          <w:szCs w:val="20"/>
          <w:color w:val="auto"/>
        </w:rPr>
      </w:pPr>
      <w:r>
        <w:rPr>
          <w:rFonts w:ascii="Times New Roman" w:cs="Times New Roman" w:eastAsia="Times New Roman" w:hAnsi="Times New Roman"/>
          <w:sz w:val="18"/>
          <w:szCs w:val="18"/>
          <w:color w:val="auto"/>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spacing w:after="0" w:line="189" w:lineRule="exact"/>
        <w:rPr>
          <w:sz w:val="20"/>
          <w:szCs w:val="20"/>
          <w:color w:val="auto"/>
        </w:rPr>
      </w:pPr>
    </w:p>
    <w:p>
      <w:pPr>
        <w:ind w:right="660" w:firstLine="881"/>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881"/>
        <w:spacing w:after="0" w:line="258" w:lineRule="auto"/>
        <w:rPr>
          <w:sz w:val="20"/>
          <w:szCs w:val="20"/>
          <w:color w:val="auto"/>
        </w:rPr>
      </w:pPr>
      <w:r>
        <w:rPr>
          <w:rFonts w:ascii="Times New Roman" w:cs="Times New Roman" w:eastAsia="Times New Roman" w:hAnsi="Times New Roman"/>
          <w:sz w:val="18"/>
          <w:szCs w:val="18"/>
          <w:color w:val="auto"/>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spacing w:after="0" w:line="183"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spacing w:after="0" w:line="183"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right="20" w:firstLine="881"/>
        <w:spacing w:after="0" w:line="251"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76"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76" w:lineRule="exact"/>
        <w:rPr>
          <w:sz w:val="20"/>
          <w:szCs w:val="20"/>
          <w:color w:val="auto"/>
        </w:rPr>
      </w:pPr>
    </w:p>
    <w:p>
      <w:pPr>
        <w:ind w:right="80" w:firstLine="881"/>
        <w:spacing w:after="0" w:line="255"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w:t>
      </w:r>
    </w:p>
    <w:p>
      <w:pPr>
        <w:spacing w:after="0" w:line="189" w:lineRule="exact"/>
        <w:rPr>
          <w:sz w:val="20"/>
          <w:szCs w:val="20"/>
          <w:color w:val="auto"/>
        </w:rPr>
      </w:pPr>
    </w:p>
    <w:p>
      <w:pPr>
        <w:jc w:val="both"/>
        <w:ind w:right="240" w:firstLine="891"/>
        <w:spacing w:after="0" w:line="266" w:lineRule="auto"/>
        <w:rPr>
          <w:sz w:val="20"/>
          <w:szCs w:val="20"/>
          <w:color w:val="auto"/>
        </w:rPr>
      </w:pPr>
      <w:r>
        <w:rPr>
          <w:rFonts w:ascii="Times New Roman" w:cs="Times New Roman" w:eastAsia="Times New Roman" w:hAnsi="Times New Roman"/>
          <w:sz w:val="18"/>
          <w:szCs w:val="18"/>
          <w:color w:val="auto"/>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175"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w:t>
      </w:r>
    </w:p>
    <w:p>
      <w:pPr>
        <w:spacing w:after="0" w:line="183"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spacing w:after="0" w:line="183" w:lineRule="exact"/>
        <w:rPr>
          <w:sz w:val="20"/>
          <w:szCs w:val="20"/>
          <w:color w:val="auto"/>
        </w:rPr>
      </w:pPr>
    </w:p>
    <w:p>
      <w:pPr>
        <w:ind w:right="140" w:firstLine="881"/>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spacing w:after="0" w:line="183"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5" w:lineRule="exact"/>
        <w:rPr>
          <w:sz w:val="20"/>
          <w:szCs w:val="20"/>
          <w:color w:val="auto"/>
        </w:rPr>
      </w:pPr>
    </w:p>
    <w:p>
      <w:pPr>
        <w:jc w:val="both"/>
        <w:ind w:right="80" w:firstLine="881"/>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9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80" w:lineRule="exact"/>
        <w:rPr>
          <w:sz w:val="20"/>
          <w:szCs w:val="20"/>
          <w:color w:val="auto"/>
        </w:rPr>
      </w:pPr>
    </w:p>
    <w:p>
      <w:pPr>
        <w:ind w:right="80" w:firstLine="881"/>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spacing w:after="0" w:line="176" w:lineRule="exact"/>
        <w:rPr>
          <w:sz w:val="20"/>
          <w:szCs w:val="20"/>
          <w:color w:val="auto"/>
        </w:rPr>
      </w:pPr>
    </w:p>
    <w:p>
      <w:pPr>
        <w:ind w:right="40" w:firstLine="881"/>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payer may depend upon a number of factors, including the third-party payer’s determination that use of a product is:</w:t>
      </w:r>
    </w:p>
    <w:p>
      <w:pPr>
        <w:spacing w:after="0" w:line="162" w:lineRule="exact"/>
        <w:rPr>
          <w:sz w:val="20"/>
          <w:szCs w:val="20"/>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right="100" w:firstLine="881"/>
        <w:spacing w:after="0" w:line="255" w:lineRule="auto"/>
        <w:rPr>
          <w:sz w:val="20"/>
          <w:szCs w:val="20"/>
          <w:color w:val="auto"/>
        </w:rPr>
      </w:pPr>
      <w:r>
        <w:rPr>
          <w:rFonts w:ascii="Times New Roman" w:cs="Times New Roman" w:eastAsia="Times New Roman" w:hAnsi="Times New Roman"/>
          <w:sz w:val="18"/>
          <w:szCs w:val="18"/>
          <w:color w:val="auto"/>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18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7"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175"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federal and state consumer protection laws (e.g., Section 5 of the Federal Trade Commission Act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spacing w:after="0" w:line="189" w:lineRule="exact"/>
        <w:rPr>
          <w:sz w:val="20"/>
          <w:szCs w:val="20"/>
          <w:color w:val="auto"/>
        </w:rPr>
      </w:pPr>
    </w:p>
    <w:p>
      <w:pPr>
        <w:ind w:right="20" w:firstLine="881"/>
        <w:spacing w:after="0" w:line="275" w:lineRule="auto"/>
        <w:rPr>
          <w:sz w:val="20"/>
          <w:szCs w:val="20"/>
          <w:color w:val="auto"/>
        </w:rPr>
      </w:pPr>
      <w:r>
        <w:rPr>
          <w:rFonts w:ascii="Times New Roman" w:cs="Times New Roman" w:eastAsia="Times New Roman" w:hAnsi="Times New Roman"/>
          <w:sz w:val="17"/>
          <w:szCs w:val="17"/>
          <w:color w:val="auto"/>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CCPA and established and funded the CPPA. 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spacing w:after="0" w:line="192"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spacing w:after="0" w:line="194" w:lineRule="exact"/>
        <w:rPr>
          <w:sz w:val="20"/>
          <w:szCs w:val="20"/>
          <w:color w:val="auto"/>
        </w:rPr>
      </w:pPr>
    </w:p>
    <w:p>
      <w:pPr>
        <w:ind w:right="40" w:firstLine="891"/>
        <w:spacing w:after="0" w:line="252" w:lineRule="auto"/>
        <w:rPr>
          <w:sz w:val="20"/>
          <w:szCs w:val="20"/>
          <w:color w:val="auto"/>
        </w:rPr>
      </w:pPr>
      <w:r>
        <w:rPr>
          <w:rFonts w:ascii="Times New Roman" w:cs="Times New Roman" w:eastAsia="Times New Roman" w:hAnsi="Times New Roman"/>
          <w:sz w:val="18"/>
          <w:szCs w:val="18"/>
          <w:color w:val="auto"/>
        </w:rPr>
        <w:t>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w:t>
      </w:r>
    </w:p>
    <w:p>
      <w:pPr>
        <w:spacing w:after="0" w:line="187" w:lineRule="exact"/>
        <w:rPr>
          <w:sz w:val="20"/>
          <w:szCs w:val="20"/>
          <w:color w:val="auto"/>
        </w:rPr>
      </w:pPr>
    </w:p>
    <w:p>
      <w:pPr>
        <w:ind w:firstLine="891"/>
        <w:spacing w:after="0" w:line="252" w:lineRule="auto"/>
        <w:rPr>
          <w:sz w:val="20"/>
          <w:szCs w:val="20"/>
          <w:color w:val="auto"/>
        </w:rPr>
      </w:pPr>
      <w:r>
        <w:rPr>
          <w:rFonts w:ascii="Times New Roman" w:cs="Times New Roman" w:eastAsia="Times New Roman" w:hAnsi="Times New Roman"/>
          <w:sz w:val="18"/>
          <w:szCs w:val="18"/>
          <w:color w:val="auto"/>
        </w:rPr>
        <w:t>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Board that compliance with EU data transfer obligations involves conducting transfer impact assessments, which includes documenting</w:t>
      </w:r>
    </w:p>
    <w:p>
      <w:pPr>
        <w:spacing w:after="0" w:line="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detailed analyses of data access and protection laws in the countries in which data importers are located, which can be costly and time-consuming. 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spacing w:after="0" w:line="183"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w:t>
      </w:r>
    </w:p>
    <w:p>
      <w:pPr>
        <w:spacing w:after="0" w:line="183" w:lineRule="exact"/>
        <w:rPr>
          <w:sz w:val="20"/>
          <w:szCs w:val="20"/>
          <w:color w:val="auto"/>
        </w:rPr>
      </w:pPr>
    </w:p>
    <w:p>
      <w:pPr>
        <w:ind w:right="100" w:firstLine="881"/>
        <w:spacing w:after="0" w:line="254" w:lineRule="auto"/>
        <w:rPr>
          <w:sz w:val="20"/>
          <w:szCs w:val="20"/>
          <w:color w:val="auto"/>
        </w:rPr>
      </w:pPr>
      <w:r>
        <w:rPr>
          <w:rFonts w:ascii="Times New Roman" w:cs="Times New Roman" w:eastAsia="Times New Roman" w:hAnsi="Times New Roman"/>
          <w:sz w:val="18"/>
          <w:szCs w:val="18"/>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stock price of our common stock may be volatile or may decline regardless of our operating performance and you could lose all or part of your investment.</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numerous factors, many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207" w:lineRule="exact"/>
        <w:rPr>
          <w:sz w:val="20"/>
          <w:szCs w:val="20"/>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product development or commercialization goals or regulatory approval milestones in the timeframe we announce;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other similar companies;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ongoing clinical trials and future clinical trials with our current and future product candidates or of our competitors;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the ultimate completion of clinical trials;</w:t>
      </w:r>
    </w:p>
    <w:p>
      <w:pPr>
        <w:spacing w:after="0" w:line="225"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or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future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hospital or ECP practices;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strategic alliances or significant agreements by us or by our competitors;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 or inability to obtain additional funding;</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by a limited number of stockholders who together beneficially own a majority of our outstanding common stock;</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contractual lock-up agreements;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market float;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discussed in this report.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of December 31, 2024, we no longer qualified as an emerging growth company or a smaller reporting company and, as a result, are no longer able to avail ourselves of certain reduced reporting requirements applicable to emerging growth companies or smaller reporting companies, subject to applicable transition relief.</w:t>
      </w:r>
    </w:p>
    <w:p>
      <w:pPr>
        <w:spacing w:after="0" w:line="175" w:lineRule="exact"/>
        <w:rPr>
          <w:sz w:val="20"/>
          <w:szCs w:val="20"/>
          <w:color w:val="auto"/>
        </w:rPr>
      </w:pPr>
    </w:p>
    <w:p>
      <w:pPr>
        <w:ind w:right="140" w:firstLine="891"/>
        <w:spacing w:after="0" w:line="255" w:lineRule="auto"/>
        <w:rPr>
          <w:sz w:val="20"/>
          <w:szCs w:val="20"/>
          <w:color w:val="auto"/>
        </w:rPr>
      </w:pPr>
      <w:r>
        <w:rPr>
          <w:rFonts w:ascii="Times New Roman" w:cs="Times New Roman" w:eastAsia="Times New Roman" w:hAnsi="Times New Roman"/>
          <w:sz w:val="18"/>
          <w:szCs w:val="18"/>
          <w:color w:val="auto"/>
        </w:rPr>
        <w:t>On June 28, 2024, the last business day of the second quarter of 2024, the aggregate market value of the shares of our common stock held by non-affiliate stockholders exceeded $700.0 million. As a result, we became a large accelerated filer as of December 31, 2024, as defined in Rule 12b-2 under the Exchange Act, and ceased to qualify as an emerging growth company. Effective December 31, 2024, due to large accelerated filer status, we no longer qualify as a smaller reporting company and accordingly are not permitted to take advantage of the reduced reporting requirements for smaller reporting companies, subject to a transition period that allows us to use smaller reporting company scaled disclosure for our Annual Report on Form 10-K for the year ending December 31, 2024. With the transition to becoming a large accelerated filer, we did not elect to use the smaller reporting company scaled disclosures.</w:t>
      </w:r>
    </w:p>
    <w:p>
      <w:pPr>
        <w:spacing w:after="0" w:line="189" w:lineRule="exact"/>
        <w:rPr>
          <w:sz w:val="20"/>
          <w:szCs w:val="20"/>
          <w:color w:val="auto"/>
        </w:rPr>
      </w:pPr>
    </w:p>
    <w:p>
      <w:pPr>
        <w:ind w:right="320" w:firstLine="891"/>
        <w:spacing w:after="0" w:line="282" w:lineRule="auto"/>
        <w:rPr>
          <w:sz w:val="20"/>
          <w:szCs w:val="20"/>
          <w:color w:val="auto"/>
        </w:rPr>
      </w:pPr>
      <w:r>
        <w:rPr>
          <w:rFonts w:ascii="Times New Roman" w:cs="Times New Roman" w:eastAsia="Times New Roman" w:hAnsi="Times New Roman"/>
          <w:sz w:val="18"/>
          <w:szCs w:val="18"/>
          <w:color w:val="auto"/>
        </w:rPr>
        <w:t>As a result of our loss of emerging growth company and smaller reporting company status, we expect our operating costs to increase as our compliance, reporting and other costs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price of our common stock to fall.</w:t>
      </w:r>
    </w:p>
    <w:p>
      <w:pPr>
        <w:spacing w:after="0" w:line="229"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2025, we had 41,995,537 shares of common stock outstanding. Shares held by directors, executive officers and other affiliates will be subject to volume limitations under Rule 144 under the Securities Act of 1933, as amended, (the "Securities Act") and various vesting agreements.</w:t>
      </w:r>
    </w:p>
    <w:p>
      <w:pPr>
        <w:spacing w:after="0" w:line="183" w:lineRule="exact"/>
        <w:rPr>
          <w:sz w:val="20"/>
          <w:szCs w:val="20"/>
          <w:color w:val="auto"/>
        </w:rPr>
      </w:pPr>
    </w:p>
    <w:p>
      <w:pPr>
        <w:jc w:val="both"/>
        <w:ind w:right="40" w:firstLine="881"/>
        <w:spacing w:after="0" w:line="257" w:lineRule="auto"/>
        <w:rPr>
          <w:sz w:val="20"/>
          <w:szCs w:val="20"/>
          <w:color w:val="auto"/>
        </w:rPr>
      </w:pPr>
      <w:r>
        <w:rPr>
          <w:rFonts w:ascii="Times New Roman" w:cs="Times New Roman" w:eastAsia="Times New Roman" w:hAnsi="Times New Roman"/>
          <w:sz w:val="18"/>
          <w:szCs w:val="18"/>
          <w:color w:val="auto"/>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2023 ATM Prospectus, convertible securities or other equity securities in one or more transactions at prices and in a manner we determine from time to time. For example, in March 2025, we completed a follow-on public offering of 3.2 million shares of our common stock at a public offering price of $44.50 per share, for aggregate net proceeds of approximately $134.8 million (after deducting underwriting discounts, commissions and other estimated offering-related expenses). In March 2024, we completed a follow-on public offering of 3.3 million shares of our common stock at a public offering price of $32.00 per share and, in lieu of common stock to a certain investor, pre-funded warrants to purchase 312,500 shares of our common stock at a price of $31.9999 per pre-funded warrant, for aggregate net proceeds of $107.7 million (after deducting underwriting discounts, commissions and other estimated offering-related expenses). In 2023 we raised approximately $19.2 million, after deducting broker commissions and fees, through sales under our 2023 ATM Prospectus. 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59" w:lineRule="exact"/>
        <w:rPr>
          <w:sz w:val="20"/>
          <w:szCs w:val="20"/>
          <w:color w:val="auto"/>
        </w:rPr>
      </w:pPr>
    </w:p>
    <w:p>
      <w:pPr>
        <w:ind w:right="280" w:firstLine="881"/>
        <w:spacing w:after="0" w:line="261" w:lineRule="auto"/>
        <w:rPr>
          <w:sz w:val="20"/>
          <w:szCs w:val="20"/>
          <w:color w:val="auto"/>
        </w:rPr>
      </w:pPr>
      <w:r>
        <w:rPr>
          <w:rFonts w:ascii="Times New Roman" w:cs="Times New Roman" w:eastAsia="Times New Roman" w:hAnsi="Times New Roman"/>
          <w:sz w:val="18"/>
          <w:szCs w:val="18"/>
          <w:color w:val="auto"/>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159" w:lineRule="exact"/>
        <w:rPr>
          <w:sz w:val="20"/>
          <w:szCs w:val="20"/>
          <w:color w:val="auto"/>
        </w:rPr>
      </w:pPr>
    </w:p>
    <w:p>
      <w:pPr>
        <w:ind w:right="220" w:firstLine="881"/>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spacing w:after="0" w:line="180" w:lineRule="exact"/>
        <w:rPr>
          <w:sz w:val="20"/>
          <w:szCs w:val="20"/>
          <w:color w:val="auto"/>
        </w:rPr>
      </w:pPr>
    </w:p>
    <w:p>
      <w:pPr>
        <w:ind w:right="300" w:firstLine="881"/>
        <w:spacing w:after="0" w:line="261" w:lineRule="auto"/>
        <w:rPr>
          <w:sz w:val="20"/>
          <w:szCs w:val="20"/>
          <w:color w:val="auto"/>
        </w:rPr>
      </w:pPr>
      <w:r>
        <w:rPr>
          <w:rFonts w:ascii="Times New Roman" w:cs="Times New Roman" w:eastAsia="Times New Roman" w:hAnsi="Times New Roman"/>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59" w:lineRule="exact"/>
        <w:rPr>
          <w:sz w:val="20"/>
          <w:szCs w:val="20"/>
          <w:color w:val="auto"/>
        </w:rPr>
      </w:pPr>
    </w:p>
    <w:p>
      <w:pPr>
        <w:ind w:right="140" w:firstLine="881"/>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spacing w:after="0" w:line="192"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ind w:right="400" w:firstLine="881"/>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ind w:right="80" w:firstLine="881"/>
        <w:spacing w:after="0" w:line="282"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foreseeable future. Our 2024 Credit Facility also contains a negative covenant that prohibits us from paying dividends subject to limited exceptions. Consequently, stockholders must rely on sales of their common stock after price appreciation, which may never occur, as the only way to realize any future gains on their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jc w:val="both"/>
        <w:ind w:right="140" w:firstLine="881"/>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9" w:lineRule="exact"/>
        <w:rPr>
          <w:sz w:val="20"/>
          <w:szCs w:val="20"/>
          <w:color w:val="auto"/>
        </w:rPr>
      </w:pPr>
    </w:p>
    <w:p>
      <w:pPr>
        <w:ind w:right="160" w:firstLine="881"/>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176" w:lineRule="exact"/>
        <w:rPr>
          <w:sz w:val="20"/>
          <w:szCs w:val="20"/>
          <w:color w:val="auto"/>
        </w:rPr>
      </w:pPr>
    </w:p>
    <w:p>
      <w:pPr>
        <w:ind w:left="1020" w:right="20" w:hanging="324"/>
        <w:spacing w:after="0" w:line="282" w:lineRule="auto"/>
        <w:tabs>
          <w:tab w:leader="none" w:pos="10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XDEMVY or our other product candidates, which may vary depending on the quantity of production and the terms of our agreements with manufacturers;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XDEMVY or our product candidates should they receive approval, which may vary significantly;</w:t>
      </w:r>
    </w:p>
    <w:p>
      <w:pPr>
        <w:spacing w:after="0" w:line="225"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XDEMVY or our product candidates, if approved, and existing and potential future drugs that compete with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gross-to-net yields for XDEMVY or our other product candidates, if approved;</w:t>
      </w:r>
    </w:p>
    <w:p>
      <w:pPr>
        <w:spacing w:after="0" w:line="225" w:lineRule="exact"/>
        <w:rPr>
          <w:rFonts w:ascii="Times New Roman" w:cs="Times New Roman" w:eastAsia="Times New Roman" w:hAnsi="Times New Roman"/>
          <w:sz w:val="18"/>
          <w:szCs w:val="18"/>
          <w:color w:val="auto"/>
        </w:rPr>
      </w:pPr>
    </w:p>
    <w:p>
      <w:pPr>
        <w:ind w:left="1020" w:right="380" w:hanging="324"/>
        <w:spacing w:after="0" w:line="282" w:lineRule="auto"/>
        <w:tabs>
          <w:tab w:leader="none" w:pos="10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61" w:lineRule="exact"/>
        <w:rPr>
          <w:rFonts w:ascii="Times New Roman" w:cs="Times New Roman" w:eastAsia="Times New Roman" w:hAnsi="Times New Roman"/>
          <w:sz w:val="18"/>
          <w:szCs w:val="18"/>
          <w:color w:val="auto"/>
        </w:rPr>
      </w:pPr>
    </w:p>
    <w:p>
      <w:pPr>
        <w:ind w:left="1020" w:right="140" w:hanging="324"/>
        <w:spacing w:after="0" w:line="282" w:lineRule="auto"/>
        <w:tabs>
          <w:tab w:leader="none" w:pos="10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patients for preclinical studies and clinical trials, and any delays caused by difficulties in such recruitment efforts;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25" w:lineRule="exact"/>
        <w:rPr>
          <w:rFonts w:ascii="Times New Roman" w:cs="Times New Roman" w:eastAsia="Times New Roman" w:hAnsi="Times New Roman"/>
          <w:sz w:val="18"/>
          <w:szCs w:val="18"/>
          <w:color w:val="auto"/>
        </w:rPr>
      </w:pPr>
    </w:p>
    <w:p>
      <w:pPr>
        <w:ind w:left="1020" w:right="100" w:hanging="324"/>
        <w:spacing w:after="0" w:line="282" w:lineRule="auto"/>
        <w:tabs>
          <w:tab w:leader="none" w:pos="10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EU and global economic environments, including the impact of current or future health pandemics;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59"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83" w:lineRule="exact"/>
        <w:rPr>
          <w:sz w:val="20"/>
          <w:szCs w:val="20"/>
          <w:color w:val="auto"/>
        </w:rPr>
      </w:pPr>
    </w:p>
    <w:p>
      <w:pPr>
        <w:ind w:left="1020" w:right="100" w:hanging="324"/>
        <w:spacing w:after="0" w:line="282"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020" w:right="160" w:hanging="324"/>
        <w:spacing w:after="0" w:line="312" w:lineRule="auto"/>
        <w:tabs>
          <w:tab w:leader="none" w:pos="10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39" w:lineRule="exact"/>
        <w:rPr>
          <w:rFonts w:ascii="Times New Roman" w:cs="Times New Roman" w:eastAsia="Times New Roman" w:hAnsi="Times New Roman"/>
          <w:sz w:val="17"/>
          <w:szCs w:val="17"/>
          <w:color w:val="auto"/>
        </w:rPr>
      </w:pPr>
    </w:p>
    <w:p>
      <w:pPr>
        <w:ind w:left="1020" w:right="340" w:hanging="324"/>
        <w:spacing w:after="0" w:line="282"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1020" w:right="340" w:hanging="324"/>
        <w:spacing w:after="0" w:line="282"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ind w:left="1020" w:right="160" w:hanging="324"/>
        <w:spacing w:after="0" w:line="266"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jc w:val="both"/>
        <w:ind w:left="1020" w:right="100" w:hanging="324"/>
        <w:spacing w:after="0" w:line="289" w:lineRule="auto"/>
        <w:tabs>
          <w:tab w:leader="none" w:pos="10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57" w:lineRule="exact"/>
        <w:rPr>
          <w:rFonts w:ascii="Times New Roman" w:cs="Times New Roman" w:eastAsia="Times New Roman" w:hAnsi="Times New Roman"/>
          <w:sz w:val="17"/>
          <w:szCs w:val="17"/>
          <w:color w:val="auto"/>
        </w:rPr>
      </w:pPr>
    </w:p>
    <w:p>
      <w:pPr>
        <w:ind w:left="1020" w:right="200" w:hanging="324"/>
        <w:spacing w:after="0" w:line="266"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80" w:lineRule="exact"/>
        <w:rPr>
          <w:sz w:val="20"/>
          <w:szCs w:val="20"/>
          <w:color w:val="auto"/>
        </w:rPr>
      </w:pPr>
    </w:p>
    <w:p>
      <w:pPr>
        <w:jc w:val="both"/>
        <w:ind w:right="300" w:firstLine="881"/>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160" w:firstLine="881"/>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duty, any action asserting a claim against us arising pursuant to the DGCL, our certificate of incorporation or our bylaws or any action asserting a claim against us that is governed by the internal affairs doctrine.</w:t>
      </w:r>
    </w:p>
    <w:p>
      <w:pPr>
        <w:spacing w:after="0" w:line="162" w:lineRule="exact"/>
        <w:rPr>
          <w:sz w:val="20"/>
          <w:szCs w:val="20"/>
          <w:color w:val="auto"/>
        </w:rPr>
      </w:pPr>
    </w:p>
    <w:p>
      <w:pPr>
        <w:ind w:right="60" w:firstLine="881"/>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In December 2024, Bobak Azamian, our Chief Executive Officer, adopted a Rule 10b5-1 trading plan to satisfy the affirmative defense of Rule 10b5-1(c) under the Exchange Act. The plan provides for the sale of up to 24,000 shares of common stock held by Dr. Azamian between March 24, 2025 and March 23, 2026. For the quarter ended March 31, 2025, Dr. Azamian sold 6,000 shares under this adopted 10b5-1 Plan.</w:t>
      </w:r>
    </w:p>
    <w:p>
      <w:pPr>
        <w:spacing w:after="0" w:line="176"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In March 2025, Aziz Mottiwala, our Chief Commercial Officer, adopted a Rule 10b5-1 trading plan to satisfy the affirmative defense of Rule 10b5-1(c) under the Exchange Act. The plan provides for the sale of up to 17,500 shares of common stock held by Mr. Mottiwala between June 9, 2025 and June 9, 2026.</w:t>
      </w:r>
    </w:p>
    <w:p>
      <w:pPr>
        <w:spacing w:after="0" w:line="176"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none of our other officers or directors, as defined in Rule 16a-1(f), informed us of an adoption or termination of a Rule 10b5-1 trading arrangement or a non-Rule 10b5-1 trading arrangement, each as defined in Regulation S-K Item 408.</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720" w:type="dxa"/>
            <w:vAlign w:val="bottom"/>
          </w:tcPr>
          <w:p>
            <w:pPr>
              <w:spacing w:after="0"/>
              <w:rPr>
                <w:sz w:val="13"/>
                <w:szCs w:val="13"/>
                <w:color w:val="auto"/>
              </w:rPr>
            </w:pPr>
          </w:p>
        </w:tc>
        <w:tc>
          <w:tcPr>
            <w:tcW w:w="9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1000" w:type="dxa"/>
            <w:vAlign w:val="bottom"/>
            <w:gridSpan w:val="2"/>
            <w:vMerge w:val="continue"/>
          </w:tcPr>
          <w:p>
            <w:pPr>
              <w:spacing w:after="0"/>
              <w:rPr>
                <w:sz w:val="12"/>
                <w:szCs w:val="12"/>
                <w:color w:val="auto"/>
              </w:rPr>
            </w:pPr>
          </w:p>
        </w:tc>
        <w:tc>
          <w:tcPr>
            <w:tcW w:w="450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7"/>
                <w:szCs w:val="17"/>
                <w:color w:val="auto"/>
              </w:rPr>
            </w:pPr>
          </w:p>
        </w:tc>
        <w:tc>
          <w:tcPr>
            <w:tcW w:w="450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w:t>
            </w:r>
          </w:p>
        </w:tc>
      </w:tr>
      <w:tr>
        <w:trPr>
          <w:trHeight w:val="142"/>
        </w:trPr>
        <w:tc>
          <w:tcPr>
            <w:tcW w:w="1000" w:type="dxa"/>
            <w:vAlign w:val="bottom"/>
          </w:tcPr>
          <w:p>
            <w:pPr>
              <w:spacing w:after="0"/>
              <w:rPr>
                <w:sz w:val="12"/>
                <w:szCs w:val="12"/>
                <w:color w:val="auto"/>
              </w:rPr>
            </w:pPr>
          </w:p>
        </w:tc>
        <w:tc>
          <w:tcPr>
            <w:tcW w:w="528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30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6"/>
                <w:szCs w:val="16"/>
                <w:color w:val="0000FF"/>
              </w:rPr>
              <w:t>302</w:t>
            </w:r>
          </w:p>
        </w:tc>
      </w:tr>
      <w:tr>
        <w:trPr>
          <w:trHeight w:val="142"/>
        </w:trPr>
        <w:tc>
          <w:tcPr>
            <w:tcW w:w="1000" w:type="dxa"/>
            <w:vAlign w:val="bottom"/>
          </w:tcPr>
          <w:p>
            <w:pPr>
              <w:spacing w:after="0"/>
              <w:rPr>
                <w:sz w:val="12"/>
                <w:szCs w:val="12"/>
                <w:color w:val="auto"/>
              </w:rPr>
            </w:pPr>
          </w:p>
        </w:tc>
        <w:tc>
          <w:tcPr>
            <w:tcW w:w="55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w:t>
            </w:r>
          </w:p>
        </w:tc>
      </w:tr>
      <w:tr>
        <w:trPr>
          <w:trHeight w:val="142"/>
        </w:trPr>
        <w:tc>
          <w:tcPr>
            <w:tcW w:w="1000" w:type="dxa"/>
            <w:vAlign w:val="bottom"/>
          </w:tcPr>
          <w:p>
            <w:pPr>
              <w:spacing w:after="0"/>
              <w:rPr>
                <w:sz w:val="12"/>
                <w:szCs w:val="12"/>
                <w:color w:val="auto"/>
              </w:rPr>
            </w:pPr>
          </w:p>
        </w:tc>
        <w:tc>
          <w:tcPr>
            <w:tcW w:w="524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340" w:type="dxa"/>
            <w:vAlign w:val="bottom"/>
            <w:gridSpan w:val="5"/>
          </w:tcPr>
          <w:p>
            <w:pPr>
              <w:jc w:val="right"/>
              <w:ind w:right="20"/>
              <w:spacing w:after="0" w:line="142" w:lineRule="exact"/>
              <w:rPr>
                <w:sz w:val="20"/>
                <w:szCs w:val="20"/>
                <w:color w:val="auto"/>
              </w:rPr>
            </w:pPr>
            <w:r>
              <w:rPr>
                <w:rFonts w:ascii="Times New Roman" w:cs="Times New Roman" w:eastAsia="Times New Roman" w:hAnsi="Times New Roman"/>
                <w:sz w:val="16"/>
                <w:szCs w:val="16"/>
                <w:color w:val="0000FF"/>
              </w:rPr>
              <w:t>302</w:t>
            </w:r>
          </w:p>
        </w:tc>
      </w:tr>
      <w:tr>
        <w:trPr>
          <w:trHeight w:val="142"/>
        </w:trPr>
        <w:tc>
          <w:tcPr>
            <w:tcW w:w="1000" w:type="dxa"/>
            <w:vAlign w:val="bottom"/>
          </w:tcPr>
          <w:p>
            <w:pPr>
              <w:spacing w:after="0"/>
              <w:rPr>
                <w:sz w:val="12"/>
                <w:szCs w:val="12"/>
                <w:color w:val="auto"/>
              </w:rPr>
            </w:pPr>
          </w:p>
        </w:tc>
        <w:tc>
          <w:tcPr>
            <w:tcW w:w="55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w:t>
            </w:r>
          </w:p>
        </w:tc>
      </w:tr>
      <w:tr>
        <w:trPr>
          <w:trHeight w:val="142"/>
        </w:trPr>
        <w:tc>
          <w:tcPr>
            <w:tcW w:w="1000" w:type="dxa"/>
            <w:vAlign w:val="bottom"/>
          </w:tcPr>
          <w:p>
            <w:pPr>
              <w:spacing w:after="0"/>
              <w:rPr>
                <w:sz w:val="12"/>
                <w:szCs w:val="12"/>
                <w:color w:val="auto"/>
              </w:rPr>
            </w:pPr>
          </w:p>
        </w:tc>
        <w:tc>
          <w:tcPr>
            <w:tcW w:w="45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880" w:type="dxa"/>
            <w:vAlign w:val="bottom"/>
            <w:tcBorders>
              <w:top w:val="single" w:sz="8" w:color="0000FF"/>
            </w:tcBorders>
            <w:gridSpan w:val="4"/>
          </w:tcPr>
          <w:p>
            <w:pPr>
              <w:spacing w:after="0"/>
              <w:rPr>
                <w:sz w:val="12"/>
                <w:szCs w:val="12"/>
                <w:color w:val="auto"/>
              </w:rPr>
            </w:pPr>
          </w:p>
        </w:tc>
        <w:tc>
          <w:tcPr>
            <w:tcW w:w="200" w:type="dxa"/>
            <w:vAlign w:val="bottom"/>
            <w:gridSpan w:val="2"/>
          </w:tcPr>
          <w:p>
            <w:pPr>
              <w:spacing w:after="0"/>
              <w:rPr>
                <w:sz w:val="12"/>
                <w:szCs w:val="12"/>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w:t>
            </w:r>
          </w:p>
        </w:tc>
      </w:tr>
      <w:tr>
        <w:trPr>
          <w:trHeight w:val="142"/>
        </w:trPr>
        <w:tc>
          <w:tcPr>
            <w:tcW w:w="1000" w:type="dxa"/>
            <w:vAlign w:val="bottom"/>
          </w:tcPr>
          <w:p>
            <w:pPr>
              <w:spacing w:after="0"/>
              <w:rPr>
                <w:sz w:val="12"/>
                <w:szCs w:val="12"/>
                <w:color w:val="auto"/>
              </w:rPr>
            </w:pPr>
          </w:p>
        </w:tc>
        <w:tc>
          <w:tcPr>
            <w:tcW w:w="45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840" w:type="dxa"/>
            <w:vAlign w:val="bottom"/>
            <w:tcBorders>
              <w:top w:val="single" w:sz="8" w:color="0000FF"/>
            </w:tcBorders>
            <w:gridSpan w:val="3"/>
          </w:tcPr>
          <w:p>
            <w:pPr>
              <w:spacing w:after="0"/>
              <w:rPr>
                <w:sz w:val="12"/>
                <w:szCs w:val="12"/>
                <w:color w:val="auto"/>
              </w:rPr>
            </w:pPr>
          </w:p>
        </w:tc>
        <w:tc>
          <w:tcPr>
            <w:tcW w:w="240" w:type="dxa"/>
            <w:vAlign w:val="bottom"/>
            <w:gridSpan w:val="3"/>
          </w:tcPr>
          <w:p>
            <w:pPr>
              <w:spacing w:after="0"/>
              <w:rPr>
                <w:sz w:val="12"/>
                <w:szCs w:val="12"/>
                <w:color w:val="auto"/>
              </w:rPr>
            </w:pPr>
          </w:p>
        </w:tc>
      </w:tr>
      <w:tr>
        <w:trPr>
          <w:trHeight w:val="183"/>
        </w:trPr>
        <w:tc>
          <w:tcPr>
            <w:tcW w:w="10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55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r>
      <w:tr>
        <w:trPr>
          <w:trHeight w:val="162"/>
        </w:trPr>
        <w:tc>
          <w:tcPr>
            <w:tcW w:w="1000" w:type="dxa"/>
            <w:vAlign w:val="bottom"/>
          </w:tcPr>
          <w:p>
            <w:pPr>
              <w:spacing w:after="0"/>
              <w:rPr>
                <w:sz w:val="14"/>
                <w:szCs w:val="14"/>
                <w:color w:val="auto"/>
              </w:rPr>
            </w:pPr>
          </w:p>
        </w:tc>
        <w:tc>
          <w:tcPr>
            <w:tcW w:w="558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r>
      <w:tr>
        <w:trPr>
          <w:trHeight w:val="210"/>
        </w:trPr>
        <w:tc>
          <w:tcPr>
            <w:tcW w:w="1000" w:type="dxa"/>
            <w:vAlign w:val="bottom"/>
          </w:tcPr>
          <w:p>
            <w:pPr>
              <w:spacing w:after="0"/>
              <w:rPr>
                <w:sz w:val="18"/>
                <w:szCs w:val="18"/>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40" w:lineRule="exact"/>
        <w:rPr>
          <w:sz w:val="20"/>
          <w:szCs w:val="20"/>
          <w:color w:val="auto"/>
        </w:rPr>
      </w:pPr>
    </w:p>
    <w:p>
      <w:pPr>
        <w:sectPr>
          <w:pgSz w:w="11900" w:h="16838" w:orient="portrait"/>
          <w:cols w:equalWidth="0" w:num="2">
            <w:col w:w="10020" w:space="720"/>
            <w:col w:w="500"/>
          </w:cols>
          <w:pgMar w:left="320" w:top="121" w:right="339" w:bottom="1440" w:gutter="0" w:footer="0" w:header="0"/>
          <w:type w:val="continuous"/>
        </w:sectPr>
      </w:pPr>
    </w:p>
    <w:p>
      <w:pPr>
        <w:ind w:left="680" w:right="220" w:hanging="654"/>
        <w:spacing w:after="0" w:line="227" w:lineRule="auto"/>
        <w:tabs>
          <w:tab w:leader="none" w:pos="6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tc>
      </w:tr>
      <w:tr>
        <w:trPr>
          <w:trHeight w:val="49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May 1, 2025</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Bobak Azamian, M.D., Ph.D.</w:t>
            </w:r>
          </w:p>
        </w:tc>
      </w:tr>
      <w:tr>
        <w:trPr>
          <w:trHeight w:val="218"/>
        </w:trPr>
        <w:tc>
          <w:tcPr>
            <w:tcW w:w="1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Bobak Azamian, M.D., Ph.D.</w:t>
            </w:r>
          </w:p>
        </w:tc>
      </w:tr>
      <w:tr>
        <w:trPr>
          <w:trHeight w:val="230"/>
        </w:trPr>
        <w:tc>
          <w:tcPr>
            <w:tcW w:w="12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234"/>
        </w:trPr>
        <w:tc>
          <w:tcPr>
            <w:tcW w:w="1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Director)</w:t>
            </w:r>
          </w:p>
        </w:tc>
      </w:tr>
      <w:tr>
        <w:trPr>
          <w:trHeight w:val="76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May 1, 2025</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Farrow</w:t>
            </w:r>
          </w:p>
        </w:tc>
      </w:tr>
      <w:tr>
        <w:trPr>
          <w:trHeight w:val="218"/>
        </w:trPr>
        <w:tc>
          <w:tcPr>
            <w:tcW w:w="1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Farrow</w:t>
            </w:r>
          </w:p>
        </w:tc>
      </w:tr>
      <w:tr>
        <w:trPr>
          <w:trHeight w:val="229"/>
        </w:trPr>
        <w:tc>
          <w:tcPr>
            <w:tcW w:w="12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tc>
      </w:tr>
      <w:tr>
        <w:trPr>
          <w:trHeight w:val="234"/>
        </w:trPr>
        <w:tc>
          <w:tcPr>
            <w:tcW w:w="1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Bobak Azamian, M.D., Ph.D., certify that:</w:t>
      </w:r>
    </w:p>
    <w:p>
      <w:pPr>
        <w:spacing w:after="0" w:line="252"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Tarsus Pharmaceuticals, Inc;</w:t>
      </w:r>
    </w:p>
    <w:p>
      <w:pPr>
        <w:spacing w:after="0" w:line="49" w:lineRule="exact"/>
        <w:rPr>
          <w:rFonts w:ascii="Times New Roman" w:cs="Times New Roman" w:eastAsia="Times New Roman" w:hAnsi="Times New Roman"/>
          <w:sz w:val="18"/>
          <w:szCs w:val="18"/>
          <w:color w:val="auto"/>
        </w:rPr>
      </w:pPr>
    </w:p>
    <w:p>
      <w:pPr>
        <w:ind w:left="340" w:right="460" w:hanging="332"/>
        <w:spacing w:after="0" w:line="258" w:lineRule="auto"/>
        <w:tabs>
          <w:tab w:leader="none" w:pos="1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8"/>
          <w:szCs w:val="18"/>
          <w:color w:val="auto"/>
        </w:rPr>
      </w:pPr>
    </w:p>
    <w:p>
      <w:pPr>
        <w:ind w:left="340" w:right="540" w:hanging="332"/>
        <w:spacing w:after="0" w:line="246" w:lineRule="auto"/>
        <w:tabs>
          <w:tab w:leader="none" w:pos="1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34" w:lineRule="auto"/>
        <w:tabs>
          <w:tab w:leader="none" w:pos="1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8"/>
          <w:szCs w:val="18"/>
          <w:color w:val="auto"/>
        </w:rPr>
      </w:pPr>
    </w:p>
    <w:p>
      <w:pPr>
        <w:ind w:left="1460" w:right="180" w:hanging="318"/>
        <w:spacing w:after="0" w:line="258" w:lineRule="auto"/>
        <w:tabs>
          <w:tab w:leader="none" w:pos="13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460" w:right="40" w:hanging="318"/>
        <w:spacing w:after="0" w:line="258"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460" w:right="40" w:hanging="318"/>
        <w:spacing w:after="0" w:line="282" w:lineRule="auto"/>
        <w:tabs>
          <w:tab w:leader="none" w:pos="13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460" w:right="160" w:hanging="318"/>
        <w:spacing w:after="0" w:line="258"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1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380" w:hanging="318"/>
        <w:spacing w:after="0" w:line="266" w:lineRule="auto"/>
        <w:tabs>
          <w:tab w:leader="none" w:pos="13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460" w:right="60" w:hanging="318"/>
        <w:spacing w:after="0" w:line="282"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60" w:val="left"/>
          <w:tab w:leader="none" w:pos="740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President, Chief Executive Officer and Board Chairman</w:t>
      </w:r>
    </w:p>
    <w:p>
      <w:pPr>
        <w:spacing w:after="0" w:line="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Farrow, certify that:</w:t>
      </w:r>
    </w:p>
    <w:p>
      <w:pPr>
        <w:spacing w:after="0" w:line="252"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Tarsus Pharmaceuticals, Inc;</w:t>
      </w:r>
    </w:p>
    <w:p>
      <w:pPr>
        <w:spacing w:after="0" w:line="49" w:lineRule="exact"/>
        <w:rPr>
          <w:rFonts w:ascii="Times New Roman" w:cs="Times New Roman" w:eastAsia="Times New Roman" w:hAnsi="Times New Roman"/>
          <w:sz w:val="18"/>
          <w:szCs w:val="18"/>
          <w:color w:val="auto"/>
        </w:rPr>
      </w:pPr>
    </w:p>
    <w:p>
      <w:pPr>
        <w:ind w:left="340" w:right="460" w:hanging="332"/>
        <w:spacing w:after="0" w:line="258" w:lineRule="auto"/>
        <w:tabs>
          <w:tab w:leader="none" w:pos="1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8"/>
          <w:szCs w:val="18"/>
          <w:color w:val="auto"/>
        </w:rPr>
      </w:pPr>
    </w:p>
    <w:p>
      <w:pPr>
        <w:ind w:left="340" w:right="540" w:hanging="332"/>
        <w:spacing w:after="0" w:line="246" w:lineRule="auto"/>
        <w:tabs>
          <w:tab w:leader="none" w:pos="1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34" w:lineRule="auto"/>
        <w:tabs>
          <w:tab w:leader="none" w:pos="1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8"/>
          <w:szCs w:val="18"/>
          <w:color w:val="auto"/>
        </w:rPr>
      </w:pPr>
    </w:p>
    <w:p>
      <w:pPr>
        <w:ind w:left="1460" w:right="180" w:hanging="318"/>
        <w:spacing w:after="0" w:line="258" w:lineRule="auto"/>
        <w:tabs>
          <w:tab w:leader="none" w:pos="13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460" w:right="40" w:hanging="318"/>
        <w:spacing w:after="0" w:line="258"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460" w:right="40" w:hanging="318"/>
        <w:spacing w:after="0" w:line="282" w:lineRule="auto"/>
        <w:tabs>
          <w:tab w:leader="none" w:pos="13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460" w:right="160" w:hanging="318"/>
        <w:spacing w:after="0" w:line="258"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1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380" w:hanging="318"/>
        <w:spacing w:after="0" w:line="266" w:lineRule="auto"/>
        <w:tabs>
          <w:tab w:leader="none" w:pos="13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460" w:right="60" w:hanging="318"/>
        <w:spacing w:after="0" w:line="282"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60" w:val="left"/>
          <w:tab w:leader="none" w:pos="794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Jeffrey Farrow</w:t>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111" w:name="page112"/>
    <w:bookmarkEnd w:id="111"/>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ind w:left="3420"/>
        <w:spacing w:after="0" w:line="234" w:lineRule="auto"/>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32" w:lineRule="exact"/>
        <w:rPr>
          <w:sz w:val="20"/>
          <w:szCs w:val="20"/>
          <w:color w:val="auto"/>
        </w:rPr>
      </w:pPr>
    </w:p>
    <w:p>
      <w:pPr>
        <w:jc w:val="both"/>
        <w:ind w:right="180" w:firstLine="577"/>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Tarsus Pharmaceuticals, Inc. (the “Company”) on Form 10-Q for the period ended March 31, 2025 as filed with the Securities and Exchange Commission on the date hereof (the “Report”), I, Bobak Azamian, hereby certify, pursuant to 18 U.S.C. § 1350, as adopted pursuant to § 906 of the Sarbanes-Oxley Act of 2002, that:</w:t>
      </w:r>
    </w:p>
    <w:p>
      <w:pPr>
        <w:spacing w:after="0" w:line="217" w:lineRule="exact"/>
        <w:rPr>
          <w:sz w:val="20"/>
          <w:szCs w:val="20"/>
          <w:color w:val="auto"/>
        </w:rPr>
      </w:pPr>
    </w:p>
    <w:p>
      <w:pPr>
        <w:ind w:left="1020" w:hanging="435"/>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980" w:hanging="395"/>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3840" w:val="left"/>
          <w:tab w:leader="none" w:pos="464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26035</wp:posOffset>
            </wp:positionV>
            <wp:extent cx="4200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President, Chief Executive Officer and Board Chairman</w:t>
      </w:r>
    </w:p>
    <w:p>
      <w:pPr>
        <w:spacing w:after="0" w:line="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ind w:left="3420"/>
        <w:spacing w:after="0" w:line="234" w:lineRule="auto"/>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32" w:lineRule="exact"/>
        <w:rPr>
          <w:sz w:val="20"/>
          <w:szCs w:val="20"/>
          <w:color w:val="auto"/>
        </w:rPr>
      </w:pPr>
    </w:p>
    <w:p>
      <w:pPr>
        <w:jc w:val="both"/>
        <w:ind w:right="220" w:firstLine="577"/>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Tarsus Pharmaceuticals, Inc. (the “Company”) on Form 10-Q for the period ended March 31, 2025 as filed with the Securities and Exchange Commission on the date hereof (the “Report”), I, Jeffrey Farrow, hereby certify, pursuant to 18 U.S.C. § 1350, as adopted pursuant to § 906 of the Sarbanes-Oxley Act of 2002, that:</w:t>
      </w:r>
    </w:p>
    <w:p>
      <w:pPr>
        <w:spacing w:after="0" w:line="217" w:lineRule="exact"/>
        <w:rPr>
          <w:sz w:val="20"/>
          <w:szCs w:val="20"/>
          <w:color w:val="auto"/>
        </w:rPr>
      </w:pPr>
    </w:p>
    <w:p>
      <w:pPr>
        <w:ind w:left="980" w:hanging="395"/>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980" w:hanging="395"/>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5200" w:val="left"/>
          <w:tab w:leader="none" w:pos="600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4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Jeffrey Farrow</w:t>
      </w:r>
    </w:p>
    <w:p>
      <w:pPr>
        <w:spacing w:after="0" w:line="5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lowerRoman"/>
      <w:start w:val="1"/>
    </w:lvl>
  </w:abstractNum>
  <w:abstractNum w:abstractNumId="6">
    <w:nsid w:val="3006C83E"/>
    <w:multiLevelType w:val="hybridMultilevel"/>
    <w:lvl w:ilvl="0">
      <w:lvlJc w:val="left"/>
      <w:lvlText w:val="(%1)"/>
      <w:numFmt w:val="lowerRoman"/>
      <w:start w:val="2"/>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8"/>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lvl w:ilvl="1">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2025-05-01T15:25:34Z</dcterms:created>
  <dcterms:modified xsi:type="dcterms:W3CDTF">2025-05-01T15:25:34Z</dcterms:modified>
</cp:coreProperties>
</file>