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President/CEO and Board Chair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824,106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by an automatic sale pursuant to a Rule 10b5-1 trading plan adopted by the Reporting Person on December 12,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767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2025-03-26T16:35:42Z</dcterms:created>
  <dcterms:modified xsi:type="dcterms:W3CDTF">2025-03-26T16:35:42Z</dcterms:modified>
</cp:coreProperties>
</file>