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1, 2025</w:t>
      </w:r>
    </w:p>
    <w:p>
      <w:pPr>
        <w:spacing w:after="0" w:line="2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w:t>
            </w:r>
          </w:p>
        </w:tc>
        <w:tc>
          <w:tcPr>
            <w:tcW w:w="29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15440 Laguna Canyon Road,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418-1801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5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235"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8"/>
        </w:trPr>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TARS</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7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97"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16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May 1, 2025, Tarsus Pharmaceuticals, Inc. (the “Company”) issued a press release, which, among other matters, sets forth the Company’s results of operations for the three months ended March 31, 2025. A copy of the press release is attached hereto as Exhibit 99.1 and is incorporated herein by reference.</w:t>
      </w:r>
    </w:p>
    <w:p>
      <w:pPr>
        <w:spacing w:after="0" w:line="19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33"/>
        </w:trPr>
        <w:tc>
          <w:tcPr>
            <w:tcW w:w="254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Exhibit No.</w:t>
            </w:r>
          </w:p>
        </w:tc>
        <w:tc>
          <w:tcPr>
            <w:tcW w:w="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40" w:type="dxa"/>
            <w:vAlign w:val="bottom"/>
          </w:tcPr>
          <w:p>
            <w:pPr>
              <w:spacing w:after="0"/>
              <w:rPr>
                <w:sz w:val="24"/>
                <w:szCs w:val="24"/>
                <w:color w:val="auto"/>
              </w:rPr>
            </w:pPr>
          </w:p>
        </w:tc>
      </w:tr>
      <w:tr>
        <w:trPr>
          <w:trHeight w:val="203"/>
        </w:trPr>
        <w:tc>
          <w:tcPr>
            <w:tcW w:w="2540" w:type="dxa"/>
            <w:vAlign w:val="bottom"/>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Press Release dated May 1, 2025.</w:t>
            </w:r>
          </w:p>
        </w:tc>
      </w:tr>
      <w:tr>
        <w:trPr>
          <w:trHeight w:val="20"/>
        </w:trPr>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r>
      <w:tr>
        <w:trPr>
          <w:trHeight w:val="291"/>
        </w:trPr>
        <w:tc>
          <w:tcPr>
            <w:tcW w:w="2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XBRL document)</w:t>
            </w:r>
          </w:p>
        </w:tc>
      </w:tr>
      <w:tr>
        <w:trPr>
          <w:trHeight w:val="1019"/>
        </w:trPr>
        <w:tc>
          <w:tcPr>
            <w:tcW w:w="2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0" w:lineRule="exact"/>
        <w:rPr>
          <w:sz w:val="20"/>
          <w:szCs w:val="20"/>
          <w:color w:val="auto"/>
        </w:rPr>
      </w:pPr>
    </w:p>
    <w:p>
      <w:pPr>
        <w:ind w:left="40"/>
        <w:spacing w:after="0"/>
        <w:tabs>
          <w:tab w:leader="none" w:pos="660" w:val="left"/>
          <w:tab w:leader="none" w:pos="3560" w:val="left"/>
        </w:tabs>
        <w:rPr>
          <w:sz w:val="20"/>
          <w:szCs w:val="20"/>
          <w:color w:val="auto"/>
        </w:rPr>
      </w:pPr>
      <w:r>
        <w:rPr>
          <w:rFonts w:ascii="Times New Roman" w:cs="Times New Roman" w:eastAsia="Times New Roman" w:hAnsi="Times New Roman"/>
          <w:sz w:val="18"/>
          <w:szCs w:val="18"/>
          <w:color w:val="auto"/>
        </w:rPr>
        <w:t>Date:</w:t>
        <w:tab/>
        <w:t>May 1, 2025</w:t>
      </w:r>
      <w:r>
        <w:rPr>
          <w:sz w:val="20"/>
          <w:szCs w:val="20"/>
          <w:color w:val="auto"/>
        </w:rPr>
        <w:tab/>
      </w:r>
      <w:r>
        <w:rPr>
          <w:rFonts w:ascii="Times New Roman" w:cs="Times New Roman" w:eastAsia="Times New Roman" w:hAnsi="Times New Roman"/>
          <w:sz w:val="17"/>
          <w:szCs w:val="17"/>
          <w:color w:val="auto"/>
        </w:rPr>
        <w:t>/s/ Jeffrey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720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4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Jeffrey Farrow</w:t>
      </w:r>
    </w:p>
    <w:p>
      <w:pPr>
        <w:spacing w:after="0" w:line="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p>
      <w:pPr>
        <w:spacing w:after="0" w:line="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117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911860</wp:posOffset>
            </wp:positionV>
            <wp:extent cx="144018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Reports First Quarter 2025 Financial Results and Recent Business Achievements</w:t>
      </w:r>
    </w:p>
    <w:p>
      <w:pPr>
        <w:spacing w:after="0" w:line="251" w:lineRule="exact"/>
        <w:rPr>
          <w:sz w:val="20"/>
          <w:szCs w:val="20"/>
          <w:color w:val="auto"/>
        </w:rPr>
      </w:pPr>
    </w:p>
    <w:p>
      <w:pPr>
        <w:jc w:val="center"/>
        <w:ind w:left="340" w:right="200"/>
        <w:spacing w:after="0" w:line="231" w:lineRule="auto"/>
        <w:rPr>
          <w:sz w:val="20"/>
          <w:szCs w:val="20"/>
          <w:color w:val="auto"/>
        </w:rPr>
      </w:pPr>
      <w:r>
        <w:rPr>
          <w:rFonts w:ascii="Times New Roman" w:cs="Times New Roman" w:eastAsia="Times New Roman" w:hAnsi="Times New Roman"/>
          <w:sz w:val="18"/>
          <w:szCs w:val="18"/>
          <w:i w:val="1"/>
          <w:iCs w:val="1"/>
          <w:color w:val="auto"/>
        </w:rPr>
        <w:t>Generated $78.3 million in net product sales of XDEMVY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an increase of 217% year over year and 18% over Q4 2024, and dispensed approximately 72,000 bottles to patients</w:t>
      </w:r>
    </w:p>
    <w:p>
      <w:pPr>
        <w:spacing w:after="0" w:line="238" w:lineRule="exact"/>
        <w:rPr>
          <w:sz w:val="20"/>
          <w:szCs w:val="20"/>
          <w:color w:val="auto"/>
        </w:rPr>
      </w:pPr>
    </w:p>
    <w:p>
      <w:pPr>
        <w:jc w:val="center"/>
        <w:spacing w:after="0" w:line="300" w:lineRule="auto"/>
        <w:rPr>
          <w:sz w:val="20"/>
          <w:szCs w:val="20"/>
          <w:color w:val="auto"/>
        </w:rPr>
      </w:pPr>
      <w:r>
        <w:rPr>
          <w:rFonts w:ascii="Times New Roman" w:cs="Times New Roman" w:eastAsia="Times New Roman" w:hAnsi="Times New Roman"/>
          <w:sz w:val="18"/>
          <w:szCs w:val="18"/>
          <w:i w:val="1"/>
          <w:iCs w:val="1"/>
          <w:color w:val="auto"/>
        </w:rPr>
        <w:t>Strengthened financial position with approximately $135 million raised in public equity offering; cash, cash equivalents and marketable securities of approximately $408 million as of March 31, 2025</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On-track to initiate a Phase 2 trial of TP-04 (lotilaner ophthalmic gel) for the potential treatment of Ocular Rosacea in H2 2025</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Management to host conference call today, May 1, 2025, at 1:30 p.m. P.T. / 4:30 p.m. E.T.</w:t>
      </w:r>
    </w:p>
    <w:p>
      <w:pPr>
        <w:spacing w:after="0" w:line="200" w:lineRule="exact"/>
        <w:rPr>
          <w:sz w:val="20"/>
          <w:szCs w:val="20"/>
          <w:color w:val="auto"/>
        </w:rPr>
      </w:pP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IRVINE, Calif., May 1, 2025 (GLOBE NEWSWIRE) </w:t>
      </w:r>
      <w:r>
        <w:rPr>
          <w:rFonts w:ascii="Times New Roman" w:cs="Times New Roman" w:eastAsia="Times New Roman" w:hAnsi="Times New Roman"/>
          <w:sz w:val="18"/>
          <w:szCs w:val="18"/>
          <w:color w:val="auto"/>
        </w:rPr>
        <w:t>-- Tarsus Pharmaceuticals, Inc. (NASDAQ: TARS), today announced financial results for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March 31, 2025.</w:t>
      </w:r>
    </w:p>
    <w:p>
      <w:pPr>
        <w:spacing w:after="0" w:line="18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“Tarsus has entered 2025 with incredible momentum, driven by strong execution of our category-creating strategic blueprint for success and a focused commitment to leadership in eye care. The XDEMVY launch is continuing to exceed our expectations and is on track to potentially become one of the best-selling anterior segment medicines,” said Bobak Azamian, M.D., Ph.D., Chief Executive Officer and Chairman of Tarsus. “Building on a foundation of strong commercial performance and the success of our recent equity offering, we believe we are well positioned to accelerate the growth of XDEMVY, create another new category in Ocular Rosacea and continue to advance our pipeline.”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and Clinical Highlights</w:t>
      </w:r>
    </w:p>
    <w:p>
      <w:pPr>
        <w:spacing w:after="0" w:line="4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XDEMVY is on track to potentially be one of the fastest growing and best-selling anterior segment medicines. In the first quarter, the Company:</w:t>
      </w:r>
    </w:p>
    <w:p>
      <w:pPr>
        <w:spacing w:after="0" w:line="14" w:lineRule="exact"/>
        <w:rPr>
          <w:rFonts w:ascii="Arial" w:cs="Arial" w:eastAsia="Arial" w:hAnsi="Arial"/>
          <w:sz w:val="20"/>
          <w:szCs w:val="20"/>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Generated $78.3 million in XDEMVY net product sales, an increase of 217% year over year and 18% over Q4 2024.</w:t>
      </w:r>
    </w:p>
    <w:p>
      <w:pPr>
        <w:spacing w:after="0" w:line="12"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1"/>
          <w:numId w:val="2"/>
        </w:numPr>
        <w:rPr>
          <w:rFonts w:ascii="Courier New" w:cs="Courier New" w:eastAsia="Courier New" w:hAnsi="Courier New"/>
          <w:sz w:val="20"/>
          <w:szCs w:val="20"/>
          <w:color w:val="auto"/>
        </w:rPr>
      </w:pPr>
      <w:r>
        <w:rPr>
          <w:rFonts w:ascii="Times New Roman" w:cs="Times New Roman" w:eastAsia="Times New Roman" w:hAnsi="Times New Roman"/>
          <w:sz w:val="18"/>
          <w:szCs w:val="18"/>
          <w:color w:val="auto"/>
        </w:rPr>
        <w:t>Dispensed approximately 72,000 bottles of XDEMVY to patients, an increase of 23% over Q4 2024.</w:t>
      </w:r>
    </w:p>
    <w:p>
      <w:pPr>
        <w:spacing w:after="0" w:line="261" w:lineRule="exact"/>
        <w:rPr>
          <w:rFonts w:ascii="Courier New" w:cs="Courier New" w:eastAsia="Courier New" w:hAnsi="Courier New"/>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Broad commercial, Medicare and Medicaid reimbursement of XDEMVY now extends to more than 90% of covered lives.</w:t>
      </w:r>
    </w:p>
    <w:p>
      <w:pPr>
        <w:spacing w:after="0" w:line="13" w:lineRule="exact"/>
        <w:rPr>
          <w:rFonts w:ascii="Arial" w:cs="Arial" w:eastAsia="Arial" w:hAnsi="Arial"/>
          <w:sz w:val="22"/>
          <w:szCs w:val="22"/>
          <w:color w:val="auto"/>
        </w:rPr>
      </w:pPr>
    </w:p>
    <w:p>
      <w:pPr>
        <w:ind w:left="1300" w:hanging="320"/>
        <w:spacing w:after="0" w:line="226" w:lineRule="auto"/>
        <w:tabs>
          <w:tab w:leader="none" w:pos="1300" w:val="left"/>
        </w:tabs>
        <w:numPr>
          <w:ilvl w:val="1"/>
          <w:numId w:val="2"/>
        </w:numPr>
        <w:rPr>
          <w:rFonts w:ascii="Courier New" w:cs="Courier New" w:eastAsia="Courier New" w:hAnsi="Courier New"/>
          <w:sz w:val="20"/>
          <w:szCs w:val="20"/>
          <w:color w:val="auto"/>
        </w:rPr>
      </w:pPr>
      <w:r>
        <w:rPr>
          <w:rFonts w:ascii="Times New Roman" w:cs="Times New Roman" w:eastAsia="Times New Roman" w:hAnsi="Times New Roman"/>
          <w:sz w:val="18"/>
          <w:szCs w:val="18"/>
          <w:color w:val="auto"/>
        </w:rPr>
        <w:t>Recognized a gross-to-net discount of approximately 47%.</w:t>
      </w:r>
    </w:p>
    <w:p>
      <w:pPr>
        <w:spacing w:after="0" w:line="279" w:lineRule="exact"/>
        <w:rPr>
          <w:rFonts w:ascii="Courier New" w:cs="Courier New" w:eastAsia="Courier New" w:hAnsi="Courier New"/>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Substantially increased the depth of prescribing among our target Eye Care Professionals (ECPs).</w:t>
      </w:r>
    </w:p>
    <w:p>
      <w:pPr>
        <w:spacing w:after="0" w:line="14" w:lineRule="exact"/>
        <w:rPr>
          <w:rFonts w:ascii="Arial" w:cs="Arial" w:eastAsia="Arial" w:hAnsi="Arial"/>
          <w:sz w:val="20"/>
          <w:szCs w:val="20"/>
          <w:color w:val="auto"/>
        </w:rPr>
      </w:pPr>
    </w:p>
    <w:p>
      <w:pPr>
        <w:ind w:left="1300" w:right="420" w:hanging="320"/>
        <w:spacing w:after="0" w:line="271" w:lineRule="auto"/>
        <w:tabs>
          <w:tab w:leader="none" w:pos="1300" w:val="left"/>
        </w:tabs>
        <w:numPr>
          <w:ilvl w:val="1"/>
          <w:numId w:val="2"/>
        </w:numPr>
        <w:rPr>
          <w:rFonts w:ascii="Courier New" w:cs="Courier New" w:eastAsia="Courier New" w:hAnsi="Courier New"/>
          <w:sz w:val="20"/>
          <w:szCs w:val="20"/>
          <w:color w:val="auto"/>
        </w:rPr>
      </w:pPr>
      <w:r>
        <w:rPr>
          <w:rFonts w:ascii="Times New Roman" w:cs="Times New Roman" w:eastAsia="Times New Roman" w:hAnsi="Times New Roman"/>
          <w:sz w:val="18"/>
          <w:szCs w:val="18"/>
          <w:color w:val="auto"/>
        </w:rPr>
        <w:t>At the end of Q1 2025, the number of ECPs writing more than one prescription per week increased by nearly 110% compared to Q3 2024.</w:t>
      </w:r>
    </w:p>
    <w:p>
      <w:pPr>
        <w:sectPr>
          <w:pgSz w:w="11900" w:h="16838" w:orient="portrait"/>
          <w:cols w:equalWidth="0" w:num="1">
            <w:col w:w="11240"/>
          </w:cols>
          <w:pgMar w:left="320" w:top="1440" w:right="339" w:bottom="1440" w:gutter="0" w:footer="0" w:header="0"/>
        </w:sectPr>
      </w:pPr>
    </w:p>
    <w:bookmarkStart w:id="4" w:name="page5"/>
    <w:bookmarkEnd w:id="4"/>
    <w:p>
      <w:pPr>
        <w:spacing w:after="0" w:line="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Direct-To-Consumer (DTC) advertising drove a 140% increase in the average weekly website visits in March 2025 compared to December 2024.</w:t>
      </w:r>
    </w:p>
    <w:p>
      <w:pPr>
        <w:spacing w:after="0" w:line="14"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Courier New" w:cs="Courier New" w:eastAsia="Courier New" w:hAnsi="Courier New"/>
          <w:sz w:val="20"/>
          <w:szCs w:val="20"/>
          <w:color w:val="auto"/>
        </w:rPr>
      </w:pPr>
      <w:r>
        <w:rPr>
          <w:rFonts w:ascii="Times New Roman" w:cs="Times New Roman" w:eastAsia="Times New Roman" w:hAnsi="Times New Roman"/>
          <w:sz w:val="18"/>
          <w:szCs w:val="18"/>
          <w:color w:val="auto"/>
        </w:rPr>
        <w:t>Ongoing investment expected to increase alongside leading indicators of utilization.</w:t>
      </w:r>
    </w:p>
    <w:p>
      <w:pPr>
        <w:spacing w:after="0" w:line="268" w:lineRule="exact"/>
        <w:rPr>
          <w:rFonts w:ascii="Courier New" w:cs="Courier New" w:eastAsia="Courier New" w:hAnsi="Courier New"/>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 xml:space="preserve">Presented new data showing the global prevalence and real-world patient burden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(DB).</w:t>
      </w:r>
    </w:p>
    <w:p>
      <w:pPr>
        <w:spacing w:after="0" w:line="16"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Courier New" w:cs="Courier New" w:eastAsia="Courier New" w:hAnsi="Courier New"/>
          <w:sz w:val="20"/>
          <w:szCs w:val="20"/>
          <w:color w:val="auto"/>
        </w:rPr>
      </w:pPr>
      <w:r>
        <w:rPr>
          <w:rFonts w:ascii="Times New Roman" w:cs="Times New Roman" w:eastAsia="Times New Roman" w:hAnsi="Times New Roman"/>
          <w:sz w:val="18"/>
          <w:szCs w:val="18"/>
          <w:color w:val="auto"/>
        </w:rPr>
        <w:t>The Elara study showed the high prevalence and significant impact of DB in Japan, consistent with the U.S.</w:t>
      </w:r>
    </w:p>
    <w:p>
      <w:pPr>
        <w:spacing w:after="0" w:line="47" w:lineRule="exact"/>
        <w:rPr>
          <w:rFonts w:ascii="Courier New" w:cs="Courier New" w:eastAsia="Courier New" w:hAnsi="Courier New"/>
          <w:sz w:val="20"/>
          <w:szCs w:val="20"/>
          <w:color w:val="auto"/>
        </w:rPr>
      </w:pPr>
    </w:p>
    <w:p>
      <w:pPr>
        <w:ind w:left="1300" w:right="300" w:hanging="320"/>
        <w:spacing w:after="0" w:line="243" w:lineRule="auto"/>
        <w:tabs>
          <w:tab w:leader="none" w:pos="1276"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Results of the Orion registry showed XDEMVY-treated patients experienced meaningful improvements in some of the most impactful symptoms of disease, including fluctuating vision, redness, itchy eyelids, burning or stinging, dryness and crusted eyes.</w:t>
      </w:r>
    </w:p>
    <w:p>
      <w:pPr>
        <w:spacing w:after="0" w:line="1" w:lineRule="exact"/>
        <w:rPr>
          <w:rFonts w:ascii="Times New Roman" w:cs="Times New Roman" w:eastAsia="Times New Roman" w:hAnsi="Times New Roman"/>
          <w:sz w:val="20"/>
          <w:szCs w:val="20"/>
          <w:color w:val="auto"/>
        </w:rPr>
      </w:pPr>
    </w:p>
    <w:p>
      <w:pPr>
        <w:ind w:left="1300" w:right="20" w:hanging="320"/>
        <w:spacing w:after="0" w:line="271"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data from the Ersa and Rhea studies in DB patients with Meibomian Gland Disease (MGD) showed statistically significant and clinically meaningful improvements of the meibomian glands, with at least three times more glands secreting normal or clear liquid in XDEMVY-treated patients compared to vehicle at day 43.</w:t>
      </w:r>
    </w:p>
    <w:p>
      <w:pPr>
        <w:spacing w:after="0" w:line="225" w:lineRule="exact"/>
        <w:rPr>
          <w:rFonts w:ascii="Times New Roman" w:cs="Times New Roman" w:eastAsia="Times New Roman" w:hAnsi="Times New Roman"/>
          <w:sz w:val="18"/>
          <w:szCs w:val="18"/>
          <w:color w:val="auto"/>
        </w:rPr>
      </w:pPr>
    </w:p>
    <w:p>
      <w:pPr>
        <w:ind w:left="660" w:right="380" w:hanging="328"/>
        <w:spacing w:after="0" w:line="271"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Strengthened financial position with a $134.8 million upsized public equity offering which will continue to fund the launch of XDEMVY and ongoing pipeline investment.</w:t>
      </w:r>
    </w:p>
    <w:p>
      <w:pPr>
        <w:spacing w:after="0" w:line="235"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Continued to advance a robust pipeline with multiple catalysts expected in 2025.</w:t>
      </w:r>
    </w:p>
    <w:p>
      <w:pPr>
        <w:spacing w:after="0" w:line="14" w:lineRule="exact"/>
        <w:rPr>
          <w:rFonts w:ascii="Arial" w:cs="Arial" w:eastAsia="Arial" w:hAnsi="Arial"/>
          <w:sz w:val="20"/>
          <w:szCs w:val="20"/>
          <w:color w:val="auto"/>
        </w:rPr>
      </w:pPr>
    </w:p>
    <w:p>
      <w:pPr>
        <w:ind w:left="1300" w:right="480" w:hanging="320"/>
        <w:spacing w:after="0" w:line="255" w:lineRule="auto"/>
        <w:tabs>
          <w:tab w:leader="none" w:pos="1300" w:val="left"/>
        </w:tabs>
        <w:numPr>
          <w:ilvl w:val="1"/>
          <w:numId w:val="3"/>
        </w:numPr>
        <w:rPr>
          <w:rFonts w:ascii="Courier New" w:cs="Courier New" w:eastAsia="Courier New" w:hAnsi="Courier New"/>
          <w:sz w:val="20"/>
          <w:szCs w:val="20"/>
          <w:color w:val="auto"/>
        </w:rPr>
      </w:pPr>
      <w:r>
        <w:rPr>
          <w:rFonts w:ascii="Times New Roman" w:cs="Times New Roman" w:eastAsia="Times New Roman" w:hAnsi="Times New Roman"/>
          <w:sz w:val="18"/>
          <w:szCs w:val="18"/>
          <w:color w:val="auto"/>
        </w:rPr>
        <w:t>On-track to initiate a Phase 2 study of TP-04 (lotilaner ophthalmic gel) for Ocular Rosacea, a highly prevalent and underserved eye disease with no FDA-approved therapy, in H2 2025.</w:t>
      </w:r>
    </w:p>
    <w:p>
      <w:pPr>
        <w:spacing w:after="0" w:line="8" w:lineRule="exact"/>
        <w:rPr>
          <w:rFonts w:ascii="Courier New" w:cs="Courier New" w:eastAsia="Courier New" w:hAnsi="Courier New"/>
          <w:sz w:val="20"/>
          <w:szCs w:val="20"/>
          <w:color w:val="auto"/>
        </w:rPr>
      </w:pPr>
    </w:p>
    <w:p>
      <w:pPr>
        <w:ind w:left="1280" w:hanging="300"/>
        <w:spacing w:after="0"/>
        <w:tabs>
          <w:tab w:leader="none" w:pos="12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Anticipated to meet with regulatory authorities in Japan in H2 2025 to help determine a regulatory path forward for XDEMVY in Japan.</w:t>
      </w:r>
    </w:p>
    <w:p>
      <w:pPr>
        <w:spacing w:after="0" w:line="1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On-track for potential European regulatory approval in 2027 of a preservative-free formulation of XDEMVY.</w:t>
      </w:r>
    </w:p>
    <w:p>
      <w:pPr>
        <w:spacing w:after="0" w:line="38"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On-track to initiate a Phase 2 study of TP-05 (an investigational oral tablet) for the potential prevention of Lyme disease in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Results</w:t>
      </w:r>
    </w:p>
    <w:p>
      <w:pPr>
        <w:spacing w:after="0" w:line="50" w:lineRule="exact"/>
        <w:rPr>
          <w:sz w:val="20"/>
          <w:szCs w:val="20"/>
          <w:color w:val="auto"/>
        </w:rPr>
      </w:pPr>
    </w:p>
    <w:p>
      <w:pPr>
        <w:ind w:left="660" w:right="720" w:hanging="328"/>
        <w:spacing w:after="0" w:line="286"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sales, net: </w:t>
      </w:r>
      <w:r>
        <w:rPr>
          <w:rFonts w:ascii="Times New Roman" w:cs="Times New Roman" w:eastAsia="Times New Roman" w:hAnsi="Times New Roman"/>
          <w:sz w:val="18"/>
          <w:szCs w:val="18"/>
          <w:color w:val="auto"/>
        </w:rPr>
        <w:t>were $78.3 million compared to $24.7 million for the same period in 2024, driven by approximately 72,000 bottles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XDEMVY delivered to patients compared to approximately 26,000 bottles delivered in the prior year period.</w:t>
      </w:r>
    </w:p>
    <w:p>
      <w:pPr>
        <w:spacing w:after="0" w:line="181" w:lineRule="exact"/>
        <w:rPr>
          <w:rFonts w:ascii="Times New Roman" w:cs="Times New Roman" w:eastAsia="Times New Roman" w:hAnsi="Times New Roman"/>
          <w:sz w:val="18"/>
          <w:szCs w:val="18"/>
          <w:color w:val="auto"/>
        </w:rPr>
      </w:pPr>
    </w:p>
    <w:p>
      <w:pPr>
        <w:ind w:left="660" w:right="160" w:hanging="328"/>
        <w:spacing w:after="0" w:line="268"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were $5.2 million compared to $1.7 million for the same period in 2024, due to manufacturing costs incurred after the approval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XDEMVY, the royalty we pay on net product sales, and the amortization of the milestones paid to our licensor, which is being amortized over its remaining useful life of 8.4 years.</w:t>
      </w:r>
    </w:p>
    <w:p>
      <w:pPr>
        <w:spacing w:after="0" w:line="197" w:lineRule="exact"/>
        <w:rPr>
          <w:rFonts w:ascii="Times New Roman" w:cs="Times New Roman" w:eastAsia="Times New Roman" w:hAnsi="Times New Roman"/>
          <w:sz w:val="18"/>
          <w:szCs w:val="18"/>
          <w:color w:val="auto"/>
        </w:rPr>
      </w:pPr>
    </w:p>
    <w:p>
      <w:pPr>
        <w:ind w:left="660" w:hanging="328"/>
        <w:spacing w:after="0" w:line="259"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were $14.4 million compared to $12.1 million for the same period in 2024. The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$0.5 million of increased TP-04 program expenses, $0.9 million of increased payroll and personnel-related costs, $0.9 million of increased early-stage programs, and $0.3 million of increased other indirect expenses. These increases were partially offset by $0.4 million of decreased TP-03 program expenses. Total R&amp;D non-cash stock compensation expense was $1.5 million, which was consistent with $1.5 million in the same period in 2024.</w:t>
      </w:r>
    </w:p>
    <w:p>
      <w:pPr>
        <w:spacing w:after="0" w:line="206" w:lineRule="exact"/>
        <w:rPr>
          <w:rFonts w:ascii="Times New Roman" w:cs="Times New Roman" w:eastAsia="Times New Roman" w:hAnsi="Times New Roman"/>
          <w:sz w:val="18"/>
          <w:szCs w:val="18"/>
          <w:color w:val="auto"/>
        </w:rPr>
      </w:pPr>
    </w:p>
    <w:p>
      <w:pPr>
        <w:ind w:left="660" w:right="140" w:hanging="328"/>
        <w:spacing w:after="0" w:line="262"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(SG&amp;A) expenses: </w:t>
      </w:r>
      <w:r>
        <w:rPr>
          <w:rFonts w:ascii="Times New Roman" w:cs="Times New Roman" w:eastAsia="Times New Roman" w:hAnsi="Times New Roman"/>
          <w:sz w:val="18"/>
          <w:szCs w:val="18"/>
          <w:color w:val="auto"/>
        </w:rPr>
        <w:t>were $85.0 million compared to $51.6 million for the same period in 2024. The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due primarily to $9.6 million of increased payroll and personnel-related costs (including non-cash stock-based compensation), and $25.6 million of increased commercial and marketing costs, including direct-to-consumer advertising costs, as we continued our commercial expansion of XDEMVY. These increases were partially offset by $1.9</w:t>
      </w:r>
    </w:p>
    <w:p>
      <w:pPr>
        <w:sectPr>
          <w:pgSz w:w="11900" w:h="16838" w:orient="portrait"/>
          <w:cols w:equalWidth="0" w:num="1">
            <w:col w:w="11240"/>
          </w:cols>
          <w:pgMar w:left="320" w:top="1440" w:right="339" w:bottom="1440" w:gutter="0" w:footer="0" w:header="0"/>
        </w:sectPr>
      </w:pPr>
    </w:p>
    <w:bookmarkStart w:id="5" w:name="page6"/>
    <w:bookmarkEnd w:id="5"/>
    <w:p>
      <w:pPr>
        <w:ind w:left="660" w:right="760"/>
        <w:spacing w:after="0" w:line="282" w:lineRule="auto"/>
        <w:rPr>
          <w:sz w:val="20"/>
          <w:szCs w:val="20"/>
          <w:color w:val="auto"/>
        </w:rPr>
      </w:pPr>
      <w:r>
        <w:rPr>
          <w:rFonts w:ascii="Times New Roman" w:cs="Times New Roman" w:eastAsia="Times New Roman" w:hAnsi="Times New Roman"/>
          <w:sz w:val="18"/>
          <w:szCs w:val="18"/>
          <w:color w:val="auto"/>
        </w:rPr>
        <w:t>million of decreased information technology applications, legal, professional and other corporate expenses. Total SG&amp;A non-cash stock compensation expense was $5.3 million, compared with $3.9 million in the same period in 2024.</w:t>
      </w:r>
    </w:p>
    <w:p>
      <w:pPr>
        <w:spacing w:after="0" w:line="185" w:lineRule="exact"/>
        <w:rPr>
          <w:sz w:val="20"/>
          <w:szCs w:val="20"/>
          <w:color w:val="auto"/>
        </w:rPr>
      </w:pPr>
    </w:p>
    <w:p>
      <w:pPr>
        <w:ind w:left="660" w:right="420" w:hanging="328"/>
        <w:spacing w:after="0" w:line="286"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$25.1 million, compared to $35.7 million for the same period in 2024. Basic and diluted net loss per share for the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2025 was $(0.64), compared with $(1.01) for the same period in 2024.</w:t>
      </w:r>
    </w:p>
    <w:p>
      <w:pPr>
        <w:spacing w:after="0" w:line="18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March 31, 2025, cash, cash equivalents and marketable securities were $407.9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Tarsus will host a conference call and webcast to discuss its first quarter 2025 financial results and business highlights today, May 1, 2025, at 1:30 p.m. P.T.</w:t>
      </w:r>
    </w:p>
    <w:p>
      <w:pPr>
        <w:spacing w:after="0" w:line="21" w:lineRule="exact"/>
        <w:rPr>
          <w:sz w:val="20"/>
          <w:szCs w:val="20"/>
          <w:color w:val="auto"/>
        </w:rPr>
      </w:pPr>
    </w:p>
    <w:p>
      <w:pPr>
        <w:ind w:right="100" w:firstLine="8"/>
        <w:spacing w:after="0" w:line="260" w:lineRule="auto"/>
        <w:tabs>
          <w:tab w:leader="none" w:pos="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 p.m. ET. A live webcast will be available on the events section of the Tarsus website. A recorded version of the call will be available on the website shortly after the completion of the call and will be archived there for at least 90 days.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XDEMVY</w:t>
      </w:r>
      <w:r>
        <w:rPr>
          <w:rFonts w:ascii="Times New Roman" w:cs="Times New Roman" w:eastAsia="Times New Roman" w:hAnsi="Times New Roman"/>
          <w:sz w:val="23"/>
          <w:szCs w:val="23"/>
          <w:b w:val="1"/>
          <w:bCs w:val="1"/>
          <w:color w:val="auto"/>
          <w:vertAlign w:val="superscript"/>
        </w:rPr>
        <w:t>®</w:t>
      </w: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XDEMVY (lotilaner ophthalmic solution) 0.25%, formerly known as TP-03, is a novel prescription eye drop designed to treat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by targeting and eradicating the root cause of the disease –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 infestation. XDEMVY was evaluated in two pivotal trials collectively involving more than 800 patients. Both trials met the primary endpoint and all secondary endpoints, with statistical significance and no serious treatment-related adverse events. Most patients found the XDEMVY eye drop to be neutral to very comfortable. The most common ocular adverse reactions observed in the studies were instillation site stinging and burning which was reported in 10% of patients. Other ocular adverse reactions reported by less than 2% of patients were chalazion/hordeolum (stye) and punctate keratitis.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XDEMVY Indication and Important Safety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INDICATIONS AND USAGE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XDEMVY is indicated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pacing w:after="0" w:line="23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Most common side effects</w:t>
      </w:r>
      <w:r>
        <w:rPr>
          <w:rFonts w:ascii="Times New Roman" w:cs="Times New Roman" w:eastAsia="Times New Roman" w:hAnsi="Times New Roman"/>
          <w:sz w:val="18"/>
          <w:szCs w:val="18"/>
          <w:color w:val="auto"/>
        </w:rPr>
        <w:t>: The most common side effect in clinical trials was stinging and burning in 10% of patients. Other side effects in less than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patients were chalazion/hordeolum and punctate keratitis.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full prescribing information available at: https://xdemvy.com/.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TP-03</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TP-03 (lotilaner ophthalmic solution) 0.25% is a novel therapeutic designed to treat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by targeting and eradicating the root cause of disease –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 infestation. It was approved by the FDA in 2023 under the brand name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Lotilaner is a well-characterized anti-parasitic agent that paralyzes and eradicates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mites by selectively inhibiting parasite-specific gamma-aminobutyric acid-gated chloride (GABA-Cl) channels. It is a highly lipophilic molecule, which may promote its uptake in the oily sebum of the eye lash follicles where the mites reside.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TP-04</w:t>
      </w:r>
    </w:p>
    <w:p>
      <w:pPr>
        <w:spacing w:after="0" w:line="31"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TP-04 is an investigational aqueous gel formulation of lotilaner, a well-characterized anti-parasitic agent that paralyzes and kills mites by selectively inhibiting parasite-specific GABA-Cl channels. Tarsus is studying TP-04 for the treatment of ocular rosacea (OR).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TP-05</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TP-05 is an investigational oral systemic formulation of lotilaner, a well-characterized anti-parasitic agent that selectively inhibits parasite-specific GABA-Cl channels. TP-05 is believed to be the only non-vaccine, drug-</w:t>
      </w:r>
    </w:p>
    <w:p>
      <w:pPr>
        <w:sectPr>
          <w:pgSz w:w="11900" w:h="16838" w:orient="portrait"/>
          <w:cols w:equalWidth="0" w:num="1">
            <w:col w:w="11200"/>
          </w:cols>
          <w:pgMar w:left="320" w:top="1417"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based, preventative therapeutic in development designed to kill ticks to potentially prevent Lyme disease transmission.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Tarsus Pharmaceuticals, Inc.</w:t>
      </w:r>
    </w:p>
    <w:p>
      <w:pPr>
        <w:spacing w:after="0" w:line="3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 (lotilaner ophthalmic solution) 0.25% is FDA approved in the United States for the treatment of </w:t>
      </w:r>
      <w:r>
        <w:rPr>
          <w:rFonts w:ascii="Times New Roman" w:cs="Times New Roman" w:eastAsia="Times New Roman" w:hAnsi="Times New Roman"/>
          <w:sz w:val="18"/>
          <w:szCs w:val="18"/>
          <w:i w:val="1"/>
          <w:iCs w:val="1"/>
          <w:color w:val="auto"/>
        </w:rPr>
        <w:t>Demodex</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blepharitis. Tarsus is also developing TP-04 for the potential treatment of Ocular Rosacea and TP-05 as an oral tablet for the prevention of Lyme disease, all of which are in Phase 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Statements in this press release about future expectations, plans and prospects, as well as any other statements regarding matters that are not historical facts, may constitute “forward-looking statements.” These statements include statements regarding the potential commercial success and growth of XDEMVY in </w:t>
      </w:r>
      <w:r>
        <w:rPr>
          <w:rFonts w:ascii="Times New Roman" w:cs="Times New Roman" w:eastAsia="Times New Roman" w:hAnsi="Times New Roman"/>
          <w:sz w:val="18"/>
          <w:szCs w:val="18"/>
          <w:i w:val="1"/>
          <w:iCs w:val="1"/>
          <w:color w:val="auto"/>
        </w:rPr>
        <w:t xml:space="preserve">Demodex </w:t>
      </w:r>
      <w:r>
        <w:rPr>
          <w:rFonts w:ascii="Times New Roman" w:cs="Times New Roman" w:eastAsia="Times New Roman" w:hAnsi="Times New Roman"/>
          <w:sz w:val="18"/>
          <w:szCs w:val="18"/>
          <w:color w:val="auto"/>
        </w:rPr>
        <w:t>blepharitis, including market size, acceptance, demand, prescription fill rate and adoption rate for XDEMVY; our ability to successfully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implement and continue our new direct-to-consumer campaign; our ability to achieve and maintain distribution and patient access for XDEMVY and timing and breadth of payer coverage; our ability to continue to educate the market about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our ability to initiate planned clinical studies; anticipated regulatory and development milestones including potential Europe and Japan regulatory pathways and approval for XDEMVY; the results of our clinical studies; the test results of our pipeline formulations; our ability to continue investing in our business,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is heavily dependent on the successful commercialization of its lead product,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the development and regulatory approval and commercialization of its current and future product candidates; Tarsus’ ability to obtain and maintain regulatory approval for and successfully commercialize its products, including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its product candidates to meet existing and future regulatory standards; Tarsus has incurred significant losses and negative cash flows from operations since inception and anticipates that it will continue to incur significant expenses and losses for the foreseeable future; Tarsus’ capital requirements are difficult to predict and may change; Tarsus may need to obtain additional funding to achieve its goals and a failure to obtain this necessary capital when needed on acceptable terms, or at all, could force Tarsus to delay, reduce, or eliminate its product development programs, commercialization efforts or other operations; Tarsus may not be successful in educating healthcare professionals and the market about the need for treatments specifically for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other diseases targeted by XDEMVY or our product candidates; the development and commercialization of Tarsus products is dependent on intellectual property it licenses from Elanco Tiergesundheit AG; Tarsus expects to expand its development, regulatory, operational, sales, and marketing capabilities and Tarsus may encounter difficulties in managing its growth, which could disrupt its operations; the sizes of the market opportunity for XDEMVY and Tarsus’ product candidates, particularly TP-04 for the treatment of Ocular Rosacea, as well as TP-05 for the prevention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and if Tarsus is unable to access capital (including but not limited to cash, cash equivalents, and credit facilities) and/or loses capital, as a result of potential failure of any financial institutions that Tarsus does business with directly or indirectly. Further, there are other risks and uncertainties that could cause actual results to differ from those set forth in the forward-</w:t>
      </w:r>
    </w:p>
    <w:p>
      <w:pPr>
        <w:sectPr>
          <w:pgSz w:w="11900" w:h="16838" w:orient="portrait"/>
          <w:cols w:equalWidth="0" w:num="1">
            <w:col w:w="11240"/>
          </w:cols>
          <w:pgMar w:left="320" w:top="1417" w:right="339" w:bottom="1440" w:gutter="0" w:footer="0" w:header="0"/>
        </w:sectPr>
      </w:pPr>
    </w:p>
    <w:bookmarkStart w:id="7" w:name="page8"/>
    <w:bookmarkEnd w:id="7"/>
    <w:p>
      <w:pPr>
        <w:spacing w:after="0" w:line="255" w:lineRule="auto"/>
        <w:rPr>
          <w:sz w:val="20"/>
          <w:szCs w:val="20"/>
          <w:color w:val="auto"/>
        </w:rPr>
      </w:pPr>
      <w:r>
        <w:rPr>
          <w:rFonts w:ascii="Times New Roman" w:cs="Times New Roman" w:eastAsia="Times New Roman" w:hAnsi="Times New Roman"/>
          <w:sz w:val="18"/>
          <w:szCs w:val="18"/>
          <w:color w:val="auto"/>
        </w:rPr>
        <w:t>looking statements and they are detailed from time to time in the reports Tarsus files with the Securities and Exchange Commission, including Tarsus’ Form 10-K for the year ended December 31, 2024 filed on February 25, 2025 and the most recent Form 10-Q quarterly filing filed with the SEC on May 1, 2025,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earnings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Adrienne Kemp</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Sr. Director, Corporate Communications</w:t>
      </w:r>
    </w:p>
    <w:p>
      <w:pPr>
        <w:spacing w:after="0" w:line="63" w:lineRule="exact"/>
        <w:rPr>
          <w:sz w:val="20"/>
          <w:szCs w:val="20"/>
          <w:color w:val="auto"/>
        </w:rPr>
      </w:pPr>
    </w:p>
    <w:p>
      <w:pPr>
        <w:ind w:left="460" w:hanging="434"/>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922-0801</w:t>
      </w:r>
    </w:p>
    <w:p>
      <w:pPr>
        <w:spacing w:after="0" w:line="63"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akemp@tarsusrx.com</w:t>
      </w: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Nakasone</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63" w:lineRule="exact"/>
        <w:rPr>
          <w:sz w:val="20"/>
          <w:szCs w:val="20"/>
          <w:color w:val="auto"/>
        </w:rPr>
      </w:pPr>
    </w:p>
    <w:p>
      <w:pPr>
        <w:ind w:left="20" w:right="9220" w:firstLine="6"/>
        <w:spacing w:after="0" w:line="297" w:lineRule="auto"/>
        <w:tabs>
          <w:tab w:leader="none" w:pos="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620-3223 DNakasone@tarsusrx.com</w:t>
      </w:r>
    </w:p>
    <w:p>
      <w:pPr>
        <w:sectPr>
          <w:pgSz w:w="11900" w:h="16838" w:orient="portrait"/>
          <w:cols w:equalWidth="0" w:num="1">
            <w:col w:w="11180"/>
          </w:cols>
          <w:pgMar w:left="320" w:top="1417" w:right="399" w:bottom="1440" w:gutter="0" w:footer="0" w:header="0"/>
        </w:sectPr>
      </w:pPr>
    </w:p>
    <w:bookmarkStart w:id="8" w:name="page9"/>
    <w:bookmarkEnd w:id="8"/>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CONDENSED STATEMENTS OF OPERATIONS AND COMPREHENSIVE LOSS </w:t>
      </w:r>
      <w:r>
        <w:rPr>
          <w:rFonts w:ascii="Times New Roman" w:cs="Times New Roman" w:eastAsia="Times New Roman" w:hAnsi="Times New Roman"/>
          <w:sz w:val="18"/>
          <w:szCs w:val="18"/>
          <w:color w:val="auto"/>
        </w:rPr>
        <w:t>(In thousands, except share and per share amounts) (unaudited)</w:t>
      </w:r>
    </w:p>
    <w:p>
      <w:pPr>
        <w:spacing w:after="0" w:line="200" w:lineRule="exact"/>
        <w:rPr>
          <w:sz w:val="20"/>
          <w:szCs w:val="20"/>
          <w:color w:val="auto"/>
        </w:rPr>
      </w:pPr>
    </w:p>
    <w:p>
      <w:pPr>
        <w:spacing w:after="0" w:line="250"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0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 sales, net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78,335</w:t>
            </w:r>
          </w:p>
        </w:tc>
        <w:tc>
          <w:tcPr>
            <w:tcW w:w="56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24,720</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License fees and collaboration revenue</w:t>
            </w:r>
          </w:p>
        </w:tc>
        <w:tc>
          <w:tcPr>
            <w:tcW w:w="4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r>
      <w:tr>
        <w:trPr>
          <w:trHeight w:val="207"/>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78,335</w:t>
            </w:r>
          </w:p>
        </w:tc>
        <w:tc>
          <w:tcPr>
            <w:tcW w:w="56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27,614</w:t>
            </w:r>
          </w:p>
        </w:tc>
      </w:tr>
      <w:tr>
        <w:trPr>
          <w:trHeight w:val="253"/>
        </w:trPr>
        <w:tc>
          <w:tcPr>
            <w:tcW w:w="70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14"/>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8"/>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sales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14,409</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84,995</w:t>
            </w:r>
          </w:p>
        </w:tc>
        <w:tc>
          <w:tcPr>
            <w:tcW w:w="5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51,578</w:t>
            </w:r>
          </w:p>
        </w:tc>
      </w:tr>
      <w:tr>
        <w:trPr>
          <w:trHeight w:val="207"/>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104,615</w:t>
            </w:r>
          </w:p>
        </w:tc>
        <w:tc>
          <w:tcPr>
            <w:tcW w:w="5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65,298</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 before other income (expense)</w:t>
            </w: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(26,280)</w:t>
            </w:r>
          </w:p>
        </w:tc>
        <w:tc>
          <w:tcPr>
            <w:tcW w:w="5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(37,684)</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w:t>
            </w: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w:t>
            </w: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5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07"/>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5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w:t>
            </w:r>
          </w:p>
        </w:tc>
      </w:tr>
      <w:tr>
        <w:trPr>
          <w:trHeight w:val="234"/>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(25,120)</w:t>
            </w:r>
          </w:p>
        </w:tc>
        <w:tc>
          <w:tcPr>
            <w:tcW w:w="5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marketable securities and cash equivalents</w:t>
            </w: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5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(25,214)</w:t>
            </w:r>
          </w:p>
        </w:tc>
        <w:tc>
          <w:tcPr>
            <w:tcW w:w="56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(35,792)</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6"/>
        </w:trPr>
        <w:tc>
          <w:tcPr>
            <w:tcW w:w="7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56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6"/>
        </w:trPr>
        <w:tc>
          <w:tcPr>
            <w:tcW w:w="7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basic and diluted</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39,345,359</w:t>
            </w:r>
          </w:p>
        </w:tc>
        <w:tc>
          <w:tcPr>
            <w:tcW w:w="5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35,300,655</w:t>
            </w:r>
          </w:p>
        </w:tc>
      </w:tr>
      <w:tr>
        <w:trPr>
          <w:trHeight w:val="23"/>
        </w:trPr>
        <w:tc>
          <w:tcPr>
            <w:tcW w:w="70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ectPr>
          <w:pgSz w:w="11900" w:h="16838" w:orient="portrait"/>
          <w:cols w:equalWidth="0" w:num="1">
            <w:col w:w="11200"/>
          </w:cols>
          <w:pgMar w:left="340" w:top="1440" w:right="359" w:bottom="1440" w:gutter="0" w:footer="0" w:header="0"/>
        </w:sectPr>
      </w:pPr>
    </w:p>
    <w:bookmarkStart w:id="9" w:name="page10"/>
    <w:bookmarkEnd w:id="9"/>
    <w:p>
      <w:pPr>
        <w:spacing w:after="0" w:line="6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18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par value amounts)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7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94,819</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196,557</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46,760</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14,650</w:t>
            </w:r>
          </w:p>
        </w:tc>
        <w:tc>
          <w:tcPr>
            <w:tcW w:w="0" w:type="dxa"/>
            <w:vAlign w:val="bottom"/>
          </w:tcPr>
          <w:p>
            <w:pPr>
              <w:spacing w:after="0"/>
              <w:rPr>
                <w:sz w:val="1"/>
                <w:szCs w:val="1"/>
                <w:color w:val="auto"/>
              </w:rPr>
            </w:pPr>
          </w:p>
        </w:tc>
      </w:tr>
      <w:tr>
        <w:trPr>
          <w:trHeight w:val="212"/>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356,705</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Inventory, non-current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8,326</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234"/>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500,750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376,991</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76,375</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64,789</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w:t>
            </w:r>
          </w:p>
        </w:tc>
        <w:tc>
          <w:tcPr>
            <w:tcW w:w="0" w:type="dxa"/>
            <w:vAlign w:val="bottom"/>
          </w:tcPr>
          <w:p>
            <w:pPr>
              <w:spacing w:after="0"/>
              <w:rPr>
                <w:sz w:val="1"/>
                <w:szCs w:val="1"/>
                <w:color w:val="auto"/>
              </w:rPr>
            </w:pPr>
          </w:p>
        </w:tc>
      </w:tr>
      <w:tr>
        <w:trPr>
          <w:trHeight w:val="207"/>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86,308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80,612</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71,984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71,845</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158,292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152,457</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$0.0001 par value; 10,000,000 authorized; no shares issued and outstanding</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$0.0001 par value; 200,000,000 shares authorized; 41,995,537 shares issued and outstanding at</w:t>
            </w:r>
          </w:p>
        </w:tc>
        <w:tc>
          <w:tcPr>
            <w:tcW w:w="2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2025 (unaudited); 38,349,826 shares issued and outstanding at December 31, 2024</w:t>
            </w:r>
          </w:p>
        </w:tc>
        <w:tc>
          <w:tcPr>
            <w:tcW w:w="2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727,697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584,559</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(385,330)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(360,210)</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342,458</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224,534</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500,750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376,991</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00"/>
      </w:cols>
      <w:pgMar w:left="3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949"/>
    </w:lvl>
  </w:abstractNum>
  <w:abstractNum w:abstractNumId="7">
    <w:nsid w:val="7545E146"/>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2025-05-01T15:18:06Z</dcterms:created>
  <dcterms:modified xsi:type="dcterms:W3CDTF">2025-05-01T15:18:06Z</dcterms:modified>
</cp:coreProperties>
</file>