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8.46 %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499"/>
        <w:spacing w:after="0"/>
        <w:rPr>
          <w:sz w:val="20"/>
          <w:szCs w:val="20"/>
          <w:color w:val="auto"/>
        </w:rPr>
      </w:pPr>
      <w:r>
        <w:rPr>
          <w:rFonts w:ascii="Times New Roman" w:cs="Times New Roman" w:eastAsia="Times New Roman" w:hAnsi="Times New Roman"/>
          <w:sz w:val="22"/>
          <w:szCs w:val="22"/>
          <w:color w:val="auto"/>
        </w:rPr>
        <w:t>15440 Laguna Canyon Road, Suite 160, Irvine, California, 92618</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0980"/>
          </w:cols>
          <w:pgMar w:left="360" w:top="112" w:right="55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620" w:firstLine="6"/>
        <w:spacing w:after="0" w:line="309"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60"/>
          </w:cols>
          <w:pgMar w:left="360" w:top="112" w:right="5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8.46%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3,600,000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3,600,000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980"/>
          </w:cols>
          <w:pgMar w:left="360" w:top="112" w:right="559" w:bottom="0" w:gutter="0" w:footer="0" w:header="0"/>
          <w:type w:val="continuous"/>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40"/>
          </w:cols>
          <w:pgMar w:left="360" w:top="112" w:right="379" w:bottom="1440" w:gutter="0" w:footer="0" w:header="0"/>
        </w:sect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March 31, 2026, is incorporated by reference to items (5) - (9) and (11) of the cover page of the respective Reporting Person The amount beneficially owned by each Reporting Person is determined based on 42,557,492 Common Stock outstanding as of February 17, 2026, according to the issuer's 10-K filed with the SEC on February 23,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6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2026-05-15T07:47:41Z</dcterms:created>
  <dcterms:modified xsi:type="dcterms:W3CDTF">2026-05-15T07:47:41Z</dcterms:modified>
</cp:coreProperties>
</file>