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93902d424b5.htm"/>
        <w:bookmarkStart w:id="1" w:name="ksd793902d424b5"/>
        <w:bookmarkEnd w:id="0"/>
        <w:bookmarkEnd w:id="1"/>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Filed Pursuant to Rule 424(b)(5)</w:t>
        <w:br/>
        <w:t xml:space="preserve">Registration File No. 333-277523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and the accompanying prospectus is not complete and may be changed. A registration statement relating to the securities has become effective under the Securities Act of 1933, as amended. This preliminary prospectus supplement and the accompanying prospectus are not an offer to sell these securities and are not soliciting offers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February 29, 2024 </w:t>
      </w:r>
    </w:p>
    <w:p>
      <w:pPr>
        <w:pStyle w:val="TextBody"/>
        <w:bidi w:val="0"/>
        <w:spacing w:before="120" w:after="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29, 2024) </w:t>
      </w:r>
    </w:p>
    <w:p>
      <w:pPr>
        <w:pStyle w:val="TextBody"/>
        <w:bidi w:val="0"/>
        <w:spacing w:before="120" w:after="0"/>
        <w:jc w:val="center"/>
        <w:rPr>
          <w:rFonts w:ascii="Times New Roman" w:hAnsi="Times New Roman"/>
          <w:b/>
          <w:sz w:val="36"/>
        </w:rPr>
      </w:pPr>
      <w:r>
        <w:rPr>
          <w:rFonts w:ascii="Times New Roman" w:hAnsi="Times New Roman"/>
          <w:b/>
          <w:sz w:val="36"/>
        </w:rPr>
        <w:t xml:space="preserve">$100,000,000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27330" cy="1536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330" cy="15367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Pre-Funded Warrants to Purchase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18"/>
        </w:rPr>
      </w:pPr>
      <w:r>
        <w:rPr>
          <w:rFonts w:ascii="Times New Roman" w:hAnsi="Times New Roman"/>
          <w:sz w:val="18"/>
        </w:rPr>
        <w:t xml:space="preserve">Tarsus Pharmaceuticals, Inc. is offering       shares of its common stock and, in lieu of common stock to certain investors that so choose,      pre-funded warrants to purchase shares of its common stock, pursuant to this prospectus supplement and the accompanying prospectus. The purchase price of each pre-funded warrant will equal the price per share at which shares of our common stock are being sold to the public in this offering, minus $0.0001, the exercise price of each pre-funded warrant. The public offering price for each share of common stock is $   . We are also offering the shares of our common stock that are issuable from time to time upon exercise of the pre-funded warrants. </w:t>
      </w:r>
    </w:p>
    <w:p>
      <w:pPr>
        <w:pStyle w:val="TextBody"/>
        <w:bidi w:val="0"/>
        <w:spacing w:before="120" w:after="0"/>
        <w:jc w:val="left"/>
        <w:rPr>
          <w:rFonts w:ascii="Times New Roman" w:hAnsi="Times New Roman"/>
          <w:sz w:val="18"/>
        </w:rPr>
      </w:pPr>
      <w:r>
        <w:rPr>
          <w:rFonts w:ascii="Times New Roman" w:hAnsi="Times New Roman"/>
          <w:sz w:val="18"/>
        </w:rPr>
        <w:t xml:space="preserve">Our common stock is listed and trades on the Nasdaq Global Select Market under the symbol TARS. On February 28, 2024, the last reported sale price of our common stock on the Nasdaq Global Select Market was $37.87 per share. There is no established public trading market for the pre-funded warrants, and we do not expect a market to develop. We do not intend to apply for listing of the pre-funded warrants on The Nasdaq Global Select Market or any securities exchange or nationally recognized trading system. Without an active trading market, the liquidity of the pre-funded warrants will be limited. </w:t>
      </w:r>
    </w:p>
    <w:p>
      <w:pPr>
        <w:pStyle w:val="TextBody"/>
        <w:bidi w:val="0"/>
        <w:spacing w:before="120" w:after="0"/>
        <w:jc w:val="left"/>
        <w:rPr>
          <w:rFonts w:ascii="Times New Roman" w:hAnsi="Times New Roman"/>
          <w:sz w:val="18"/>
        </w:rPr>
      </w:pPr>
      <w:r>
        <w:rPr>
          <w:rFonts w:ascii="Times New Roman" w:hAnsi="Times New Roman"/>
          <w:sz w:val="18"/>
        </w:rPr>
        <w:t xml:space="preserve">We are an emerging growth company and smaller reporting company as defined under the U.S. federal securities laws and, as such, may elect to comply with certain reduced public company reporting requirements for this and future filings.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pPr>
      <w:r>
        <w:rPr>
          <w:rFonts w:ascii="Times New Roman" w:hAnsi="Times New Roman"/>
          <w:b/>
          <w:sz w:val="20"/>
        </w:rPr>
        <w:t>Investing in our common stock involves risks that are described in the </w:t>
      </w:r>
      <w:hyperlink w:anchor="supptx793902_4">
        <w:r>
          <w:rPr>
            <w:rStyle w:val="InternetLink"/>
            <w:rFonts w:ascii="Times New Roman" w:hAnsi="Times New Roman"/>
            <w:b/>
            <w:sz w:val="20"/>
          </w:rPr>
          <w:t>Risk Factors</w:t>
        </w:r>
      </w:hyperlink>
      <w:r>
        <w:rPr>
          <w:rFonts w:ascii="Times New Roman" w:hAnsi="Times New Roman"/>
          <w:b/>
          <w:sz w:val="20"/>
        </w:rPr>
        <w:t xml:space="preserve"> section beginning on page S-7 of this prospectus supplement, as well as in the accompanying prospectus and the documents incorporated by reference into this prospectus supplement and the accompanying prospectus.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342"/>
        <w:gridCol w:w="340"/>
        <w:gridCol w:w="140"/>
        <w:gridCol w:w="807"/>
        <w:gridCol w:w="60"/>
        <w:gridCol w:w="340"/>
        <w:gridCol w:w="140"/>
        <w:gridCol w:w="807"/>
        <w:gridCol w:w="60"/>
        <w:gridCol w:w="340"/>
        <w:gridCol w:w="140"/>
        <w:gridCol w:w="807"/>
        <w:gridCol w:w="65"/>
      </w:tblGrid>
      <w:tr>
        <w:trPr/>
        <w:tc>
          <w:tcPr>
            <w:tcW w:w="5342"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34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pPr>
            <w:r>
              <w:rPr>
                <w:b/>
              </w:rPr>
              <w:t>Per</w:t>
            </w:r>
            <w:r>
              <w:rPr/>
              <w:br/>
            </w:r>
            <w:r>
              <w:rPr>
                <w:b/>
              </w:rPr>
              <w:t>Share</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Pre-</w:t>
              <w:br/>
              <w:t>Funded</w:t>
              <w:br/>
              <w:t>Warrant</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5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34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(1)</w:t>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Tarsus Pharmaceuticals, Inc.</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See the section titled Underwriting for a description of the compensation payable to the underwriters. </w:t>
            </w:r>
          </w:p>
        </w:tc>
      </w:tr>
    </w:tbl>
    <w:p>
      <w:pPr>
        <w:pStyle w:val="TextBody"/>
        <w:bidi w:val="0"/>
        <w:spacing w:before="120" w:after="0"/>
        <w:jc w:val="left"/>
        <w:rPr>
          <w:rFonts w:ascii="Times New Roman" w:hAnsi="Times New Roman"/>
          <w:sz w:val="18"/>
        </w:rPr>
      </w:pPr>
      <w:r>
        <w:rPr>
          <w:rFonts w:ascii="Times New Roman" w:hAnsi="Times New Roman"/>
          <w:sz w:val="18"/>
        </w:rPr>
        <w:t xml:space="preserve">We intend to grant the underwriters an option for a period of 30 days to purchase up to $15.0 million of additional shares of our common stock at the public offering price less the underwriting discounts and commissions. </w:t>
      </w:r>
    </w:p>
    <w:p>
      <w:pPr>
        <w:pStyle w:val="TextBody"/>
        <w:bidi w:val="0"/>
        <w:spacing w:before="120" w:after="0"/>
        <w:jc w:val="left"/>
        <w:rPr>
          <w:rFonts w:ascii="Times New Roman" w:hAnsi="Times New Roman"/>
          <w:sz w:val="18"/>
        </w:rPr>
      </w:pPr>
      <w:r>
        <w:rPr>
          <w:rFonts w:ascii="Times New Roman" w:hAnsi="Times New Roman"/>
          <w:sz w:val="18"/>
        </w:rPr>
        <w:t xml:space="preserve">The underwriters expect to deliver the shares and pre-funded warrants against payment in New York, New York on      , 2024.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center"/>
              <w:rPr>
                <w:b/>
              </w:rPr>
            </w:pPr>
            <w:r>
              <w:rPr>
                <w:b/>
              </w:rPr>
              <w:t>Goldman Sachs &amp; Co. LLC</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BofA Securities</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Guggenheim Securities</w:t>
            </w:r>
          </w:p>
        </w:tc>
      </w:tr>
    </w:tbl>
    <w:p>
      <w:pPr>
        <w:pStyle w:val="TextBody"/>
        <w:bidi w:val="0"/>
        <w:spacing w:before="120" w:after="0"/>
        <w:jc w:val="center"/>
        <w:rPr>
          <w:rFonts w:ascii="Times New Roman" w:hAnsi="Times New Roman"/>
          <w:b/>
          <w:sz w:val="24"/>
        </w:rPr>
      </w:pPr>
      <w:r>
        <w:rPr>
          <w:rFonts w:ascii="Times New Roman" w:hAnsi="Times New Roman"/>
          <w:b/>
          <w:sz w:val="24"/>
        </w:rPr>
        <w:t xml:space="preserve">Oppenheimer &amp; Co.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Prospectus Supplement dated February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96"/>
        <w:gridCol w:w="243"/>
        <w:gridCol w:w="78"/>
        <w:gridCol w:w="625"/>
        <w:gridCol w:w="63"/>
      </w:tblGrid>
      <w:tr>
        <w:trPr/>
        <w:tc>
          <w:tcPr>
            <w:tcW w:w="9196"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9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1">
              <w:r>
                <w:rPr>
                  <w:rStyle w:val="InternetLink"/>
                  <w:rFonts w:ascii="Times New Roman" w:hAnsi="Times New Roman"/>
                  <w:sz w:val="20"/>
                </w:rPr>
                <w:t>ABOUT THIS PROSPECTUS SUPPLEMENT</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2">
              <w:r>
                <w:rPr>
                  <w:rStyle w:val="InternetLink"/>
                  <w:rFonts w:ascii="Times New Roman" w:hAnsi="Times New Roman"/>
                  <w:sz w:val="20"/>
                </w:rPr>
                <w:t>PROSPECTUS SUPPLEMENT SUMMARY</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3">
              <w:r>
                <w:rPr>
                  <w:rStyle w:val="InternetLink"/>
                  <w:rFonts w:ascii="Times New Roman" w:hAnsi="Times New Roman"/>
                  <w:sz w:val="20"/>
                </w:rPr>
                <w:t>THE OFFERING</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S-5</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4">
              <w:r>
                <w:rPr>
                  <w:rStyle w:val="InternetLink"/>
                  <w:rFonts w:ascii="Times New Roman" w:hAnsi="Times New Roman"/>
                  <w:sz w:val="20"/>
                </w:rPr>
                <w:t>RISK FACTORS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S-7</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5">
              <w:r>
                <w:rPr>
                  <w:rStyle w:val="InternetLink"/>
                  <w:rFonts w:ascii="Times New Roman" w:hAnsi="Times New Roman"/>
                  <w:sz w:val="20"/>
                </w:rPr>
                <w:t>SPECIAL NOTE REGARDING FORWARD-LOOKING STATEMENTS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S-10</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6">
              <w:r>
                <w:rPr>
                  <w:rStyle w:val="InternetLink"/>
                  <w:rFonts w:ascii="Times New Roman" w:hAnsi="Times New Roman"/>
                  <w:sz w:val="20"/>
                </w:rPr>
                <w:t>USE OF PROCEEDS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S-12</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7">
              <w:r>
                <w:rPr>
                  <w:rStyle w:val="InternetLink"/>
                  <w:rFonts w:ascii="Times New Roman" w:hAnsi="Times New Roman"/>
                  <w:sz w:val="20"/>
                </w:rPr>
                <w:t>DIVIDEND POLICY</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S-13</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8">
              <w:r>
                <w:rPr>
                  <w:rStyle w:val="InternetLink"/>
                  <w:rFonts w:ascii="Times New Roman" w:hAnsi="Times New Roman"/>
                  <w:sz w:val="20"/>
                </w:rPr>
                <w:t>DILUTION</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S-14</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8a">
              <w:r>
                <w:rPr>
                  <w:rStyle w:val="InternetLink"/>
                  <w:rFonts w:ascii="Times New Roman" w:hAnsi="Times New Roman"/>
                  <w:sz w:val="20"/>
                </w:rPr>
                <w:t>DESCRIPTION OF PRE-FUNDED WARRANTS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S-16</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9">
              <w:r>
                <w:rPr>
                  <w:rStyle w:val="InternetLink"/>
                  <w:rFonts w:ascii="Times New Roman" w:hAnsi="Times New Roman"/>
                  <w:sz w:val="20"/>
                </w:rPr>
                <w:t>MATERIAL U.S. FEDERAL INCOME AND ESTATE TAX CONSEQUENCES FOR NON-U.S. HOLDERS OF OUR COMMON STOCK</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S-18</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10">
              <w:r>
                <w:rPr>
                  <w:rStyle w:val="InternetLink"/>
                  <w:rFonts w:ascii="Times New Roman" w:hAnsi="Times New Roman"/>
                  <w:sz w:val="20"/>
                </w:rPr>
                <w:t>UNDERWRITING</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S-22</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11">
              <w:r>
                <w:rPr>
                  <w:rStyle w:val="InternetLink"/>
                  <w:rFonts w:ascii="Times New Roman" w:hAnsi="Times New Roman"/>
                  <w:sz w:val="20"/>
                </w:rPr>
                <w:t>LEGAL MATTERS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S-31</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12">
              <w:r>
                <w:rPr>
                  <w:rStyle w:val="InternetLink"/>
                  <w:rFonts w:ascii="Times New Roman" w:hAnsi="Times New Roman"/>
                  <w:sz w:val="20"/>
                </w:rPr>
                <w:t>EXPERTS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S-31</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13">
              <w:r>
                <w:rPr>
                  <w:rStyle w:val="InternetLink"/>
                  <w:rFonts w:ascii="Times New Roman" w:hAnsi="Times New Roman"/>
                  <w:sz w:val="20"/>
                </w:rPr>
                <w:t>WHERE YOU CAN FIND MORE INFORMATION</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S-31</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upptx793902_14">
              <w:r>
                <w:rPr>
                  <w:rStyle w:val="InternetLink"/>
                  <w:rFonts w:ascii="Times New Roman" w:hAnsi="Times New Roman"/>
                  <w:sz w:val="20"/>
                </w:rPr>
                <w:t>INCORPORATION BY REFERENCE</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S-32</w:t>
            </w:r>
          </w:p>
        </w:tc>
        <w:tc>
          <w:tcPr>
            <w:tcW w:w="63"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9">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10">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12">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13">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15">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supptx793902_1"/>
      <w:bookmarkEnd w:id="3"/>
      <w:r>
        <w:rPr>
          <w:rFonts w:ascii="Times New Roman" w:hAnsi="Times New Roman"/>
          <w:b/>
          <w:sz w:val="20"/>
          <w:bdr w:val="single" w:sz="8" w:space="1" w:color="000000"/>
        </w:rPr>
        <w:t xml:space="preserve">ABOUT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or incorporated by reference in this prospectus supplement differs or varies from the information contained in the accompanying prospectus, you should rely on the information set forth in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this prospectus supplement and the accompanying prospectus, as permitted by law, we incorporate by reference information from other documents that we file with the Securities and Exchange Commission, or the SEC. This means that we can disclose important information to you by referring you to those documents.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incorporated by reference in this prospectus supplement and the accompanying prospectus is considered to be automatically updated and superseded. In other words, in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most recently with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we nor the underwriters have authorized any other person to provide you with any information other than that contained or incorporated by reference into this prospectus supplement, the accompanying prospectus or any relevant free writing prospectus prepared by or on behalf of us or to which we have referred you. We and the underwriters take no responsibility for, and can provide no assurance as to the reliability of, any other information that others may give you. We are offering to sell, and seeking offers to buy, shares of our common stock and pre-funded warrrants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pre-funded warrants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or pre-funded warrants.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and Incorporation by Reference in this prospectus supplement and in the accompanying prospectus, before investing in our common stock or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 used in this prospectus supplement, unless the context otherwise requires, references to Tarsus, company, we, us and our refer to Tarsus Pharmaceuticals, Inc.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Industry, Market and Other Data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supplement, the accompanying prospectus and the documents incorporated in this prospectus supplement and the accompanying prospectus contain or incorporate by reference estimates, projections and other information concerning our industry, our business and the markets for our product candidates, including data regarding the estimated size of such markets and the incidence or prevalence of certain medical conditions. We obtained the industry, market and similar data set forth in this prospectus supplement, the accompanying prospectus and the documents incorporated in this prospectus supplement and the accompanying prospectus from our internal estimates and research, including surveys and studies we have sponsored and/or conducted, and from published studies from third parties, including governmental agencies.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Information based on estimates, forecasts, projections, market research or similar methodologies is inherently subject to uncertainties and actual events or circumstances may differ materially from events and circumstances that are assumed in this information due to a variety of factors, including those described in Risk Factors and Special Note Regarding Forward-Looking Statements in this prospectus supplement and the accompanying prospectus and under similar headings in other documents that are incorporated by reference into this prospectus supplement and the accompanying prospectus. These and other factors could cause our future performance to differ materially from the assumptions and estimates made by third parties and 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expressly stated, we obtained this industry, business, market and other data from reports, research surveys, studies and similar data prepared by us and third parties, industry, medical and general publications, government data and similar sources. Neither we nor the underwriters have independently verified the accuracy or completeness of any third-party information. The content of these third-party sources, except to the extent specifically set forth in this prospectus supplement and the accompanying prospectus, or in other documents that are incorporated by reference into this prospectus supplement and the accompanying prospectus, does not constitute a portion hereof and is not incorporated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Basis of Presentation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monetary amounts, percentages, and other figures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Trademarks, Trade Names and Service Marks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Tarsus Pharmaceuticals, Tarsus, our logo, and XDEMVY are some of our tradenames used in this prospectus supplement or the accompanying prospectus and in the documents incorporated by reference in this prospectus supplement or the accompanying prospectus. This prospectus supplement, the accompanying prospectus and the documents incorporated by reference in this prospectus supplement or the accompanying prospectus also include trademarks, tradenames, and service marks that are the property of other organizations. Solely for convenience, our trademarks and tradenames referred to in this prospectus supplement, the accompanying prospectus or in the documents incorporated by reference in this prospectus supplement and the accompanying prospectus appear without the  or ® symbol,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x793902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our business, this offering and selected information contained elsewhere in this prospectus supplement, the accompanying prospectus and the documents incorporated by reference herein and therein and does not contain all of the information that you should consider in making your investment decision.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the accompanying prospectus and any free writing prospectus that we authorize for use in connection with this offering, including the information set forth in the sections titled Risk Factors included or incorporated by reference in this prospectus supplement, the accompanying prospectus and any related free writing prospectus in their entirety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commercial-stage biopharmaceutical company focused on the development and commercialization of therapeutics, starting with eye care. Our lead commercial product, XDEMVY® (lotilaner ophthalmic solution) 0.25%, formerly known as TP-03, was approved by the U.S. Food and Drug Administration, or the FDA, on July 24, 2023 for the treatment of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an eyelid margin disease characterized by inflammation, redness and ocular irritation. There are an estimated 25 million people in the U.S. who suffer from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XDEMVY is the first and only FDA-approved therapeutic for the treatment of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and we believe it is the definitive standard of care.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XDEMVY targets and eradicates the root cause of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mite infestation. The active pharmaceutical ingredient, or API, of XDEMVY, lotilaner, paralyzes and eradicates mites and other parasites through the inhibition of parasite-specific gamma-aminobutyric acid-gated chloride channels.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date, we have completed seven clinical trials that include a Phase 3 trial, a Phase 2b/3 trial, four Phase 2 trials, and a Phase 1 trial for XDEMVY in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all of which met their primary, secondary and/or certain exploratory endpoints, with the drug well tolerated throughout each trial. We have also completed, and/or have ongoing clinical trials for TP-03 for the potential treatment of meibomian gland disease, or MGD, TP-04 for the potential treatment of rosacea, and TP-05 for potential Lyme disease prophylaxis and community malaria reduction.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further advance our pipeline with the lotilaner API to address several diseases in human medicine, including eye care, dermatology, and infectious disease prevention. We are investigating the development of our product candidates to address targeted diseases with high unmet medical needs, which currently include TP-03 for the potential treatment of MGD, TP-04, a novel gel formulation of lotilaner for the potential treatment of rosacea, and TP-05, a novel investigative oral formulation of lotilaner, for potential Lyme disease prophylaxis and community malaria reduction.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not part of this prospectus supplement and is not incorporated by reference herein,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We are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are an emerging growth company as defined in the Jumpstart Our Business Startups Act of 2012, as amended, or JOBS Act. We will remain an emerging growth company until the earliest to occur of: (i) the last day of the fiscal year in which we have more than $1.235 billion in annual revenue; (ii) the date we qualify as a large accelerated filer, as defined in Rule 12b-2 under the Securities Exchange Act of 1934, as amended, or the Exchange Act, with at least $700 million of equity securities held by non-affiliates; (iii) the issuance, in any three-year period, by us of more than $1.0 billion in non-convertible debt securities; and (iv) the last day of the fiscal year ending after the fifth anniversary of our initial public offering. As a result of this status, we have taken advantage of reduced reporting requirements in this prospectus supplement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continue to take advantage of many of the same exemptions from disclosure requirements including reduced disclosure obligations regarding executive compensation in this prospectus supplement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x793902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7" w:type="dxa"/>
            <w:tcBorders/>
          </w:tcPr>
          <w:p>
            <w:pPr>
              <w:pStyle w:val="TableContents"/>
              <w:bidi w:val="0"/>
              <w:spacing w:before="0" w:after="283"/>
              <w:jc w:val="left"/>
              <w:rPr/>
            </w:pPr>
            <w:r>
              <w:rPr/>
              <w:t xml:space="preserve">Tarsus Pharmaceuticals,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9" w:type="dxa"/>
            <w:tcBorders/>
          </w:tcPr>
          <w:p>
            <w:pPr>
              <w:pStyle w:val="TableContents"/>
              <w:bidi w:val="0"/>
              <w:spacing w:before="0" w:after="283"/>
              <w:jc w:val="left"/>
              <w:rPr/>
            </w:pPr>
            <w:r>
              <w:rPr/>
              <w:t xml:space="preserve">$100.0 million of shares. </w:t>
            </w:r>
          </w:p>
        </w:tc>
      </w:tr>
    </w:tbl>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Pre-funded warrants offered by us </w:t>
            </w:r>
          </w:p>
        </w:tc>
        <w:tc>
          <w:tcPr>
            <w:tcW w:w="6327" w:type="dxa"/>
            <w:tcBorders/>
          </w:tcPr>
          <w:p>
            <w:pPr>
              <w:pStyle w:val="TableContents"/>
              <w:bidi w:val="0"/>
              <w:spacing w:before="0" w:after="283"/>
              <w:jc w:val="left"/>
              <w:rPr/>
            </w:pPr>
            <w:r>
              <w:rPr/>
              <w:t xml:space="preserve">We are also offering, in lieu of common stock to certain investors that so choose, pre-funded warrants to purchase up to     shares of our common stock. The purchase price of each pre-funded warrant equals the price per share at which the shares of our common stock are being sold to the public in this offering, minus $0.0001, which is the exercise price of each pre-funded warrant per share. Each pre-funded warrant will be exercisable at any time after the date of issuance of such pre-funded warrant, subject to an ownership limitation. See Description of Pre-Funded Warrants on page S-16 of this prospectus supplement. This prospectus supplement also relates to the offering of the shares of our common stock issuable upon exercise of the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7" w:type="dxa"/>
            <w:tcBorders/>
          </w:tcPr>
          <w:p>
            <w:pPr>
              <w:pStyle w:val="TableContents"/>
              <w:bidi w:val="0"/>
              <w:spacing w:before="0" w:after="283"/>
              <w:jc w:val="left"/>
              <w:rPr/>
            </w:pPr>
            <w:r>
              <w:rPr/>
              <w:t xml:space="preserve">     </w:t>
            </w:r>
            <w:r>
              <w:rPr/>
              <w:t xml:space="preserve">shares of our common stock (or          shares if the underwriters exercise their option to purchase additional shares in full), assuming no exercise of any pre-funded warrants issued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Underwriters option to purchase additional shares </w:t>
            </w:r>
          </w:p>
        </w:tc>
        <w:tc>
          <w:tcPr>
            <w:tcW w:w="6328" w:type="dxa"/>
            <w:tcBorders/>
          </w:tcPr>
          <w:p>
            <w:pPr>
              <w:pStyle w:val="TableContents"/>
              <w:bidi w:val="0"/>
              <w:spacing w:before="0" w:after="283"/>
              <w:jc w:val="left"/>
              <w:rPr/>
            </w:pPr>
            <w:r>
              <w:rPr/>
              <w:t xml:space="preserve">We intend to grant the underwriters an option for a period of 30 days to purchase up to $15.0 million of additional shares of our common stock. The underwriters can exercise this option at any time within 30 days after the date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estimate that the net proceeds from this offering will be approximately $     million, after deducting estimated underwriting discounts and commissions and estimated offering expenses payable by us (or approximately $    million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currently intend to use the net proceeds from this offering, together with our existing cash, cash equivalents and marketable securities, to (i) expand the commercial launch of XDEMVY for the treatment of </w:t>
            </w:r>
            <w:r>
              <w:rPr>
                <w:i/>
              </w:rPr>
              <w:t>Demodex</w:t>
            </w:r>
            <w:r>
              <w:rPr/>
              <w:t xml:space="preserve"> blepharitis in the United States, (ii) develop our product pipeline, including TP-03 for the potential treatment of MGD, TP-04 for the potential treatment of rosacea, and TP-05 for potential Lyme disease prophylaxis and community malaria reduction, and fund other internal innovation, and (iii) fund potential acquisitions or in-licenses of complementary products, product candidates, businesses or technologies that we may identify and other general corporate purposes, which may include the hiring of additional personnel, capital expenditures and the costs of operating as a public company. See Use of Proceeds on page S-12 of this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our common stock involves significant risks. See Risk Factors on page S-7 of this prospectus supplement, page 5 of the accompanying prospectus and under similar headings in other documents incorporated by reference into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8" w:type="dxa"/>
            <w:tcBorders/>
          </w:tcPr>
          <w:p>
            <w:pPr>
              <w:pStyle w:val="TableContents"/>
              <w:bidi w:val="0"/>
              <w:spacing w:before="0" w:after="283"/>
              <w:jc w:val="left"/>
              <w:rPr/>
            </w:pPr>
            <w:r>
              <w:rPr/>
              <w:t xml:space="preserve">Our common stock is listed on The Nasdaq Global Select Market under the symbol TARS. We do not intend to apply for listing of the pre-funded warrants on The Nasdaq Global Select Market or any securities exchange or nationally recognized trading system.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to be outstanding after this offering is based on 34,211,190 shares of our common stock outstanding as of December 31, 2023, and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4,760,366 shares of common stock issuable upon the exercise of options outstanding as of December 31, 2023, with a weighted-average exercise price of $16.62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1,708,725 shares of common stock underlying restricted stock units outstanding as of December 31,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7,054,222 shares of common stock reserved for future issuance under our 2020 Equity Incentive Plan, or the 2020 Plan, as of December 31, 2023, as well as any automatic increases in the number of shares of common stock reserved for future issuance under the 2020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2,859,434 shares of common stock reserved for issuance under our 2020 Employee Stock Purchase Plan, or the 2020 ESPP, as of December 31, 2023, as well as any automatic increases in the number of shares of common stock reserved for future issuance under the 2020 ESPP.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additional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or settlement of the outstanding options or restricted stock units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pre-funded warrants offered and sold in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supptx793902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is speculative and involves a high degree of risk. Before investing in our securities, you should consider carefully the risks described below, together with the risks described in the section entitled Risk Factors in our Annual Report on Form 10-K for the year ended December 31, 2023, which is incorporated by reference in its entirety, as well as the other information contained in or incorporated by reference in this prospectus supplement, the accompanying prospectus and any free writing prospectus that we authorize for use in connection with this offering, including our financial statements and the related notes thereto.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supplement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our securities in this offering, you will incur immediate and substantial dilution in the book value of your shares or the value of your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Investors purchasing securities in this offering will pay a price per share that substantially exceeds the as adjusted net tangible book value per share of our common stock. As a result, investors purchasing securities in this offering will incur immediate dilution of $     per share (or $     per share if the underwriters exercise their option to purchase additional shares in full) or per pre-funded warrant, representing the difference between the public offering price of $     and our as adjusted net tangible book value per share as of December 31, 2023. To the extent outstanding options to purchase shares of our common stock are exercised, restricted stock units are settled in shares of our common stock or the pre-funded warrants being offered in this offering are exercised, investors in this offering may incur further dilution. For more information on the dilution you may suffer as a result of investing in this offering, see the section of this prospectus supplement entitled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allocate the net proceeds from this offering in ways that you and other stockholders may not approve.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in investment grade, interest bearing securities. These investments may not yield a favorable return to our stockholders. If we do not invest or apply the net proceeds from this offering in ways that enhance stockholder value, we may fail to achieve expected results, which could cause our stock price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pre-funded warrants are not listed on any exchange and we do not intend to list the pre-funded warrants on any exchange.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pre-funded warrants, you may be unable to sell such warrants at the prices desired or at all. There is no existing trading market for the pre-funded warrants and there can be no assurance that a liquid market will develop or be maintained for the pre-funded warrants, or that you will be able to sell any of the pre-funded warrants at a particular time (if at all). In addition, we do not intend to apply to list these pre-funded warrants on any securities exchange or nationally recognized trading system, including The Nasdaq Global Select Market. The liquidity of the trading market in the pre-funded warrants and the sale price, if any,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pre-funded warrants, may be adversely affected by, among other things: (i) changes in the overall market for the pre-funded warrants; (ii) changes in our financial performance or prospects; (iii) changes or perceived changes in our creditworthiness; (iv) the prospects for companies in the industry generally; (v) the number of holders of the pre-funded warrants; and (vi) the interest of securities dealers in making a market for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pre-funded warrants purchased in this offering will have no rights as common stockholders until such holders exercise their pre-funded warrants and acquire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the pre-funded warrants acquire shares of our common stock upon exercise of such pre-funded warrants, the holders will have no rights with respect to the shares of our common stock underlying such pre-funded warrants, such as voting rights or the rights to receive dividends. Upon exercise of the pre-funded warrants, the holders will be entitled to exercise the rights of a common stockholder only as to matters for which the record date occurs after the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receive significant additional funds upon the exercise of the pre-funded warrants being offered. </w:t>
      </w:r>
    </w:p>
    <w:p>
      <w:pPr>
        <w:pStyle w:val="TextBody"/>
        <w:bidi w:val="0"/>
        <w:spacing w:before="120" w:after="0"/>
        <w:jc w:val="left"/>
        <w:rPr>
          <w:rFonts w:ascii="Times New Roman" w:hAnsi="Times New Roman"/>
          <w:sz w:val="20"/>
        </w:rPr>
      </w:pPr>
      <w:r>
        <w:rPr>
          <w:rFonts w:ascii="Times New Roman" w:hAnsi="Times New Roman"/>
          <w:sz w:val="20"/>
        </w:rPr>
        <w:t xml:space="preserve">In certain limited circumstances, each pre-funded warrant may be exercised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cashless exercise of the pre-funded warrants or if the pre-funded warrants altogether are not exercised at all. In addition, the pre-funded warrants have an exercise price of $0.0001 per share of common stock, and as a result we will not receive significant additional funds upon their exercise even if not a cashless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maintain a current and effective registration statement relating to the shares of common stock issuable upon exercise of the pre-funded warrants, holders will only be able to exercise such pre-funded warrants on a cashless basis. </w:t>
      </w:r>
    </w:p>
    <w:p>
      <w:pPr>
        <w:pStyle w:val="TextBody"/>
        <w:bidi w:val="0"/>
        <w:spacing w:before="120" w:after="0"/>
        <w:jc w:val="left"/>
        <w:rPr>
          <w:rFonts w:ascii="Times New Roman" w:hAnsi="Times New Roman"/>
          <w:sz w:val="20"/>
        </w:rPr>
      </w:pPr>
      <w:r>
        <w:rPr>
          <w:rFonts w:ascii="Times New Roman" w:hAnsi="Times New Roman"/>
          <w:sz w:val="20"/>
        </w:rPr>
        <w:t xml:space="preserve">If we do not maintain a current and effective registration statement relating to the shares of common stock issuable upon exercise of the pre-funded warrants at the time that holders wish to exercise such pre-funded warrants, they will only be able to exercise them on a cashless basis provided that an exemption from registration is available. As a result, the number of ordinary shares that holders will receive upon exercise of the pre-funded warrants will be fewer than it would have been had such holder exercised his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common stock issuable upon exercise of the pre-funded warrants is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holders of our common stock may not be permitted to exercise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pre-funded warrants will not be entitled to exercise any portion of any pre-funded warrant which, upon giving effect to such exercise, would cause the aggregate number of shares of our common stock beneficially owned by the holder (together with its affiliates) to exceed a specified percentage of the number of shares of our common stock outstanding immediately after giving effect to the exercise, as such percentage ownership is determined in accordance with the terms of the pre-funded warrants.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Future sales of our common stock, or the perception that such sales may occur, could depress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price of our common stock could decline if there are substantial sales of our common stock, particularly sales by our directors, executive officers and significant stockholders, or if there is a large number of shares of our common stock available for sale (including under our Open Market Sale AgreementSM with Jefferies LLC dated November 1, 2021) and the market perceives that sales will occur. After this offering, we will have   outstanding shares of our common stock, based on the number of shares outstanding as of December 31, 2023 and assuming that the underwriters do not exercise their option to purchase additional shares of common stock and that none of the pre-funded warrants sold in this offering are exercised. All of the shares of common stock sold in this offering and the shares underlying the pre-funded warrants sold in this offering will be available for sale in the public market, unless purchased by our affiliates or existing stockholders who are subject to lock-up restrictions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our executive officers and directors and certain of our stockholders have agreed that, subject to certain exceptions, during the period ending 90 days after the date of this prospectus supplement, we and they will not offer, sell, dispose of or hedge any shares of our common stock or securities convertible into or exchangeable for shares of our common stock, subject to specified limited exceptions, without, in each case, the prior written consent of Goldman Sachs &amp; Co. LLC, BofA Securities and Guggenheim Securities, LLC, who may release any of the securities subject to these lock-up agreements at any time without notice. Shares held by directors, executive officers and other affiliates will be subject to volume limitations under Rule 144 under the Securities Act of 1933, as amended, or the Securities Act, and various vesting agreements.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filed a registration statement registering under the Securities Act the shares of our common stock reserved for issuance under our 2020 Plan and 2020 ESPP, including shares issuable upon exercise of outstanding options. These shares can be freely sold in the public market upon issuance, subject to volume limitations applicable to affiliates and the lock-up agreements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Further, as opportunities present themselves, we may enter into financing or similar arrangements in the future, including the issuance of debt or equity securities. If we issue common stock or securities convertible into our common stock, our common stockholders would experience additional dilution and, as a result, the price of our common stock may decline.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effect that future sales of common stock or other equity-related securities would have on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supptx793902_5"/>
      <w:bookmarkEnd w:id="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in this prospectus supplement, the accompanying prospectus, and any free writing prospectus that we authorize for use in connection with this offering, contains and may contain certain statements that constitute forward-looking statements within the meaning of Section 27A of the Securities Act and Section 21E of the Exchange Act.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supplement, the accompanying prospectus and the documents incorporated herein and therein by reference, particularly in the sections entitled Prospectus Supplement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XDEMVY®, formerly known as TP-03, for the treatment of </w:t>
            </w:r>
            <w:r>
              <w:rPr>
                <w:rFonts w:ascii="Times New Roman" w:hAnsi="Times New Roman"/>
                <w:i/>
                <w:sz w:val="20"/>
              </w:rPr>
              <w:t>Demodex</w:t>
            </w:r>
            <w:r>
              <w:rPr>
                <w:rFonts w:ascii="Times New Roman" w:hAnsi="Times New Roman"/>
                <w:sz w:val="20"/>
              </w:rPr>
              <w:t xml:space="preserve"> blepharitis;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of </w:t>
            </w:r>
            <w:r>
              <w:rPr>
                <w:rFonts w:ascii="Times New Roman" w:hAnsi="Times New Roman"/>
                <w:i/>
                <w:sz w:val="20"/>
              </w:rPr>
              <w:t>Demodex</w:t>
            </w:r>
            <w:r>
              <w:rPr>
                <w:rFonts w:ascii="Times New Roman" w:hAnsi="Times New Roman"/>
                <w:sz w:val="20"/>
              </w:rPr>
              <w:t xml:space="preserve"> blepharitis and the size of the market opportunity for XDEMVY;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XDEMVY and our product candidates, if approved, including commercialization timelines and sales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and product candidates, opportunity and patient populations for our product and product candidates, including XDEMVY;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XDEMVY and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our clinical trials demonstrating safety and efficacy of our product candidates,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progress of our current clinical trials and timing of initiation of our future clinical trials, and the reporting of data from our current and future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 for our product candidates and our ability to meet existing or future regulatory standards or comply with post-approval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clinical development of our current and future product candidates, including the size, number and disease areas to be evaluated;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health epidemics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unfavorable global and geopolitical economic conditions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in the United States (U.S.) or globally, as applicable, who suffer from </w:t>
            </w:r>
            <w:r>
              <w:rPr>
                <w:rFonts w:ascii="Times New Roman" w:hAnsi="Times New Roman"/>
                <w:i/>
                <w:sz w:val="20"/>
              </w:rPr>
              <w:t>Demodex</w:t>
            </w:r>
            <w:r>
              <w:rPr>
                <w:rFonts w:ascii="Times New Roman" w:hAnsi="Times New Roman"/>
                <w:sz w:val="20"/>
              </w:rPr>
              <w:t xml:space="preserve"> blepharitis, Meibomian Gland Disease (MGD), rosacea, Lyme disease and malaria and the number of patients that will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safety, efficacy, therapeutic effects and potential advantages of our product and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and our product candidates to meet existing or future regulatory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our product and product candidates, including additional indications for which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additional products, product candidates or technologies with significant commercial potential that are consistent with our commercial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obtain, maintain, and/or protect intellectual property rights, including extensions of existing patent terms where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reliance on third parties to conduct additional clinical trials of our product candidates, and for the manufacture of our product candidates for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to hire additional personnel and our ability to attract and retain such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capital resources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will qualify as an emerging growth company under the JOBS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resources and the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speak only as of the date of this prospectus supplement and the accompanying prospectus and are subject to risks, uncertainties and assumptions that are difficult to predict. Therefore, actual results may differ materially and adversely from those expressed in any forward-looking statements. Factors that might cause or contribute to such differences, and other factors that we believe affect our performance, include those discussed in the sections titled Risk Factors and Managements Discussion and Analysis of Financial Condition and Results of Operations in our Annual Report on Form 10-K for the year ended December 31, 2023 incorporated by reference herein, and in other reports we file with the SEC. While forward-looking statements are based on the reasonable expectations of our management at the time that they are made, you should not rely on them unduly. We undertake no obligation to revise or update publicly any forward-looking statements for any reason, whether as a result of new information, future events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supptx793902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net proceeds from this offering will be approximately $    million, or approximately $     million if the underwriters exercise their option to purchase additional shares in full, after deducting underwriting discounts and commissions and estimated offering expenses payable by us. These estimates exclude the proceeds, if any, from the exercise of the pre-funded warrants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principal purpose of this offering is to increase our financial flexibility. We currently intend to use the net proceeds from this offering, together with our existing cash, cash equivalents and marketable securities, to (i) expand the commercial launch of XDEMVY for the treatment of </w:t>
      </w:r>
      <w:r>
        <w:rPr>
          <w:rFonts w:ascii="Times New Roman" w:hAnsi="Times New Roman"/>
          <w:i/>
          <w:sz w:val="20"/>
        </w:rPr>
        <w:t>Demodex</w:t>
      </w:r>
      <w:r>
        <w:rPr>
          <w:rFonts w:ascii="Times New Roman" w:hAnsi="Times New Roman"/>
          <w:sz w:val="20"/>
        </w:rPr>
        <w:t xml:space="preserve"> blepharitis in the United States, (ii) develop our product pipeline, including TP-03 for the potential treatment of MGD, TP-04 for the potential treatment of rosacea, and TP-05 for potential Lyme disease prophylaxis and community malaria reduction, and fund other internal innovation, and (iii) fund potential acquisitions or in-licenses of complementary products, product candidates, businesses or technologies that we may identify and other general corporate purposes, which may include the hiring of additional personnel, capital expenditures and the costs of operating as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This expected use of the net proceeds from this offering represents our intentions based upon our current business plans and economic conditions. Either could change in the future as our business plans evolve and economic conditions shift. 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expenditures and the extent of our commercial and preclinical, clinical and future development activities may vary significantly depending on numerous factors, including the progress of our commercialization and development efforts, the status of and results from our ongoing and planned clinical trials, the timing of regulatory submissions and the outcome of regulatory review, our ability to take advantage of expedited programs or to obtain regulatory approval for product candidates, the timing and costs associated with the manufacture and supply of product candidates for clinical development or commercialization, as well as any collaborations that we may enter into with third parties for our product candidates and any unforeseen cash needs. As a result, our management will retain broad discretion over the allocation of the net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use a portion of the net proceeds from this offering for the development, acquisition or in-license of other products, product candidates, businesses or technologies, our cash resources could be depleted earlier than we currently expect. Pending the application of the net proceeds from this offering, we plan to invest the net proceeds from this offering in bank and investment accounts with the primary goal of capital preservation. These include operating bank accounts, short-term interest-bearing investment-grade securities and money market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supptx793902_7"/>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common stock. We currently intend to retain all available funds and any future earnings for use in the operation of our business and do not anticipate paying any cash dividends on our common stock in the foreseeable future. Additionally, the terms of our credit facility with Hercules Capital, Inc. and Silicon Valley Bank, a division of First Citizens Bank, restrict our ability to pay dividends under certain circumstances. Any future determination to declare dividends will be made at the discretion of our board of directors, will be subject to restrictions in our current or any future debt facility and will depend on our financial condition, operating results, capital requirements, general business conditions and other factors that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supptx793902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or pre-funded warrants in this offering, your ownership interest will be immediately diluted to the extent of the difference between the public offering price per share of our common stock (or pre-funded warrant in lieu thereof) and the as adjusted net tangible book value per share of our common stock immediately after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Historical net tangible book value per share represents our total tangible assets less our liabilities and preferred stock that is not included in equity divided by the total number of shares of common stock outstanding. As of December 31, 2023, our historical net tangible book value was approximately $193.1 million, or $5.64 per share of common stock, based on 34,211,190 shares of common stock outstanding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our sale in this offering of      shares of common stock at the public offering price of $    per share and pre-funded warrants to purchase up to     shares of our common stock at the public offering price of $     per share, and after deducting estimated underwriting discounts and commissions and estimated offering expenses payable by us, our as adjusted net tangible book value as of December 31, 2023 would have been approximately $     million, or $     per share of our common stock. This amount represents an immediate increase in as adjusted net tangible book value of $     per share to our existing stockholders and an immediate dilution of $     per share to investors participating in this offering. Net tangible book value dilution per share to new investors participating in this offering represents the difference between the amount per share paid by purchaser of common stock in this offering and the as adjusted net tangible book value per share of common stock and pre-funded warrants immediately after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new investors purchasing our common stock is determined by subtracting as adjusted net tangible book value per share after this offering from the public offering price per share (or pre-funded warrant in lieu thereof at the public offering price less $0.0001) paid by new investors. The following table illustrates this dilution to new investors on a per share basis (without giving effect to any exercise by the underwriters of their option to purchase additional shares):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14"/>
        <w:gridCol w:w="372"/>
        <w:gridCol w:w="144"/>
        <w:gridCol w:w="444"/>
        <w:gridCol w:w="60"/>
        <w:gridCol w:w="372"/>
        <w:gridCol w:w="144"/>
        <w:gridCol w:w="841"/>
        <w:gridCol w:w="64"/>
      </w:tblGrid>
      <w:tr>
        <w:trPr/>
        <w:tc>
          <w:tcPr>
            <w:tcW w:w="5314"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 (or pre-funded warrant in lieu thereof at the public offering price less $0.0001)</w:t>
            </w:r>
          </w:p>
        </w:tc>
        <w:tc>
          <w:tcPr>
            <w:tcW w:w="37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84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314"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December 31, 2023</w:t>
            </w:r>
          </w:p>
        </w:tc>
        <w:tc>
          <w:tcPr>
            <w:tcW w:w="37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5.64</w:t>
            </w:r>
          </w:p>
        </w:tc>
        <w:tc>
          <w:tcPr>
            <w:tcW w:w="6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(decrease) in net tangible book value per share attributable to new investors in this offering</w:t>
            </w:r>
          </w:p>
        </w:tc>
        <w:tc>
          <w:tcPr>
            <w:tcW w:w="37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314"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314"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December 31, 2023, immediately after this offering</w:t>
            </w:r>
          </w:p>
        </w:tc>
        <w:tc>
          <w:tcPr>
            <w:tcW w:w="37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314"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this offering</w:t>
            </w:r>
          </w:p>
        </w:tc>
        <w:tc>
          <w:tcPr>
            <w:tcW w:w="37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84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314"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option to purchase additional shares in this offering is exercised in full, the as adjusted net tangible book value would be $      per share, the increase in the net tangible book value per share for existing stockholders would be $     per share and the dilution to new investors participating in this offering would be $     per share. </w:t>
      </w:r>
    </w:p>
    <w:p>
      <w:pPr>
        <w:pStyle w:val="TextBody"/>
        <w:bidi w:val="0"/>
        <w:spacing w:before="240" w:after="0"/>
        <w:jc w:val="left"/>
        <w:rPr>
          <w:rFonts w:ascii="Times New Roman" w:hAnsi="Times New Roman"/>
          <w:sz w:val="20"/>
        </w:rPr>
      </w:pPr>
      <w:r>
        <w:rPr>
          <w:rFonts w:ascii="Times New Roman" w:hAnsi="Times New Roman"/>
          <w:sz w:val="20"/>
        </w:rPr>
        <w:t xml:space="preserve">If holders of the pre-funded warrants exercise the pre-funded warrants, the as adjusted net tangible book value per share after giving effect to this offering would be $    per share, representing an immediate increase to existing stockholders of $    per share, and immediate dilution to new investors in this offering of $    per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foregoing tables and calculations (other than the historical net tangible book value calculation) are based on 34,211,190 shares of our common stock outstanding as of December 31, 2023, and unless otherwise indicated,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4,760,366 shares of common stock issuable upon the exercise of options outstanding as of December 31, 2023, with a weighted-average exercise price of $16.62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1,708,725 shares of common stock underlying restricted stock units outstanding as of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7,054,222 shares of common stock reserved for future issuance under our 2020 Equity Incentive Plan, or the 2020 Plan, as of December 31, 2023, as well as any automatic increases in the number of shares of common stock reserved for future issuance under the 2020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2,859,434 shares of common stock reserved for issuance under our 2020 Employee Stock Purchase Plan, or the 2020 ESPP, as of December 31, 2023, as well as any automatic increases in the number of shares of common stock reserved for future issuance under the 2020 ESPP.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the pre-funded warrants sold hereunder or RSUs are exercised or settled,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supptx793902_8a"/>
      <w:bookmarkEnd w:id="11"/>
      <w:r>
        <w:rPr>
          <w:rFonts w:ascii="Times New Roman" w:hAnsi="Times New Roman"/>
          <w:b/>
          <w:sz w:val="20"/>
        </w:rPr>
        <w:t xml:space="preserve">DESCRIPTION OF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attributes and characteristics of the pre-funded warrants. The form of pre-funded warrants will be provided to the pre-funded warrant purchasers in this offering and will be filed as an exhibit to a Current Report on Form 8-K in connection with this offering and incorporated by reference into the registration statement of which this prospectus supplement forms a part. The following summary is subject in all respects to the provisions contained in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Pre-funded warrants will be issued in certificated form only. </w:t>
      </w:r>
    </w:p>
    <w:p>
      <w:pPr>
        <w:pStyle w:val="TextBody"/>
        <w:bidi w:val="0"/>
        <w:spacing w:before="360" w:after="0"/>
        <w:jc w:val="left"/>
        <w:rPr>
          <w:rFonts w:ascii="Times New Roman" w:hAnsi="Times New Roman"/>
          <w:b/>
          <w:sz w:val="20"/>
        </w:rPr>
      </w:pPr>
      <w:r>
        <w:rPr>
          <w:rFonts w:ascii="Times New Roman" w:hAnsi="Times New Roman"/>
          <w:b/>
          <w:sz w:val="20"/>
        </w:rPr>
        <w:t xml:space="preserve">Duration and Exercise Price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entitles the holder thereof to purchase shares of our common stock at an exercise price equal to $0.0001 per share. Each pre-funded warrant will be exercisable at any time beginning on the date of issuance. The pre-funded warrants will not expire until they are fully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holder of the pre-funded warrant may exercise the pre-funded warrant by delivering an exercise notice, completed and duly signed, and payment in cash of the exercise price for the number of shares of our common stock for which the pre-funded warrant is being exercised. The holder of the pre-funded warrant may also satisfy its obligation to pay the exercise price through a cashless exercise, in which the holder receives the net value of the pre-funded warrant in shares of common stock determined according to the formula set forth in the pre-funded warrant. </w:t>
      </w:r>
    </w:p>
    <w:p>
      <w:pPr>
        <w:pStyle w:val="TextBody"/>
        <w:bidi w:val="0"/>
        <w:spacing w:before="240" w:after="0"/>
        <w:jc w:val="left"/>
        <w:rPr>
          <w:rFonts w:ascii="Times New Roman" w:hAnsi="Times New Roman"/>
          <w:sz w:val="20"/>
        </w:rPr>
      </w:pPr>
      <w:r>
        <w:rPr>
          <w:rFonts w:ascii="Times New Roman" w:hAnsi="Times New Roman"/>
          <w:sz w:val="20"/>
        </w:rPr>
        <w:t xml:space="preserve">Upon a holders exercise of the pre-funded warrant, we will issue the shares of common stock to which the holder is entitled pursuant to such exercise within three trading days after the exercise date.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A holder of the pre-funded warrant will not be entitled to exercise any portion of such pre-funded warrant that, upon giving effect to such exercise, would cause the aggregate number of shares of our common stock beneficially owned by such holder (together with its affiliates and any other persons whose beneficial ownership of common stock would be aggregated with the holder for purposes of Section 13(d) of the Exchange Act) to exceed 9.99%, or 4.99%, as the case may be, of the total number of then issued and outstanding shares of common stock, as such percentage ownership is determined in accordance with the terms of the pre-funded warrant and subject to such holders rights under the pre-funded warrant to increase or decrease such percentage to any other percentage not in excess of 19.99% upon at least 61 days prior notice from such holder to us. </w:t>
      </w:r>
    </w:p>
    <w:p>
      <w:pPr>
        <w:pStyle w:val="TextBody"/>
        <w:bidi w:val="0"/>
        <w:spacing w:before="360" w:after="0"/>
        <w:jc w:val="left"/>
        <w:rPr>
          <w:rFonts w:ascii="Times New Roman" w:hAnsi="Times New Roman"/>
          <w:b/>
          <w:sz w:val="20"/>
        </w:rPr>
      </w:pPr>
      <w:r>
        <w:rPr>
          <w:rFonts w:ascii="Times New Roman" w:hAnsi="Times New Roman"/>
          <w:b/>
          <w:sz w:val="20"/>
        </w:rPr>
        <w:t xml:space="preserve">Antidilution and Other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of the pre-funded warrants for shares of common stock to be issued upon the exercise of the pre-funded warrants is $0.0001 per share. The exercise price of the pre-funded warrants and the number of shares of common stock issuable upon exercise of the pre-funded warrants is subject to appropriate adjustments in the event of certain stock dividends and distributions, stock splits, stock combinations, reclassifications or similar events affecting our shares of common stock, as well as upon any distribution of assets, including cash, stock or other property, to our stockholders. The exercise price of the pre-funded warrants will not be adjusted below the par value per share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fundamental transaction, as described in the pre-funded warrants and generally including any merger with or into another entity, sale of all or substantially all of our assets, tender offer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offer, or reclassification of our shares of common stock, then upon any subsequent exercise of a pre-funded warrant, the holder will be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exercised contained in the pre-funded warrants. Notwithstanding the foregoing, in the event of a fundamental transaction where the consideration consists solely of cash, solely of marketable securities or a combination of cash and marketable securities, then each pre-funded warrant shall automatically be deemed to be exercised in full in a cashless exercise effective immediately prior to and contingent upon the consummation of such fundamental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offered for sale, sold, transferred or assigned without our consent.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trading market available for the pre-funded warrants on any securities exchange or nationally recognized trading system. We do not intend to list the pre-funded warrants on The Nasdaq Global Select Market or any securities exchange or nationally recognized trading system. </w:t>
      </w:r>
    </w:p>
    <w:p>
      <w:pPr>
        <w:pStyle w:val="TextBody"/>
        <w:bidi w:val="0"/>
        <w:spacing w:before="240" w:after="0"/>
        <w:jc w:val="left"/>
        <w:rPr>
          <w:rFonts w:ascii="Times New Roman" w:hAnsi="Times New Roman"/>
          <w:sz w:val="20"/>
        </w:rPr>
      </w:pPr>
      <w:r>
        <w:rPr>
          <w:rFonts w:ascii="Times New Roman" w:hAnsi="Times New Roman"/>
          <w:sz w:val="20"/>
        </w:rPr>
        <w:t xml:space="preserve">We will initially serve as the warrant agent under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pre-funded warrants or by virtue of such holders ownership of shares of our common stock, the holders of the pre-funded warrants do not have the rights or privileges of holders of our common stock, including any voting rights, until they exercise their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supptx793902_9"/>
      <w:bookmarkEnd w:id="12"/>
      <w:r>
        <w:rPr>
          <w:rFonts w:ascii="Times New Roman" w:hAnsi="Times New Roman"/>
          <w:b/>
          <w:sz w:val="20"/>
        </w:rPr>
        <w:t xml:space="preserve">MATERIAL U.S. FEDERAL INCOME AND ESTATE TAX CONSEQUENCES FOR NON-U.S. 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discussion of certain material U.S. federal income tax consequences applicable to non-U.S. holders (as defined below) with respect to their ownership and disposition of shares of our common stock and pre-funded warrants issued pursuant to this offering. For purposes of this discussion, a non-U.S. holder means a beneficial owner of our common stock and pre-funded warrants (other than an entity or arrangement that is treated as a partnership for U.S. federal income tax purposes) that is not,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the United States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includable in gross income for U.S. federal income tax purposes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current provisions of the Internal Revenue Code of 1986, as amended, or the Code, existing, temporary and proposed Treasury Regulations promulgated thereunder, published administrative pronouncements of the Internal Revenue Service or, the IRS, and other applicable authorities, all of which are subject to change or to differing interpretation, possibly with retroactive effect. Any such change or differing interpretation could alter the tax consequences described in this discussion. There can be no assurance that the IRS will not challenge one or more of the tax consequences described herein, and we have not obtained, nor do we intend to obtain, a ruling with respect to the U.S. federal income tax consequences to a holder of the ownership or disposition of our common stock or our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assumes that a non-U.S. holder holds shares of our common stock or our pre-funded warrants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the special tax accounting rules under Section 451(b) of the Code,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of our pre-funded warrants,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 of the purchase, ownership and disposition of our common stock or our pre-funded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CONSIDERING THE PURCHASE OF OUR COMMON STOCK SHOULD CONSULT THEIR OWN TAX ADVISORS REGARDING THE APPLICATION OF THE U.S. FEDERAL INCOME AND ESTATE TAX LAWS TO THEIR PARTICULAR SITUATIONS AND THE CONSEQUENCES OF NON-U.S., STATE, OR LOCAL LAWS AND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Treatment of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Although it is not entirely free from doubt, the pre-funded warrants are generally expected to be treated as shares of our common stock for U.S. federal income tax purposes. Accordingly, no gain or loss should be recognized upon exercise of a pre-funded warrant, and the holding period of a pre-funded warrant should carry over to the shares of common stock received upon exercise. Similarly, the tax basis of the pre-funded warrant should carry over to the shares of common stock received upon exercise, increased by the exercise price. Prospective investors are urged to consult with their own tax advisors regarding the U.S. federal income tax treatment of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amount distributed in excess of basis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 </w:t>
      </w:r>
    </w:p>
    <w:p>
      <w:pPr>
        <w:pStyle w:val="TextBody"/>
        <w:bidi w:val="0"/>
        <w:spacing w:before="240" w:after="0"/>
        <w:jc w:val="left"/>
        <w:rPr>
          <w:rFonts w:ascii="Times New Roman" w:hAnsi="Times New Roman"/>
          <w:sz w:val="20"/>
        </w:rPr>
      </w:pPr>
      <w:r>
        <w:rPr>
          <w:rFonts w:ascii="Times New Roman" w:hAnsi="Times New Roman"/>
          <w:sz w:val="20"/>
        </w:rPr>
        <w:t xml:space="preserve">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IRS Form W-8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that such dividends are effectively connected with the non-U.S. holders conduct of a trade or business within the United States. Such effectively connected dividends, although not subject to withholding tax, are taxed at the same rates applicable to U.S. persons, net of certain deductions and credits. In addition, dividends received by a corporate non-U.S. holder that are effectively connected with a U.S. trade or business of the corporate non-U.S. holder may also be subject to a branch profits tax at a rate of 30% or such lower rate as may be specified by an applicable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Gain on Sale or Other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Foreign Account Tax Compliance Act, non-U.S. holders will generally not be subject to U.S. federal income tax on any gains realized on the sale, exchange or other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the sale, exchange or other disposition of our common stock, and certain other conditions are met (in which case the net gain would be subject to a flat 30% tax, or such reduced rate as may be specified by an applicable income tax treaty, which may be offset by U.S. source capital losses of such non-U.S. holder, if any, provided the non-U.S. holder has timely filed U.S. federal income tax returns with respect to such losses, even though the individual is not considered a resident of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rules of the Foreign Investment in Real Property Tax Act, or FIRPTA, treat the gain as effectively connected with a U.S. trade or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and the non-U.S. holders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We must report annually to the IRS and to each non-U.S. holder the amount of distributions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will generally be subject to backup withholding on distributions on our common stock paid to such holder unless such holder certifies under penalties of perjury that, among other things, it is a non-U.S. holder, generally by providing an applicable and properly completed IRS Form W-8BEN, IRS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W-8BEN-E, or IRS Form W-8ECI (and the payer does not have actual knowledge or reason to know that such holder is a U.S. person) or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Under the Foreign Account Tax Compliance Act, or FATCA, withholding tax of 30% applies to certain payments to foreign financial institutions, investment funds and certain other non-U.S. persons that fail to 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encouraged to consult with their own tax advisors regarding the possible implications of FATCA on their investment in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Federal Estate Tax </w:t>
      </w:r>
    </w:p>
    <w:p>
      <w:pPr>
        <w:pStyle w:val="TextBody"/>
        <w:bidi w:val="0"/>
        <w:spacing w:before="120" w:after="0"/>
        <w:jc w:val="left"/>
        <w:rPr>
          <w:rFonts w:ascii="Times New Roman" w:hAnsi="Times New Roman"/>
          <w:sz w:val="20"/>
        </w:rPr>
      </w:pPr>
      <w:r>
        <w:rPr>
          <w:rFonts w:ascii="Times New Roman" w:hAnsi="Times New Roman"/>
          <w:sz w:val="20"/>
        </w:rPr>
        <w:t xml:space="preserve">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 </w:t>
      </w:r>
    </w:p>
    <w:p>
      <w:pPr>
        <w:pStyle w:val="TextBody"/>
        <w:bidi w:val="0"/>
        <w:spacing w:before="240" w:after="0"/>
        <w:jc w:val="left"/>
        <w:rPr>
          <w:rFonts w:ascii="Times New Roman" w:hAnsi="Times New Roman"/>
          <w:b/>
          <w:sz w:val="20"/>
        </w:rPr>
      </w:pPr>
      <w:r>
        <w:rPr>
          <w:rFonts w:ascii="Times New Roman" w:hAnsi="Times New Roman"/>
          <w:b/>
          <w:sz w:val="20"/>
        </w:rPr>
        <w:t xml:space="preserve">PROSPECTIVE INVESTORS SHOULD CONSULT THEIR OWN TAX ADVISORS REGARDING THE POTENTIAL APPLICATION OF WITHHOLDING UNDER FATCA TO THEIR INVESTMENT IN OUR COMMON STOCK. THE PRECEDING DISCUSSION OF U.S. FEDERAL INCOME TAX CONSEQUENCES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supptx793902_10"/>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named below intend to enter into an underwriting agreement with respect to the shares and pre-funded warrants being offered. Subject to certain conditions, each underwriter will severally agree to purchase the number of shares and pre-funded warrants indicated in the following table. Goldman Sachs &amp; Co. LLC, BofA Securities, Inc. and Guggenheim Securities, LLC are the representatives of the underwriters.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995"/>
        <w:gridCol w:w="317"/>
        <w:gridCol w:w="88"/>
        <w:gridCol w:w="1814"/>
        <w:gridCol w:w="60"/>
        <w:gridCol w:w="317"/>
        <w:gridCol w:w="60"/>
        <w:gridCol w:w="1225"/>
        <w:gridCol w:w="63"/>
      </w:tblGrid>
      <w:tr>
        <w:trPr/>
        <w:tc>
          <w:tcPr>
            <w:tcW w:w="2995"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995" w:type="dxa"/>
            <w:tcBorders/>
            <w:vAlign w:val="bottom"/>
          </w:tcPr>
          <w:p>
            <w:pPr>
              <w:pStyle w:val="TableContents"/>
              <w:bidi w:val="0"/>
              <w:spacing w:before="0" w:after="283"/>
              <w:jc w:val="left"/>
              <w:rPr>
                <w:b/>
              </w:rPr>
            </w:pPr>
            <w:r>
              <w:rPr>
                <w:b/>
              </w:rPr>
              <w:t>Underwriter</w:t>
            </w:r>
          </w:p>
        </w:tc>
        <w:tc>
          <w:tcPr>
            <w:tcW w:w="317" w:type="dxa"/>
            <w:tcBorders/>
            <w:vAlign w:val="bottom"/>
          </w:tcPr>
          <w:p>
            <w:pPr>
              <w:pStyle w:val="TableContents"/>
              <w:bidi w:val="0"/>
              <w:spacing w:before="0" w:after="283"/>
              <w:jc w:val="left"/>
              <w:rPr/>
            </w:pPr>
            <w:r>
              <w:rPr/>
              <w:t>  </w:t>
            </w:r>
          </w:p>
        </w:tc>
        <w:tc>
          <w:tcPr>
            <w:tcW w:w="1902" w:type="dxa"/>
            <w:gridSpan w:val="2"/>
            <w:tcBorders/>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285" w:type="dxa"/>
            <w:gridSpan w:val="2"/>
            <w:tcBorders/>
            <w:vAlign w:val="bottom"/>
          </w:tcPr>
          <w:p>
            <w:pPr>
              <w:pStyle w:val="TableContents"/>
              <w:bidi w:val="0"/>
              <w:spacing w:before="0" w:after="283"/>
              <w:jc w:val="center"/>
              <w:rPr>
                <w:b/>
              </w:rPr>
            </w:pPr>
            <w:r>
              <w:rPr>
                <w:b/>
              </w:rPr>
              <w:t>Number of</w:t>
              <w:br/>
              <w:t>Pre-Funded</w:t>
              <w:br/>
              <w:t>Warrants</w:t>
            </w:r>
          </w:p>
        </w:tc>
        <w:tc>
          <w:tcPr>
            <w:tcW w:w="63" w:type="dxa"/>
            <w:tcBorders/>
            <w:vAlign w:val="bottom"/>
          </w:tcPr>
          <w:p>
            <w:pPr>
              <w:pStyle w:val="TableContents"/>
              <w:bidi w:val="0"/>
              <w:spacing w:before="0" w:after="283"/>
              <w:jc w:val="left"/>
              <w:rPr/>
            </w:pPr>
            <w:r>
              <w:rPr/>
              <w:t> </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31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31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31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31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2995"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88" w:type="dxa"/>
            <w:tcBorders/>
            <w:vAlign w:val="bottom"/>
          </w:tcPr>
          <w:p>
            <w:pPr>
              <w:pStyle w:val="TableContents"/>
              <w:pBdr>
                <w:top w:val="single" w:sz="2" w:space="1" w:color="000000"/>
              </w:pBdr>
              <w:bidi w:val="0"/>
              <w:spacing w:before="0" w:after="0"/>
              <w:jc w:val="left"/>
              <w:rPr/>
            </w:pPr>
            <w:r>
              <w:rPr/>
              <w:t> </w:t>
            </w:r>
          </w:p>
        </w:tc>
        <w:tc>
          <w:tcPr>
            <w:tcW w:w="1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2995"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88" w:type="dxa"/>
            <w:tcBorders/>
            <w:vAlign w:val="bottom"/>
          </w:tcPr>
          <w:p>
            <w:pPr>
              <w:pStyle w:val="TableContents"/>
              <w:pBdr>
                <w:top w:val="double" w:sz="6" w:space="1" w:color="000000"/>
              </w:pBdr>
              <w:bidi w:val="0"/>
              <w:spacing w:before="0" w:after="0"/>
              <w:jc w:val="left"/>
              <w:rPr/>
            </w:pPr>
            <w:r>
              <w:rPr/>
              <w:t> </w:t>
            </w:r>
          </w:p>
        </w:tc>
        <w:tc>
          <w:tcPr>
            <w:tcW w:w="1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will be committed to take and pay for all of the shares and pre-funded warrants being offered, if any are taken, other than the shares covered by the option described below unless and until this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will have an option to buy up to an additional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share, per pre-funded warrant and total underwriting discounts and commissions to be paid to the underwriters by us. Such amounts are shown assuming both no exercise and full exercise of the underwriters option to purchase up to an additional      shares of our common stock from us.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30"/>
        <w:gridCol w:w="480"/>
        <w:gridCol w:w="187"/>
        <w:gridCol w:w="1093"/>
        <w:gridCol w:w="60"/>
        <w:gridCol w:w="480"/>
        <w:gridCol w:w="200"/>
        <w:gridCol w:w="1161"/>
        <w:gridCol w:w="64"/>
      </w:tblGrid>
      <w:tr>
        <w:trPr/>
        <w:tc>
          <w:tcPr>
            <w:tcW w:w="403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3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4" w:type="dxa"/>
            <w:tcBorders/>
            <w:vAlign w:val="bottom"/>
          </w:tcPr>
          <w:p>
            <w:pPr>
              <w:pStyle w:val="TableContents"/>
              <w:bidi w:val="0"/>
              <w:spacing w:before="0" w:after="283"/>
              <w:jc w:val="left"/>
              <w:rPr/>
            </w:pPr>
            <w:r>
              <w:rPr/>
              <w:t> </w:t>
            </w:r>
          </w:p>
        </w:tc>
      </w:tr>
      <w:tr>
        <w:trPr/>
        <w:tc>
          <w:tcPr>
            <w:tcW w:w="4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4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030" w:type="dxa"/>
            <w:tcBorders/>
          </w:tcPr>
          <w:p>
            <w:pPr>
              <w:pStyle w:val="TableContents"/>
              <w:bidi w:val="0"/>
              <w:spacing w:before="0" w:after="0"/>
              <w:jc w:val="left"/>
              <w:rPr>
                <w:rFonts w:ascii="Times New Roman" w:hAnsi="Times New Roman"/>
                <w:sz w:val="20"/>
              </w:rPr>
            </w:pPr>
            <w:r>
              <w:rPr>
                <w:rFonts w:ascii="Times New Roman" w:hAnsi="Times New Roman"/>
                <w:sz w:val="20"/>
              </w:rPr>
              <w:t>Per Pre-Funded Warrant</w:t>
            </w:r>
          </w:p>
        </w:tc>
        <w:tc>
          <w:tcPr>
            <w:tcW w:w="4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0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116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and pre-funded warrants sold by the underwriters to the public will initially be offered at the public offering price set forth on the cover of this prospectus supplement. Any shares or pre-funded warrants sold by the underwriters to securities dealers may be sold at a discount of up to $     per share from the public offering price. After the initial offering of the shares and pre-funded warrants, the representatives may change the offering price and the other selling terms. The offering of the shares and pre-funded warrants by the underwriters is subject to receipt and acceptance and subject to the underwriters right to reject any order in whole or in part. The underwriters have not been engaged to act a warrant agent for the pre-funded warrants or to act as underwriter or agent or otherwise participate in the issuance of the shares of our common stock upon the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We and our executive officers, directors, and certain other stockholders have agreed or will agree with the underwriters, among other things and subject to certain exceptions, not to dispose of or hedge any of our or their common stock or securities convertible into or exchangeable for shares of our common stock during the period from the date of this prospectus supplement continuing through the date 90 days after the date of this prospectus supplement, or the Lock-Up Period, except with the prior written consent of Goldman Sachs &amp; Co. LLC, BofA Securities, Inc. and Guggenheim Securities, LLC, or the representatives. This agreement does not apply to any existing employee benefit plans.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do not apply to us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or pre-funded warrants sold in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issued by us upon the exercise of the pre-funded warrants sold hereunder or of an option or warrant or the conversion of a security, in each case, outstanding on the date of this prospectus supplement and referred to herein or in a document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reacquisition or withholding of all or a portion of shares of common stock subject to a stock award to satisfy a tax withholding obligation of us in connection with the vesting or exercise of such stock award or to satisfy the purchase price or exercise price of such stock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of compensatory equity-based awards, and/or the issuance of shares of common stock with respect thereto, made pursuant to compensatory equity-based plans referred to herein or in a document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issued pursuant to any non-employee director compensation plan or program or dividend reinvestment plan referred to herein or in a document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of a registration statement on Form S-8 relating to the registration of securities to be offered under any of our employee benefit or equity incentive plans referred to herein or in a document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shares of common stock, restricted stock awards or securities convertible into or exercisable or exchangeable for shares of common stock in connection with (A) the acquisition of the securities, business, property or other assets of another person or pursuant to any employee benefit plan assumed in connection with any such acquisition, (B) joint ventures, (C) commercial relationships or (D) other strategic transactions, </w:t>
            </w:r>
            <w:r>
              <w:rPr>
                <w:rFonts w:ascii="Times New Roman" w:hAnsi="Times New Roman"/>
                <w:i/>
                <w:sz w:val="20"/>
              </w:rPr>
              <w:t>provided</w:t>
            </w:r>
            <w:r>
              <w:rPr>
                <w:rFonts w:ascii="Times New Roman" w:hAnsi="Times New Roman"/>
                <w:sz w:val="20"/>
              </w:rPr>
              <w:t xml:space="preserve"> that the aggregate number of shares of our common stock, restricted stock awards and shares of common stock issuable upon the conversion, exercise or exchange of securities (on an as converted or as exercised basis, as the case may be) issued pursuant to this clause (vii) shall not exceed 5% of the total number of shares of our common stock issued and outstanding immediately following the issuance and sale of the shares of common stock in this offering and that each recipient of such securities shall execute a lock-up agreement substantially in the same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4"/>
        <w:gridCol w:w="417"/>
        <w:gridCol w:w="8874"/>
      </w:tblGrid>
      <w:tr>
        <w:trPr/>
        <w:tc>
          <w:tcPr>
            <w:tcW w:w="914" w:type="dxa"/>
            <w:tcBorders/>
            <w:vAlign w:val="center"/>
          </w:tcPr>
          <w:p>
            <w:pPr>
              <w:pStyle w:val="TableContents"/>
              <w:bidi w:val="0"/>
              <w:spacing w:before="0" w:after="283"/>
              <w:jc w:val="left"/>
              <w:rPr/>
            </w:pPr>
            <w:r>
              <w:rPr/>
              <w:t> </w:t>
            </w:r>
          </w:p>
        </w:tc>
        <w:tc>
          <w:tcPr>
            <w:tcW w:w="417" w:type="dxa"/>
            <w:tcBorders/>
          </w:tcPr>
          <w:p>
            <w:pPr>
              <w:pStyle w:val="TableContents"/>
              <w:bidi w:val="0"/>
              <w:spacing w:before="0" w:after="283"/>
              <w:jc w:val="left"/>
              <w:rPr/>
            </w:pPr>
            <w:r>
              <w:rPr/>
              <w:t>(viii)</w:t>
            </w:r>
          </w:p>
        </w:tc>
        <w:tc>
          <w:tcPr>
            <w:tcW w:w="88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beginning on the 61st day from the date of this prospectus supplement, the shares of common stock sold pursuant to that certain Open Market Sale AgreementSM by and between us and Jefferies LLC (provided that no public filings regarding such sales or announcement regarding such sales shall be required or be voluntarily made during the Lock-Up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above do not apply to our executive officers, directors and certain of our stockholders who entered into a lock-up agreement with respect to, among other things and subject to certain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a </w:t>
            </w:r>
            <w:r>
              <w:rPr>
                <w:rFonts w:ascii="Times New Roman" w:hAnsi="Times New Roman"/>
                <w:i/>
                <w:sz w:val="20"/>
              </w:rPr>
              <w:t>bona fide</w:t>
            </w:r>
            <w:r>
              <w:rPr>
                <w:rFonts w:ascii="Times New Roman" w:hAnsi="Times New Roman"/>
                <w:sz w:val="20"/>
              </w:rPr>
              <w:t xml:space="preserve"> gift or gifts;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any trust for the direct or indirect benefit of the stockholder or the immediate family of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as distributions to any general or limited partners, members, stockholders or other equity holders of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the stockholders affiliates or to any investment fund or other entity that, directly or indirectly, controls or manages, is controlled or managed by, or is under common control or management with,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will or intestate succession upon the death of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court of regulatory agency order, a qualified domestic order or in connection with a divorce settlement;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us in connection with the settlement of restricted stock units or exercise of options, warrants or other rights to acquire shares of common stock or any security convertible, exercisable for or settled into shares of our common stock by way of net exercise, net settlement and/or to cover withholding tax obligations in connection with such exercise or settlement pursuant to an employee benefit plan, option, restricted stock unit or warrant or other right disclosed herein or any document incorporated by reference herein, </w:t>
            </w:r>
            <w:r>
              <w:rPr>
                <w:rFonts w:ascii="Times New Roman" w:hAnsi="Times New Roman"/>
                <w:i/>
                <w:sz w:val="20"/>
              </w:rPr>
              <w:t>provided</w:t>
            </w:r>
            <w:r>
              <w:rPr>
                <w:rFonts w:ascii="Times New Roman" w:hAnsi="Times New Roman"/>
                <w:sz w:val="20"/>
              </w:rPr>
              <w:t xml:space="preserve"> that any such shares of the common stock issued upon settlement of such restricted stock unit or exercise of such option, warrant or other right shall be subject to the same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us pursuant to agreements under which we have exercised an option to repurchase such shares or has exercised a right of first refusal with respect to transfers of such shares upon termination of service of the stockholder, so long as such agreement or right of first refusal is disclosed herein or in any document incorporated by reference herein, for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(ix)</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a bona fide third party pursuant to a merger, consolidation, tender offer or other similar transaction made to all holders of shares of the common stock and involving a Change of Control of us and approved by our board of directors; provided that, in the event that such Change of Control is not completed, the stockholders securities subject to such lock-up restrictions shall remain subject to such restrictions, </w:t>
            </w:r>
            <w:r>
              <w:rPr>
                <w:rFonts w:ascii="Times New Roman" w:hAnsi="Times New Roman"/>
                <w:i/>
                <w:sz w:val="20"/>
              </w:rPr>
              <w:t>provided</w:t>
            </w:r>
            <w:r>
              <w:rPr>
                <w:rFonts w:ascii="Times New Roman" w:hAnsi="Times New Roman"/>
                <w:sz w:val="20"/>
              </w:rPr>
              <w:t xml:space="preserve"> further that any shares of the common stock not transferred in such merger, consolidation, tender offer or other transaction shall remain subject to the restrictions contained herein. Change of Control shall mean the transfer (whether by tender offer, merger, consolidation or other similar transaction), in one transaction or a series of related transactions, to a person or group of affiliated persons (other than an underwriter pursuant to this offering), of our voting securities if, after such transfer, such person or group of affiliated persons would hold more than 50% of our outstanding voting securities (or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the sale on the open market of up to 60,000 shares (in the aggregate for all of our directors and executive officers) of common stock underlying restricted stock units held by such person that will vest during the Lock-Up Period and settle during the Lock-Up Period, but solely to the extent necessary to satisfy income tax withholding and remittance obligations in connection with the vesting and settlement of such restricted stock units that are outstanding as of the date of this prospectus supplement and described herein or in a document incorporated herein by reference and pursuant to an equity incentive plan or other equity award plan described in this prospectus supplement or in a document incorporated therein by reference; provided that any remaining shares of common stock issued upon vesting of such restricted stock units shall be subject to the same lock-up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shares of common stock acquired in this offering or other securities acquired in open market transactions after the completion of this offering, provided that such sales are not required to be reported in any public report or filing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a trading plan pursuant to Rule 10b5-1 under the Exchange Act, provided that (1) any required filing under the Exchange Act made by us or any person regarding the establishment of such plan during the Lock-Up Period shall state that the stockholder is not permitted to sell, transfer or otherwise dispose of securities under such plan during the Lock-Up Period in contravention of the lock-up agreement relating thereto and (2) no sales are made during the Lock-Up Period pursuant to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Rule 10b5-1 trading plan that has been entered into prior to the entry into the applicable lock-up agreement and provided to the representatives, provided that any filing under Section 16(a) of the Exchange Act that is made in connection with any such sales during the Lock-Up Period shall state that such sales have been executed under a 10b5-1 Trading Plan and shall also state the date such 10b5-1 Trading Plan was adopted.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and subject to the conditions above, the executive officer, director or stockholder may transfer the Lock-Up Securities without the prior written consent of the representatives, provided that (1) in the case of clause (i) through (vi) and (ix) above, the representatives receive a signed lock-up agreement for the balance of the Lock-Up Period from each donee, trustee, distributee or transferee, as the case may be, (2) (A) in the clauses (i) through (v) above, any such transfer shall not involve a disposition for value, (B) in the cases of clauses (i) through (iv) above, such transfers are not required to be reported during the Lock-Up Period with the SEC on Form 4 in accordance with Section 16 of the Exchange Act, and (C) in the cases of clauses (v) through (x) above, any filing under Section 16 of the Exchange Act made during the Lock-Up Period shall clearly indicate in the footnotes the circumstances of the transfer, and (3) such person does not otherwise voluntarily effect any public filing or report regarding such transfers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TARS. The pre-funded warrants will not be listed on The Nasdaq Global Select Market or any securities exchange or nationally recognized trading system.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share of the total expenses of the offering, excluding underwriting discounts and commissions, will be approximately $    million. We have agreed to reimburse the underwriters for certain of their expenses in an amount up to $30,000.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several underwriters against certain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securities have been offered or will be offered pursuant to the offering to the public in that Relevant Member State prior to the publication of a prospectus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securities may be offered to the public in that Relevant Member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securities shall require us or any of the underwriters or any of their respective affiliates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securities shall require the Company and/ or any underwriters or any of their affiliates to publish a prospectus pursuant to Section 85 of the FSMA or supplement a prospectus pursuant to Article 23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securities in the United Kingdom means the communication in any form and by any means of sufficient information on the terms of the offer and any shares to be offered so as to enable an investor to decide to purchase or subscribe for any securities and the expression UK Prospectus Regulation means Regulation (EU) 2017/1129 as it forms part of domestic law by virtue of the European Union (Withdrawal) Act 2018.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securities which are or are intended to be disposed of only to persons outside Hong Kong or only to professional investors in Hong Kong as defined in the Securities and Futures Ordinance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this prospectus supplement and any other document or material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securities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securities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 </w:t>
      </w:r>
    </w:p>
    <w:p>
      <w:pPr>
        <w:pStyle w:val="TextBody"/>
        <w:bidi w:val="0"/>
        <w:spacing w:before="240" w:after="0"/>
        <w:jc w:val="left"/>
        <w:rPr>
          <w:rFonts w:ascii="Times New Roman" w:hAnsi="Times New Roman"/>
          <w:sz w:val="20"/>
        </w:rPr>
      </w:pPr>
      <w:r>
        <w:rPr>
          <w:rFonts w:ascii="Times New Roman" w:hAnsi="Times New Roman"/>
          <w:sz w:val="20"/>
        </w:rPr>
        <w:t xml:space="preserve">Where the securities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securities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 </w:t>
      </w:r>
    </w:p>
    <w:p>
      <w:pPr>
        <w:pStyle w:val="TextBody"/>
        <w:bidi w:val="0"/>
        <w:spacing w:before="240" w:after="0"/>
        <w:jc w:val="left"/>
        <w:rPr>
          <w:rFonts w:ascii="Times New Roman" w:hAnsi="Times New Roman"/>
          <w:sz w:val="20"/>
        </w:rPr>
      </w:pPr>
      <w:r>
        <w:rPr>
          <w:rFonts w:ascii="Times New Roman" w:hAnsi="Times New Roman"/>
          <w:sz w:val="20"/>
        </w:rPr>
        <w:t xml:space="preserve">Solely for the purposes of its obligations pursuant to Section 309B of the SFA, we have determined, and hereby notify all relevant persons (as defined in the CMP Regulations 2018),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or ASIC, in relation to the offering.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offering document relates to an Exempt Offer in accordance with the Offered Securities Rules of the Dubai Financial Services Authority, or the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We have not and will not register with the Swiss Financial Market Supervisory Authority, or the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supptx793902_11"/>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our common stock and pre-funded warrants offered in this prospectus supplement will be passed upon for us by Gunderson Dettmer Stough Villeneuve Franklin &amp; Hachigian, LLP, San Diego, California. Cooley LLP, San Diego, California is acting as counsel for the underwriters in connection with this offering. Certain partners of Gunderson Dettmer Stough Villeneuve Franklin &amp; Hachigian, LLP, collectively own an interest representing less than one percent of the shares of our common stock. </w:t>
      </w:r>
    </w:p>
    <w:p>
      <w:pPr>
        <w:pStyle w:val="TextBody"/>
        <w:bidi w:val="0"/>
        <w:spacing w:before="480" w:after="0"/>
        <w:jc w:val="center"/>
        <w:rPr>
          <w:rFonts w:ascii="Times New Roman" w:hAnsi="Times New Roman"/>
          <w:b/>
          <w:sz w:val="20"/>
        </w:rPr>
      </w:pPr>
      <w:bookmarkStart w:id="15" w:name="supptx793902_12"/>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16" w:name="supptx793902_13"/>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under the Securities Act relating to the offering of these securities. The registration statement, including the attached exhibits, contains additional relevant information about us and the securities. This prospectus supplement and the accompanying prospectus do not contain all of the information set forth in the registration statement. The registration statement and the documents referred to below under Incorporation by Reference are also available on our website, www.tarsusrx.com. This website address, and the website addresses included in any documents incorporated by reference herein, are not intended to function as hyperlinks, and the information contained on such websites and on the SECs website is not incorporated by reference in this prospectus supplement and the accompanying prospectus and you should not consider it a part of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supptx793902_14"/>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The SEC allows us to incorporate by reference into this prospectus supplement certain information we file with it, which means that we can disclose important information by referring you to those documents. The information incorporated by reference is considered to be a part of this prospectus supplement, and information that we file later with the SEC will automatically update and supersede information contained in this prospectus supplement. We incorporate by reference the documents listed below that we have previously filed with the SEC (excluding any portions of any Form 8-K that are not deemed filed pursuant to the General Instructions of Form 8-K):</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2023, filed with the SEC on </w:t>
            </w:r>
            <w:hyperlink r:id="rId3">
              <w:r>
                <w:rPr>
                  <w:rStyle w:val="InternetLink"/>
                  <w:rFonts w:ascii="Times New Roman" w:hAnsi="Times New Roman"/>
                  <w:sz w:val="20"/>
                </w:rPr>
                <w:t>February 27,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 on Form 8-K filed, with the SEC on </w:t>
            </w:r>
            <w:hyperlink r:id="rId4">
              <w:r>
                <w:rPr>
                  <w:rStyle w:val="InternetLink"/>
                  <w:rFonts w:ascii="Times New Roman" w:hAnsi="Times New Roman"/>
                  <w:sz w:val="20"/>
                </w:rPr>
                <w:t>January 18, 2024</w:t>
              </w:r>
            </w:hyperlink>
            <w:r>
              <w:rPr>
                <w:rFonts w:ascii="Times New Roman" w:hAnsi="Times New Roman"/>
                <w:sz w:val="20"/>
              </w:rPr>
              <w:t xml:space="preserve"> (to the extent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5">
              <w:r>
                <w:rPr>
                  <w:rStyle w:val="InternetLink"/>
                  <w:rFonts w:ascii="Times New Roman" w:hAnsi="Times New Roman"/>
                  <w:sz w:val="20"/>
                </w:rPr>
                <w:t>Exhibit 4.2</w:t>
              </w:r>
            </w:hyperlink>
            <w:r>
              <w:rPr>
                <w:rFonts w:ascii="Times New Roman" w:hAnsi="Times New Roman"/>
                <w:sz w:val="20"/>
              </w:rPr>
              <w:t xml:space="preserve"> to the Registrants Form 10-K for the year ended December  31, 2022, filed with the SEC on </w:t>
            </w:r>
            <w:hyperlink r:id="rId6">
              <w:r>
                <w:rPr>
                  <w:rStyle w:val="InternetLink"/>
                  <w:rFonts w:ascii="Times New Roman" w:hAnsi="Times New Roman"/>
                  <w:sz w:val="20"/>
                </w:rPr>
                <w:t>March 17, 2023</w:t>
              </w:r>
            </w:hyperlink>
            <w:r>
              <w:rPr>
                <w:rFonts w:ascii="Times New Roman" w:hAnsi="Times New Roman"/>
                <w:sz w:val="20"/>
              </w:rPr>
              <w:t xml:space="preserve">,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supplement additional documents that we may file with the SEC under Sections 13(a), 13(c), 14 or 15(d) of the Exchange Act after the date of this prospectus supplement and prior to the completion or termination of the offering,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this prospectus supplement is delivered, upon written or oral request, at no cost to the requester, a copy of any and all of the information that is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direct any requests for documents to: </w:t>
      </w:r>
    </w:p>
    <w:p>
      <w:pPr>
        <w:pStyle w:val="TextBody"/>
        <w:bidi w:val="0"/>
        <w:spacing w:before="12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15440 Laguna Canyon Road, Suite 160 </w:t>
      </w:r>
    </w:p>
    <w:p>
      <w:pPr>
        <w:pStyle w:val="TextBody"/>
        <w:bidi w:val="0"/>
        <w:spacing w:before="0" w:after="0"/>
        <w:jc w:val="center"/>
        <w:rPr>
          <w:rFonts w:ascii="Times New Roman" w:hAnsi="Times New Roman"/>
          <w:sz w:val="20"/>
        </w:rPr>
      </w:pPr>
      <w:r>
        <w:rPr>
          <w:rFonts w:ascii="Times New Roman" w:hAnsi="Times New Roman"/>
          <w:sz w:val="20"/>
        </w:rPr>
        <w:t xml:space="preserve">Irvine, California 92618 </w:t>
      </w:r>
    </w:p>
    <w:p>
      <w:pPr>
        <w:pStyle w:val="TextBody"/>
        <w:bidi w:val="0"/>
        <w:spacing w:before="0" w:after="0"/>
        <w:jc w:val="center"/>
        <w:rPr>
          <w:rFonts w:ascii="Times New Roman" w:hAnsi="Times New Roman"/>
          <w:sz w:val="20"/>
        </w:rPr>
      </w:pPr>
      <w:r>
        <w:rPr>
          <w:rFonts w:ascii="Times New Roman" w:hAnsi="Times New Roman"/>
          <w:sz w:val="20"/>
        </w:rPr>
        <w:t>(949) 409-9820</w:t>
      </w:r>
    </w:p>
    <w:p>
      <w:pPr>
        <w:pStyle w:val="TextBody"/>
        <w:bidi w:val="0"/>
        <w:spacing w:before="240" w:after="0"/>
        <w:jc w:val="left"/>
        <w:rPr>
          <w:rFonts w:ascii="Times New Roman" w:hAnsi="Times New Roman"/>
          <w:sz w:val="20"/>
        </w:rPr>
      </w:pPr>
      <w:r>
        <w:rPr>
          <w:rFonts w:ascii="Times New Roman" w:hAnsi="Times New Roman"/>
          <w:sz w:val="20"/>
        </w:rPr>
        <w:t xml:space="preserve">Our reports and documents incorporated by reference herein may also be found in the Investors &amp; News section of our website at www.tarsusrx.com. Except for the specific incorporated documents listed above, the information on, or that can be accessed through, our website shall not be deemed to be incorporated by reference in this prospectus supplement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18"/>
        </w:rPr>
      </w:pPr>
      <w:r>
        <w:rPr>
          <w:rFonts w:ascii="Times New Roman" w:hAnsi="Times New Roman"/>
          <w:b/>
          <w:sz w:val="18"/>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27330" cy="1536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227330" cy="153670"/>
                    </a:xfrm>
                    <a:prstGeom prst="rect">
                      <a:avLst/>
                    </a:prstGeom>
                  </pic:spPr>
                </pic:pic>
              </a:graphicData>
            </a:graphic>
          </wp:inline>
        </w:drawing>
      </w:r>
      <w:r>
        <w:rPr/>
        <w:t xml:space="preserve"> </w:t>
      </w:r>
    </w:p>
    <w:p>
      <w:pPr>
        <w:pStyle w:val="TextBody"/>
        <w:bidi w:val="0"/>
        <w:spacing w:before="16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12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12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120" w:after="0"/>
        <w:jc w:val="center"/>
        <w:rPr>
          <w:rFonts w:ascii="Times New Roman" w:hAnsi="Times New Roman"/>
          <w:b/>
          <w:sz w:val="28"/>
        </w:rPr>
      </w:pPr>
      <w:r>
        <w:rPr>
          <w:rFonts w:ascii="Times New Roman" w:hAnsi="Times New Roman"/>
          <w:b/>
          <w:sz w:val="28"/>
        </w:rPr>
        <w:t xml:space="preserve">Warrants </w:t>
      </w:r>
    </w:p>
    <w:p>
      <w:pPr>
        <w:pStyle w:val="TextBody"/>
        <w:bidi w:val="0"/>
        <w:spacing w:before="12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18"/>
        </w:rPr>
      </w:pPr>
      <w:r>
        <w:rPr>
          <w:rFonts w:ascii="Times New Roman" w:hAnsi="Times New Roman"/>
          <w:sz w:val="18"/>
        </w:rPr>
        <w:t xml:space="preserve">We may offer and sell from time to time, in one or more series or issuances and on terms that we will determine at the time of the offering, our common stock, preferred stock, debt securities, warrants, units or any combination of these securities. </w:t>
      </w:r>
    </w:p>
    <w:p>
      <w:pPr>
        <w:pStyle w:val="TextBody"/>
        <w:bidi w:val="0"/>
        <w:spacing w:before="160" w:after="0"/>
        <w:jc w:val="left"/>
        <w:rPr>
          <w:rFonts w:ascii="Times New Roman" w:hAnsi="Times New Roman"/>
          <w:sz w:val="18"/>
        </w:rPr>
      </w:pPr>
      <w:r>
        <w:rPr>
          <w:rFonts w:ascii="Times New Roman" w:hAnsi="Times New Roman"/>
          <w:sz w:val="18"/>
        </w:rPr>
        <w:t xml:space="preserve">This prospectus provides you with a general description of the securities we may offer hereunder. We will provide specific terms of any offering in a prospectus supplement to this prospectus. Any prospectus supplement and any related free writing prospectus may also add, update, or change information contained in this prospectus. You should carefully read this prospectus and the applicable prospectus supplement and any related free writing prospectus relating to a particular offering as well as the documents incorporated or deemed to be incorporated by reference in this prospectus before you purchase any of the securities offered hereby. </w:t>
      </w:r>
    </w:p>
    <w:p>
      <w:pPr>
        <w:pStyle w:val="TextBody"/>
        <w:bidi w:val="0"/>
        <w:spacing w:before="160" w:after="0"/>
        <w:jc w:val="left"/>
        <w:rPr>
          <w:rFonts w:ascii="Times New Roman" w:hAnsi="Times New Roman"/>
          <w:sz w:val="18"/>
        </w:rPr>
      </w:pPr>
      <w:r>
        <w:rPr>
          <w:rFonts w:ascii="Times New Roman" w:hAnsi="Times New Roman"/>
          <w:sz w:val="18"/>
        </w:rPr>
        <w:t xml:space="preserve">We may offer and sell these securities in the same offering or in separate offerings; to or through one or more underwriters, dealers and agents; or directly to purchasers, or through a combination of these methods on a continuous or delayed basis. The names of any underwriters, dealers, or agents involved in the sale of our securities, their compensation and any over-allotment options held by them will be described in the applicable prospectus supplement. None of our securities may be sold without delivery of the applicable prospectus supplement describing the method and terms of the offering of those securities. See Plan of Distribution. </w:t>
      </w:r>
    </w:p>
    <w:p>
      <w:pPr>
        <w:pStyle w:val="TextBody"/>
        <w:bidi w:val="0"/>
        <w:spacing w:before="160" w:after="0"/>
        <w:jc w:val="left"/>
        <w:rPr>
          <w:rFonts w:ascii="Times New Roman" w:hAnsi="Times New Roman"/>
          <w:sz w:val="18"/>
        </w:rPr>
      </w:pPr>
      <w:r>
        <w:rPr>
          <w:rFonts w:ascii="Times New Roman" w:hAnsi="Times New Roman"/>
          <w:sz w:val="18"/>
        </w:rPr>
        <w:t xml:space="preserve">Our common stock is listed on the Nasdaq Global Select Market, or Nasdaq, under the symbol TARS. On February 28, 2024, the last reported sale price for our common stock was $37.87 per share. This prospectus may not be used to consummate a sale of any securities unless accompanied by a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pPr>
      <w:r>
        <w:rPr>
          <w:rFonts w:ascii="Times New Roman" w:hAnsi="Times New Roman"/>
          <w:b/>
          <w:sz w:val="22"/>
        </w:rPr>
        <w:t>INVESTING IN OUR SECURITIES INVOLVES SIGNIFICANT RISKS. SEE </w:t>
      </w:r>
      <w:hyperlink w:anchor="tx793902_3">
        <w:r>
          <w:rPr>
            <w:rStyle w:val="InternetLink"/>
            <w:rFonts w:ascii="Times New Roman" w:hAnsi="Times New Roman"/>
            <w:b/>
            <w:sz w:val="22"/>
          </w:rPr>
          <w:t>RISK FACTORS</w:t>
        </w:r>
      </w:hyperlink>
      <w:r>
        <w:rPr>
          <w:rFonts w:ascii="Times New Roman" w:hAnsi="Times New Roman"/>
          <w:b/>
          <w:sz w:val="22"/>
        </w:rPr>
        <w:t xml:space="preserve"> BEGINNING ON PAGE 5 OF THIS PROSPECTUS AND ANY SIMILAR SECTION CONTAINED IN THE APPLICABLE PROSPECTUS SUPPLEMENT AS WELL AS THE RISK FACTORS THAT ARE INCORPORATED BY REFERENCE INTO THIS PROSPECTUS AND ANY PROSPECTUS SUPPLEMENT FROM OUR FILINGS WITH THE SECURITIES AND EXCHANGE COMMISSION, BEFORE INVESTING IN ANY OF OUR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18"/>
        </w:rPr>
      </w:pPr>
      <w:r>
        <w:rPr>
          <w:rFonts w:ascii="Times New Roman" w:hAnsi="Times New Roman"/>
          <w:b/>
          <w:sz w:val="18"/>
        </w:rPr>
        <w:t xml:space="preserve">The date of this prospectus is February 29,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oc1"/>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9">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10">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12">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13">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793902_15">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x793902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on Form S-3 that we filed with the United States Securities and Exchange Commission, or the SEC, as a well-known seasoned issuer as defined in Rule 405 under the Securities Act of 1933, as amended, or the Securities Act, using a shelf registration process. Under this shelf registration process, we may, from time to time, offer and sell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a prospectus supplement that will contain specific information about the terms of that offering. The prospectus supplement may include a discussion of any risk factors or other special considerations that apply to those securities. The prospectus supplement may also add to, update or change information contained in the prospectus and, accordingly, to the extent inconsistent, information in this prospectus is superseded by the information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to be attached to the front of this prospectus may describe, as applicable: the terms of the securities offered; the initial or secondary public offering price; the price paid for the securities; net proceeds; and the other specific terms related to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give any information or make any representations in connection with this offering other than those contained or incorporated by reference in this prospectus, any accompanying prospectus supplement and any related free writing prospectus in connection with the offering described herein and therein. We take no responsibility for, and can provide no assurance as to the reliability of, any information that others may give you. Neither this prospectus nor any prospectus supplement nor any related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entire prospectus and any accompanying prospectus supplement and any related free writing prospectus, as well as the documents incorporated by reference before making an investment decision. Neither the delivery of this prospectus or any prospectus supplement or any related free writing prospectus nor any sale made hereunder shall under any circumstances imply that the information contained or incorporated by reference herein or in any prospectus supplement or related free writing prospectus is correct as of any date subsequent to the date hereof or of such prospectus supplement or related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0" w:name="tx793902_2"/>
      <w:bookmarkEnd w:id="20"/>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description about us and our business highlights selected information contained elsewhere in this prospectus or incorporated in this prospectus by reference. This summary does not contain all of the information you should consider before buying securities in this offering. You should carefully read this entire prospectus and any applicable prospectus supplement, including each of the documents incorporated herein or therein by reference, before making an investment decision. As used in this prospectus, we, us, Tarsus, the Company, and our refer to Tarsus Pharmaceuticals, Inc., a Delaware corporation.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commercial-stage biopharmaceutical company focused on the development and commercialization of therapeutics, starting with eye care. Our lead commercial product, XDEMVY® (lotilaner ophthalmic solution) 0.25%, formerly known as TP-03, was approved by the U.S. Food and Drug Administration, or the FDA, on July 24, 2023 for the treatment of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an eyelid margin disease characterized by inflammation, redness and ocular irritation. There are an estimated 25 million people in the U.S. who suffer from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XDEMVY is the first and only FDA-approved therapeutic for the treatment of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and we believe it is the definitive standard of care.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further advance our pipeline with the lotilaner API to address several diseases in human medicine, including eye care, dermatology, and infectious disease prevention. We are investigating the development of our product candidates to address targeted diseases with high unmet medical needs, which currently include TP-03 for the potential treatment of MGD, TP-04, a novel gel formulation of lotilaner for the potential treatment of rosacea, and TP-05, a novel investigative oral formulation of lotilaner, for potential Lyme disease prophylaxis and community malaria reduction.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an inactive textual reference and is not part of this prospectus and is not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Trademarks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Tarsus Pharmaceuticals, Tarsus, and our logo are some of our tradenames used in this prospectus and in the documents incorporated by reference in this prospectus. This prospectus also includes trademarks, tradenames, and service marks that are the property of other organizations. Solely for convenience, our trademarks and tradenames referred to in this prospectus or in the documents incorporated by reference in this prospectus appear without the  or ® symbol,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We are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are an emerging growth company as defined in the Jumpstart Our Business Startups Act of 2012, as amended, or JOBS Act. We will remain an emerging growth company until the earliest to occur of: (i) the last day of the fiscal year in which we have more than $1.235 billion in annual revenue; (ii) the date we qualify as a large accelerated filer, as defined in Rule 12b-2 under the Exchange Act, with at least $700 million of equity securities held by non-affiliates; (iii) the issuance, in any three-year period, by us of more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$1.0 billion in non-convertible debt securities; and (iv) the last day of the fiscal year ending after the fifth anniversary of our initial public offering. As a result of this status, we have taken advantage of reduced reporting requirements in this prospectus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That May Be Offered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common stock, preferred stock, debt securities and warrants in one or more offerings and in any combination, including in units from time to time. This prospectus provides you with a general description of the securities that may be offered hereunder. A prospectus supplement, which we will provide each time we offer securities, will describe the specific amounts, prices and terms of these securities.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holder of our common stock is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funds legally available therefor. If there is a liquidation, dissolution or winding up of our company, holders of our common stock would be entitled to share in our assets remaining after the payment of liabilities and any preferential rights of any outstanding preferred stock. Our common stock is described in greater detail in this prospectus under Description of Capital Stock  Common Stock.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series of preferred stock, if issued, will be more fully described in the particular prospectus supplement that will accompany this prospectus, including redemption provisions, rights in the event of our liquidation, dissolution or winding up, voting rights and rights to convert into common stock. We have no present plans to issue any shares of preferred stock, nor are any shares of our preferred stock presently outstanding. Preferred stock is described in greater detail in this prospectus under Description of Capital Stock 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Debt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debt securities may be senior or subordinated in right of payment. For any particular debt securities we offer, the applicable prospectus supplement or term sheet will describe the title and series of the debt securities, the aggregate principal amount and the original issue price; the ranking, whether senior or subordinated; the stated maturity; the redemption terms, if any; the rate or manner of calculating the rate and the payment dates for interest; the amount or manner of calculating the amount payable at maturity and whether that amount may be paid by delivering cash, securities or other property; the terms on which the debt securities may be convertible into or exchangeable for common stock or other securities of Tarsus, or any other entity, if any; and any other specific terms. We will issue the debt securities under an indenture, as described in Description of Debt Securities.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Warrants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issue warrants for the purchase of common stock, preferred stock or debt securities. We may issue warrants independently or together with other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warrants will be evidenced by warrant certificates issued under one or more warrant agreements, which are contracts between us and an agent for the holders of the warrants. In this prospectus, we have summarized certain general features of the warrants under Description of Warrants. We urge you, however, to read the prospectus supplements and any free writing prospectus that we may authorize to be provided to you related to the series of warrants being offered, as well as the complete warrant agreements and warrant certificates that contain the terms of the warrants.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Units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issue units comprised of one or more of the other classes of securities issued by us as described in this prospectus in any combination. Each unit will be issued so that the holder of the unit is also the holder of each security included in the unit. Units are described in greater detail in this prospectus under Description of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x793902_3"/>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significant risks.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and in our Quarterly Reports on Form 10-Q filed subsequent to such Annual Report on Form 10-K, as well as any amendments thereto, all of which are incorporated herein by reference, and may be amended, supplemented or superseded from time to time by other reports we file with the SEC in the future and by information contained in any prospectus supplement related to a particular offering. The risks and uncertainties we have described are not the only ones we face. Additional risks and uncertainties not presently known to us or that we currently deem immaterial may also affect our business, results of operations and financial conditions and could result in a partial or complete loss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x793902_4"/>
      <w:bookmarkEnd w:id="22"/>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and Section 21E of the Securities Exchange Act of 1934.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x793902_5"/>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a prospectus supplement, the net proceeds from the sale by us of the securities will be used for general corporate purposes, which may include working capital, sales and marketing activities, research and development, general and administrative matters, and capital expenditures.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x793902_6"/>
      <w:bookmarkEnd w:id="24"/>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describes our common stock and preferred stock, as well as certain provisions of our amended and restated certificate of incorporation and amended and restated bylaws. This description is only a summary. You should also refer to our amended and restated certificate of incorporation and amended and restated bylaws, which have been incorporated by reference as exhibits to our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200,000,000 shares of common stock, with a $0.0001 par value per share and 10,000,000 shares of preferred stock, with a $0.0001 par value per share, all of which shares of preferred stock are undesignated. Our board of directors may establish the rights and preferences of the preferred stock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w:t>
      </w:r>
    </w:p>
    <w:p>
      <w:pPr>
        <w:pStyle w:val="TextBody"/>
        <w:bidi w:val="0"/>
        <w:spacing w:before="240" w:after="0"/>
        <w:jc w:val="left"/>
        <w:rPr>
          <w:rFonts w:ascii="Times New Roman" w:hAnsi="Times New Roman"/>
          <w:sz w:val="20"/>
        </w:rPr>
      </w:pPr>
      <w:r>
        <w:rPr>
          <w:rFonts w:ascii="Times New Roman" w:hAnsi="Times New Roman"/>
          <w:sz w:val="20"/>
        </w:rPr>
        <w:t xml:space="preserve">The rights, preferences and privileges of the holders of our common stock are subject to, and may be adversely affected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TARS. The transfer agent and registrar for our common stock is ComputerShare Trust Company, N.A. Its address is 462 South 4th Street, Suite 1600, Louisville, KY 40202.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our amended and restated certificate of incorporation and the certificate of designation relating to any series. The rights, preferences, privileges and restrictions of the preferred stock of each series will be fixed by the certificate of designation relating to that series. The prospectus supplement also will contain a description of certain United States federal income tax consequences relating to the purchase and ownership of the series of preferred stock that is described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for a series of preferred stock will specify: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dividend rate, if any, whether the dividend rate is fixed or variable, the date or dates on which dividends will accrue, the dividend payment dates, and whether dividends will be 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and the terms and conditions for redemption, if any, including redemption at our option or at the option of the holders, including the time period for redemption, and any accumulated dividends or premiums;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if any, and any accumulated dividends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or similar provision, and, if so, the terms and provisions relating to the purpose and operation of the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or all other preferences and relative, participating, optional or other special rights, privileges or qualifications, limitations or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restricting dividends on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diluting the voting power of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impairing the liquidation rights of the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delaying or preventing changes in control or management of our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 present plans to issue any shares of preferred stock nor are any shares of our preferred stock presently outstanding. Preferred stock will be fully paid and nonassessable upon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x793902_7"/>
      <w:bookmarkEnd w:id="25"/>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in one or more distinct series. This section summarizes the material terms of the debt securities that are expected to be common to all series. Most of the financial terms and other specific material terms, as well as any material U.S. federal income tax consequences, of any series of debt securities that we offer will be described in a prospectus supplement or term sheet to be attached to this prospectus. Since the terms of specific debt securities may differ from the general information provided below, you should read both this prospectus and the relevant prospectus supplement or term sheet and rely on information in the prospectus supplement or term sheet that supersedes any contrary or inconsistent information below.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federal law for all bonds and notes of companies that are publicly offered, the debt securities will be governed by a document called an indenture. An indenture is a contract between us and a financial institution acting as trustee on your behalf. The trustee has two main roles. First, the trustee can enforce your rights against us if we default. There are some limitations on the extent to which the trustee acts on your behalf, described in the second paragraph under Events of Default. Second, the trustee performs certain administrative duties for us. </w:t>
      </w:r>
    </w:p>
    <w:p>
      <w:pPr>
        <w:pStyle w:val="TextBody"/>
        <w:bidi w:val="0"/>
        <w:spacing w:before="240" w:after="0"/>
        <w:jc w:val="left"/>
        <w:rPr>
          <w:rFonts w:ascii="Times New Roman" w:hAnsi="Times New Roman"/>
          <w:sz w:val="20"/>
        </w:rPr>
      </w:pPr>
      <w:r>
        <w:rPr>
          <w:rFonts w:ascii="Times New Roman" w:hAnsi="Times New Roman"/>
          <w:sz w:val="20"/>
        </w:rPr>
        <w:t xml:space="preserve">Senior or subordinated debt securities will be issued by us under an indenture or indentures, as supplemented from time to time, between us, as issuer, and the trustee identified in the relevant prospectus supplement, or the trustee. The debt securities may be guaranteed by one or more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be subject to and governed by the Trust Indenture Act of 1939, as amended, or the TIA. The terms we, our and us, when used to refer to an issuer of securities, means Tarsus 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or in the relevant prospectus supplement, but for the rest you will need to read the indenture. See Where You Can Find More Information for information on how to locate the indenture and any supplemental indentures that may be filed.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Provisions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a prospectus supplement or term sheet for a particular series, the debt securities covered by this prospectus will be direct, unsecured obligations of Tarsus. Any senior securities will be unsecured and will rank equally with all other unsecured and unsubordinated indebtedness of Tarsus. Any subordinated securities will be unsecured and will be subordinated in right of payment to the prior payment in full of the senior indebtedness of Tarsus, as more fully described in a prospectus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an attached prospectus supplement or term sheet (offered debt securities) and any debt securities issuable upon the exercise of debt warrants or upon conversion or exchange of other offered securities (underlying debt securities), as well as other debt securities, may be issued under the indenture in one or more series. Any secured indebtedness of ours will rank ahead of the debt securities to the extent of the value of the assets securing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prospectus supplement or term sheet for the material terms of the offered debt securities and any underlying debt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and whether the debt securities will be senior securities or subordinated securities of Tarsus;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debt securities of the series and any limit on such total principal amount;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not the principal amount of the debt securities, the portion of the principal amount payable upon acceleration of the maturity of the debt securities or how this portion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how the date or dates will be determined or may be extended, when the principal of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that the debt securities will bear, if any, or how the rate or rates will be determined, the date or dates from which any interest will accrue or how the date or dates will be determined, the interest payment dates, any record dates for these payments, whether payments of interest will be made in cash or in kind and the basis upon which interest will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optional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in which we will issue the debt securities and whether we will have the option of issuing debt securities in certificated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or currencies in which the debt securities are denominated and/or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the debt securities will be determined with reference to an index, formula or other method (which index, formula or method may be based, without limitation, on one or more currencies, commodities, equity indices or other indices), and how these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if any, other than or in addition to The City of New York, of payment, transfer, conversion and/or exchange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minimum denominations of $2,000 or any integral multiple of $1,000 above the minimum denomination in the case of registered securities issued in certificated form, the denominations in which the offered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provisions of Article Fourteen of the indenture described under defeasance are not applicable and any provisions in modification of, in addition to or in lieu of any of these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as contemplated by Section 1010 of the indenture,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subordinated and the terms of such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the holders of the debt securities upon the occurrence of specified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or additions to the Events of Default or covenants contained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convertible into or exchangeable for any other securities and the applicable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guaranteed;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the debt securities will include additional amounts if required by the terms of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give you protection in the event we issue a large amount of debt, we repurchase a significant amount of equity or effect a recapitalization, or we are acquired by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We refer you to the applicable prospectus supplement or term sheet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Any additional indenture securities, together with all other outstanding indenture securities of that series, will constitute a single series of indenture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or term sheet, the debt securities will be denominated in U.S. dollars and all payments on the debt securities will be made in U.S. dollars.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purchase price of the debt securities must be made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denominations of debt securities denominated in U.S. dollars will be a minimum denomination of $2,000 and integral multiples of $1,000 above the minimum denomination. The authorized denominations of foreign currency notes will be set forth in the applicable prospectus supplement or term sheet.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and Interest Rates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begin to accrue interest from the date it is originally issued. The related prospectus supplement or term sheet will describe the method of determining the interest rate.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trustees records as the owner of the debt security at the close of business on a particular day in advance of each regularly scheduled date for interest, even if that person no longer owns the debt security on the interest due date. That day, typically set at a date approximately two weeks prior to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360" w:after="0"/>
        <w:jc w:val="left"/>
        <w:rPr>
          <w:rFonts w:ascii="Times New Roman" w:hAnsi="Times New Roman"/>
          <w:i/>
          <w:sz w:val="20"/>
        </w:rPr>
      </w:pPr>
      <w:r>
        <w:rPr>
          <w:rFonts w:ascii="Times New Roman" w:hAnsi="Times New Roman"/>
          <w:i/>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global security in accordance with the applicable policies of the depositary as in effect from time to time. Under those policies, we will make payments directly to the depositary, 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360" w:after="0"/>
        <w:jc w:val="left"/>
        <w:rPr>
          <w:rFonts w:ascii="Times New Roman" w:hAnsi="Times New Roman"/>
          <w:i/>
          <w:sz w:val="20"/>
        </w:rPr>
      </w:pPr>
      <w:r>
        <w:rPr>
          <w:rFonts w:ascii="Times New Roman" w:hAnsi="Times New Roman"/>
          <w:i/>
          <w:sz w:val="20"/>
        </w:rPr>
        <w:t xml:space="preserve">Payments on 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payments of principal and premium, if any, duly and punctually to the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holder asks us to do so, we may pay any amount that becomes due on the debt security by wire transfer of immediately available funds to an account at a bank in New York City, on the due date. To request payment by wire, the holder must give the trustee or other paying agent appropriate transfer instructions at least 15 calendar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In addition, see the description under Interest and Interest Rates.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Covenants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or term sheet relating to a particular series of debt securities that we offer will describe the material covenants included in the indenture and will be subject to negotiation between the holder and us. Such material covenants may include covenants with respect to payments of principal, premium (if any) and interest and limitations or restrictions with respect to a consolidation, merger sale or conveyance of us, restrictions on liens, or other covenants, limitations or restrictions on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with respect to the debt securities of any series is defined in the indenture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for 30 days in payment of any interest on the debt securities of such series when it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payment of principal of or any premium on the debt securities of such series at maturity or upon redemption or repayment when the same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by us in the performance of any other covenant contained in the applicable indenture for the benefit of the debt securities of such series that has not been remedied by the end of a specified period of time after notice is given as specified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and reorganization of Tarsus.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or term sheet relating to a particular series of debt securities that we offer will describe the events of default included in the indenture and will be subject to negotiation between the holder and us.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without the consent of the holders of the debt securities issued under such indenture, enter into supplemental indentures for, among others, one or more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corporation to us and the assumption by such successor of its obligations under the indenture and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of Tarsus or surrender any of its rights, or add any rights for the benefit of the holders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omission, defect or inconsistency in such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any other series of debt securities, including any subordinated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maintain the qualification of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the acceptance of any successor trustee with respect to the debt securities or one or more other series of debt securities under the indenture or to facilitate the administration of the trusts thereunder by one or more trustees in accordance with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change or eliminate any of the provisions of the indentures in respect of one or more series of debt securities, provided that any such addition, change or elimination, shall become effective only when there is no security outstanding of any series created prior to the adoption of such addition, change or elimination;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provisions with respect to the optional conversion rights of holders, including providing for the conversion of the debt securities into any other security or securities of ours, provided that such provisions are not adverse to the interests of the holders of any debt securities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guarantee of one or more series of the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to such extent as shall be necessary to permit or facilitate the defeasance and discharge of any series of debt securities pursuant to the indenture; provided that any such action shall not adversely affect the interests of the holders of debt securities of such series and any related coupons or any other series of securities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certain exceptions, the indenture or the rights of the holders of the debt securities may be modified by us and the trustee with the consent of the holders of a majority in aggregate principal amount of the debt securities then outstanding affected thereby, but no such modification may be made without the consent of the holder of each outstanding note affected thereby that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maturity of the principal of, or any premium on, or any installment of principal of or interest on any debt securities, or reduce the principal amount or any premium or the rate or manner of calculating interest or any premium payable upon redemption or repayment of any debt securities, or change the dates or periods for any redemption or repayment or change any place of payment where, or the coin or currency in which, any principal, premium or interest is payable, or impair the right to institute suit for the enforcement of any such payment on or after the maturity thereof (or, in the case of redemption or repayment, on or after the redemption or repayment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the outstanding debt securities, the consent whose holders is required for any such modification, or the consent of whose holders is required for any waiver of compliance with certain provisions of the indenture or certain defaults thereunder and their consequences provided for in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of the outstanding debt securities affected thereby.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or term sheet that the provisions of covenant defeasance and full defeasance will not be applicable to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United States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In order to achieve covenant defeasance, we must do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in trust for the benefit of all holders of such debt securities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a legal opinion of our counsel confirming that, under current United States federal income tax law, we may make the above deposit without causing you to be taxed on the debt securities of such series any differently than if we did not make the deposit and just repaid such debt securities ourselves at maturity.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360" w:after="0"/>
        <w:jc w:val="left"/>
        <w:rPr>
          <w:rFonts w:ascii="Times New Roman" w:hAnsi="Times New Roman"/>
          <w:i/>
          <w:sz w:val="20"/>
        </w:rPr>
      </w:pPr>
      <w:r>
        <w:rPr>
          <w:rFonts w:ascii="Times New Roman" w:hAnsi="Times New Roman"/>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United States federal tax law, as described below, we can legally release ourselves from all payment and other obligations on the debt securities of a particular series (called full defeasance) if we put in place the following other arrangements for you to be 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the debt securities of such series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United States federal tax law or an Internal Revenue Service ruling that allows us to make the above deposit without causing you to be taxed on the debt securities of such series any differently than if we did not make the deposit and just repaid such debt securities ourselves at maturity. Under current United States federal tax law, the deposit and our legal release from the debt securities of such series would be treated as though we paid you your share of the cash and debt securities or bonds at the time the cash and debt securities or bonds were deposited in trust in exchange for your debt securities and you would recognize gain or loss on your debt securities at the time of the deposit.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debt securities of such series.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240" w:after="0"/>
        <w:jc w:val="left"/>
        <w:rPr>
          <w:rFonts w:ascii="Times New Roman" w:hAnsi="Times New Roman"/>
          <w:sz w:val="20"/>
        </w:rPr>
      </w:pPr>
      <w:r>
        <w:rPr>
          <w:rFonts w:ascii="Times New Roman" w:hAnsi="Times New Roman"/>
          <w:sz w:val="20"/>
        </w:rPr>
        <w:t xml:space="preserve">Covenant defeasance and full defeasance are both subject to certain conditions, such as no default or event of default occurring and continuing, and no breach of any material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We may satisfy and discharge our obligations under the indenture by delivering to the trustee for cancellation all outstanding debt securities or by depositing with the trustee or the paying agent after the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have become due and payable, whether at stated maturity, or any redemption or repayment date, or otherwise, cash sufficient to pay all of the outstanding debt securities and paying all other sums payable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and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 recourse for the payment of the principal of or premium, if any, or interest on any debt security or any coupons appertaining thereto, or for any claim based thereon or otherwise in respect thereof, and no recourse under or upon any obligation, covenant or agreement of ours in the indenture or in any supplemental indenture, or in any debt security or any coupons appertaining thereto, or because of the creation of any indebtedness represented thereby, shall be had against any director, officer, employee, or stockholder as such, past, present or future, of ours or any of our affiliates or any successor person, either directly or through us or any of our affiliates or any successor person,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the indenture and the issue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New York law will govern the indenture and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If registered debt securities cease to be issued in book-entry form, they will be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we indicate otherwise in the prospectus supplement or term sheet, in a minimum denomination of $2,000 and amounts above the minimum denomination that are integral multiples of $1,000.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may exchange their certificated debt securities of smaller denominations or combined into fewer debt securities of larger denominations, as long as the total principal amount is not changed.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debt securities at the office of the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the applicable prospectus supplement or term sheet. We may appoint additional transfer agents or cancel the appointment of any particular transfer agent. We may also approve a change in the office through which any transfer agent acts. </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certificated debt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debt securities selected for redemption, except that we will continue to permit transfers and exchanges of the unredeemed portion of any debt security that will be partially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or be removed at any time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be one of a number of banks with which we maintain ordinary banking relationships and from which we may obtain credit facilities and lines of credit in the future. The trustee may also serve as trustee under other indentures under which we are the obligor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x793902_8"/>
      <w:bookmarkEnd w:id="26"/>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our preferred stock, common stock, debt securities or any combination thereof. Warrants may be issued independently or together with our preferred stock, common stock or debt securities and may be attached to or separate from any offered securities. Any series of warrants may be issued under a separate warrant agreement to be entered into between us and a bank or trust company, as warrant agent. Any such warrant agent will act solely as our agent in connection with the warrants and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particular series of warrants to purchase such securities will describe the terms of the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any securities issued with the warrants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registered form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basic terms of the securities that may be purchased upon exercise of a warrant and the exercise price for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shall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or call provisions, if any,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with respect to the holders right to require us to repurchase the warrants upon a change in control or similar event;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equity warrants will not be entitled: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of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warrants to purchase debt securities will not be entitled to payments of principal of, or any premium or interest on, the debt securities purchasable on exercise, or to exercise any of the rights of the holders of such debt securities until such warrant is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warrants may exercise the warrants by delivering the warrant certificate representing the warrants to be exercised together with specified information, and paying the required amount to us or the warrant agent, if any,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certificate properly completed and duly executed at the corporate trust office of the warrant, if any, agent or any other office, including ours,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x793902_9"/>
      <w:bookmarkEnd w:id="27"/>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United States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Units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applicable,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 </w:t>
      </w:r>
    </w:p>
    <w:p>
      <w:pPr>
        <w:pStyle w:val="TextBody"/>
        <w:bidi w:val="0"/>
        <w:spacing w:before="240" w:after="0"/>
        <w:jc w:val="left"/>
        <w:rPr>
          <w:rFonts w:ascii="Times New Roman" w:hAnsi="Times New Roman"/>
          <w:sz w:val="20"/>
        </w:rPr>
      </w:pPr>
      <w:r>
        <w:rPr>
          <w:rFonts w:ascii="Times New Roman" w:hAnsi="Times New Roman"/>
          <w:sz w:val="20"/>
        </w:rPr>
        <w:t xml:space="preserve">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x793902_10"/>
      <w:bookmarkEnd w:id="28"/>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legal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as global securities,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tx793902_11"/>
      <w:bookmarkEnd w:id="2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offered through this prospectus in primary offerings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to us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paid to agents.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 </w:t>
      </w:r>
    </w:p>
    <w:p>
      <w:pPr>
        <w:pStyle w:val="TextBody"/>
        <w:bidi w:val="0"/>
        <w:spacing w:before="240" w:after="0"/>
        <w:jc w:val="left"/>
        <w:rPr>
          <w:rFonts w:ascii="Times New Roman" w:hAnsi="Times New Roman"/>
          <w:sz w:val="20"/>
        </w:rPr>
      </w:pPr>
      <w:r>
        <w:rPr>
          <w:rFonts w:ascii="Times New Roman" w:hAnsi="Times New Roman"/>
          <w:sz w:val="20"/>
        </w:rPr>
        <w:t xml:space="preserve">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 </w:t>
      </w:r>
    </w:p>
    <w:p>
      <w:pPr>
        <w:pStyle w:val="TextBody"/>
        <w:bidi w:val="0"/>
        <w:spacing w:before="360" w:after="0"/>
        <w:jc w:val="left"/>
        <w:rPr>
          <w:rFonts w:ascii="Times New Roman" w:hAnsi="Times New Roman"/>
          <w:i/>
          <w:sz w:val="20"/>
        </w:rPr>
      </w:pPr>
      <w:r>
        <w:rPr>
          <w:rFonts w:ascii="Times New Roman" w:hAnsi="Times New Roman"/>
          <w:i/>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to institutional investors or others who may be deemed to be underwriters within the meaning of the Securities Act with respect to any sale of those securities. The terms of any such sales will be described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 </w:t>
      </w:r>
    </w:p>
    <w:p>
      <w:pPr>
        <w:pStyle w:val="TextBody"/>
        <w:bidi w:val="0"/>
        <w:spacing w:before="360" w:after="0"/>
        <w:jc w:val="left"/>
        <w:rPr>
          <w:rFonts w:ascii="Times New Roman" w:hAnsi="Times New Roman"/>
          <w:i/>
          <w:sz w:val="20"/>
        </w:rPr>
      </w:pPr>
      <w:r>
        <w:rPr>
          <w:rFonts w:ascii="Times New Roman" w:hAnsi="Times New Roman"/>
          <w:i/>
          <w:sz w:val="20"/>
        </w:rPr>
        <w:t xml:space="preserve">Market making, stabilization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also engage in stabilizing transactions, syndicate covering transactions and penalty bids in accordance with Rule 104 under the Securities Exchange Act of 1934, as amended.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 </w:t>
      </w:r>
    </w:p>
    <w:p>
      <w:pPr>
        <w:pStyle w:val="TextBody"/>
        <w:bidi w:val="0"/>
        <w:spacing w:before="240" w:after="0"/>
        <w:jc w:val="left"/>
        <w:rPr>
          <w:rFonts w:ascii="Times New Roman" w:hAnsi="Times New Roman"/>
          <w:sz w:val="20"/>
        </w:rPr>
      </w:pPr>
      <w:r>
        <w:rPr>
          <w:rFonts w:ascii="Times New Roman" w:hAnsi="Times New Roman"/>
          <w:sz w:val="20"/>
        </w:rPr>
        <w:t xml:space="preserve">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360" w:after="0"/>
        <w:jc w:val="left"/>
        <w:rPr>
          <w:rFonts w:ascii="Times New Roman" w:hAnsi="Times New Roman"/>
          <w:i/>
          <w:sz w:val="20"/>
        </w:rPr>
      </w:pPr>
      <w:r>
        <w:rPr>
          <w:rFonts w:ascii="Times New Roman" w:hAnsi="Times New Roman"/>
          <w:i/>
          <w:sz w:val="20"/>
        </w:rPr>
        <w:t xml:space="preserve">Derivative transactions and hedging </w:t>
      </w:r>
    </w:p>
    <w:p>
      <w:pPr>
        <w:pStyle w:val="TextBody"/>
        <w:bidi w:val="0"/>
        <w:spacing w:before="120" w:after="0"/>
        <w:jc w:val="left"/>
        <w:rPr>
          <w:rFonts w:ascii="Times New Roman" w:hAnsi="Times New Roman"/>
          <w:sz w:val="20"/>
        </w:rPr>
      </w:pPr>
      <w:r>
        <w:rPr>
          <w:rFonts w:ascii="Times New Roman" w:hAnsi="Times New Roman"/>
          <w:sz w:val="20"/>
        </w:rPr>
        <w:t xml:space="preserve">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Electronic auctions </w:t>
      </w:r>
    </w:p>
    <w:p>
      <w:pPr>
        <w:pStyle w:val="TextBody"/>
        <w:bidi w:val="0"/>
        <w:spacing w:before="120" w:after="0"/>
        <w:jc w:val="left"/>
        <w:rPr>
          <w:rFonts w:ascii="Times New Roman" w:hAnsi="Times New Roman"/>
          <w:sz w:val="20"/>
        </w:rPr>
      </w:pPr>
      <w:r>
        <w:rPr>
          <w:rFonts w:ascii="Times New Roman" w:hAnsi="Times New Roman"/>
          <w:sz w:val="20"/>
        </w:rPr>
        <w:t xml:space="preserve">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 to each bidder, on a so-called real-time basis, relevant information to assist in making a bid, such as the clearing spread at which the offering would be sold, based on the bids submitted, and whether a bidders individual bids would be accepted, prorated or rejected.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 </w:t>
      </w:r>
    </w:p>
    <w:p>
      <w:pPr>
        <w:pStyle w:val="TextBody"/>
        <w:bidi w:val="0"/>
        <w:spacing w:before="360" w:after="0"/>
        <w:jc w:val="left"/>
        <w:rPr>
          <w:rFonts w:ascii="Times New Roman" w:hAnsi="Times New Roman"/>
          <w:i/>
          <w:sz w:val="20"/>
        </w:rPr>
      </w:pPr>
      <w:r>
        <w:rPr>
          <w:rFonts w:ascii="Times New Roman" w:hAnsi="Times New Roman"/>
          <w:i/>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Agents, underwriters, and dealers may be entitled, under agreements entered into with us, to indemnification by us against certain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tx793902_12"/>
      <w:bookmarkEnd w:id="3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by this prospectus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31" w:name="tx793902_13"/>
      <w:bookmarkEnd w:id="3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32" w:name="tx793902_14"/>
      <w:bookmarkEnd w:id="3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under the Securities Act of 1933 relating to the offering of these securities. The registration statement, including the attached exhibits, contains additional relevant information about us and the securities. This prospectus does not contain all of the information set forth in the registration statement. The registration statement and the documents referred to below under Information Incorporated by Reference are also available on our website, www.tarsusrx.com. We have not incorporated by reference into this prospectus the information on our website, and you should not consider it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tx793902_15"/>
      <w:bookmarkEnd w:id="33"/>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portions of any Form 8-K that are not deemed filed pursuant to the General Instructions of Form 8-K):</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2023, filed with the SEC on </w:t>
            </w:r>
            <w:hyperlink r:id="rId8">
              <w:r>
                <w:rPr>
                  <w:rStyle w:val="InternetLink"/>
                  <w:rFonts w:ascii="Times New Roman" w:hAnsi="Times New Roman"/>
                  <w:sz w:val="20"/>
                </w:rPr>
                <w:t>February 27,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 on Form 8-K filed, with the SEC on </w:t>
            </w:r>
            <w:hyperlink r:id="rId9">
              <w:r>
                <w:rPr>
                  <w:rStyle w:val="InternetLink"/>
                  <w:rFonts w:ascii="Times New Roman" w:hAnsi="Times New Roman"/>
                  <w:sz w:val="20"/>
                </w:rPr>
                <w:t>January 18, 2024</w:t>
              </w:r>
            </w:hyperlink>
            <w:r>
              <w:rPr>
                <w:rFonts w:ascii="Times New Roman" w:hAnsi="Times New Roman"/>
                <w:sz w:val="20"/>
              </w:rPr>
              <w:t xml:space="preserve"> (to the extent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0">
              <w:r>
                <w:rPr>
                  <w:rStyle w:val="InternetLink"/>
                  <w:rFonts w:ascii="Times New Roman" w:hAnsi="Times New Roman"/>
                  <w:sz w:val="20"/>
                </w:rPr>
                <w:t>Form 8-A</w:t>
              </w:r>
            </w:hyperlink>
            <w:r>
              <w:rPr>
                <w:rFonts w:ascii="Times New Roman" w:hAnsi="Times New Roman"/>
                <w:sz w:val="20"/>
              </w:rPr>
              <w:t xml:space="preserve"> as filed with the SEC on October 13, 2020 pursuant to Section  12(b) of the Exchange Act, as updated by </w:t>
            </w:r>
            <w:hyperlink r:id="rId11">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2021,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additional documents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this prospectus is delivered, upon written or oral request, at no cost to the requester, a copy of any and all of the information that is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direct any requests for documents to: </w:t>
      </w:r>
    </w:p>
    <w:p>
      <w:pPr>
        <w:pStyle w:val="TextBody"/>
        <w:bidi w:val="0"/>
        <w:spacing w:before="12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15440 Laguna Canyon Road, Suite 160 </w:t>
      </w:r>
    </w:p>
    <w:p>
      <w:pPr>
        <w:pStyle w:val="TextBody"/>
        <w:bidi w:val="0"/>
        <w:spacing w:before="0" w:after="0"/>
        <w:jc w:val="center"/>
        <w:rPr>
          <w:rFonts w:ascii="Times New Roman" w:hAnsi="Times New Roman"/>
          <w:sz w:val="20"/>
        </w:rPr>
      </w:pPr>
      <w:r>
        <w:rPr>
          <w:rFonts w:ascii="Times New Roman" w:hAnsi="Times New Roman"/>
          <w:sz w:val="20"/>
        </w:rPr>
        <w:t xml:space="preserve">Irvine, California 92618 </w:t>
      </w:r>
    </w:p>
    <w:p>
      <w:pPr>
        <w:pStyle w:val="TextBody"/>
        <w:bidi w:val="0"/>
        <w:spacing w:before="0" w:after="0"/>
        <w:jc w:val="center"/>
        <w:rPr>
          <w:rFonts w:ascii="Times New Roman" w:hAnsi="Times New Roman"/>
          <w:sz w:val="20"/>
        </w:rPr>
      </w:pPr>
      <w:r>
        <w:rPr>
          <w:rFonts w:ascii="Times New Roman" w:hAnsi="Times New Roman"/>
          <w:sz w:val="20"/>
        </w:rPr>
        <w:t>(949) 409-9820</w:t>
      </w:r>
    </w:p>
    <w:p>
      <w:pPr>
        <w:pStyle w:val="TextBody"/>
        <w:bidi w:val="0"/>
        <w:spacing w:before="240" w:after="0"/>
        <w:jc w:val="left"/>
        <w:rPr>
          <w:rFonts w:ascii="Times New Roman" w:hAnsi="Times New Roman"/>
          <w:sz w:val="20"/>
        </w:rPr>
      </w:pPr>
      <w:r>
        <w:rPr>
          <w:rFonts w:ascii="Times New Roman" w:hAnsi="Times New Roman"/>
          <w:sz w:val="20"/>
        </w:rPr>
        <w:t xml:space="preserve">Our reports and documents incorporated by reference herein may also be found in the Investors &amp; News section of our website at www.tarsusrx.com. Our website and the information contained in it or connected to it shall not be in this prospectus through our website at www.tarsusrx.com. Except for the specific incorporated documents listed above, the information on, or that can be accessed through, our website shall not be deemed to be incorporated by reference in this prospectus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27330" cy="1536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227330" cy="153670"/>
                    </a:xfrm>
                    <a:prstGeom prst="rect">
                      <a:avLst/>
                    </a:prstGeom>
                  </pic:spPr>
                </pic:pic>
              </a:graphicData>
            </a:graphic>
          </wp:inline>
        </w:drawing>
      </w:r>
      <w:r>
        <w:rPr/>
        <w:t xml:space="preserve"> </w:t>
      </w:r>
    </w:p>
    <w:p>
      <w:pPr>
        <w:pStyle w:val="TextBody"/>
        <w:bidi w:val="0"/>
        <w:spacing w:before="12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Pre-Funded Warrants to Purchase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6"/>
        <w:gridCol w:w="98"/>
        <w:gridCol w:w="3189"/>
        <w:gridCol w:w="120"/>
        <w:gridCol w:w="3232"/>
      </w:tblGrid>
      <w:tr>
        <w:trPr/>
        <w:tc>
          <w:tcPr>
            <w:tcW w:w="3566"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31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r>
      <w:tr>
        <w:trPr/>
        <w:tc>
          <w:tcPr>
            <w:tcW w:w="3566" w:type="dxa"/>
            <w:tcBorders/>
          </w:tcPr>
          <w:p>
            <w:pPr>
              <w:pStyle w:val="TableContents"/>
              <w:bidi w:val="0"/>
              <w:spacing w:before="0" w:after="283"/>
              <w:jc w:val="center"/>
              <w:rPr>
                <w:b/>
              </w:rPr>
            </w:pPr>
            <w:r>
              <w:rPr>
                <w:b/>
              </w:rPr>
              <w:t>Goldman Sachs &amp; Co. LLC</w:t>
            </w:r>
          </w:p>
        </w:tc>
        <w:tc>
          <w:tcPr>
            <w:tcW w:w="98" w:type="dxa"/>
            <w:tcBorders/>
            <w:vAlign w:val="bottom"/>
          </w:tcPr>
          <w:p>
            <w:pPr>
              <w:pStyle w:val="TableContents"/>
              <w:bidi w:val="0"/>
              <w:spacing w:before="0" w:after="283"/>
              <w:jc w:val="left"/>
              <w:rPr/>
            </w:pPr>
            <w:r>
              <w:rPr/>
              <w:t> </w:t>
            </w:r>
          </w:p>
        </w:tc>
        <w:tc>
          <w:tcPr>
            <w:tcW w:w="3189" w:type="dxa"/>
            <w:tcBorders/>
          </w:tcPr>
          <w:p>
            <w:pPr>
              <w:pStyle w:val="TableContents"/>
              <w:bidi w:val="0"/>
              <w:spacing w:before="0" w:after="283"/>
              <w:jc w:val="center"/>
              <w:rPr>
                <w:b/>
              </w:rPr>
            </w:pPr>
            <w:r>
              <w:rPr>
                <w:b/>
              </w:rPr>
              <w:t>BofA Securities</w:t>
            </w:r>
          </w:p>
        </w:tc>
        <w:tc>
          <w:tcPr>
            <w:tcW w:w="120"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center"/>
              <w:rPr>
                <w:b/>
              </w:rPr>
            </w:pPr>
            <w:r>
              <w:rPr>
                <w:b/>
              </w:rPr>
              <w:t>Guggenheim Securities</w:t>
            </w:r>
          </w:p>
        </w:tc>
      </w:tr>
    </w:tbl>
    <w:p>
      <w:pPr>
        <w:pStyle w:val="TextBody"/>
        <w:bidi w:val="0"/>
        <w:spacing w:before="480" w:after="0"/>
        <w:jc w:val="center"/>
        <w:rPr>
          <w:rFonts w:ascii="Times New Roman" w:hAnsi="Times New Roman"/>
          <w:b/>
          <w:sz w:val="24"/>
        </w:rPr>
      </w:pPr>
      <w:r>
        <w:rPr>
          <w:rFonts w:ascii="Times New Roman" w:hAnsi="Times New Roman"/>
          <w:b/>
          <w:sz w:val="24"/>
        </w:rPr>
        <w:t xml:space="preserve">Oppenheimer &amp; Co. </w:t>
      </w:r>
    </w:p>
    <w:p>
      <w:pPr>
        <w:pStyle w:val="TextBody"/>
        <w:bidi w:val="0"/>
        <w:spacing w:before="1440" w:after="0"/>
        <w:jc w:val="center"/>
        <w:rPr>
          <w:rFonts w:ascii="Times New Roman" w:hAnsi="Times New Roman"/>
          <w:b/>
          <w:sz w:val="20"/>
        </w:rPr>
      </w:pPr>
      <w:r>
        <w:rPr>
          <w:rFonts w:ascii="Times New Roman" w:hAnsi="Times New Roman"/>
          <w:b/>
          <w:sz w:val="20"/>
        </w:rPr>
        <w:t xml:space="preserve">February      ,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9790/000181979024000018/tars-20231231.htm" TargetMode="External"/><Relationship Id="rId4" Type="http://schemas.openxmlformats.org/officeDocument/2006/relationships/hyperlink" Target="http://www.sec.gov/Archives/edgar/data/../../../ix?doc=/Archives/edgar/data/1819790/000181979024000006/tars-20240111.htm" TargetMode="External"/><Relationship Id="rId5" Type="http://schemas.openxmlformats.org/officeDocument/2006/relationships/hyperlink" Target="http://www.sec.gov/Archives/edgar/data/1819790/000181979022000010/tarsus-form10xkxex42descri.htm" TargetMode="External"/><Relationship Id="rId6" Type="http://schemas.openxmlformats.org/officeDocument/2006/relationships/hyperlink" Target="http://www.sec.gov/Archives/edgar/data/../../../ix?doc=/Archives/edgar/data/1819790/000181979023000007/tars-20221231.htm" TargetMode="External"/><Relationship Id="rId7" Type="http://schemas.openxmlformats.org/officeDocument/2006/relationships/image" Target="media/image1.jpeg"/><Relationship Id="rId8" Type="http://schemas.openxmlformats.org/officeDocument/2006/relationships/hyperlink" Target="http://www.sec.gov/Archives/edgar/data/../../../ix?doc=/Archives/edgar/data/1819790/000181979024000018/tars-20231231.htm" TargetMode="External"/><Relationship Id="rId9" Type="http://schemas.openxmlformats.org/officeDocument/2006/relationships/hyperlink" Target="http://www.sec.gov/Archives/edgar/data/../../../ix?doc=/Archives/edgar/data/1819790/000181979024000006/tars-20240111.htm" TargetMode="External"/><Relationship Id="rId10" Type="http://schemas.openxmlformats.org/officeDocument/2006/relationships/hyperlink" Target="http://www.sec.gov/Archives/edgar/data/1819790/000119312520267409/d68419d8a12b.htm" TargetMode="External"/><Relationship Id="rId11" Type="http://schemas.openxmlformats.org/officeDocument/2006/relationships/hyperlink" Target="http://www.sec.gov/Archives/edgar/data/1819790/000181979022000010/tarsus-form10xkxex42descri.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80</Pages>
  <Words>33207</Words>
  <Characters>172953</Characters>
  <CharactersWithSpaces>206478</CharactersWithSpaces>
  <Paragraphs>2016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