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0001827584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Neervannan Seshadri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4564</w:t>
            </w:r>
          </w:p>
        </w:tc>
        <w:tc>
          <w:tcPr>
            <w:tcW w:w="1377" w:type="dxa"/>
            <w:tcBorders/>
            <w:vAlign w:val="center"/>
          </w:tcPr>
          <w:p>
            <w:pPr>
              <w:pStyle w:val="TableContents"/>
              <w:bidi w:val="0"/>
              <w:spacing w:before="0" w:after="283"/>
              <w:jc w:val="left"/>
              <w:rPr/>
            </w:pPr>
            <w:r>
              <w:rPr/>
              <w:t>387940.00</w:t>
            </w:r>
          </w:p>
        </w:tc>
        <w:tc>
          <w:tcPr>
            <w:tcW w:w="1552" w:type="dxa"/>
            <w:tcBorders/>
            <w:vAlign w:val="center"/>
          </w:tcPr>
          <w:p>
            <w:pPr>
              <w:pStyle w:val="TableContents"/>
              <w:bidi w:val="0"/>
              <w:spacing w:before="0" w:after="283"/>
              <w:jc w:val="left"/>
              <w:rPr/>
            </w:pPr>
            <w:r>
              <w:rPr/>
              <w:t>43882996</w:t>
            </w:r>
          </w:p>
        </w:tc>
        <w:tc>
          <w:tcPr>
            <w:tcW w:w="1567" w:type="dxa"/>
            <w:tcBorders/>
            <w:vAlign w:val="center"/>
          </w:tcPr>
          <w:p>
            <w:pPr>
              <w:pStyle w:val="TableContents"/>
              <w:bidi w:val="0"/>
              <w:spacing w:before="0" w:after="283"/>
              <w:jc w:val="left"/>
              <w:rPr/>
            </w:pPr>
            <w:r>
              <w:rPr/>
              <w:t>09/04/2026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492</w:t>
            </w:r>
          </w:p>
        </w:tc>
        <w:tc>
          <w:tcPr>
            <w:tcW w:w="1046" w:type="dxa"/>
            <w:tcBorders/>
            <w:vAlign w:val="center"/>
          </w:tcPr>
          <w:p>
            <w:pPr>
              <w:pStyle w:val="TableContents"/>
              <w:bidi w:val="0"/>
              <w:spacing w:before="0" w:after="283"/>
              <w:jc w:val="left"/>
              <w:rPr/>
            </w:pPr>
            <w:r>
              <w:rPr/>
              <w:t>03/15/2023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489</w:t>
            </w:r>
          </w:p>
        </w:tc>
        <w:tc>
          <w:tcPr>
            <w:tcW w:w="1046" w:type="dxa"/>
            <w:tcBorders/>
            <w:vAlign w:val="center"/>
          </w:tcPr>
          <w:p>
            <w:pPr>
              <w:pStyle w:val="TableContents"/>
              <w:bidi w:val="0"/>
              <w:spacing w:before="0" w:after="283"/>
              <w:jc w:val="left"/>
              <w:rPr/>
            </w:pPr>
            <w:r>
              <w:rPr/>
              <w:t>03/16/2023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03/17/2023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469</w:t>
            </w:r>
          </w:p>
        </w:tc>
        <w:tc>
          <w:tcPr>
            <w:tcW w:w="1046" w:type="dxa"/>
            <w:tcBorders/>
            <w:vAlign w:val="center"/>
          </w:tcPr>
          <w:p>
            <w:pPr>
              <w:pStyle w:val="TableContents"/>
              <w:bidi w:val="0"/>
              <w:spacing w:before="0" w:after="283"/>
              <w:jc w:val="left"/>
              <w:rPr/>
            </w:pPr>
            <w:r>
              <w:rPr/>
              <w:t>03/17/2023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478</w:t>
            </w:r>
          </w:p>
        </w:tc>
        <w:tc>
          <w:tcPr>
            <w:tcW w:w="1046" w:type="dxa"/>
            <w:tcBorders/>
            <w:vAlign w:val="center"/>
          </w:tcPr>
          <w:p>
            <w:pPr>
              <w:pStyle w:val="TableContents"/>
              <w:bidi w:val="0"/>
              <w:spacing w:before="0" w:after="283"/>
              <w:jc w:val="left"/>
              <w:rPr/>
            </w:pPr>
            <w:r>
              <w:rPr/>
              <w:t>03/20/2023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471</w:t>
            </w:r>
          </w:p>
        </w:tc>
        <w:tc>
          <w:tcPr>
            <w:tcW w:w="1046" w:type="dxa"/>
            <w:tcBorders/>
            <w:vAlign w:val="center"/>
          </w:tcPr>
          <w:p>
            <w:pPr>
              <w:pStyle w:val="TableContents"/>
              <w:bidi w:val="0"/>
              <w:spacing w:before="0" w:after="283"/>
              <w:jc w:val="left"/>
              <w:rPr/>
            </w:pPr>
            <w:r>
              <w:rPr/>
              <w:t>03/21/2023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460</w:t>
            </w:r>
          </w:p>
        </w:tc>
        <w:tc>
          <w:tcPr>
            <w:tcW w:w="1046" w:type="dxa"/>
            <w:tcBorders/>
            <w:vAlign w:val="center"/>
          </w:tcPr>
          <w:p>
            <w:pPr>
              <w:pStyle w:val="TableContents"/>
              <w:bidi w:val="0"/>
              <w:spacing w:before="0" w:after="283"/>
              <w:jc w:val="left"/>
              <w:rPr/>
            </w:pPr>
            <w:r>
              <w:rPr/>
              <w:t>03/22/2023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06/30/2023</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1705</w:t>
            </w:r>
          </w:p>
        </w:tc>
        <w:tc>
          <w:tcPr>
            <w:tcW w:w="1046" w:type="dxa"/>
            <w:tcBorders/>
            <w:vAlign w:val="center"/>
          </w:tcPr>
          <w:p>
            <w:pPr>
              <w:pStyle w:val="TableContents"/>
              <w:bidi w:val="0"/>
              <w:spacing w:before="0" w:after="283"/>
              <w:jc w:val="left"/>
              <w:rPr/>
            </w:pPr>
            <w:r>
              <w:rPr/>
              <w:t>06/30/2023</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27"/>
        <w:gridCol w:w="6378"/>
      </w:tblGrid>
      <w:tr>
        <w:trPr/>
        <w:tc>
          <w:tcPr>
            <w:tcW w:w="3827" w:type="dxa"/>
            <w:tcBorders/>
            <w:vAlign w:val="center"/>
          </w:tcPr>
          <w:p>
            <w:pPr>
              <w:pStyle w:val="TableContents"/>
              <w:bidi w:val="0"/>
              <w:spacing w:before="0" w:after="283"/>
              <w:jc w:val="left"/>
              <w:rPr/>
            </w:pPr>
            <w:r>
              <w:rPr/>
              <w:t>Remarks</w:t>
            </w:r>
          </w:p>
        </w:tc>
        <w:tc>
          <w:tcPr>
            <w:tcW w:w="6378" w:type="dxa"/>
            <w:tcBorders/>
            <w:vAlign w:val="center"/>
          </w:tcPr>
          <w:p>
            <w:pPr>
              <w:pStyle w:val="TableContents"/>
              <w:bidi w:val="0"/>
              <w:spacing w:before="0" w:after="283"/>
              <w:jc w:val="left"/>
              <w:rPr>
                <w:sz w:val="4"/>
                <w:szCs w:val="4"/>
              </w:rPr>
            </w:pPr>
            <w:r>
              <w:rPr>
                <w:sz w:val="4"/>
                <w:szCs w:val="4"/>
              </w:rPr>
            </w:r>
          </w:p>
        </w:tc>
      </w:tr>
      <w:tr>
        <w:trPr/>
        <w:tc>
          <w:tcPr>
            <w:tcW w:w="3827" w:type="dxa"/>
            <w:tcBorders/>
            <w:vAlign w:val="center"/>
          </w:tcPr>
          <w:p>
            <w:pPr>
              <w:pStyle w:val="TableContents"/>
              <w:bidi w:val="0"/>
              <w:spacing w:before="0" w:after="283"/>
              <w:jc w:val="left"/>
              <w:rPr/>
            </w:pPr>
            <w:r>
              <w:rPr/>
              <w:t>Date of Notice</w:t>
            </w:r>
          </w:p>
        </w:tc>
        <w:tc>
          <w:tcPr>
            <w:tcW w:w="6378" w:type="dxa"/>
            <w:tcBorders/>
            <w:vAlign w:val="center"/>
          </w:tcPr>
          <w:p>
            <w:pPr>
              <w:pStyle w:val="TableContents"/>
              <w:bidi w:val="0"/>
              <w:spacing w:before="0" w:after="0"/>
              <w:jc w:val="left"/>
              <w:rPr/>
            </w:pPr>
            <w:r>
              <w:rPr/>
              <w:t>09/04/2026</w:t>
            </w:r>
          </w:p>
        </w:tc>
      </w:tr>
      <w:tr>
        <w:trPr/>
        <w:tc>
          <w:tcPr>
            <w:tcW w:w="3827" w:type="dxa"/>
            <w:tcBorders/>
            <w:vAlign w:val="center"/>
          </w:tcPr>
          <w:p>
            <w:pPr>
              <w:pStyle w:val="TableContents"/>
              <w:bidi w:val="0"/>
              <w:spacing w:before="0" w:after="283"/>
              <w:jc w:val="left"/>
              <w:rPr/>
            </w:pPr>
            <w:r>
              <w:rPr/>
              <w:t>Date of Plan Adoption or Giving of Instruction, If Relying on Rule 10b5-1</w:t>
            </w:r>
          </w:p>
        </w:tc>
        <w:tc>
          <w:tcPr>
            <w:tcW w:w="6378" w:type="dxa"/>
            <w:tcBorders/>
            <w:vAlign w:val="center"/>
          </w:tcPr>
          <w:p>
            <w:pPr>
              <w:pStyle w:val="TableContents"/>
              <w:bidi w:val="0"/>
              <w:spacing w:before="0" w:after="0"/>
              <w:jc w:val="left"/>
              <w:rPr/>
            </w:pPr>
            <w:r>
              <w:rPr/>
              <w:t>11/12/2025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7" w:type="dxa"/>
            <w:tcBorders/>
            <w:vAlign w:val="center"/>
          </w:tcPr>
          <w:p>
            <w:pPr>
              <w:pStyle w:val="TableContents"/>
              <w:bidi w:val="0"/>
              <w:spacing w:before="0" w:after="283"/>
              <w:jc w:val="left"/>
              <w:rPr/>
            </w:pPr>
            <w:r>
              <w:rPr/>
              <w:t>Signature</w:t>
            </w:r>
          </w:p>
        </w:tc>
        <w:tc>
          <w:tcPr>
            <w:tcW w:w="6378" w:type="dxa"/>
            <w:tcBorders/>
            <w:vAlign w:val="center"/>
          </w:tcPr>
          <w:p>
            <w:pPr>
              <w:pStyle w:val="TableContents"/>
              <w:bidi w:val="0"/>
              <w:spacing w:before="0" w:after="0"/>
              <w:jc w:val="left"/>
              <w:rPr/>
            </w:pPr>
            <w:r>
              <w:rPr/>
              <w:t>/s/ Gary Redman, as a duly authorized representative of Fidelity Brokerage Services LLC, as attorney-in-fact for Seshadri Neervannan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3466</Characters>
  <CharactersWithSpaces>4020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