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558165</wp:posOffset>
            </wp:positionV>
            <wp:extent cx="1666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62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jc w:val="center"/>
        <w:ind w:right="-19"/>
        <w:spacing w:after="0" w:line="223" w:lineRule="auto"/>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195580</wp:posOffset>
            </wp:positionV>
            <wp:extent cx="16662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6240" cy="8255"/>
                    </a:xfrm>
                    <a:prstGeom prst="rect">
                      <a:avLst/>
                    </a:prstGeom>
                    <a:noFill/>
                  </pic:spPr>
                </pic:pic>
              </a:graphicData>
            </a:graphic>
          </wp:anchor>
        </w:drawing>
      </w: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35"/>
          <w:szCs w:val="3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70485</wp:posOffset>
            </wp:positionV>
            <wp:extent cx="1666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624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ind w:left="380" w:hanging="323"/>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348" w:lineRule="exact"/>
        <w:rPr>
          <w:sz w:val="24"/>
          <w:szCs w:val="24"/>
          <w:color w:val="auto"/>
        </w:rPr>
      </w:pPr>
    </w:p>
    <w:p>
      <w:pPr>
        <w:ind w:left="4320"/>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281" w:lineRule="exact"/>
        <w:rPr>
          <w:sz w:val="24"/>
          <w:szCs w:val="24"/>
          <w:color w:val="auto"/>
        </w:rPr>
      </w:pPr>
    </w:p>
    <w:p>
      <w:pPr>
        <w:ind w:left="380" w:hanging="323"/>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9" w:lineRule="exact"/>
        <w:rPr>
          <w:sz w:val="24"/>
          <w:szCs w:val="24"/>
          <w:color w:val="auto"/>
        </w:rPr>
      </w:pPr>
    </w:p>
    <w:p>
      <w:pPr>
        <w:ind w:left="4300"/>
        <w:spacing w:after="0"/>
        <w:rPr>
          <w:sz w:val="20"/>
          <w:szCs w:val="20"/>
          <w:color w:val="auto"/>
        </w:rPr>
      </w:pPr>
      <w:r>
        <w:rPr>
          <w:rFonts w:ascii="Arial" w:cs="Arial" w:eastAsia="Arial" w:hAnsi="Arial"/>
          <w:sz w:val="16"/>
          <w:szCs w:val="16"/>
          <w:b w:val="1"/>
          <w:bCs w:val="1"/>
          <w:color w:val="auto"/>
        </w:rPr>
        <w:t>For the transition period from _____ to ____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4307840</wp:posOffset>
            </wp:positionH>
            <wp:positionV relativeFrom="paragraph">
              <wp:posOffset>-6350</wp:posOffset>
            </wp:positionV>
            <wp:extent cx="25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-6350</wp:posOffset>
            </wp:positionV>
            <wp:extent cx="25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b w:val="1"/>
          <w:bCs w:val="1"/>
          <w:color w:val="auto"/>
        </w:rPr>
        <w:t>Commission File Number: 001-39614</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TARSUS PHARMACEUTICALS, INC.</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196215</wp:posOffset>
            </wp:positionV>
            <wp:extent cx="1666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624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1260" w:type="dxa"/>
            <w:vAlign w:val="bottom"/>
          </w:tcPr>
          <w:p>
            <w:pPr>
              <w:spacing w:after="0"/>
              <w:rPr>
                <w:sz w:val="18"/>
                <w:szCs w:val="18"/>
                <w:color w:val="auto"/>
              </w:rPr>
            </w:pPr>
          </w:p>
        </w:tc>
        <w:tc>
          <w:tcPr>
            <w:tcW w:w="3060" w:type="dxa"/>
            <w:vAlign w:val="bottom"/>
          </w:tcPr>
          <w:p>
            <w:pPr>
              <w:jc w:val="center"/>
              <w:ind w:left="303"/>
              <w:spacing w:after="0"/>
              <w:rPr>
                <w:sz w:val="20"/>
                <w:szCs w:val="20"/>
                <w:color w:val="auto"/>
              </w:rPr>
            </w:pPr>
            <w:r>
              <w:rPr>
                <w:rFonts w:ascii="Arial" w:cs="Arial" w:eastAsia="Arial" w:hAnsi="Arial"/>
                <w:sz w:val="16"/>
                <w:szCs w:val="16"/>
                <w:b w:val="1"/>
                <w:bCs w:val="1"/>
                <w:color w:val="auto"/>
                <w:w w:val="91"/>
              </w:rPr>
              <w:t>Delaware</w:t>
            </w: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740" w:type="dxa"/>
            <w:vAlign w:val="bottom"/>
            <w:gridSpan w:val="2"/>
          </w:tcPr>
          <w:p>
            <w:pPr>
              <w:jc w:val="right"/>
              <w:ind w:right="1324"/>
              <w:spacing w:after="0"/>
              <w:rPr>
                <w:sz w:val="20"/>
                <w:szCs w:val="20"/>
                <w:color w:val="auto"/>
              </w:rPr>
            </w:pPr>
            <w:r>
              <w:rPr>
                <w:rFonts w:ascii="Arial" w:cs="Arial" w:eastAsia="Arial" w:hAnsi="Arial"/>
                <w:sz w:val="16"/>
                <w:szCs w:val="16"/>
                <w:b w:val="1"/>
                <w:bCs w:val="1"/>
                <w:color w:val="auto"/>
              </w:rPr>
              <w:t>81-4717861</w:t>
            </w:r>
          </w:p>
        </w:tc>
        <w:tc>
          <w:tcPr>
            <w:tcW w:w="0" w:type="dxa"/>
            <w:vAlign w:val="bottom"/>
          </w:tcPr>
          <w:p>
            <w:pPr>
              <w:spacing w:after="0"/>
              <w:rPr>
                <w:sz w:val="1"/>
                <w:szCs w:val="1"/>
                <w:color w:val="auto"/>
              </w:rPr>
            </w:pPr>
          </w:p>
        </w:tc>
      </w:tr>
      <w:tr>
        <w:trPr>
          <w:trHeight w:val="164"/>
        </w:trPr>
        <w:tc>
          <w:tcPr>
            <w:tcW w:w="1260" w:type="dxa"/>
            <w:vAlign w:val="bottom"/>
          </w:tcPr>
          <w:p>
            <w:pPr>
              <w:spacing w:after="0"/>
              <w:rPr>
                <w:sz w:val="14"/>
                <w:szCs w:val="14"/>
                <w:color w:val="auto"/>
              </w:rPr>
            </w:pPr>
          </w:p>
        </w:tc>
        <w:tc>
          <w:tcPr>
            <w:tcW w:w="3060" w:type="dxa"/>
            <w:vAlign w:val="bottom"/>
          </w:tcPr>
          <w:p>
            <w:pPr>
              <w:jc w:val="center"/>
              <w:ind w:left="323"/>
              <w:spacing w:after="0" w:line="164" w:lineRule="exact"/>
              <w:rPr>
                <w:sz w:val="20"/>
                <w:szCs w:val="20"/>
                <w:color w:val="auto"/>
              </w:rPr>
            </w:pPr>
            <w:r>
              <w:rPr>
                <w:rFonts w:ascii="Arial" w:cs="Arial" w:eastAsia="Arial" w:hAnsi="Arial"/>
                <w:sz w:val="16"/>
                <w:szCs w:val="16"/>
                <w:b w:val="1"/>
                <w:bCs w:val="1"/>
                <w:color w:val="auto"/>
                <w:w w:val="90"/>
              </w:rPr>
              <w:t>(State or other jurisdiction of</w:t>
            </w:r>
          </w:p>
        </w:tc>
        <w:tc>
          <w:tcPr>
            <w:tcW w:w="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00" w:type="dxa"/>
            <w:vAlign w:val="bottom"/>
          </w:tcPr>
          <w:p>
            <w:pPr>
              <w:jc w:val="center"/>
              <w:ind w:right="404"/>
              <w:spacing w:after="0" w:line="164" w:lineRule="exact"/>
              <w:rPr>
                <w:sz w:val="20"/>
                <w:szCs w:val="20"/>
                <w:color w:val="auto"/>
              </w:rPr>
            </w:pPr>
            <w:r>
              <w:rPr>
                <w:rFonts w:ascii="Arial" w:cs="Arial" w:eastAsia="Arial" w:hAnsi="Arial"/>
                <w:sz w:val="16"/>
                <w:szCs w:val="16"/>
                <w:b w:val="1"/>
                <w:bCs w:val="1"/>
                <w:color w:val="auto"/>
                <w:w w:val="92"/>
              </w:rPr>
              <w:t>(I.R.S. Employer</w:t>
            </w:r>
          </w:p>
        </w:tc>
        <w:tc>
          <w:tcPr>
            <w:tcW w:w="0" w:type="dxa"/>
            <w:vAlign w:val="bottom"/>
          </w:tcPr>
          <w:p>
            <w:pPr>
              <w:spacing w:after="0"/>
              <w:rPr>
                <w:sz w:val="1"/>
                <w:szCs w:val="1"/>
                <w:color w:val="auto"/>
              </w:rPr>
            </w:pPr>
          </w:p>
        </w:tc>
      </w:tr>
      <w:tr>
        <w:trPr>
          <w:trHeight w:val="208"/>
        </w:trPr>
        <w:tc>
          <w:tcPr>
            <w:tcW w:w="1260" w:type="dxa"/>
            <w:vAlign w:val="bottom"/>
          </w:tcPr>
          <w:p>
            <w:pPr>
              <w:spacing w:after="0"/>
              <w:rPr>
                <w:sz w:val="18"/>
                <w:szCs w:val="18"/>
                <w:color w:val="auto"/>
              </w:rPr>
            </w:pPr>
          </w:p>
        </w:tc>
        <w:tc>
          <w:tcPr>
            <w:tcW w:w="3060" w:type="dxa"/>
            <w:vAlign w:val="bottom"/>
          </w:tcPr>
          <w:p>
            <w:pPr>
              <w:jc w:val="center"/>
              <w:ind w:left="303"/>
              <w:spacing w:after="0"/>
              <w:rPr>
                <w:sz w:val="20"/>
                <w:szCs w:val="20"/>
                <w:color w:val="auto"/>
              </w:rPr>
            </w:pPr>
            <w:r>
              <w:rPr>
                <w:rFonts w:ascii="Arial" w:cs="Arial" w:eastAsia="Arial" w:hAnsi="Arial"/>
                <w:sz w:val="16"/>
                <w:szCs w:val="16"/>
                <w:b w:val="1"/>
                <w:bCs w:val="1"/>
                <w:color w:val="auto"/>
                <w:w w:val="91"/>
              </w:rPr>
              <w:t>incorporation or organization)</w:t>
            </w: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00" w:type="dxa"/>
            <w:vAlign w:val="bottom"/>
          </w:tcPr>
          <w:p>
            <w:pPr>
              <w:jc w:val="center"/>
              <w:ind w:right="404"/>
              <w:spacing w:after="0"/>
              <w:rPr>
                <w:sz w:val="20"/>
                <w:szCs w:val="20"/>
                <w:color w:val="auto"/>
              </w:rPr>
            </w:pPr>
            <w:r>
              <w:rPr>
                <w:rFonts w:ascii="Arial" w:cs="Arial" w:eastAsia="Arial" w:hAnsi="Arial"/>
                <w:sz w:val="16"/>
                <w:szCs w:val="16"/>
                <w:b w:val="1"/>
                <w:bCs w:val="1"/>
                <w:color w:val="auto"/>
                <w:w w:val="93"/>
              </w:rPr>
              <w:t>Identification Number)</w:t>
            </w: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3060" w:type="dxa"/>
            <w:vAlign w:val="bottom"/>
            <w:vMerge w:val="restart"/>
          </w:tcPr>
          <w:p>
            <w:pPr>
              <w:jc w:val="center"/>
              <w:ind w:left="323"/>
              <w:spacing w:after="0"/>
              <w:rPr>
                <w:sz w:val="20"/>
                <w:szCs w:val="20"/>
                <w:color w:val="auto"/>
              </w:rPr>
            </w:pPr>
            <w:r>
              <w:rPr>
                <w:rFonts w:ascii="Arial" w:cs="Arial" w:eastAsia="Arial" w:hAnsi="Arial"/>
                <w:sz w:val="16"/>
                <w:szCs w:val="16"/>
                <w:b w:val="1"/>
                <w:bCs w:val="1"/>
                <w:color w:val="auto"/>
                <w:w w:val="89"/>
              </w:rPr>
              <w:t>15440 Laguna Canyon Road, Suite 160</w:t>
            </w:r>
          </w:p>
        </w:tc>
        <w:tc>
          <w:tcPr>
            <w:tcW w:w="5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9"/>
        </w:trPr>
        <w:tc>
          <w:tcPr>
            <w:tcW w:w="126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3060" w:type="dxa"/>
            <w:vAlign w:val="bottom"/>
          </w:tcPr>
          <w:p>
            <w:pPr>
              <w:jc w:val="center"/>
              <w:ind w:left="323"/>
              <w:spacing w:after="0"/>
              <w:rPr>
                <w:sz w:val="20"/>
                <w:szCs w:val="20"/>
                <w:color w:val="auto"/>
              </w:rPr>
            </w:pPr>
            <w:r>
              <w:rPr>
                <w:rFonts w:ascii="Arial" w:cs="Arial" w:eastAsia="Arial" w:hAnsi="Arial"/>
                <w:sz w:val="16"/>
                <w:szCs w:val="16"/>
                <w:b w:val="1"/>
                <w:bCs w:val="1"/>
                <w:color w:val="auto"/>
                <w:w w:val="94"/>
              </w:rPr>
              <w:t>Irvine, California</w:t>
            </w: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740" w:type="dxa"/>
            <w:vAlign w:val="bottom"/>
            <w:gridSpan w:val="2"/>
          </w:tcPr>
          <w:p>
            <w:pPr>
              <w:jc w:val="right"/>
              <w:ind w:right="1504"/>
              <w:spacing w:after="0"/>
              <w:rPr>
                <w:sz w:val="20"/>
                <w:szCs w:val="20"/>
                <w:color w:val="auto"/>
              </w:rPr>
            </w:pPr>
            <w:r>
              <w:rPr>
                <w:rFonts w:ascii="Arial" w:cs="Arial" w:eastAsia="Arial" w:hAnsi="Arial"/>
                <w:sz w:val="16"/>
                <w:szCs w:val="16"/>
                <w:b w:val="1"/>
                <w:bCs w:val="1"/>
                <w:color w:val="auto"/>
              </w:rPr>
              <w:t>92618</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18"/>
                <w:szCs w:val="18"/>
                <w:color w:val="auto"/>
              </w:rPr>
            </w:pPr>
          </w:p>
        </w:tc>
        <w:tc>
          <w:tcPr>
            <w:tcW w:w="3060" w:type="dxa"/>
            <w:vAlign w:val="bottom"/>
          </w:tcPr>
          <w:p>
            <w:pPr>
              <w:jc w:val="center"/>
              <w:ind w:left="323"/>
              <w:spacing w:after="0"/>
              <w:rPr>
                <w:sz w:val="20"/>
                <w:szCs w:val="20"/>
                <w:color w:val="auto"/>
              </w:rPr>
            </w:pPr>
            <w:r>
              <w:rPr>
                <w:rFonts w:ascii="Arial" w:cs="Arial" w:eastAsia="Arial" w:hAnsi="Arial"/>
                <w:sz w:val="16"/>
                <w:szCs w:val="16"/>
                <w:b w:val="1"/>
                <w:bCs w:val="1"/>
                <w:color w:val="auto"/>
                <w:w w:val="87"/>
              </w:rPr>
              <w:t>(Address of principal executive offices)</w:t>
            </w: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00" w:type="dxa"/>
            <w:vAlign w:val="bottom"/>
          </w:tcPr>
          <w:p>
            <w:pPr>
              <w:jc w:val="center"/>
              <w:ind w:right="404"/>
              <w:spacing w:after="0"/>
              <w:rPr>
                <w:sz w:val="20"/>
                <w:szCs w:val="20"/>
                <w:color w:val="auto"/>
              </w:rPr>
            </w:pPr>
            <w:r>
              <w:rPr>
                <w:rFonts w:ascii="Arial" w:cs="Arial" w:eastAsia="Arial" w:hAnsi="Arial"/>
                <w:sz w:val="16"/>
                <w:szCs w:val="16"/>
                <w:b w:val="1"/>
                <w:bCs w:val="1"/>
                <w:color w:val="auto"/>
                <w:w w:val="93"/>
              </w:rPr>
              <w:t>(Zip Code)</w:t>
            </w: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1980" w:type="dxa"/>
            <w:vAlign w:val="bottom"/>
            <w:gridSpan w:val="2"/>
          </w:tcPr>
          <w:p>
            <w:pPr>
              <w:jc w:val="right"/>
              <w:ind w:right="169"/>
              <w:spacing w:after="0"/>
              <w:rPr>
                <w:sz w:val="20"/>
                <w:szCs w:val="20"/>
                <w:color w:val="auto"/>
              </w:rPr>
            </w:pPr>
            <w:r>
              <w:rPr>
                <w:rFonts w:ascii="Arial" w:cs="Arial" w:eastAsia="Arial" w:hAnsi="Arial"/>
                <w:sz w:val="14"/>
                <w:szCs w:val="14"/>
                <w:b w:val="1"/>
                <w:bCs w:val="1"/>
                <w:color w:val="auto"/>
              </w:rPr>
              <w:t>(949) 409-9820</w:t>
            </w:r>
          </w:p>
        </w:tc>
        <w:tc>
          <w:tcPr>
            <w:tcW w:w="64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1260" w:type="dxa"/>
            <w:vAlign w:val="bottom"/>
          </w:tcPr>
          <w:p>
            <w:pPr>
              <w:spacing w:after="0"/>
              <w:rPr>
                <w:sz w:val="15"/>
                <w:szCs w:val="15"/>
                <w:color w:val="auto"/>
              </w:rPr>
            </w:pPr>
          </w:p>
        </w:tc>
        <w:tc>
          <w:tcPr>
            <w:tcW w:w="8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0" w:type="dxa"/>
            <w:vAlign w:val="bottom"/>
          </w:tcPr>
          <w:p>
            <w:pPr>
              <w:spacing w:after="0"/>
              <w:rPr>
                <w:sz w:val="1"/>
                <w:szCs w:val="1"/>
                <w:color w:val="auto"/>
              </w:rPr>
            </w:pPr>
          </w:p>
        </w:tc>
      </w:tr>
      <w:tr>
        <w:trPr>
          <w:trHeight w:val="64"/>
        </w:trPr>
        <w:tc>
          <w:tcPr>
            <w:tcW w:w="4320" w:type="dxa"/>
            <w:vAlign w:val="bottom"/>
            <w:gridSpan w:val="2"/>
            <w:vMerge w:val="restart"/>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5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9"/>
        </w:trPr>
        <w:tc>
          <w:tcPr>
            <w:tcW w:w="432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1260" w:type="dxa"/>
            <w:vAlign w:val="bottom"/>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260" w:type="dxa"/>
            <w:vAlign w:val="bottom"/>
            <w:tcBorders>
              <w:right w:val="single" w:sz="8" w:color="auto"/>
            </w:tcBorders>
          </w:tcPr>
          <w:p>
            <w:pPr>
              <w:spacing w:after="0"/>
              <w:rPr>
                <w:sz w:val="15"/>
                <w:szCs w:val="15"/>
                <w:color w:val="auto"/>
              </w:rPr>
            </w:pPr>
          </w:p>
        </w:tc>
        <w:tc>
          <w:tcPr>
            <w:tcW w:w="3060" w:type="dxa"/>
            <w:vAlign w:val="bottom"/>
            <w:tcBorders>
              <w:bottom w:val="single" w:sz="8" w:color="auto"/>
            </w:tcBorders>
          </w:tcPr>
          <w:p>
            <w:pPr>
              <w:jc w:val="center"/>
              <w:ind w:left="443"/>
              <w:spacing w:after="0"/>
              <w:rPr>
                <w:sz w:val="20"/>
                <w:szCs w:val="20"/>
                <w:color w:val="auto"/>
              </w:rPr>
            </w:pPr>
            <w:r>
              <w:rPr>
                <w:rFonts w:ascii="Arial" w:cs="Arial" w:eastAsia="Arial" w:hAnsi="Arial"/>
                <w:sz w:val="14"/>
                <w:szCs w:val="14"/>
                <w:color w:val="auto"/>
                <w:w w:val="90"/>
              </w:rPr>
              <w:t>Title of each class</w:t>
            </w:r>
          </w:p>
        </w:tc>
        <w:tc>
          <w:tcPr>
            <w:tcW w:w="56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Trading Symbol</w:t>
            </w:r>
          </w:p>
        </w:tc>
        <w:tc>
          <w:tcPr>
            <w:tcW w:w="37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0"/>
              </w:rPr>
              <w:t>Name of each exchange on which registered</w:t>
            </w:r>
          </w:p>
        </w:tc>
        <w:tc>
          <w:tcPr>
            <w:tcW w:w="0" w:type="dxa"/>
            <w:vAlign w:val="bottom"/>
          </w:tcPr>
          <w:p>
            <w:pPr>
              <w:spacing w:after="0"/>
              <w:rPr>
                <w:sz w:val="1"/>
                <w:szCs w:val="1"/>
                <w:color w:val="auto"/>
              </w:rPr>
            </w:pPr>
          </w:p>
        </w:tc>
      </w:tr>
      <w:tr>
        <w:trPr>
          <w:trHeight w:val="129"/>
        </w:trPr>
        <w:tc>
          <w:tcPr>
            <w:tcW w:w="1260" w:type="dxa"/>
            <w:vAlign w:val="bottom"/>
            <w:tcBorders>
              <w:right w:val="single" w:sz="8" w:color="auto"/>
            </w:tcBorders>
          </w:tcPr>
          <w:p>
            <w:pPr>
              <w:spacing w:after="0"/>
              <w:rPr>
                <w:sz w:val="11"/>
                <w:szCs w:val="11"/>
                <w:color w:val="auto"/>
              </w:rPr>
            </w:pPr>
          </w:p>
        </w:tc>
        <w:tc>
          <w:tcPr>
            <w:tcW w:w="3060" w:type="dxa"/>
            <w:vAlign w:val="bottom"/>
            <w:vMerge w:val="restart"/>
          </w:tcPr>
          <w:p>
            <w:pPr>
              <w:jc w:val="center"/>
              <w:ind w:left="423"/>
              <w:spacing w:after="0"/>
              <w:rPr>
                <w:sz w:val="20"/>
                <w:szCs w:val="20"/>
                <w:color w:val="auto"/>
              </w:rPr>
            </w:pPr>
            <w:r>
              <w:rPr>
                <w:rFonts w:ascii="Arial" w:cs="Arial" w:eastAsia="Arial" w:hAnsi="Arial"/>
                <w:sz w:val="14"/>
                <w:szCs w:val="14"/>
                <w:color w:val="auto"/>
                <w:w w:val="90"/>
              </w:rPr>
              <w:t>Common Stock, $0.0001 par value per share</w:t>
            </w:r>
          </w:p>
        </w:tc>
        <w:tc>
          <w:tcPr>
            <w:tcW w:w="56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TARS</w:t>
            </w:r>
          </w:p>
        </w:tc>
        <w:tc>
          <w:tcPr>
            <w:tcW w:w="640" w:type="dxa"/>
            <w:vAlign w:val="bottom"/>
          </w:tcPr>
          <w:p>
            <w:pPr>
              <w:spacing w:after="0"/>
              <w:rPr>
                <w:sz w:val="11"/>
                <w:szCs w:val="11"/>
                <w:color w:val="auto"/>
              </w:rPr>
            </w:pPr>
          </w:p>
        </w:tc>
        <w:tc>
          <w:tcPr>
            <w:tcW w:w="3100" w:type="dxa"/>
            <w:vAlign w:val="bottom"/>
            <w:tcBorders>
              <w:right w:val="single" w:sz="8" w:color="auto"/>
            </w:tcBorders>
          </w:tcPr>
          <w:p>
            <w:pPr>
              <w:jc w:val="center"/>
              <w:ind w:right="584"/>
              <w:spacing w:after="0" w:line="129" w:lineRule="exact"/>
              <w:rPr>
                <w:sz w:val="20"/>
                <w:szCs w:val="20"/>
                <w:color w:val="auto"/>
              </w:rPr>
            </w:pPr>
            <w:r>
              <w:rPr>
                <w:rFonts w:ascii="Arial" w:cs="Arial" w:eastAsia="Arial" w:hAnsi="Arial"/>
                <w:sz w:val="14"/>
                <w:szCs w:val="14"/>
                <w:color w:val="auto"/>
                <w:w w:val="93"/>
              </w:rPr>
              <w:t>The Nasdaq Global Market LLC</w:t>
            </w:r>
          </w:p>
        </w:tc>
        <w:tc>
          <w:tcPr>
            <w:tcW w:w="0" w:type="dxa"/>
            <w:vAlign w:val="bottom"/>
          </w:tcPr>
          <w:p>
            <w:pPr>
              <w:spacing w:after="0"/>
              <w:rPr>
                <w:sz w:val="1"/>
                <w:szCs w:val="1"/>
                <w:color w:val="auto"/>
              </w:rPr>
            </w:pPr>
          </w:p>
        </w:tc>
      </w:tr>
      <w:tr>
        <w:trPr>
          <w:trHeight w:val="183"/>
        </w:trPr>
        <w:tc>
          <w:tcPr>
            <w:tcW w:w="1260" w:type="dxa"/>
            <w:vAlign w:val="bottom"/>
            <w:tcBorders>
              <w:right w:val="single" w:sz="8" w:color="auto"/>
            </w:tcBorders>
          </w:tcPr>
          <w:p>
            <w:pPr>
              <w:spacing w:after="0"/>
              <w:rPr>
                <w:sz w:val="15"/>
                <w:szCs w:val="15"/>
                <w:color w:val="auto"/>
              </w:rPr>
            </w:pPr>
          </w:p>
        </w:tc>
        <w:tc>
          <w:tcPr>
            <w:tcW w:w="306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100" w:type="dxa"/>
            <w:vAlign w:val="bottom"/>
            <w:tcBorders>
              <w:bottom w:val="single" w:sz="8" w:color="auto"/>
              <w:right w:val="single" w:sz="8" w:color="auto"/>
            </w:tcBorders>
          </w:tcPr>
          <w:p>
            <w:pPr>
              <w:jc w:val="center"/>
              <w:ind w:right="584"/>
              <w:spacing w:after="0"/>
              <w:rPr>
                <w:sz w:val="20"/>
                <w:szCs w:val="20"/>
                <w:color w:val="auto"/>
              </w:rPr>
            </w:pPr>
            <w:r>
              <w:rPr>
                <w:rFonts w:ascii="Arial" w:cs="Arial" w:eastAsia="Arial" w:hAnsi="Arial"/>
                <w:sz w:val="14"/>
                <w:szCs w:val="14"/>
                <w:color w:val="auto"/>
                <w:w w:val="91"/>
              </w:rPr>
              <w:t>(Nasdaq Global Select Market)</w:t>
            </w:r>
          </w:p>
        </w:tc>
        <w:tc>
          <w:tcPr>
            <w:tcW w:w="0" w:type="dxa"/>
            <w:vAlign w:val="bottom"/>
          </w:tcPr>
          <w:p>
            <w:pPr>
              <w:spacing w:after="0"/>
              <w:rPr>
                <w:sz w:val="1"/>
                <w:szCs w:val="1"/>
                <w:color w:val="auto"/>
              </w:rPr>
            </w:pPr>
          </w:p>
        </w:tc>
      </w:tr>
    </w:tbl>
    <w:p>
      <w:pPr>
        <w:spacing w:after="0" w:line="352" w:lineRule="exact"/>
        <w:rPr>
          <w:sz w:val="24"/>
          <w:szCs w:val="24"/>
          <w:color w:val="auto"/>
        </w:rPr>
      </w:pPr>
    </w:p>
    <w:p>
      <w:pPr>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2" w:lineRule="exact"/>
        <w:rPr>
          <w:sz w:val="24"/>
          <w:szCs w:val="24"/>
          <w:color w:val="auto"/>
        </w:rPr>
      </w:pPr>
    </w:p>
    <w:p>
      <w:pPr>
        <w:spacing w:after="0" w:line="242"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30" w:lineRule="exact"/>
        <w:rPr>
          <w:sz w:val="24"/>
          <w:szCs w:val="24"/>
          <w:color w:val="auto"/>
        </w:rPr>
      </w:pPr>
    </w:p>
    <w:p>
      <w:pPr>
        <w:ind w:right="100"/>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79"/>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0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5"/>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0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14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5300" w:type="dxa"/>
            <w:vAlign w:val="bottom"/>
          </w:tcPr>
          <w:p>
            <w:pPr>
              <w:ind w:left="3500"/>
              <w:spacing w:after="0"/>
              <w:rPr>
                <w:sz w:val="20"/>
                <w:szCs w:val="20"/>
                <w:color w:val="auto"/>
              </w:rPr>
            </w:pPr>
            <w:r>
              <w:rPr>
                <w:rFonts w:ascii="Arial" w:cs="Arial" w:eastAsia="Arial" w:hAnsi="Arial"/>
                <w:sz w:val="14"/>
                <w:szCs w:val="14"/>
                <w:color w:val="auto"/>
              </w:rPr>
              <w:t>Emerging growth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9" w:lineRule="exact"/>
        <w:rPr>
          <w:sz w:val="24"/>
          <w:szCs w:val="24"/>
          <w:color w:val="auto"/>
        </w:rPr>
      </w:pPr>
    </w:p>
    <w:p>
      <w:pPr>
        <w:jc w:val="both"/>
        <w:ind w:right="200"/>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7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62" w:lineRule="exact"/>
        <w:rPr>
          <w:sz w:val="24"/>
          <w:szCs w:val="24"/>
          <w:color w:val="auto"/>
        </w:rPr>
      </w:pPr>
    </w:p>
    <w:p>
      <w:pPr>
        <w:spacing w:after="0"/>
        <w:rPr>
          <w:sz w:val="20"/>
          <w:szCs w:val="20"/>
          <w:color w:val="auto"/>
        </w:rPr>
      </w:pPr>
      <w:r>
        <w:rPr>
          <w:rFonts w:ascii="Arial" w:cs="Arial" w:eastAsia="Arial" w:hAnsi="Arial"/>
          <w:sz w:val="14"/>
          <w:szCs w:val="14"/>
          <w:color w:val="auto"/>
        </w:rPr>
        <w:t>20,574,104 shares of common stock, $0.0001 par value, outstanding as of August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695960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00" w:type="dxa"/>
            <w:vAlign w:val="bottom"/>
            <w:gridSpan w:val="18"/>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340" w:type="dxa"/>
            <w:vAlign w:val="bottom"/>
          </w:tcPr>
          <w:p>
            <w:pPr>
              <w:spacing w:after="0"/>
              <w:rPr>
                <w:sz w:val="17"/>
                <w:szCs w:val="17"/>
                <w:color w:val="auto"/>
              </w:rPr>
            </w:pPr>
          </w:p>
        </w:tc>
      </w:tr>
      <w:tr>
        <w:trPr>
          <w:trHeight w:val="774"/>
        </w:trPr>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40" w:type="dxa"/>
            <w:vAlign w:val="bottom"/>
            <w:gridSpan w:val="4"/>
          </w:tcPr>
          <w:p>
            <w:pPr>
              <w:ind w:left="152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306"/>
        </w:trPr>
        <w:tc>
          <w:tcPr>
            <w:tcW w:w="40" w:type="dxa"/>
            <w:vAlign w:val="bottom"/>
          </w:tcPr>
          <w:p>
            <w:pPr>
              <w:spacing w:after="0"/>
              <w:rPr>
                <w:sz w:val="24"/>
                <w:szCs w:val="24"/>
                <w:color w:val="auto"/>
              </w:rPr>
            </w:pPr>
          </w:p>
        </w:tc>
        <w:tc>
          <w:tcPr>
            <w:tcW w:w="8860" w:type="dxa"/>
            <w:vAlign w:val="bottom"/>
            <w:gridSpan w:val="17"/>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 Financial Information</w:t>
              </w:r>
            </w:hyperlink>
          </w:p>
        </w:tc>
        <w:tc>
          <w:tcPr>
            <w:tcW w:w="2340" w:type="dxa"/>
            <w:vAlign w:val="bottom"/>
          </w:tcPr>
          <w:p>
            <w:pPr>
              <w:ind w:left="1800"/>
              <w:spacing w:after="0"/>
              <w:rPr>
                <w:rFonts w:ascii="Arial" w:cs="Arial" w:eastAsia="Arial" w:hAnsi="Arial"/>
                <w:sz w:val="18"/>
                <w:szCs w:val="18"/>
                <w:color w:val="auto"/>
              </w:rPr>
            </w:pPr>
            <w:hyperlink w:anchor="page2">
              <w:r>
                <w:rPr>
                  <w:rFonts w:ascii="Arial" w:cs="Arial" w:eastAsia="Arial" w:hAnsi="Arial"/>
                  <w:sz w:val="18"/>
                  <w:szCs w:val="18"/>
                  <w:color w:val="auto"/>
                </w:rPr>
                <w:t>1</w:t>
              </w:r>
            </w:hyperlink>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60" w:type="dxa"/>
            <w:vAlign w:val="bottom"/>
            <w:gridSpan w:val="16"/>
          </w:tcPr>
          <w:p>
            <w:pPr>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2340" w:type="dxa"/>
            <w:vAlign w:val="bottom"/>
          </w:tcPr>
          <w:p>
            <w:pPr>
              <w:ind w:left="1800"/>
              <w:spacing w:after="0" w:line="205" w:lineRule="exact"/>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60" w:type="dxa"/>
            <w:vAlign w:val="bottom"/>
            <w:gridSpan w:val="16"/>
          </w:tcPr>
          <w:p>
            <w:pPr>
              <w:spacing w:after="0" w:line="205" w:lineRule="exact"/>
              <w:rPr>
                <w:rFonts w:ascii="Arial" w:cs="Arial" w:eastAsia="Arial" w:hAnsi="Arial"/>
                <w:sz w:val="18"/>
                <w:szCs w:val="18"/>
                <w:color w:val="0000FF"/>
              </w:rPr>
            </w:pPr>
            <w:hyperlink w:anchor="page24">
              <w:r>
                <w:rPr>
                  <w:rFonts w:ascii="Arial" w:cs="Arial" w:eastAsia="Arial" w:hAnsi="Arial"/>
                  <w:sz w:val="18"/>
                  <w:szCs w:val="18"/>
                  <w:color w:val="0000FF"/>
                </w:rPr>
                <w:t>Item 2. Management's Discussion and Analysis of Financial Condition and Results of Operations</w:t>
              </w:r>
            </w:hyperlink>
          </w:p>
        </w:tc>
        <w:tc>
          <w:tcPr>
            <w:tcW w:w="2340" w:type="dxa"/>
            <w:vAlign w:val="bottom"/>
          </w:tcPr>
          <w:p>
            <w:pPr>
              <w:ind w:left="1800"/>
              <w:spacing w:after="0" w:line="205" w:lineRule="exact"/>
              <w:rPr>
                <w:rFonts w:ascii="Arial" w:cs="Arial" w:eastAsia="Arial" w:hAnsi="Arial"/>
                <w:sz w:val="18"/>
                <w:szCs w:val="18"/>
                <w:color w:val="auto"/>
              </w:rPr>
            </w:pPr>
            <w:hyperlink w:anchor="page24">
              <w:r>
                <w:rPr>
                  <w:rFonts w:ascii="Arial" w:cs="Arial" w:eastAsia="Arial" w:hAnsi="Arial"/>
                  <w:sz w:val="18"/>
                  <w:szCs w:val="18"/>
                  <w:color w:val="auto"/>
                </w:rPr>
                <w:t>23</w:t>
              </w:r>
            </w:hyperlink>
          </w:p>
        </w:tc>
      </w:tr>
      <w:tr>
        <w:trPr>
          <w:trHeight w:val="205"/>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40" w:type="dxa"/>
            <w:vAlign w:val="bottom"/>
            <w:tcBorders>
              <w:top w:val="single" w:sz="8" w:color="0000FF"/>
              <w:bottom w:val="single" w:sz="8" w:color="0000FF"/>
            </w:tcBorders>
            <w:gridSpan w:val="14"/>
          </w:tcPr>
          <w:p>
            <w:pPr>
              <w:spacing w:after="0" w:line="205" w:lineRule="exact"/>
              <w:rPr>
                <w:rFonts w:ascii="Arial" w:cs="Arial" w:eastAsia="Arial" w:hAnsi="Arial"/>
                <w:sz w:val="18"/>
                <w:szCs w:val="18"/>
                <w:color w:val="0000FF"/>
                <w:w w:val="90"/>
              </w:rPr>
            </w:pPr>
            <w:hyperlink w:anchor="page36">
              <w:r>
                <w:rPr>
                  <w:rFonts w:ascii="Arial" w:cs="Arial" w:eastAsia="Arial" w:hAnsi="Arial"/>
                  <w:sz w:val="18"/>
                  <w:szCs w:val="18"/>
                  <w:color w:val="0000FF"/>
                  <w:w w:val="90"/>
                </w:rPr>
                <w:t>Item 3. Quantitative and Qualitative Disclosures About Market Risk</w:t>
              </w:r>
            </w:hyperlink>
          </w:p>
        </w:tc>
        <w:tc>
          <w:tcPr>
            <w:tcW w:w="2020" w:type="dxa"/>
            <w:vAlign w:val="bottom"/>
            <w:tcBorders>
              <w:top w:val="single" w:sz="8" w:color="0000FF"/>
            </w:tcBorders>
          </w:tcPr>
          <w:p>
            <w:pPr>
              <w:spacing w:after="0"/>
              <w:rPr>
                <w:sz w:val="17"/>
                <w:szCs w:val="17"/>
                <w:color w:val="auto"/>
              </w:rPr>
            </w:pPr>
          </w:p>
        </w:tc>
        <w:tc>
          <w:tcPr>
            <w:tcW w:w="1800" w:type="dxa"/>
            <w:vAlign w:val="bottom"/>
          </w:tcPr>
          <w:p>
            <w:pPr>
              <w:spacing w:after="0"/>
              <w:rPr>
                <w:sz w:val="17"/>
                <w:szCs w:val="17"/>
                <w:color w:val="auto"/>
              </w:rPr>
            </w:pPr>
          </w:p>
        </w:tc>
        <w:tc>
          <w:tcPr>
            <w:tcW w:w="2340" w:type="dxa"/>
            <w:vAlign w:val="bottom"/>
          </w:tcPr>
          <w:p>
            <w:pPr>
              <w:ind w:left="1800"/>
              <w:spacing w:after="0" w:line="205" w:lineRule="exact"/>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205"/>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60" w:type="dxa"/>
            <w:vAlign w:val="bottom"/>
            <w:gridSpan w:val="16"/>
          </w:tcPr>
          <w:p>
            <w:pPr>
              <w:spacing w:after="0" w:line="205" w:lineRule="exact"/>
              <w:rPr>
                <w:rFonts w:ascii="Arial" w:cs="Arial" w:eastAsia="Arial" w:hAnsi="Arial"/>
                <w:sz w:val="18"/>
                <w:szCs w:val="18"/>
                <w:color w:val="0000FF"/>
              </w:rPr>
            </w:pPr>
            <w:hyperlink w:anchor="page36">
              <w:r>
                <w:rPr>
                  <w:rFonts w:ascii="Arial" w:cs="Arial" w:eastAsia="Arial" w:hAnsi="Arial"/>
                  <w:sz w:val="18"/>
                  <w:szCs w:val="18"/>
                  <w:color w:val="0000FF"/>
                </w:rPr>
                <w:t>Item 4. Controls and Procedures</w:t>
              </w:r>
            </w:hyperlink>
          </w:p>
        </w:tc>
        <w:tc>
          <w:tcPr>
            <w:tcW w:w="2340" w:type="dxa"/>
            <w:vAlign w:val="bottom"/>
          </w:tcPr>
          <w:p>
            <w:pPr>
              <w:ind w:left="1800"/>
              <w:spacing w:after="0" w:line="205" w:lineRule="exact"/>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20"/>
        </w:trPr>
        <w:tc>
          <w:tcPr>
            <w:tcW w:w="24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8860" w:type="dxa"/>
            <w:vAlign w:val="bottom"/>
            <w:gridSpan w:val="17"/>
          </w:tcPr>
          <w:p>
            <w:pPr>
              <w:spacing w:after="0" w:line="205" w:lineRule="exact"/>
              <w:rPr>
                <w:rFonts w:ascii="Arial" w:cs="Arial" w:eastAsia="Arial" w:hAnsi="Arial"/>
                <w:sz w:val="18"/>
                <w:szCs w:val="18"/>
                <w:color w:val="0000FF"/>
              </w:rPr>
            </w:pPr>
            <w:hyperlink w:anchor="page37">
              <w:r>
                <w:rPr>
                  <w:rFonts w:ascii="Arial" w:cs="Arial" w:eastAsia="Arial" w:hAnsi="Arial"/>
                  <w:sz w:val="18"/>
                  <w:szCs w:val="18"/>
                  <w:color w:val="0000FF"/>
                </w:rPr>
                <w:t>Part II - Other Information</w:t>
              </w:r>
            </w:hyperlink>
          </w:p>
        </w:tc>
        <w:tc>
          <w:tcPr>
            <w:tcW w:w="2340" w:type="dxa"/>
            <w:vAlign w:val="bottom"/>
          </w:tcPr>
          <w:p>
            <w:pPr>
              <w:ind w:left="1800"/>
              <w:spacing w:after="0" w:line="205" w:lineRule="exact"/>
              <w:rPr>
                <w:rFonts w:ascii="Arial" w:cs="Arial" w:eastAsia="Arial" w:hAnsi="Arial"/>
                <w:sz w:val="18"/>
                <w:szCs w:val="18"/>
                <w:color w:val="auto"/>
              </w:rPr>
            </w:pPr>
            <w:hyperlink w:anchor="page37">
              <w:r>
                <w:rPr>
                  <w:rFonts w:ascii="Arial" w:cs="Arial" w:eastAsia="Arial" w:hAnsi="Arial"/>
                  <w:sz w:val="18"/>
                  <w:szCs w:val="18"/>
                  <w:color w:val="auto"/>
                </w:rPr>
                <w:t>36</w:t>
              </w:r>
            </w:hyperlink>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Borders>
              <w:bottom w:val="single" w:sz="8" w:color="0000FF"/>
            </w:tcBorders>
            <w:gridSpan w:val="9"/>
          </w:tcPr>
          <w:p>
            <w:pPr>
              <w:spacing w:after="0" w:line="205" w:lineRule="exact"/>
              <w:rPr>
                <w:rFonts w:ascii="Arial" w:cs="Arial" w:eastAsia="Arial" w:hAnsi="Arial"/>
                <w:sz w:val="18"/>
                <w:szCs w:val="18"/>
                <w:color w:val="0000FF"/>
                <w:w w:val="87"/>
              </w:rPr>
            </w:pPr>
            <w:hyperlink w:anchor="page38">
              <w:r>
                <w:rPr>
                  <w:rFonts w:ascii="Arial" w:cs="Arial" w:eastAsia="Arial" w:hAnsi="Arial"/>
                  <w:sz w:val="18"/>
                  <w:szCs w:val="18"/>
                  <w:color w:val="0000FF"/>
                  <w:w w:val="87"/>
                </w:rPr>
                <w:t>Item 1. Legal Proceedings</w:t>
              </w:r>
            </w:hyperlink>
          </w:p>
        </w:tc>
        <w:tc>
          <w:tcPr>
            <w:tcW w:w="6780" w:type="dxa"/>
            <w:vAlign w:val="bottom"/>
            <w:gridSpan w:val="7"/>
          </w:tcPr>
          <w:p>
            <w:pPr>
              <w:spacing w:after="0"/>
              <w:rPr>
                <w:sz w:val="17"/>
                <w:szCs w:val="17"/>
                <w:color w:val="auto"/>
              </w:rPr>
            </w:pPr>
          </w:p>
        </w:tc>
        <w:tc>
          <w:tcPr>
            <w:tcW w:w="2340" w:type="dxa"/>
            <w:vAlign w:val="bottom"/>
          </w:tcPr>
          <w:p>
            <w:pPr>
              <w:ind w:left="1800"/>
              <w:spacing w:after="0" w:line="205" w:lineRule="exact"/>
              <w:rPr>
                <w:rFonts w:ascii="Arial" w:cs="Arial" w:eastAsia="Arial" w:hAnsi="Arial"/>
                <w:sz w:val="18"/>
                <w:szCs w:val="18"/>
                <w:color w:val="auto"/>
              </w:rPr>
            </w:pPr>
            <w:hyperlink w:anchor="page38">
              <w:r>
                <w:rPr>
                  <w:rFonts w:ascii="Arial" w:cs="Arial" w:eastAsia="Arial" w:hAnsi="Arial"/>
                  <w:sz w:val="18"/>
                  <w:szCs w:val="18"/>
                  <w:color w:val="auto"/>
                </w:rPr>
                <w:t>36</w:t>
              </w:r>
            </w:hyperlink>
          </w:p>
        </w:tc>
      </w:tr>
      <w:tr>
        <w:trPr>
          <w:trHeight w:val="205"/>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20" w:type="dxa"/>
            <w:vAlign w:val="bottom"/>
            <w:gridSpan w:val="15"/>
          </w:tcPr>
          <w:p>
            <w:pPr>
              <w:spacing w:after="0" w:line="205" w:lineRule="exact"/>
              <w:rPr>
                <w:rFonts w:ascii="Arial" w:cs="Arial" w:eastAsia="Arial" w:hAnsi="Arial"/>
                <w:sz w:val="18"/>
                <w:szCs w:val="18"/>
                <w:color w:val="0000FF"/>
              </w:rPr>
            </w:pPr>
            <w:hyperlink w:anchor="page38">
              <w:r>
                <w:rPr>
                  <w:rFonts w:ascii="Arial" w:cs="Arial" w:eastAsia="Arial" w:hAnsi="Arial"/>
                  <w:sz w:val="18"/>
                  <w:szCs w:val="18"/>
                  <w:color w:val="0000FF"/>
                </w:rPr>
                <w:t>Item 1A. Risk Factors</w:t>
              </w:r>
            </w:hyperlink>
          </w:p>
        </w:tc>
        <w:tc>
          <w:tcPr>
            <w:tcW w:w="2340" w:type="dxa"/>
            <w:vAlign w:val="bottom"/>
          </w:tcPr>
          <w:p>
            <w:pPr>
              <w:ind w:left="1800"/>
              <w:spacing w:after="0" w:line="205" w:lineRule="exact"/>
              <w:rPr>
                <w:rFonts w:ascii="Arial" w:cs="Arial" w:eastAsia="Arial" w:hAnsi="Arial"/>
                <w:sz w:val="18"/>
                <w:szCs w:val="18"/>
                <w:color w:val="auto"/>
              </w:rPr>
            </w:pPr>
            <w:hyperlink w:anchor="page38">
              <w:r>
                <w:rPr>
                  <w:rFonts w:ascii="Arial" w:cs="Arial" w:eastAsia="Arial" w:hAnsi="Arial"/>
                  <w:sz w:val="18"/>
                  <w:szCs w:val="18"/>
                  <w:color w:val="auto"/>
                </w:rPr>
                <w:t>36</w:t>
              </w:r>
            </w:hyperlink>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20" w:type="dxa"/>
            <w:vAlign w:val="bottom"/>
            <w:tcBorders>
              <w:bottom w:val="single" w:sz="8" w:color="0000FF"/>
            </w:tcBorders>
            <w:gridSpan w:val="13"/>
          </w:tcPr>
          <w:p>
            <w:pPr>
              <w:spacing w:after="0" w:line="205" w:lineRule="exact"/>
              <w:rPr>
                <w:rFonts w:ascii="Arial" w:cs="Arial" w:eastAsia="Arial" w:hAnsi="Arial"/>
                <w:sz w:val="18"/>
                <w:szCs w:val="18"/>
                <w:color w:val="0000FF"/>
                <w:w w:val="88"/>
              </w:rPr>
            </w:pPr>
            <w:hyperlink w:anchor="page38">
              <w:r>
                <w:rPr>
                  <w:rFonts w:ascii="Arial" w:cs="Arial" w:eastAsia="Arial" w:hAnsi="Arial"/>
                  <w:sz w:val="18"/>
                  <w:szCs w:val="18"/>
                  <w:color w:val="0000FF"/>
                  <w:w w:val="88"/>
                </w:rPr>
                <w:t>Item 2. Unregistered Sales of Equity Securities and Use of Proceeds</w:t>
              </w:r>
            </w:hyperlink>
          </w:p>
        </w:tc>
        <w:tc>
          <w:tcPr>
            <w:tcW w:w="3840" w:type="dxa"/>
            <w:vAlign w:val="bottom"/>
            <w:gridSpan w:val="3"/>
          </w:tcPr>
          <w:p>
            <w:pPr>
              <w:spacing w:after="0"/>
              <w:rPr>
                <w:sz w:val="17"/>
                <w:szCs w:val="17"/>
                <w:color w:val="auto"/>
              </w:rPr>
            </w:pPr>
          </w:p>
        </w:tc>
        <w:tc>
          <w:tcPr>
            <w:tcW w:w="2340" w:type="dxa"/>
            <w:vAlign w:val="bottom"/>
          </w:tcPr>
          <w:p>
            <w:pPr>
              <w:ind w:left="1800"/>
              <w:spacing w:after="0" w:line="205" w:lineRule="exact"/>
              <w:rPr>
                <w:rFonts w:ascii="Arial" w:cs="Arial" w:eastAsia="Arial" w:hAnsi="Arial"/>
                <w:sz w:val="18"/>
                <w:szCs w:val="18"/>
                <w:color w:val="auto"/>
              </w:rPr>
            </w:pPr>
            <w:hyperlink w:anchor="page38">
              <w:r>
                <w:rPr>
                  <w:rFonts w:ascii="Arial" w:cs="Arial" w:eastAsia="Arial" w:hAnsi="Arial"/>
                  <w:sz w:val="18"/>
                  <w:szCs w:val="18"/>
                  <w:color w:val="auto"/>
                </w:rPr>
                <w:t>36</w:t>
              </w:r>
            </w:hyperlink>
          </w:p>
        </w:tc>
      </w:tr>
      <w:tr>
        <w:trPr>
          <w:trHeight w:val="205"/>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gridSpan w:val="2"/>
          </w:tcPr>
          <w:p>
            <w:pPr>
              <w:spacing w:after="0" w:line="205" w:lineRule="exact"/>
              <w:rPr>
                <w:rFonts w:ascii="Arial" w:cs="Arial" w:eastAsia="Arial" w:hAnsi="Arial"/>
                <w:sz w:val="18"/>
                <w:szCs w:val="18"/>
                <w:color w:val="0000FF"/>
                <w:w w:val="90"/>
              </w:rPr>
            </w:pPr>
            <w:hyperlink w:anchor="page38">
              <w:r>
                <w:rPr>
                  <w:rFonts w:ascii="Arial" w:cs="Arial" w:eastAsia="Arial" w:hAnsi="Arial"/>
                  <w:sz w:val="18"/>
                  <w:szCs w:val="18"/>
                  <w:color w:val="0000FF"/>
                  <w:w w:val="90"/>
                </w:rPr>
                <w:t>Item 3.</w:t>
              </w:r>
            </w:hyperlink>
          </w:p>
        </w:tc>
        <w:tc>
          <w:tcPr>
            <w:tcW w:w="8140" w:type="dxa"/>
            <w:vAlign w:val="bottom"/>
            <w:gridSpan w:val="14"/>
          </w:tcPr>
          <w:p>
            <w:pPr>
              <w:ind w:left="20"/>
              <w:spacing w:after="0" w:line="205" w:lineRule="exact"/>
              <w:rPr>
                <w:rFonts w:ascii="Arial" w:cs="Arial" w:eastAsia="Arial" w:hAnsi="Arial"/>
                <w:sz w:val="18"/>
                <w:szCs w:val="18"/>
                <w:color w:val="0000FF"/>
              </w:rPr>
            </w:pPr>
            <w:hyperlink w:anchor="page38">
              <w:r>
                <w:rPr>
                  <w:rFonts w:ascii="Arial" w:cs="Arial" w:eastAsia="Arial" w:hAnsi="Arial"/>
                  <w:sz w:val="18"/>
                  <w:szCs w:val="18"/>
                  <w:color w:val="0000FF"/>
                </w:rPr>
                <w:t>Defaults Upon Senior Securities</w:t>
              </w:r>
            </w:hyperlink>
          </w:p>
        </w:tc>
        <w:tc>
          <w:tcPr>
            <w:tcW w:w="2340" w:type="dxa"/>
            <w:vAlign w:val="bottom"/>
          </w:tcPr>
          <w:p>
            <w:pPr>
              <w:ind w:left="1800"/>
              <w:spacing w:after="0" w:line="205" w:lineRule="exact"/>
              <w:rPr>
                <w:rFonts w:ascii="Arial" w:cs="Arial" w:eastAsia="Arial" w:hAnsi="Arial"/>
                <w:sz w:val="18"/>
                <w:szCs w:val="18"/>
                <w:color w:val="auto"/>
              </w:rPr>
            </w:pPr>
            <w:hyperlink w:anchor="page38">
              <w:r>
                <w:rPr>
                  <w:rFonts w:ascii="Arial" w:cs="Arial" w:eastAsia="Arial" w:hAnsi="Arial"/>
                  <w:sz w:val="18"/>
                  <w:szCs w:val="18"/>
                  <w:color w:val="auto"/>
                </w:rPr>
                <w:t>36</w:t>
              </w:r>
            </w:hyperlink>
          </w:p>
        </w:tc>
      </w:tr>
      <w:tr>
        <w:trPr>
          <w:trHeight w:val="205"/>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top w:val="single" w:sz="8" w:color="0000FF"/>
            </w:tcBorders>
            <w:gridSpan w:val="2"/>
          </w:tcPr>
          <w:p>
            <w:pPr>
              <w:spacing w:after="0" w:line="205" w:lineRule="exact"/>
              <w:rPr>
                <w:rFonts w:ascii="Arial" w:cs="Arial" w:eastAsia="Arial" w:hAnsi="Arial"/>
                <w:sz w:val="18"/>
                <w:szCs w:val="18"/>
                <w:color w:val="0000FF"/>
                <w:w w:val="90"/>
              </w:rPr>
            </w:pPr>
            <w:hyperlink w:anchor="page38">
              <w:r>
                <w:rPr>
                  <w:rFonts w:ascii="Arial" w:cs="Arial" w:eastAsia="Arial" w:hAnsi="Arial"/>
                  <w:sz w:val="18"/>
                  <w:szCs w:val="18"/>
                  <w:color w:val="0000FF"/>
                  <w:w w:val="90"/>
                </w:rPr>
                <w:t>Item 4.</w:t>
              </w:r>
            </w:hyperlink>
          </w:p>
        </w:tc>
        <w:tc>
          <w:tcPr>
            <w:tcW w:w="2300" w:type="dxa"/>
            <w:vAlign w:val="bottom"/>
            <w:tcBorders>
              <w:top w:val="single" w:sz="8" w:color="0000FF"/>
            </w:tcBorders>
            <w:gridSpan w:val="9"/>
          </w:tcPr>
          <w:p>
            <w:pPr>
              <w:ind w:left="20"/>
              <w:spacing w:after="0" w:line="205" w:lineRule="exact"/>
              <w:rPr>
                <w:rFonts w:ascii="Arial" w:cs="Arial" w:eastAsia="Arial" w:hAnsi="Arial"/>
                <w:sz w:val="18"/>
                <w:szCs w:val="18"/>
                <w:color w:val="0000FF"/>
              </w:rPr>
            </w:pPr>
            <w:hyperlink w:anchor="page38">
              <w:r>
                <w:rPr>
                  <w:rFonts w:ascii="Arial" w:cs="Arial" w:eastAsia="Arial" w:hAnsi="Arial"/>
                  <w:sz w:val="18"/>
                  <w:szCs w:val="18"/>
                  <w:color w:val="0000FF"/>
                </w:rPr>
                <w:t>Mine Safety Disclosures</w:t>
              </w:r>
            </w:hyperlink>
          </w:p>
        </w:tc>
        <w:tc>
          <w:tcPr>
            <w:tcW w:w="5840" w:type="dxa"/>
            <w:vAlign w:val="bottom"/>
            <w:gridSpan w:val="5"/>
          </w:tcPr>
          <w:p>
            <w:pPr>
              <w:spacing w:after="0"/>
              <w:rPr>
                <w:sz w:val="17"/>
                <w:szCs w:val="17"/>
                <w:color w:val="auto"/>
              </w:rPr>
            </w:pPr>
          </w:p>
        </w:tc>
        <w:tc>
          <w:tcPr>
            <w:tcW w:w="2340" w:type="dxa"/>
            <w:vAlign w:val="bottom"/>
          </w:tcPr>
          <w:p>
            <w:pPr>
              <w:ind w:left="1800"/>
              <w:spacing w:after="0" w:line="205" w:lineRule="exact"/>
              <w:rPr>
                <w:rFonts w:ascii="Arial" w:cs="Arial" w:eastAsia="Arial" w:hAnsi="Arial"/>
                <w:sz w:val="18"/>
                <w:szCs w:val="18"/>
                <w:color w:val="auto"/>
              </w:rPr>
            </w:pPr>
            <w:hyperlink w:anchor="page38">
              <w:r>
                <w:rPr>
                  <w:rFonts w:ascii="Arial" w:cs="Arial" w:eastAsia="Arial" w:hAnsi="Arial"/>
                  <w:sz w:val="18"/>
                  <w:szCs w:val="18"/>
                  <w:color w:val="auto"/>
                </w:rPr>
                <w:t>36</w:t>
              </w:r>
            </w:hyperlink>
          </w:p>
        </w:tc>
      </w:tr>
      <w:tr>
        <w:trPr>
          <w:trHeight w:val="205"/>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top w:val="single" w:sz="8" w:color="0000FF"/>
              <w:bottom w:val="single" w:sz="8" w:color="0000FF"/>
            </w:tcBorders>
            <w:gridSpan w:val="2"/>
          </w:tcPr>
          <w:p>
            <w:pPr>
              <w:spacing w:after="0" w:line="205" w:lineRule="exact"/>
              <w:rPr>
                <w:rFonts w:ascii="Arial" w:cs="Arial" w:eastAsia="Arial" w:hAnsi="Arial"/>
                <w:sz w:val="18"/>
                <w:szCs w:val="18"/>
                <w:color w:val="0000FF"/>
                <w:w w:val="90"/>
              </w:rPr>
            </w:pPr>
            <w:hyperlink w:anchor="page38">
              <w:r>
                <w:rPr>
                  <w:rFonts w:ascii="Arial" w:cs="Arial" w:eastAsia="Arial" w:hAnsi="Arial"/>
                  <w:sz w:val="18"/>
                  <w:szCs w:val="18"/>
                  <w:color w:val="0000FF"/>
                  <w:w w:val="90"/>
                </w:rPr>
                <w:t>Item 5.</w:t>
              </w:r>
            </w:hyperlink>
          </w:p>
        </w:tc>
        <w:tc>
          <w:tcPr>
            <w:tcW w:w="1320" w:type="dxa"/>
            <w:vAlign w:val="bottom"/>
            <w:tcBorders>
              <w:top w:val="single" w:sz="8" w:color="0000FF"/>
              <w:bottom w:val="single" w:sz="8" w:color="0000FF"/>
            </w:tcBorders>
            <w:gridSpan w:val="6"/>
          </w:tcPr>
          <w:p>
            <w:pPr>
              <w:ind w:left="20"/>
              <w:spacing w:after="0" w:line="205" w:lineRule="exact"/>
              <w:rPr>
                <w:rFonts w:ascii="Arial" w:cs="Arial" w:eastAsia="Arial" w:hAnsi="Arial"/>
                <w:sz w:val="18"/>
                <w:szCs w:val="18"/>
                <w:color w:val="0000FF"/>
                <w:w w:val="91"/>
              </w:rPr>
            </w:pPr>
            <w:hyperlink w:anchor="page38">
              <w:r>
                <w:rPr>
                  <w:rFonts w:ascii="Arial" w:cs="Arial" w:eastAsia="Arial" w:hAnsi="Arial"/>
                  <w:sz w:val="18"/>
                  <w:szCs w:val="18"/>
                  <w:color w:val="0000FF"/>
                  <w:w w:val="91"/>
                </w:rPr>
                <w:t>Other Information</w:t>
              </w:r>
            </w:hyperlink>
          </w:p>
        </w:tc>
        <w:tc>
          <w:tcPr>
            <w:tcW w:w="440" w:type="dxa"/>
            <w:vAlign w:val="bottom"/>
            <w:tcBorders>
              <w:top w:val="single" w:sz="8" w:color="0000FF"/>
            </w:tcBorders>
            <w:gridSpan w:val="2"/>
          </w:tcPr>
          <w:p>
            <w:pPr>
              <w:spacing w:after="0"/>
              <w:rPr>
                <w:sz w:val="17"/>
                <w:szCs w:val="17"/>
                <w:color w:val="auto"/>
              </w:rPr>
            </w:pPr>
          </w:p>
        </w:tc>
        <w:tc>
          <w:tcPr>
            <w:tcW w:w="6380" w:type="dxa"/>
            <w:vAlign w:val="bottom"/>
            <w:gridSpan w:val="6"/>
          </w:tcPr>
          <w:p>
            <w:pPr>
              <w:spacing w:after="0"/>
              <w:rPr>
                <w:sz w:val="17"/>
                <w:szCs w:val="17"/>
                <w:color w:val="auto"/>
              </w:rPr>
            </w:pPr>
          </w:p>
        </w:tc>
        <w:tc>
          <w:tcPr>
            <w:tcW w:w="2340" w:type="dxa"/>
            <w:vAlign w:val="bottom"/>
          </w:tcPr>
          <w:p>
            <w:pPr>
              <w:ind w:left="1800"/>
              <w:spacing w:after="0" w:line="205" w:lineRule="exact"/>
              <w:rPr>
                <w:rFonts w:ascii="Arial" w:cs="Arial" w:eastAsia="Arial" w:hAnsi="Arial"/>
                <w:sz w:val="18"/>
                <w:szCs w:val="18"/>
                <w:color w:val="auto"/>
              </w:rPr>
            </w:pPr>
            <w:hyperlink w:anchor="page38">
              <w:r>
                <w:rPr>
                  <w:rFonts w:ascii="Arial" w:cs="Arial" w:eastAsia="Arial" w:hAnsi="Arial"/>
                  <w:sz w:val="18"/>
                  <w:szCs w:val="18"/>
                  <w:color w:val="auto"/>
                </w:rPr>
                <w:t>36</w:t>
              </w:r>
            </w:hyperlink>
          </w:p>
        </w:tc>
      </w:tr>
      <w:tr>
        <w:trPr>
          <w:trHeight w:val="205"/>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bottom w:val="single" w:sz="8" w:color="0000FF"/>
            </w:tcBorders>
            <w:gridSpan w:val="2"/>
          </w:tcPr>
          <w:p>
            <w:pPr>
              <w:spacing w:after="0" w:line="205" w:lineRule="exact"/>
              <w:rPr>
                <w:rFonts w:ascii="Arial" w:cs="Arial" w:eastAsia="Arial" w:hAnsi="Arial"/>
                <w:sz w:val="18"/>
                <w:szCs w:val="18"/>
                <w:color w:val="0000FF"/>
                <w:w w:val="90"/>
              </w:rPr>
            </w:pPr>
            <w:hyperlink w:anchor="page38">
              <w:r>
                <w:rPr>
                  <w:rFonts w:ascii="Arial" w:cs="Arial" w:eastAsia="Arial" w:hAnsi="Arial"/>
                  <w:sz w:val="18"/>
                  <w:szCs w:val="18"/>
                  <w:color w:val="0000FF"/>
                  <w:w w:val="90"/>
                </w:rPr>
                <w:t>Item 6.</w:t>
              </w:r>
            </w:hyperlink>
          </w:p>
        </w:tc>
        <w:tc>
          <w:tcPr>
            <w:tcW w:w="620" w:type="dxa"/>
            <w:vAlign w:val="bottom"/>
            <w:tcBorders>
              <w:bottom w:val="single" w:sz="8" w:color="0000FF"/>
            </w:tcBorders>
            <w:gridSpan w:val="3"/>
          </w:tcPr>
          <w:p>
            <w:pPr>
              <w:ind w:left="20"/>
              <w:spacing w:after="0" w:line="205" w:lineRule="exact"/>
              <w:rPr>
                <w:rFonts w:ascii="Arial" w:cs="Arial" w:eastAsia="Arial" w:hAnsi="Arial"/>
                <w:sz w:val="18"/>
                <w:szCs w:val="18"/>
                <w:color w:val="0000FF"/>
                <w:w w:val="91"/>
              </w:rPr>
            </w:pPr>
            <w:hyperlink w:anchor="page38">
              <w:r>
                <w:rPr>
                  <w:rFonts w:ascii="Arial" w:cs="Arial" w:eastAsia="Arial" w:hAnsi="Arial"/>
                  <w:sz w:val="18"/>
                  <w:szCs w:val="18"/>
                  <w:color w:val="0000FF"/>
                  <w:w w:val="91"/>
                </w:rPr>
                <w:t>Exhibits</w:t>
              </w:r>
            </w:hyperlink>
          </w:p>
        </w:tc>
        <w:tc>
          <w:tcPr>
            <w:tcW w:w="7520" w:type="dxa"/>
            <w:vAlign w:val="bottom"/>
            <w:gridSpan w:val="11"/>
          </w:tcPr>
          <w:p>
            <w:pPr>
              <w:spacing w:after="0"/>
              <w:rPr>
                <w:sz w:val="17"/>
                <w:szCs w:val="17"/>
                <w:color w:val="auto"/>
              </w:rPr>
            </w:pPr>
          </w:p>
        </w:tc>
        <w:tc>
          <w:tcPr>
            <w:tcW w:w="2340" w:type="dxa"/>
            <w:vAlign w:val="bottom"/>
          </w:tcPr>
          <w:p>
            <w:pPr>
              <w:ind w:left="1800"/>
              <w:spacing w:after="0" w:line="205" w:lineRule="exact"/>
              <w:rPr>
                <w:rFonts w:ascii="Arial" w:cs="Arial" w:eastAsia="Arial" w:hAnsi="Arial"/>
                <w:sz w:val="18"/>
                <w:szCs w:val="18"/>
                <w:color w:val="auto"/>
              </w:rPr>
            </w:pPr>
            <w:hyperlink w:anchor="page38">
              <w:r>
                <w:rPr>
                  <w:rFonts w:ascii="Arial" w:cs="Arial" w:eastAsia="Arial" w:hAnsi="Arial"/>
                  <w:sz w:val="18"/>
                  <w:szCs w:val="18"/>
                  <w:color w:val="auto"/>
                </w:rPr>
                <w:t>37</w:t>
              </w:r>
            </w:hyperlink>
          </w:p>
        </w:tc>
      </w:tr>
      <w:tr>
        <w:trPr>
          <w:trHeight w:val="205"/>
        </w:trPr>
        <w:tc>
          <w:tcPr>
            <w:tcW w:w="8900" w:type="dxa"/>
            <w:vAlign w:val="bottom"/>
            <w:gridSpan w:val="18"/>
          </w:tcPr>
          <w:p>
            <w:pPr>
              <w:ind w:left="40"/>
              <w:spacing w:after="0" w:line="205" w:lineRule="exact"/>
              <w:rPr>
                <w:rFonts w:ascii="Arial" w:cs="Arial" w:eastAsia="Arial" w:hAnsi="Arial"/>
                <w:sz w:val="18"/>
                <w:szCs w:val="18"/>
                <w:color w:val="0000FF"/>
              </w:rPr>
            </w:pPr>
            <w:hyperlink w:anchor="page39">
              <w:r>
                <w:rPr>
                  <w:rFonts w:ascii="Arial" w:cs="Arial" w:eastAsia="Arial" w:hAnsi="Arial"/>
                  <w:sz w:val="18"/>
                  <w:szCs w:val="18"/>
                  <w:color w:val="0000FF"/>
                </w:rPr>
                <w:t>Signatures</w:t>
              </w:r>
            </w:hyperlink>
          </w:p>
        </w:tc>
        <w:tc>
          <w:tcPr>
            <w:tcW w:w="2340" w:type="dxa"/>
            <w:vAlign w:val="bottom"/>
          </w:tcPr>
          <w:p>
            <w:pPr>
              <w:ind w:left="1800"/>
              <w:spacing w:after="0" w:line="205" w:lineRule="exact"/>
              <w:rPr>
                <w:rFonts w:ascii="Arial" w:cs="Arial" w:eastAsia="Arial" w:hAnsi="Arial"/>
                <w:sz w:val="18"/>
                <w:szCs w:val="18"/>
                <w:color w:val="auto"/>
              </w:rPr>
            </w:pPr>
            <w:hyperlink w:anchor="page39">
              <w:r>
                <w:rPr>
                  <w:rFonts w:ascii="Arial" w:cs="Arial" w:eastAsia="Arial" w:hAnsi="Arial"/>
                  <w:sz w:val="18"/>
                  <w:szCs w:val="18"/>
                  <w:color w:val="auto"/>
                </w:rPr>
                <w:t>38</w:t>
              </w:r>
            </w:hyperlink>
          </w:p>
        </w:tc>
      </w:tr>
      <w:tr>
        <w:trPr>
          <w:trHeight w:val="1418"/>
        </w:trPr>
        <w:tc>
          <w:tcPr>
            <w:tcW w:w="4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60" w:type="dxa"/>
            <w:vAlign w:val="bottom"/>
            <w:gridSpan w:val="3"/>
          </w:tcPr>
          <w:p>
            <w:pPr>
              <w:jc w:val="center"/>
              <w:ind w:right="2360"/>
              <w:spacing w:after="0"/>
              <w:rPr>
                <w:sz w:val="20"/>
                <w:szCs w:val="20"/>
                <w:color w:val="auto"/>
              </w:rPr>
            </w:pPr>
            <w:r>
              <w:rPr>
                <w:rFonts w:ascii="Arial" w:cs="Arial" w:eastAsia="Arial" w:hAnsi="Arial"/>
                <w:sz w:val="18"/>
                <w:szCs w:val="18"/>
                <w:b w:val="1"/>
                <w:bCs w:val="1"/>
                <w:color w:val="auto"/>
              </w:rPr>
              <w:t>PART I—FINANCIAL INFORMATION</w:t>
            </w:r>
          </w:p>
        </w:tc>
        <w:tc>
          <w:tcPr>
            <w:tcW w:w="580" w:type="dxa"/>
            <w:vAlign w:val="bottom"/>
          </w:tcPr>
          <w:p>
            <w:pPr>
              <w:spacing w:after="0"/>
              <w:rPr>
                <w:sz w:val="19"/>
                <w:szCs w:val="19"/>
                <w:color w:val="auto"/>
              </w:rPr>
            </w:pPr>
          </w:p>
        </w:tc>
      </w:tr>
      <w:tr>
        <w:trPr>
          <w:trHeight w:val="424"/>
        </w:trPr>
        <w:tc>
          <w:tcPr>
            <w:tcW w:w="10640" w:type="dxa"/>
            <w:vAlign w:val="bottom"/>
            <w:gridSpan w:val="7"/>
          </w:tcPr>
          <w:p>
            <w:pPr>
              <w:spacing w:after="0"/>
              <w:rPr>
                <w:sz w:val="20"/>
                <w:szCs w:val="20"/>
                <w:color w:val="auto"/>
              </w:rPr>
            </w:pPr>
            <w:r>
              <w:rPr>
                <w:rFonts w:ascii="Arial" w:cs="Arial" w:eastAsia="Arial" w:hAnsi="Arial"/>
                <w:sz w:val="18"/>
                <w:szCs w:val="18"/>
                <w:b w:val="1"/>
                <w:bCs w:val="1"/>
                <w:color w:val="auto"/>
              </w:rPr>
              <w:t>Item I. Financial Statements (Unaudited)</w:t>
            </w:r>
          </w:p>
        </w:tc>
        <w:tc>
          <w:tcPr>
            <w:tcW w:w="580" w:type="dxa"/>
            <w:vAlign w:val="bottom"/>
          </w:tcPr>
          <w:p>
            <w:pPr>
              <w:spacing w:after="0"/>
              <w:rPr>
                <w:sz w:val="24"/>
                <w:szCs w:val="24"/>
                <w:color w:val="auto"/>
              </w:rPr>
            </w:pPr>
          </w:p>
        </w:tc>
      </w:tr>
      <w:tr>
        <w:trPr>
          <w:trHeight w:val="407"/>
        </w:trPr>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60" w:type="dxa"/>
            <w:vAlign w:val="bottom"/>
            <w:gridSpan w:val="3"/>
          </w:tcPr>
          <w:p>
            <w:pPr>
              <w:jc w:val="center"/>
              <w:ind w:right="2380"/>
              <w:spacing w:after="0"/>
              <w:rPr>
                <w:sz w:val="20"/>
                <w:szCs w:val="20"/>
                <w:color w:val="auto"/>
              </w:rPr>
            </w:pPr>
            <w:r>
              <w:rPr>
                <w:rFonts w:ascii="Arial" w:cs="Arial" w:eastAsia="Arial" w:hAnsi="Arial"/>
                <w:sz w:val="18"/>
                <w:szCs w:val="18"/>
                <w:b w:val="1"/>
                <w:bCs w:val="1"/>
                <w:color w:val="auto"/>
                <w:w w:val="97"/>
              </w:rPr>
              <w:t>TARSUS PHARMACEUTICALS, INC.</w:t>
            </w:r>
          </w:p>
        </w:tc>
        <w:tc>
          <w:tcPr>
            <w:tcW w:w="580" w:type="dxa"/>
            <w:vAlign w:val="bottom"/>
          </w:tcPr>
          <w:p>
            <w:pPr>
              <w:spacing w:after="0"/>
              <w:rPr>
                <w:sz w:val="24"/>
                <w:szCs w:val="24"/>
                <w:color w:val="auto"/>
              </w:rPr>
            </w:pPr>
          </w:p>
        </w:tc>
      </w:tr>
      <w:tr>
        <w:trPr>
          <w:trHeight w:val="229"/>
        </w:trPr>
        <w:tc>
          <w:tcPr>
            <w:tcW w:w="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60" w:type="dxa"/>
            <w:vAlign w:val="bottom"/>
            <w:gridSpan w:val="3"/>
          </w:tcPr>
          <w:p>
            <w:pPr>
              <w:jc w:val="center"/>
              <w:ind w:right="2380"/>
              <w:spacing w:after="0"/>
              <w:rPr>
                <w:sz w:val="20"/>
                <w:szCs w:val="20"/>
                <w:color w:val="auto"/>
              </w:rPr>
            </w:pPr>
            <w:r>
              <w:rPr>
                <w:rFonts w:ascii="Arial" w:cs="Arial" w:eastAsia="Arial" w:hAnsi="Arial"/>
                <w:sz w:val="18"/>
                <w:szCs w:val="18"/>
                <w:b w:val="1"/>
                <w:bCs w:val="1"/>
                <w:color w:val="auto"/>
              </w:rPr>
              <w:t>INDEX TO THE FINANCIAL STATEMENTS</w:t>
            </w:r>
          </w:p>
        </w:tc>
        <w:tc>
          <w:tcPr>
            <w:tcW w:w="580" w:type="dxa"/>
            <w:vAlign w:val="bottom"/>
          </w:tcPr>
          <w:p>
            <w:pPr>
              <w:spacing w:after="0"/>
              <w:rPr>
                <w:sz w:val="19"/>
                <w:szCs w:val="19"/>
                <w:color w:val="auto"/>
              </w:rPr>
            </w:pPr>
          </w:p>
        </w:tc>
      </w:tr>
      <w:tr>
        <w:trPr>
          <w:trHeight w:val="418"/>
        </w:trPr>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Pages</w:t>
            </w:r>
          </w:p>
        </w:tc>
      </w:tr>
      <w:tr>
        <w:trPr>
          <w:trHeight w:val="172"/>
        </w:trPr>
        <w:tc>
          <w:tcPr>
            <w:tcW w:w="40" w:type="dxa"/>
            <w:vAlign w:val="bottom"/>
          </w:tcPr>
          <w:p>
            <w:pPr>
              <w:spacing w:after="0"/>
              <w:rPr>
                <w:sz w:val="14"/>
                <w:szCs w:val="14"/>
                <w:color w:val="auto"/>
              </w:rPr>
            </w:pPr>
          </w:p>
        </w:tc>
        <w:tc>
          <w:tcPr>
            <w:tcW w:w="1900" w:type="dxa"/>
            <w:vAlign w:val="bottom"/>
            <w:tcBorders>
              <w:bottom w:val="single" w:sz="8" w:color="0000FF"/>
            </w:tcBorders>
          </w:tcPr>
          <w:p>
            <w:pPr>
              <w:spacing w:after="0" w:line="152" w:lineRule="exact"/>
              <w:rPr>
                <w:rFonts w:ascii="Arial" w:cs="Arial" w:eastAsia="Arial" w:hAnsi="Arial"/>
                <w:sz w:val="17"/>
                <w:szCs w:val="17"/>
                <w:color w:val="0000FF"/>
                <w:w w:val="89"/>
              </w:rPr>
            </w:pPr>
            <w:hyperlink w:anchor="page3">
              <w:r>
                <w:rPr>
                  <w:rFonts w:ascii="Arial" w:cs="Arial" w:eastAsia="Arial" w:hAnsi="Arial"/>
                  <w:sz w:val="17"/>
                  <w:szCs w:val="17"/>
                  <w:color w:val="0000FF"/>
                  <w:w w:val="89"/>
                </w:rPr>
                <w:t>Condensed Balance Sheets</w:t>
              </w:r>
            </w:hyperlink>
          </w:p>
        </w:tc>
        <w:tc>
          <w:tcPr>
            <w:tcW w:w="8700" w:type="dxa"/>
            <w:vAlign w:val="bottom"/>
            <w:gridSpan w:val="5"/>
          </w:tcPr>
          <w:p>
            <w:pPr>
              <w:spacing w:after="0"/>
              <w:rPr>
                <w:sz w:val="14"/>
                <w:szCs w:val="14"/>
                <w:color w:val="auto"/>
              </w:rPr>
            </w:pPr>
          </w:p>
        </w:tc>
        <w:tc>
          <w:tcPr>
            <w:tcW w:w="580" w:type="dxa"/>
            <w:vAlign w:val="bottom"/>
          </w:tcPr>
          <w:p>
            <w:pPr>
              <w:ind w:left="320"/>
              <w:spacing w:after="0" w:line="152" w:lineRule="exact"/>
              <w:rPr>
                <w:sz w:val="20"/>
                <w:szCs w:val="20"/>
                <w:color w:val="auto"/>
              </w:rPr>
            </w:pPr>
            <w:r>
              <w:rPr>
                <w:rFonts w:ascii="Arial" w:cs="Arial" w:eastAsia="Arial" w:hAnsi="Arial"/>
                <w:sz w:val="17"/>
                <w:szCs w:val="17"/>
                <w:color w:val="auto"/>
                <w:w w:val="93"/>
              </w:rPr>
              <w:t>F-2</w:t>
            </w:r>
          </w:p>
        </w:tc>
      </w:tr>
      <w:tr>
        <w:trPr>
          <w:trHeight w:val="218"/>
        </w:trPr>
        <w:tc>
          <w:tcPr>
            <w:tcW w:w="40" w:type="dxa"/>
            <w:vAlign w:val="bottom"/>
          </w:tcPr>
          <w:p>
            <w:pPr>
              <w:spacing w:after="0"/>
              <w:rPr>
                <w:sz w:val="19"/>
                <w:szCs w:val="19"/>
                <w:color w:val="auto"/>
              </w:rPr>
            </w:pPr>
          </w:p>
        </w:tc>
        <w:tc>
          <w:tcPr>
            <w:tcW w:w="10600" w:type="dxa"/>
            <w:vAlign w:val="bottom"/>
            <w:gridSpan w:val="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Statements of Operations and Comprehensive Income (Loss</w:t>
              </w:r>
            </w:hyperlink>
            <w:r>
              <w:rPr>
                <w:rFonts w:ascii="Arial" w:cs="Arial" w:eastAsia="Arial" w:hAnsi="Arial"/>
                <w:sz w:val="18"/>
                <w:szCs w:val="18"/>
                <w:color w:val="000000"/>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88"/>
              </w:rPr>
              <w:t>F-3</w:t>
            </w:r>
          </w:p>
        </w:tc>
      </w:tr>
      <w:tr>
        <w:trPr>
          <w:trHeight w:val="20"/>
        </w:trPr>
        <w:tc>
          <w:tcPr>
            <w:tcW w:w="4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10600" w:type="dxa"/>
            <w:vAlign w:val="bottom"/>
            <w:gridSpan w:val="6"/>
          </w:tcPr>
          <w:p>
            <w:pPr>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Condensed Statements of Preferred Stock and Stockholders’ Equity (Deficit</w:t>
              </w:r>
            </w:hyperlink>
            <w:r>
              <w:rPr>
                <w:rFonts w:ascii="Arial" w:cs="Arial" w:eastAsia="Arial" w:hAnsi="Arial"/>
                <w:sz w:val="18"/>
                <w:szCs w:val="18"/>
                <w:color w:val="000000"/>
              </w:rPr>
              <w:t>)</w:t>
            </w:r>
          </w:p>
        </w:tc>
        <w:tc>
          <w:tcPr>
            <w:tcW w:w="580" w:type="dxa"/>
            <w:vAlign w:val="bottom"/>
          </w:tcPr>
          <w:p>
            <w:pPr>
              <w:ind w:left="320"/>
              <w:spacing w:after="0" w:line="205" w:lineRule="exact"/>
              <w:rPr>
                <w:sz w:val="20"/>
                <w:szCs w:val="20"/>
                <w:color w:val="auto"/>
              </w:rPr>
            </w:pPr>
            <w:r>
              <w:rPr>
                <w:rFonts w:ascii="Arial" w:cs="Arial" w:eastAsia="Arial" w:hAnsi="Arial"/>
                <w:sz w:val="18"/>
                <w:szCs w:val="18"/>
                <w:color w:val="auto"/>
                <w:w w:val="88"/>
              </w:rPr>
              <w:t>F-4</w:t>
            </w:r>
          </w:p>
        </w:tc>
      </w:tr>
      <w:tr>
        <w:trPr>
          <w:trHeight w:val="205"/>
        </w:trPr>
        <w:tc>
          <w:tcPr>
            <w:tcW w:w="40" w:type="dxa"/>
            <w:vAlign w:val="bottom"/>
          </w:tcPr>
          <w:p>
            <w:pPr>
              <w:spacing w:after="0"/>
              <w:rPr>
                <w:sz w:val="17"/>
                <w:szCs w:val="17"/>
                <w:color w:val="auto"/>
              </w:rPr>
            </w:pPr>
          </w:p>
        </w:tc>
        <w:tc>
          <w:tcPr>
            <w:tcW w:w="5380" w:type="dxa"/>
            <w:vAlign w:val="bottom"/>
            <w:tcBorders>
              <w:top w:val="single" w:sz="8" w:color="0000FF"/>
            </w:tcBorders>
            <w:gridSpan w:val="5"/>
          </w:tcPr>
          <w:p>
            <w:pPr>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Condensed Statements of Cash Flows</w:t>
              </w:r>
            </w:hyperlink>
          </w:p>
        </w:tc>
        <w:tc>
          <w:tcPr>
            <w:tcW w:w="5220" w:type="dxa"/>
            <w:vAlign w:val="bottom"/>
          </w:tcPr>
          <w:p>
            <w:pPr>
              <w:spacing w:after="0"/>
              <w:rPr>
                <w:sz w:val="17"/>
                <w:szCs w:val="17"/>
                <w:color w:val="auto"/>
              </w:rPr>
            </w:pPr>
          </w:p>
        </w:tc>
        <w:tc>
          <w:tcPr>
            <w:tcW w:w="580" w:type="dxa"/>
            <w:vAlign w:val="bottom"/>
          </w:tcPr>
          <w:p>
            <w:pPr>
              <w:ind w:left="320"/>
              <w:spacing w:after="0" w:line="205" w:lineRule="exact"/>
              <w:rPr>
                <w:sz w:val="20"/>
                <w:szCs w:val="20"/>
                <w:color w:val="auto"/>
              </w:rPr>
            </w:pPr>
            <w:r>
              <w:rPr>
                <w:rFonts w:ascii="Arial" w:cs="Arial" w:eastAsia="Arial" w:hAnsi="Arial"/>
                <w:sz w:val="18"/>
                <w:szCs w:val="18"/>
                <w:color w:val="auto"/>
                <w:w w:val="88"/>
              </w:rPr>
              <w:t>F-5</w:t>
            </w:r>
          </w:p>
        </w:tc>
      </w:tr>
      <w:tr>
        <w:trPr>
          <w:trHeight w:val="20"/>
        </w:trPr>
        <w:tc>
          <w:tcPr>
            <w:tcW w:w="4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2940" w:type="dxa"/>
            <w:vAlign w:val="bottom"/>
            <w:tcBorders>
              <w:bottom w:val="single" w:sz="8" w:color="0000FF"/>
            </w:tcBorders>
            <w:gridSpan w:val="3"/>
          </w:tcPr>
          <w:p>
            <w:pPr>
              <w:spacing w:after="0" w:line="205" w:lineRule="exact"/>
              <w:rPr>
                <w:rFonts w:ascii="Arial" w:cs="Arial" w:eastAsia="Arial" w:hAnsi="Arial"/>
                <w:sz w:val="18"/>
                <w:szCs w:val="18"/>
                <w:color w:val="0000FF"/>
                <w:w w:val="86"/>
              </w:rPr>
            </w:pPr>
            <w:hyperlink w:anchor="page7">
              <w:r>
                <w:rPr>
                  <w:rFonts w:ascii="Arial" w:cs="Arial" w:eastAsia="Arial" w:hAnsi="Arial"/>
                  <w:sz w:val="18"/>
                  <w:szCs w:val="18"/>
                  <w:color w:val="0000FF"/>
                  <w:w w:val="86"/>
                </w:rPr>
                <w:t>Notes to Condensed Financial Statements</w:t>
              </w:r>
            </w:hyperlink>
          </w:p>
        </w:tc>
        <w:tc>
          <w:tcPr>
            <w:tcW w:w="7660" w:type="dxa"/>
            <w:vAlign w:val="bottom"/>
            <w:gridSpan w:val="3"/>
          </w:tcPr>
          <w:p>
            <w:pPr>
              <w:spacing w:after="0"/>
              <w:rPr>
                <w:sz w:val="17"/>
                <w:szCs w:val="17"/>
                <w:color w:val="auto"/>
              </w:rPr>
            </w:pPr>
          </w:p>
        </w:tc>
        <w:tc>
          <w:tcPr>
            <w:tcW w:w="580" w:type="dxa"/>
            <w:vAlign w:val="bottom"/>
          </w:tcPr>
          <w:p>
            <w:pPr>
              <w:ind w:left="320"/>
              <w:spacing w:after="0" w:line="205" w:lineRule="exact"/>
              <w:rPr>
                <w:sz w:val="20"/>
                <w:szCs w:val="20"/>
                <w:color w:val="auto"/>
              </w:rPr>
            </w:pPr>
            <w:r>
              <w:rPr>
                <w:rFonts w:ascii="Arial" w:cs="Arial" w:eastAsia="Arial" w:hAnsi="Arial"/>
                <w:sz w:val="18"/>
                <w:szCs w:val="18"/>
                <w:color w:val="auto"/>
                <w:w w:val="88"/>
              </w:rPr>
              <w:t>F-6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TARSUS PHARMACEUTICALS, INC.</w:t>
      </w:r>
    </w:p>
    <w:p>
      <w:pPr>
        <w:spacing w:after="0" w:line="17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CONDENSED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7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12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79"/>
        </w:trPr>
        <w:tc>
          <w:tcPr>
            <w:tcW w:w="87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176,735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168,129</w:t>
            </w:r>
          </w:p>
        </w:tc>
        <w:tc>
          <w:tcPr>
            <w:tcW w:w="0" w:type="dxa"/>
            <w:vAlign w:val="bottom"/>
          </w:tcPr>
          <w:p>
            <w:pPr>
              <w:spacing w:after="0"/>
              <w:rPr>
                <w:sz w:val="1"/>
                <w:szCs w:val="1"/>
                <w:color w:val="auto"/>
              </w:rPr>
            </w:pPr>
          </w:p>
        </w:tc>
      </w:tr>
      <w:tr>
        <w:trPr>
          <w:trHeight w:val="209"/>
        </w:trPr>
        <w:tc>
          <w:tcPr>
            <w:tcW w:w="87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4"/>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72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14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4"/>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4,012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2,486</w:t>
            </w:r>
          </w:p>
        </w:tc>
        <w:tc>
          <w:tcPr>
            <w:tcW w:w="0" w:type="dxa"/>
            <w:vAlign w:val="bottom"/>
          </w:tcPr>
          <w:p>
            <w:pPr>
              <w:spacing w:after="0"/>
              <w:rPr>
                <w:sz w:val="1"/>
                <w:szCs w:val="1"/>
                <w:color w:val="auto"/>
              </w:rPr>
            </w:pPr>
          </w:p>
        </w:tc>
      </w:tr>
      <w:tr>
        <w:trPr>
          <w:trHeight w:val="203"/>
        </w:trPr>
        <w:tc>
          <w:tcPr>
            <w:tcW w:w="872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7"/>
                <w:szCs w:val="17"/>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200,904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170,655</w:t>
            </w:r>
          </w:p>
        </w:tc>
        <w:tc>
          <w:tcPr>
            <w:tcW w:w="0" w:type="dxa"/>
            <w:vAlign w:val="bottom"/>
          </w:tcPr>
          <w:p>
            <w:pPr>
              <w:spacing w:after="0"/>
              <w:rPr>
                <w:sz w:val="1"/>
                <w:szCs w:val="1"/>
                <w:color w:val="auto"/>
              </w:rPr>
            </w:pPr>
          </w:p>
        </w:tc>
      </w:tr>
      <w:tr>
        <w:trPr>
          <w:trHeight w:val="214"/>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10"/>
        </w:trPr>
        <w:tc>
          <w:tcPr>
            <w:tcW w:w="8720" w:type="dxa"/>
            <w:vAlign w:val="bottom"/>
          </w:tcPr>
          <w:p>
            <w:pPr>
              <w:ind w:left="20"/>
              <w:spacing w:after="0"/>
              <w:rPr>
                <w:sz w:val="20"/>
                <w:szCs w:val="20"/>
                <w:color w:val="auto"/>
              </w:rPr>
            </w:pPr>
            <w:r>
              <w:rPr>
                <w:rFonts w:ascii="Arial" w:cs="Arial" w:eastAsia="Arial" w:hAnsi="Arial"/>
                <w:sz w:val="16"/>
                <w:szCs w:val="16"/>
                <w:color w:val="auto"/>
              </w:rPr>
              <w:t>Operating lease right-of-use asset</w:t>
            </w:r>
          </w:p>
        </w:tc>
        <w:tc>
          <w:tcPr>
            <w:tcW w:w="14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14"/>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1,525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203,450</w:t>
            </w:r>
          </w:p>
        </w:tc>
        <w:tc>
          <w:tcPr>
            <w:tcW w:w="100" w:type="dxa"/>
            <w:vAlign w:val="bottom"/>
          </w:tcPr>
          <w:p>
            <w:pPr>
              <w:spacing w:after="0"/>
              <w:rPr>
                <w:sz w:val="17"/>
                <w:szCs w:val="17"/>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171,972</w:t>
            </w: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7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LIABILITIES, PREFERRED STOCK AND STOCKHOLDERS’ EQUITY</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7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other accrued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4,347</w:t>
            </w:r>
          </w:p>
        </w:tc>
        <w:tc>
          <w:tcPr>
            <w:tcW w:w="0" w:type="dxa"/>
            <w:vAlign w:val="bottom"/>
          </w:tcPr>
          <w:p>
            <w:pPr>
              <w:spacing w:after="0"/>
              <w:rPr>
                <w:sz w:val="1"/>
                <w:szCs w:val="1"/>
                <w:color w:val="auto"/>
              </w:rPr>
            </w:pPr>
          </w:p>
        </w:tc>
      </w:tr>
      <w:tr>
        <w:trPr>
          <w:trHeight w:val="210"/>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Accrued payroll and benefits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1,470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208"/>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5,387</w:t>
            </w:r>
          </w:p>
        </w:tc>
        <w:tc>
          <w:tcPr>
            <w:tcW w:w="0" w:type="dxa"/>
            <w:vAlign w:val="bottom"/>
          </w:tcPr>
          <w:p>
            <w:pPr>
              <w:spacing w:after="0"/>
              <w:rPr>
                <w:sz w:val="1"/>
                <w:szCs w:val="1"/>
                <w:color w:val="auto"/>
              </w:rPr>
            </w:pPr>
          </w:p>
        </w:tc>
      </w:tr>
      <w:tr>
        <w:trPr>
          <w:trHeight w:val="209"/>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08"/>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10,979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5,992</w:t>
            </w:r>
          </w:p>
        </w:tc>
        <w:tc>
          <w:tcPr>
            <w:tcW w:w="0" w:type="dxa"/>
            <w:vAlign w:val="bottom"/>
          </w:tcPr>
          <w:p>
            <w:pPr>
              <w:spacing w:after="0"/>
              <w:rPr>
                <w:sz w:val="1"/>
                <w:szCs w:val="1"/>
                <w:color w:val="auto"/>
              </w:rPr>
            </w:pPr>
          </w:p>
        </w:tc>
      </w:tr>
      <w:tr>
        <w:trPr>
          <w:trHeight w:val="210"/>
        </w:trPr>
        <w:tc>
          <w:tcPr>
            <w:tcW w:w="872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 (Note 9)</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720" w:type="dxa"/>
            <w:vAlign w:val="bottom"/>
          </w:tcPr>
          <w:p>
            <w:pPr>
              <w:ind w:left="20"/>
              <w:spacing w:after="0" w:line="162" w:lineRule="exact"/>
              <w:rPr>
                <w:sz w:val="20"/>
                <w:szCs w:val="20"/>
                <w:color w:val="auto"/>
              </w:rPr>
            </w:pPr>
            <w:r>
              <w:rPr>
                <w:rFonts w:ascii="Arial" w:cs="Arial" w:eastAsia="Arial" w:hAnsi="Arial"/>
                <w:sz w:val="16"/>
                <w:szCs w:val="16"/>
                <w:color w:val="auto"/>
                <w:w w:val="88"/>
              </w:rPr>
              <w:t>Preferred stock, $0.0001 par value; 10,000,000 authorized at June 30, 2021 and December 31, 2020; no shares issued and outstanding at</w:t>
            </w:r>
          </w:p>
        </w:tc>
        <w:tc>
          <w:tcPr>
            <w:tcW w:w="140" w:type="dxa"/>
            <w:vAlign w:val="bottom"/>
          </w:tcPr>
          <w:p>
            <w:pPr>
              <w:spacing w:after="0"/>
              <w:rPr>
                <w:sz w:val="14"/>
                <w:szCs w:val="14"/>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720" w:type="dxa"/>
            <w:vAlign w:val="bottom"/>
          </w:tcPr>
          <w:p>
            <w:pPr>
              <w:ind w:left="20"/>
              <w:spacing w:after="0"/>
              <w:rPr>
                <w:sz w:val="20"/>
                <w:szCs w:val="20"/>
                <w:color w:val="auto"/>
              </w:rPr>
            </w:pPr>
            <w:r>
              <w:rPr>
                <w:rFonts w:ascii="Arial" w:cs="Arial" w:eastAsia="Arial" w:hAnsi="Arial"/>
                <w:sz w:val="16"/>
                <w:szCs w:val="16"/>
                <w:color w:val="auto"/>
              </w:rPr>
              <w:t>June 30, 2021 and December 31, 2020</w:t>
            </w: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87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4"/>
              </w:rPr>
              <w:t>Common stock, $0.0001 par value; 200,000,000 shares authorized; 20,704,104 shares issued and 20,573,951 outstanding, which</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72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w w:val="91"/>
              </w:rPr>
              <w:t>excludes 130,153 shares subject to repurchase at June 30, 2021 (unaudited); 20,502,576 shares issued and 20,323,301 outstanding,</w:t>
            </w:r>
          </w:p>
        </w:tc>
        <w:tc>
          <w:tcPr>
            <w:tcW w:w="1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which excludes 179,375 shares subject to repurchase at December 31, 2020</w:t>
            </w: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2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208,591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198,821</w:t>
            </w:r>
          </w:p>
        </w:tc>
        <w:tc>
          <w:tcPr>
            <w:tcW w:w="0" w:type="dxa"/>
            <w:vAlign w:val="bottom"/>
          </w:tcPr>
          <w:p>
            <w:pPr>
              <w:spacing w:after="0"/>
              <w:rPr>
                <w:sz w:val="1"/>
                <w:szCs w:val="1"/>
                <w:color w:val="auto"/>
              </w:rPr>
            </w:pPr>
          </w:p>
        </w:tc>
      </w:tr>
      <w:tr>
        <w:trPr>
          <w:trHeight w:val="214"/>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(32,845)</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192,471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165,980</w:t>
            </w: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preferred stock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203,450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171,972</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INCOME (LOSS)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6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0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340"/>
              <w:spacing w:after="0"/>
              <w:rPr>
                <w:sz w:val="20"/>
                <w:szCs w:val="20"/>
                <w:color w:val="auto"/>
              </w:rPr>
            </w:pPr>
            <w:r>
              <w:rPr>
                <w:rFonts w:ascii="Arial" w:cs="Arial" w:eastAsia="Arial" w:hAnsi="Arial"/>
                <w:sz w:val="18"/>
                <w:szCs w:val="18"/>
                <w:color w:val="auto"/>
              </w:rPr>
              <w:t>License fees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19,048</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52,359</w:t>
            </w:r>
          </w:p>
        </w:tc>
        <w:tc>
          <w:tcPr>
            <w:tcW w:w="12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Collaboration revenue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680" w:type="dxa"/>
            <w:vAlign w:val="bottom"/>
          </w:tcPr>
          <w:p>
            <w:pPr>
              <w:ind w:left="660"/>
              <w:spacing w:after="0" w:line="204" w:lineRule="exact"/>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55,449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568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Operating expenses:</w:t>
            </w:r>
          </w:p>
        </w:tc>
        <w:tc>
          <w:tcPr>
            <w:tcW w:w="2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340"/>
              <w:spacing w:after="0"/>
              <w:rPr>
                <w:sz w:val="20"/>
                <w:szCs w:val="20"/>
                <w:color w:val="auto"/>
              </w:rPr>
            </w:pPr>
            <w:r>
              <w:rPr>
                <w:rFonts w:ascii="Arial" w:cs="Arial" w:eastAsia="Arial" w:hAnsi="Arial"/>
                <w:sz w:val="18"/>
                <w:szCs w:val="18"/>
                <w:color w:val="auto"/>
              </w:rPr>
              <w:t>Cost of license fees and collaboration revenue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25"/>
        </w:trPr>
        <w:tc>
          <w:tcPr>
            <w:tcW w:w="5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660"/>
              <w:spacing w:after="0" w:line="205" w:lineRule="exact"/>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0" w:type="dxa"/>
            <w:vAlign w:val="bottom"/>
          </w:tcPr>
          <w:p>
            <w:pPr>
              <w:spacing w:after="0"/>
              <w:rPr>
                <w:sz w:val="1"/>
                <w:szCs w:val="1"/>
                <w:color w:val="auto"/>
              </w:rPr>
            </w:pPr>
          </w:p>
        </w:tc>
      </w:tr>
      <w:tr>
        <w:trPr>
          <w:trHeight w:val="218"/>
        </w:trPr>
        <w:tc>
          <w:tcPr>
            <w:tcW w:w="568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w w:val="88"/>
              </w:rPr>
              <w:t>Income (loss) from operations before other (expense) income and income taxes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17,996</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(5,381)</w:t>
            </w:r>
          </w:p>
        </w:tc>
        <w:tc>
          <w:tcPr>
            <w:tcW w:w="0" w:type="dxa"/>
            <w:vAlign w:val="bottom"/>
          </w:tcPr>
          <w:p>
            <w:pPr>
              <w:spacing w:after="0"/>
              <w:rPr>
                <w:sz w:val="1"/>
                <w:szCs w:val="1"/>
                <w:color w:val="auto"/>
              </w:rPr>
            </w:pPr>
          </w:p>
        </w:tc>
      </w:tr>
      <w:tr>
        <w:trPr>
          <w:trHeight w:val="206"/>
        </w:trPr>
        <w:tc>
          <w:tcPr>
            <w:tcW w:w="56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(expense) income:</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340"/>
              <w:spacing w:after="0"/>
              <w:rPr>
                <w:sz w:val="20"/>
                <w:szCs w:val="20"/>
                <w:color w:val="auto"/>
              </w:rPr>
            </w:pPr>
            <w:r>
              <w:rPr>
                <w:rFonts w:ascii="Arial" w:cs="Arial" w:eastAsia="Arial" w:hAnsi="Arial"/>
                <w:sz w:val="18"/>
                <w:szCs w:val="18"/>
                <w:color w:val="auto"/>
              </w:rPr>
              <w:t>Interest income (expense),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6"/>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income,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680" w:type="dxa"/>
            <w:vAlign w:val="bottom"/>
          </w:tcPr>
          <w:p>
            <w:pPr>
              <w:ind w:left="340"/>
              <w:spacing w:after="0"/>
              <w:rPr>
                <w:sz w:val="20"/>
                <w:szCs w:val="20"/>
                <w:color w:val="auto"/>
              </w:rPr>
            </w:pPr>
            <w:r>
              <w:rPr>
                <w:rFonts w:ascii="Arial" w:cs="Arial" w:eastAsia="Arial" w:hAnsi="Arial"/>
                <w:sz w:val="18"/>
                <w:szCs w:val="18"/>
                <w:color w:val="auto"/>
              </w:rPr>
              <w:t>Change in fair value of equity warrant rights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680" w:type="dxa"/>
            <w:vAlign w:val="bottom"/>
            <w:tcBorders>
              <w:top w:val="single" w:sz="8" w:color="CCEEFF"/>
            </w:tcBorders>
            <w:shd w:val="clear" w:color="auto" w:fill="CCEEFF"/>
          </w:tcPr>
          <w:p>
            <w:pPr>
              <w:ind w:left="660"/>
              <w:spacing w:after="0" w:line="205" w:lineRule="exact"/>
              <w:rPr>
                <w:sz w:val="20"/>
                <w:szCs w:val="20"/>
                <w:color w:val="auto"/>
              </w:rPr>
            </w:pPr>
            <w:r>
              <w:rPr>
                <w:rFonts w:ascii="Arial" w:cs="Arial" w:eastAsia="Arial" w:hAnsi="Arial"/>
                <w:sz w:val="18"/>
                <w:szCs w:val="18"/>
                <w:color w:val="auto"/>
              </w:rPr>
              <w:t>Total other (expense) income</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8"/>
        </w:trPr>
        <w:tc>
          <w:tcPr>
            <w:tcW w:w="5680" w:type="dxa"/>
            <w:vAlign w:val="bottom"/>
          </w:tcPr>
          <w:p>
            <w:pPr>
              <w:ind w:left="20"/>
              <w:spacing w:after="0" w:line="204" w:lineRule="exact"/>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80" w:type="dxa"/>
            <w:vAlign w:val="bottom"/>
            <w:tcBorders>
              <w:top w:val="single" w:sz="8" w:color="CCEEFF"/>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Net income (loss) and comprehensive income (loss)</w:t>
            </w: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(loss)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0.29</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(1.23)</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0.76</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2"/>
              <w:spacing w:after="0" w:line="198"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8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Weighted-average shares outstanding</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20,555,258</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2,651,321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20,446,246</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2,650,843</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80" w:type="dxa"/>
            <w:vAlign w:val="bottom"/>
            <w:tcBorders>
              <w:bottom w:val="single" w:sz="8" w:color="CCEEFF"/>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21,966,599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2,651,321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21,895,304</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2,650,843</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PREFERRED STOCK AND STOCKHOLDERS’ EQUITY (DEFICIT)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80" w:type="dxa"/>
            <w:vAlign w:val="bottom"/>
          </w:tcPr>
          <w:p>
            <w:pPr>
              <w:spacing w:after="0"/>
              <w:rPr>
                <w:sz w:val="13"/>
                <w:szCs w:val="13"/>
                <w:color w:val="auto"/>
              </w:rPr>
            </w:pPr>
          </w:p>
        </w:tc>
        <w:tc>
          <w:tcPr>
            <w:tcW w:w="1760" w:type="dxa"/>
            <w:vAlign w:val="bottom"/>
            <w:gridSpan w:val="4"/>
          </w:tcPr>
          <w:p>
            <w:pPr>
              <w:jc w:val="right"/>
              <w:ind w:right="292"/>
              <w:spacing w:after="0"/>
              <w:rPr>
                <w:sz w:val="20"/>
                <w:szCs w:val="20"/>
                <w:color w:val="auto"/>
              </w:rPr>
            </w:pPr>
            <w:r>
              <w:rPr>
                <w:rFonts w:ascii="Arial" w:cs="Arial" w:eastAsia="Arial" w:hAnsi="Arial"/>
                <w:sz w:val="12"/>
                <w:szCs w:val="12"/>
                <w:b w:val="1"/>
                <w:bCs w:val="1"/>
                <w:color w:val="auto"/>
              </w:rPr>
              <w:t>Preferred Stock</w:t>
            </w:r>
          </w:p>
        </w:tc>
        <w:tc>
          <w:tcPr>
            <w:tcW w:w="2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840" w:type="dxa"/>
            <w:vAlign w:val="bottom"/>
            <w:gridSpan w:val="5"/>
          </w:tcPr>
          <w:p>
            <w:pPr>
              <w:ind w:left="46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53"/>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53"/>
        </w:trPr>
        <w:tc>
          <w:tcPr>
            <w:tcW w:w="418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tcPr>
          <w:p>
            <w:pPr>
              <w:ind w:left="40"/>
              <w:spacing w:after="0" w:line="53" w:lineRule="exact"/>
              <w:rPr>
                <w:sz w:val="20"/>
                <w:szCs w:val="20"/>
                <w:color w:val="auto"/>
              </w:rPr>
            </w:pPr>
            <w:r>
              <w:rPr>
                <w:rFonts w:ascii="Arial" w:cs="Arial" w:eastAsia="Arial" w:hAnsi="Arial"/>
                <w:sz w:val="6"/>
                <w:szCs w:val="6"/>
                <w:b w:val="1"/>
                <w:bCs w:val="1"/>
                <w:color w:val="auto"/>
              </w:rPr>
              <w:t>Additional</w:t>
            </w:r>
          </w:p>
        </w:tc>
        <w:tc>
          <w:tcPr>
            <w:tcW w:w="120" w:type="dxa"/>
            <w:vAlign w:val="bottom"/>
          </w:tcPr>
          <w:p>
            <w:pPr>
              <w:spacing w:after="0"/>
              <w:rPr>
                <w:sz w:val="4"/>
                <w:szCs w:val="4"/>
                <w:color w:val="auto"/>
              </w:rPr>
            </w:pPr>
          </w:p>
        </w:tc>
        <w:tc>
          <w:tcPr>
            <w:tcW w:w="1000" w:type="dxa"/>
            <w:vAlign w:val="bottom"/>
            <w:gridSpan w:val="2"/>
          </w:tcPr>
          <w:p>
            <w:pPr>
              <w:jc w:val="center"/>
              <w:ind w:right="220"/>
              <w:spacing w:after="0" w:line="53" w:lineRule="exact"/>
              <w:rPr>
                <w:sz w:val="20"/>
                <w:szCs w:val="20"/>
                <w:color w:val="auto"/>
              </w:rPr>
            </w:pPr>
            <w:r>
              <w:rPr>
                <w:rFonts w:ascii="Arial" w:cs="Arial" w:eastAsia="Arial" w:hAnsi="Arial"/>
                <w:sz w:val="6"/>
                <w:szCs w:val="6"/>
                <w:b w:val="1"/>
                <w:bCs w:val="1"/>
                <w:color w:val="auto"/>
              </w:rPr>
              <w:t>Accumulated</w:t>
            </w:r>
          </w:p>
        </w:tc>
        <w:tc>
          <w:tcPr>
            <w:tcW w:w="120" w:type="dxa"/>
            <w:vAlign w:val="bottom"/>
          </w:tcPr>
          <w:p>
            <w:pPr>
              <w:spacing w:after="0"/>
              <w:rPr>
                <w:sz w:val="4"/>
                <w:szCs w:val="4"/>
                <w:color w:val="auto"/>
              </w:rPr>
            </w:pPr>
          </w:p>
        </w:tc>
        <w:tc>
          <w:tcPr>
            <w:tcW w:w="940" w:type="dxa"/>
            <w:vAlign w:val="bottom"/>
          </w:tcPr>
          <w:p>
            <w:pPr>
              <w:jc w:val="center"/>
              <w:ind w:right="53"/>
              <w:spacing w:after="0" w:line="53"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720" w:type="dxa"/>
            <w:vAlign w:val="bottom"/>
          </w:tcPr>
          <w:p>
            <w:pPr>
              <w:ind w:left="28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0" w:type="dxa"/>
            <w:vAlign w:val="bottom"/>
            <w:gridSpan w:val="2"/>
          </w:tcPr>
          <w:p>
            <w:pPr>
              <w:ind w:left="26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Paid-In Capital</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Deficit</w:t>
            </w:r>
          </w:p>
        </w:tc>
        <w:tc>
          <w:tcPr>
            <w:tcW w:w="120" w:type="dxa"/>
            <w:vAlign w:val="bottom"/>
          </w:tcPr>
          <w:p>
            <w:pPr>
              <w:spacing w:after="0"/>
              <w:rPr>
                <w:sz w:val="15"/>
                <w:szCs w:val="15"/>
                <w:color w:val="auto"/>
              </w:rPr>
            </w:pPr>
          </w:p>
        </w:tc>
        <w:tc>
          <w:tcPr>
            <w:tcW w:w="940" w:type="dxa"/>
            <w:vAlign w:val="bottom"/>
          </w:tcPr>
          <w:p>
            <w:pPr>
              <w:jc w:val="center"/>
              <w:ind w:right="33"/>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85"/>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2020</w:t>
            </w:r>
          </w:p>
        </w:tc>
        <w:tc>
          <w:tcPr>
            <w:tcW w:w="720" w:type="dxa"/>
            <w:vAlign w:val="bottom"/>
            <w:tcBorders>
              <w:top w:val="single" w:sz="8" w:color="auto"/>
              <w:bottom w:val="single" w:sz="8" w:color="auto"/>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20,323,201</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198,821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(32,845)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165,980</w:t>
            </w:r>
          </w:p>
        </w:tc>
        <w:tc>
          <w:tcPr>
            <w:tcW w:w="0" w:type="dxa"/>
            <w:vAlign w:val="bottom"/>
          </w:tcPr>
          <w:p>
            <w:pPr>
              <w:spacing w:after="0"/>
              <w:rPr>
                <w:sz w:val="1"/>
                <w:szCs w:val="1"/>
                <w:color w:val="auto"/>
              </w:rPr>
            </w:pPr>
          </w:p>
        </w:tc>
      </w:tr>
      <w:tr>
        <w:trPr>
          <w:trHeight w:val="176"/>
        </w:trPr>
        <w:tc>
          <w:tcPr>
            <w:tcW w:w="41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720" w:type="dxa"/>
            <w:vAlign w:val="bottom"/>
          </w:tcPr>
          <w:p>
            <w:pPr>
              <w:spacing w:after="0"/>
              <w:rPr>
                <w:sz w:val="15"/>
                <w:szCs w:val="15"/>
                <w:color w:val="auto"/>
              </w:rPr>
            </w:pPr>
          </w:p>
        </w:tc>
        <w:tc>
          <w:tcPr>
            <w:tcW w:w="300" w:type="dxa"/>
            <w:vAlign w:val="bottom"/>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10,376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10,376</w:t>
            </w:r>
          </w:p>
        </w:tc>
        <w:tc>
          <w:tcPr>
            <w:tcW w:w="0" w:type="dxa"/>
            <w:vAlign w:val="bottom"/>
          </w:tcPr>
          <w:p>
            <w:pPr>
              <w:spacing w:after="0"/>
              <w:rPr>
                <w:sz w:val="1"/>
                <w:szCs w:val="1"/>
                <w:color w:val="auto"/>
              </w:rPr>
            </w:pPr>
          </w:p>
        </w:tc>
      </w:tr>
      <w:tr>
        <w:trPr>
          <w:trHeight w:val="188"/>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Recognition of stock-based compensation expense</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3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w:t>
            </w:r>
          </w:p>
        </w:tc>
        <w:tc>
          <w:tcPr>
            <w:tcW w:w="0" w:type="dxa"/>
            <w:vAlign w:val="bottom"/>
          </w:tcPr>
          <w:p>
            <w:pPr>
              <w:spacing w:after="0"/>
              <w:rPr>
                <w:sz w:val="1"/>
                <w:szCs w:val="1"/>
                <w:color w:val="auto"/>
              </w:rPr>
            </w:pPr>
          </w:p>
        </w:tc>
      </w:tr>
      <w:tr>
        <w:trPr>
          <w:trHeight w:val="183"/>
        </w:trPr>
        <w:tc>
          <w:tcPr>
            <w:tcW w:w="4900" w:type="dxa"/>
            <w:vAlign w:val="bottom"/>
            <w:gridSpan w:val="2"/>
          </w:tcPr>
          <w:p>
            <w:pPr>
              <w:ind w:left="20"/>
              <w:spacing w:after="0"/>
              <w:rPr>
                <w:sz w:val="20"/>
                <w:szCs w:val="20"/>
                <w:color w:val="auto"/>
              </w:rPr>
            </w:pPr>
            <w:r>
              <w:rPr>
                <w:rFonts w:ascii="Arial" w:cs="Arial" w:eastAsia="Arial" w:hAnsi="Arial"/>
                <w:sz w:val="13"/>
                <w:szCs w:val="13"/>
                <w:color w:val="auto"/>
              </w:rPr>
              <w:t>Exercise of vested stock options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3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13,773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8"/>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Shares issued as consideration for in-license rights</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3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0" w:type="dxa"/>
            <w:vAlign w:val="bottom"/>
          </w:tcPr>
          <w:p>
            <w:pPr>
              <w:spacing w:after="0"/>
              <w:rPr>
                <w:sz w:val="1"/>
                <w:szCs w:val="1"/>
                <w:color w:val="auto"/>
              </w:rPr>
            </w:pPr>
          </w:p>
        </w:tc>
      </w:tr>
      <w:tr>
        <w:trPr>
          <w:trHeight w:val="176"/>
        </w:trPr>
        <w:tc>
          <w:tcPr>
            <w:tcW w:w="4180" w:type="dxa"/>
            <w:vAlign w:val="bottom"/>
          </w:tcPr>
          <w:p>
            <w:pPr>
              <w:ind w:left="20"/>
              <w:spacing w:after="0"/>
              <w:rPr>
                <w:sz w:val="20"/>
                <w:szCs w:val="20"/>
                <w:color w:val="auto"/>
              </w:rPr>
            </w:pPr>
            <w:r>
              <w:rPr>
                <w:rFonts w:ascii="Arial" w:cs="Arial" w:eastAsia="Arial" w:hAnsi="Arial"/>
                <w:sz w:val="13"/>
                <w:szCs w:val="13"/>
                <w:b w:val="1"/>
                <w:bCs w:val="1"/>
                <w:color w:val="auto"/>
              </w:rPr>
              <w:t>Balance as of March 31, 2021</w:t>
            </w:r>
          </w:p>
        </w:tc>
        <w:tc>
          <w:tcPr>
            <w:tcW w:w="72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20,524,474</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205,697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(22,469)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183,232</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1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income</w:t>
            </w: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6,345</w:t>
            </w:r>
          </w:p>
        </w:tc>
        <w:tc>
          <w:tcPr>
            <w:tcW w:w="0" w:type="dxa"/>
            <w:vAlign w:val="bottom"/>
          </w:tcPr>
          <w:p>
            <w:pPr>
              <w:spacing w:after="0"/>
              <w:rPr>
                <w:sz w:val="1"/>
                <w:szCs w:val="1"/>
                <w:color w:val="auto"/>
              </w:rPr>
            </w:pPr>
          </w:p>
        </w:tc>
      </w:tr>
      <w:tr>
        <w:trPr>
          <w:trHeight w:val="183"/>
        </w:trPr>
        <w:tc>
          <w:tcPr>
            <w:tcW w:w="4900" w:type="dxa"/>
            <w:vAlign w:val="bottom"/>
            <w:gridSpan w:val="2"/>
          </w:tcPr>
          <w:p>
            <w:pPr>
              <w:ind w:left="20"/>
              <w:spacing w:after="0"/>
              <w:rPr>
                <w:sz w:val="20"/>
                <w:szCs w:val="20"/>
                <w:color w:val="auto"/>
              </w:rPr>
            </w:pPr>
            <w:r>
              <w:rPr>
                <w:rFonts w:ascii="Arial" w:cs="Arial" w:eastAsia="Arial" w:hAnsi="Arial"/>
                <w:sz w:val="13"/>
                <w:szCs w:val="13"/>
                <w:color w:val="auto"/>
              </w:rPr>
              <w:t>Recognition of stock-based compensation expense</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3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2,794</w:t>
            </w:r>
          </w:p>
        </w:tc>
        <w:tc>
          <w:tcPr>
            <w:tcW w:w="0" w:type="dxa"/>
            <w:vAlign w:val="bottom"/>
          </w:tcPr>
          <w:p>
            <w:pPr>
              <w:spacing w:after="0"/>
              <w:rPr>
                <w:sz w:val="1"/>
                <w:szCs w:val="1"/>
                <w:color w:val="auto"/>
              </w:rPr>
            </w:pPr>
          </w:p>
        </w:tc>
      </w:tr>
      <w:tr>
        <w:trPr>
          <w:trHeight w:val="140"/>
        </w:trPr>
        <w:tc>
          <w:tcPr>
            <w:tcW w:w="4900" w:type="dxa"/>
            <w:vAlign w:val="bottom"/>
            <w:gridSpan w:val="2"/>
            <w:shd w:val="clear" w:color="auto" w:fill="CCEEFF"/>
          </w:tcPr>
          <w:p>
            <w:pPr>
              <w:ind w:left="20"/>
              <w:spacing w:after="0" w:line="140" w:lineRule="exact"/>
              <w:rPr>
                <w:sz w:val="20"/>
                <w:szCs w:val="20"/>
                <w:color w:val="auto"/>
              </w:rPr>
            </w:pPr>
            <w:r>
              <w:rPr>
                <w:rFonts w:ascii="Arial" w:cs="Arial" w:eastAsia="Arial" w:hAnsi="Arial"/>
                <w:sz w:val="13"/>
                <w:szCs w:val="13"/>
                <w:color w:val="auto"/>
              </w:rPr>
              <w:t>Lapse of repurchase rights related to common stock issued pursuant to early</w:t>
            </w:r>
          </w:p>
        </w:tc>
        <w:tc>
          <w:tcPr>
            <w:tcW w:w="40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320" w:type="dxa"/>
            <w:vAlign w:val="bottom"/>
            <w:tcBorders>
              <w:right w:val="single" w:sz="8" w:color="auto"/>
            </w:tcBorders>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49,222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1"/>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exercises</w:t>
            </w:r>
          </w:p>
        </w:tc>
        <w:tc>
          <w:tcPr>
            <w:tcW w:w="400" w:type="dxa"/>
            <w:vAlign w:val="bottom"/>
            <w:gridSpan w:val="2"/>
            <w:vMerge w:val="continue"/>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tcBorders>
              <w:right w:val="single" w:sz="8" w:color="auto"/>
            </w:tcBorders>
            <w:gridSpan w:val="2"/>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00" w:type="dxa"/>
            <w:vAlign w:val="bottom"/>
            <w:gridSpan w:val="2"/>
          </w:tcPr>
          <w:p>
            <w:pPr>
              <w:ind w:left="20"/>
              <w:spacing w:after="0"/>
              <w:rPr>
                <w:sz w:val="20"/>
                <w:szCs w:val="20"/>
                <w:color w:val="auto"/>
              </w:rPr>
            </w:pPr>
            <w:r>
              <w:rPr>
                <w:rFonts w:ascii="Arial" w:cs="Arial" w:eastAsia="Arial" w:hAnsi="Arial"/>
                <w:sz w:val="13"/>
                <w:szCs w:val="13"/>
                <w:color w:val="auto"/>
              </w:rPr>
              <w:t>Exercise of vested stock options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3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4"/>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June 30, 2021</w:t>
            </w: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20,573,951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208,591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192,471</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180" w:type="dxa"/>
            <w:vAlign w:val="bottom"/>
          </w:tcPr>
          <w:p>
            <w:pPr>
              <w:spacing w:after="0"/>
              <w:rPr>
                <w:sz w:val="17"/>
                <w:szCs w:val="17"/>
                <w:color w:val="auto"/>
              </w:rPr>
            </w:pPr>
          </w:p>
        </w:tc>
        <w:tc>
          <w:tcPr>
            <w:tcW w:w="2080" w:type="dxa"/>
            <w:vAlign w:val="bottom"/>
            <w:tcBorders>
              <w:right w:val="single" w:sz="8" w:color="auto"/>
            </w:tcBorders>
            <w:gridSpan w:val="5"/>
          </w:tcPr>
          <w:p>
            <w:pPr>
              <w:ind w:left="560"/>
              <w:spacing w:after="0"/>
              <w:rPr>
                <w:sz w:val="20"/>
                <w:szCs w:val="20"/>
                <w:color w:val="auto"/>
              </w:rPr>
            </w:pPr>
            <w:r>
              <w:rPr>
                <w:rFonts w:ascii="Arial" w:cs="Arial" w:eastAsia="Arial" w:hAnsi="Arial"/>
                <w:sz w:val="12"/>
                <w:szCs w:val="12"/>
                <w:b w:val="1"/>
                <w:bCs w:val="1"/>
                <w:color w:val="auto"/>
              </w:rPr>
              <w:t>Preferred Stock</w:t>
            </w:r>
          </w:p>
        </w:tc>
        <w:tc>
          <w:tcPr>
            <w:tcW w:w="1840" w:type="dxa"/>
            <w:vAlign w:val="bottom"/>
            <w:gridSpan w:val="5"/>
          </w:tcPr>
          <w:p>
            <w:pPr>
              <w:ind w:left="46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54"/>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53"/>
        </w:trPr>
        <w:tc>
          <w:tcPr>
            <w:tcW w:w="41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tcPr>
          <w:p>
            <w:pPr>
              <w:ind w:left="40"/>
              <w:spacing w:after="0" w:line="53" w:lineRule="exact"/>
              <w:rPr>
                <w:sz w:val="20"/>
                <w:szCs w:val="20"/>
                <w:color w:val="auto"/>
              </w:rPr>
            </w:pPr>
            <w:r>
              <w:rPr>
                <w:rFonts w:ascii="Arial" w:cs="Arial" w:eastAsia="Arial" w:hAnsi="Arial"/>
                <w:sz w:val="6"/>
                <w:szCs w:val="6"/>
                <w:b w:val="1"/>
                <w:bCs w:val="1"/>
                <w:color w:val="auto"/>
              </w:rPr>
              <w:t>Additional</w:t>
            </w:r>
          </w:p>
        </w:tc>
        <w:tc>
          <w:tcPr>
            <w:tcW w:w="120" w:type="dxa"/>
            <w:vAlign w:val="bottom"/>
          </w:tcPr>
          <w:p>
            <w:pPr>
              <w:spacing w:after="0"/>
              <w:rPr>
                <w:sz w:val="4"/>
                <w:szCs w:val="4"/>
                <w:color w:val="auto"/>
              </w:rPr>
            </w:pPr>
          </w:p>
        </w:tc>
        <w:tc>
          <w:tcPr>
            <w:tcW w:w="1000" w:type="dxa"/>
            <w:vAlign w:val="bottom"/>
            <w:gridSpan w:val="2"/>
          </w:tcPr>
          <w:p>
            <w:pPr>
              <w:ind w:left="40"/>
              <w:spacing w:after="0" w:line="53" w:lineRule="exact"/>
              <w:rPr>
                <w:sz w:val="20"/>
                <w:szCs w:val="20"/>
                <w:color w:val="auto"/>
              </w:rPr>
            </w:pPr>
            <w:r>
              <w:rPr>
                <w:rFonts w:ascii="Arial" w:cs="Arial" w:eastAsia="Arial" w:hAnsi="Arial"/>
                <w:sz w:val="6"/>
                <w:szCs w:val="6"/>
                <w:b w:val="1"/>
                <w:bCs w:val="1"/>
                <w:color w:val="auto"/>
              </w:rPr>
              <w:t>Accumulated</w:t>
            </w:r>
          </w:p>
        </w:tc>
        <w:tc>
          <w:tcPr>
            <w:tcW w:w="120" w:type="dxa"/>
            <w:vAlign w:val="bottom"/>
          </w:tcPr>
          <w:p>
            <w:pPr>
              <w:spacing w:after="0"/>
              <w:rPr>
                <w:sz w:val="4"/>
                <w:szCs w:val="4"/>
                <w:color w:val="auto"/>
              </w:rPr>
            </w:pPr>
          </w:p>
        </w:tc>
        <w:tc>
          <w:tcPr>
            <w:tcW w:w="940" w:type="dxa"/>
            <w:vAlign w:val="bottom"/>
          </w:tcPr>
          <w:p>
            <w:pPr>
              <w:jc w:val="center"/>
              <w:ind w:right="54"/>
              <w:spacing w:after="0" w:line="53"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120" w:type="dxa"/>
            <w:vAlign w:val="bottom"/>
            <w:gridSpan w:val="2"/>
          </w:tcPr>
          <w:p>
            <w:pPr>
              <w:ind w:left="3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5"/>
                <w:szCs w:val="15"/>
                <w:color w:val="auto"/>
              </w:rPr>
            </w:pPr>
          </w:p>
        </w:tc>
        <w:tc>
          <w:tcPr>
            <w:tcW w:w="8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0" w:type="dxa"/>
            <w:vAlign w:val="bottom"/>
            <w:gridSpan w:val="2"/>
          </w:tcPr>
          <w:p>
            <w:pPr>
              <w:ind w:left="26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Paid-In Capital</w:t>
            </w:r>
          </w:p>
        </w:tc>
        <w:tc>
          <w:tcPr>
            <w:tcW w:w="120" w:type="dxa"/>
            <w:vAlign w:val="bottom"/>
          </w:tcPr>
          <w:p>
            <w:pPr>
              <w:spacing w:after="0"/>
              <w:rPr>
                <w:sz w:val="15"/>
                <w:szCs w:val="15"/>
                <w:color w:val="auto"/>
              </w:rPr>
            </w:pPr>
          </w:p>
        </w:tc>
        <w:tc>
          <w:tcPr>
            <w:tcW w:w="1000" w:type="dxa"/>
            <w:vAlign w:val="bottom"/>
            <w:gridSpan w:val="2"/>
          </w:tcPr>
          <w:p>
            <w:pPr>
              <w:ind w:left="220"/>
              <w:spacing w:after="0"/>
              <w:rPr>
                <w:sz w:val="20"/>
                <w:szCs w:val="20"/>
                <w:color w:val="auto"/>
              </w:rPr>
            </w:pPr>
            <w:r>
              <w:rPr>
                <w:rFonts w:ascii="Arial" w:cs="Arial" w:eastAsia="Arial" w:hAnsi="Arial"/>
                <w:sz w:val="12"/>
                <w:szCs w:val="12"/>
                <w:b w:val="1"/>
                <w:bCs w:val="1"/>
                <w:color w:val="auto"/>
              </w:rPr>
              <w:t>Deficit</w:t>
            </w:r>
          </w:p>
        </w:tc>
        <w:tc>
          <w:tcPr>
            <w:tcW w:w="120" w:type="dxa"/>
            <w:vAlign w:val="bottom"/>
          </w:tcPr>
          <w:p>
            <w:pPr>
              <w:spacing w:after="0"/>
              <w:rPr>
                <w:sz w:val="15"/>
                <w:szCs w:val="15"/>
                <w:color w:val="auto"/>
              </w:rPr>
            </w:pPr>
          </w:p>
        </w:tc>
        <w:tc>
          <w:tcPr>
            <w:tcW w:w="940" w:type="dxa"/>
            <w:vAlign w:val="bottom"/>
          </w:tcPr>
          <w:p>
            <w:pPr>
              <w:jc w:val="center"/>
              <w:ind w:right="54"/>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185"/>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2019</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8,249,939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63,402</w:t>
            </w: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2,646,619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(6,005)</w:t>
            </w:r>
          </w:p>
        </w:tc>
        <w:tc>
          <w:tcPr>
            <w:tcW w:w="0" w:type="dxa"/>
            <w:vAlign w:val="bottom"/>
          </w:tcPr>
          <w:p>
            <w:pPr>
              <w:spacing w:after="0"/>
              <w:rPr>
                <w:sz w:val="1"/>
                <w:szCs w:val="1"/>
                <w:color w:val="auto"/>
              </w:rPr>
            </w:pPr>
          </w:p>
        </w:tc>
      </w:tr>
      <w:tr>
        <w:trPr>
          <w:trHeight w:val="176"/>
        </w:trPr>
        <w:tc>
          <w:tcPr>
            <w:tcW w:w="418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(1,957)</w:t>
            </w:r>
          </w:p>
        </w:tc>
        <w:tc>
          <w:tcPr>
            <w:tcW w:w="0" w:type="dxa"/>
            <w:vAlign w:val="bottom"/>
          </w:tcPr>
          <w:p>
            <w:pPr>
              <w:spacing w:after="0"/>
              <w:rPr>
                <w:sz w:val="1"/>
                <w:szCs w:val="1"/>
                <w:color w:val="auto"/>
              </w:rPr>
            </w:pPr>
          </w:p>
        </w:tc>
      </w:tr>
      <w:tr>
        <w:trPr>
          <w:trHeight w:val="188"/>
        </w:trPr>
        <w:tc>
          <w:tcPr>
            <w:tcW w:w="4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Recognition of stock-based compensation expense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7"/>
        </w:trPr>
        <w:tc>
          <w:tcPr>
            <w:tcW w:w="4180" w:type="dxa"/>
            <w:vAlign w:val="bottom"/>
          </w:tcPr>
          <w:p>
            <w:pPr>
              <w:ind w:left="20"/>
              <w:spacing w:after="0" w:line="137" w:lineRule="exact"/>
              <w:rPr>
                <w:sz w:val="20"/>
                <w:szCs w:val="20"/>
                <w:color w:val="auto"/>
              </w:rPr>
            </w:pPr>
            <w:r>
              <w:rPr>
                <w:rFonts w:ascii="Arial" w:cs="Arial" w:eastAsia="Arial" w:hAnsi="Arial"/>
                <w:sz w:val="13"/>
                <w:szCs w:val="13"/>
                <w:color w:val="auto"/>
                <w:w w:val="93"/>
              </w:rPr>
              <w:t>Lapse of repurchase rights related to common stock issued pursuant to early</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4,300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180" w:type="dxa"/>
            <w:vAlign w:val="bottom"/>
          </w:tcPr>
          <w:p>
            <w:pPr>
              <w:ind w:left="20"/>
              <w:spacing w:after="0"/>
              <w:rPr>
                <w:sz w:val="20"/>
                <w:szCs w:val="20"/>
                <w:color w:val="auto"/>
              </w:rPr>
            </w:pPr>
            <w:r>
              <w:rPr>
                <w:rFonts w:ascii="Arial" w:cs="Arial" w:eastAsia="Arial" w:hAnsi="Arial"/>
                <w:sz w:val="13"/>
                <w:szCs w:val="13"/>
                <w:color w:val="auto"/>
              </w:rPr>
              <w:t>exercises</w:t>
            </w: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right w:val="single" w:sz="8" w:color="auto"/>
            </w:tcBorders>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March 31, 2020</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8,249,939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63,402</w:t>
            </w:r>
          </w:p>
        </w:tc>
        <w:tc>
          <w:tcPr>
            <w:tcW w:w="12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2,650,919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(7,958)</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vMerge w:val="restart"/>
          </w:tcPr>
          <w:p>
            <w:pPr>
              <w:ind w:left="20"/>
              <w:spacing w:after="0"/>
              <w:rPr>
                <w:sz w:val="20"/>
                <w:szCs w:val="20"/>
                <w:color w:val="auto"/>
              </w:rPr>
            </w:pPr>
            <w:r>
              <w:rPr>
                <w:rFonts w:ascii="Arial" w:cs="Arial" w:eastAsia="Arial" w:hAnsi="Arial"/>
                <w:sz w:val="13"/>
                <w:szCs w:val="13"/>
                <w:color w:val="auto"/>
              </w:rPr>
              <w:t>Net loss</w:t>
            </w:r>
          </w:p>
        </w:tc>
        <w:tc>
          <w:tcPr>
            <w:tcW w:w="11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180" w:type="dxa"/>
            <w:vAlign w:val="bottom"/>
            <w:tcBorders>
              <w:top w:val="single" w:sz="8" w:color="CCEEFF"/>
            </w:tcBorders>
            <w:vMerge w:val="continue"/>
          </w:tcPr>
          <w:p>
            <w:pPr>
              <w:spacing w:after="0"/>
              <w:rPr>
                <w:sz w:val="13"/>
                <w:szCs w:val="13"/>
                <w:color w:val="auto"/>
              </w:rPr>
            </w:pPr>
          </w:p>
        </w:tc>
        <w:tc>
          <w:tcPr>
            <w:tcW w:w="10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(3,250)</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(3,250)</w:t>
            </w:r>
          </w:p>
        </w:tc>
        <w:tc>
          <w:tcPr>
            <w:tcW w:w="0" w:type="dxa"/>
            <w:vAlign w:val="bottom"/>
          </w:tcPr>
          <w:p>
            <w:pPr>
              <w:spacing w:after="0"/>
              <w:rPr>
                <w:sz w:val="1"/>
                <w:szCs w:val="1"/>
                <w:color w:val="auto"/>
              </w:rPr>
            </w:pPr>
          </w:p>
        </w:tc>
      </w:tr>
      <w:tr>
        <w:trPr>
          <w:trHeight w:val="188"/>
        </w:trPr>
        <w:tc>
          <w:tcPr>
            <w:tcW w:w="4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Recognition of stock-based compensation expense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83"/>
        </w:trPr>
        <w:tc>
          <w:tcPr>
            <w:tcW w:w="4180" w:type="dxa"/>
            <w:vAlign w:val="bottom"/>
          </w:tcPr>
          <w:p>
            <w:pPr>
              <w:ind w:left="20"/>
              <w:spacing w:after="0"/>
              <w:rPr>
                <w:sz w:val="20"/>
                <w:szCs w:val="20"/>
                <w:color w:val="auto"/>
              </w:rPr>
            </w:pPr>
            <w:r>
              <w:rPr>
                <w:rFonts w:ascii="Arial" w:cs="Arial" w:eastAsia="Arial" w:hAnsi="Arial"/>
                <w:sz w:val="13"/>
                <w:szCs w:val="13"/>
                <w:color w:val="auto"/>
              </w:rPr>
              <w:t>Exercise of vested stock options</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June 30, 2020</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8,249,939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63,402</w:t>
            </w:r>
          </w:p>
        </w:tc>
        <w:tc>
          <w:tcPr>
            <w:tcW w:w="12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2,651,996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(11,035)</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03" w:lineRule="exact"/>
        <w:rPr>
          <w:sz w:val="20"/>
          <w:szCs w:val="20"/>
          <w:color w:val="auto"/>
        </w:rPr>
      </w:pPr>
    </w:p>
    <w:p>
      <w:pPr>
        <w:jc w:val="center"/>
        <w:ind w:left="8920"/>
        <w:spacing w:after="0"/>
        <w:rPr>
          <w:sz w:val="20"/>
          <w:szCs w:val="20"/>
          <w:color w:val="auto"/>
        </w:rPr>
      </w:pPr>
      <w:r>
        <w:rPr>
          <w:rFonts w:ascii="Arial" w:cs="Arial" w:eastAsia="Arial" w:hAnsi="Arial"/>
          <w:sz w:val="14"/>
          <w:szCs w:val="14"/>
          <w:b w:val="1"/>
          <w:bCs w:val="1"/>
          <w:color w:val="auto"/>
        </w:rPr>
        <w:t>Six Months Ended</w:t>
      </w:r>
    </w:p>
    <w:p>
      <w:pPr>
        <w:jc w:val="center"/>
        <w:ind w:left="8920"/>
        <w:spacing w:after="0"/>
        <w:rPr>
          <w:sz w:val="20"/>
          <w:szCs w:val="20"/>
          <w:color w:val="auto"/>
        </w:rPr>
      </w:pPr>
      <w:r>
        <w:rPr>
          <w:rFonts w:ascii="Arial" w:cs="Arial" w:eastAsia="Arial" w:hAnsi="Arial"/>
          <w:sz w:val="14"/>
          <w:szCs w:val="14"/>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9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6"/>
        </w:trPr>
        <w:tc>
          <w:tcPr>
            <w:tcW w:w="8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94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16,721</w:t>
            </w:r>
          </w:p>
        </w:tc>
        <w:tc>
          <w:tcPr>
            <w:tcW w:w="10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(5,207)</w:t>
            </w:r>
          </w:p>
        </w:tc>
        <w:tc>
          <w:tcPr>
            <w:tcW w:w="0" w:type="dxa"/>
            <w:vAlign w:val="bottom"/>
          </w:tcPr>
          <w:p>
            <w:pPr>
              <w:spacing w:after="0"/>
              <w:rPr>
                <w:sz w:val="1"/>
                <w:szCs w:val="1"/>
                <w:color w:val="auto"/>
              </w:rPr>
            </w:pPr>
          </w:p>
        </w:tc>
      </w:tr>
      <w:tr>
        <w:trPr>
          <w:trHeight w:val="188"/>
        </w:trPr>
        <w:tc>
          <w:tcPr>
            <w:tcW w:w="8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income (loss) to net cash used in operating activities: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94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8"/>
        </w:trPr>
        <w:tc>
          <w:tcPr>
            <w:tcW w:w="89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83"/>
        </w:trPr>
        <w:tc>
          <w:tcPr>
            <w:tcW w:w="8940" w:type="dxa"/>
            <w:vAlign w:val="bottom"/>
          </w:tcPr>
          <w:p>
            <w:pPr>
              <w:ind w:left="340"/>
              <w:spacing w:after="0"/>
              <w:rPr>
                <w:sz w:val="20"/>
                <w:szCs w:val="20"/>
                <w:color w:val="auto"/>
              </w:rPr>
            </w:pPr>
            <w:r>
              <w:rPr>
                <w:rFonts w:ascii="Arial" w:cs="Arial" w:eastAsia="Arial" w:hAnsi="Arial"/>
                <w:sz w:val="14"/>
                <w:szCs w:val="14"/>
                <w:color w:val="auto"/>
              </w:rPr>
              <w:t>Amortization of operating lease right-of-use asset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8"/>
        </w:trPr>
        <w:tc>
          <w:tcPr>
            <w:tcW w:w="89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on disposal of property and equipment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940" w:type="dxa"/>
            <w:vAlign w:val="bottom"/>
          </w:tcPr>
          <w:p>
            <w:pPr>
              <w:ind w:left="340"/>
              <w:spacing w:after="0"/>
              <w:rPr>
                <w:sz w:val="20"/>
                <w:szCs w:val="20"/>
                <w:color w:val="auto"/>
              </w:rPr>
            </w:pPr>
            <w:r>
              <w:rPr>
                <w:rFonts w:ascii="Arial" w:cs="Arial" w:eastAsia="Arial" w:hAnsi="Arial"/>
                <w:sz w:val="14"/>
                <w:szCs w:val="14"/>
                <w:color w:val="auto"/>
              </w:rPr>
              <w:t>Loss on lease termination</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89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 in fair value of derivative assets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940" w:type="dxa"/>
            <w:vAlign w:val="bottom"/>
          </w:tcPr>
          <w:p>
            <w:pPr>
              <w:ind w:left="340"/>
              <w:spacing w:after="0"/>
              <w:rPr>
                <w:sz w:val="20"/>
                <w:szCs w:val="20"/>
                <w:color w:val="auto"/>
              </w:rPr>
            </w:pPr>
            <w:r>
              <w:rPr>
                <w:rFonts w:ascii="Arial" w:cs="Arial" w:eastAsia="Arial" w:hAnsi="Arial"/>
                <w:sz w:val="14"/>
                <w:szCs w:val="14"/>
                <w:color w:val="auto"/>
              </w:rPr>
              <w:t>Unrealized gain from transactions denominated in a foreign currency</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89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Issuance of common stock pursuant to in-license agreement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940" w:type="dxa"/>
            <w:vAlign w:val="bottom"/>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Accounts receivable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940" w:type="dxa"/>
            <w:vAlign w:val="bottom"/>
          </w:tcPr>
          <w:p>
            <w:pPr>
              <w:ind w:left="440"/>
              <w:spacing w:after="0"/>
              <w:rPr>
                <w:sz w:val="20"/>
                <w:szCs w:val="20"/>
                <w:color w:val="auto"/>
              </w:rPr>
            </w:pPr>
            <w:r>
              <w:rPr>
                <w:rFonts w:ascii="Arial" w:cs="Arial" w:eastAsia="Arial" w:hAnsi="Arial"/>
                <w:sz w:val="14"/>
                <w:szCs w:val="14"/>
                <w:color w:val="auto"/>
              </w:rPr>
              <w:t>Other receivables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8"/>
        </w:trPr>
        <w:tc>
          <w:tcPr>
            <w:tcW w:w="8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w:t>
            </w:r>
          </w:p>
        </w:tc>
        <w:tc>
          <w:tcPr>
            <w:tcW w:w="0" w:type="dxa"/>
            <w:vAlign w:val="bottom"/>
          </w:tcPr>
          <w:p>
            <w:pPr>
              <w:spacing w:after="0"/>
              <w:rPr>
                <w:sz w:val="1"/>
                <w:szCs w:val="1"/>
                <w:color w:val="auto"/>
              </w:rPr>
            </w:pPr>
          </w:p>
        </w:tc>
      </w:tr>
      <w:tr>
        <w:trPr>
          <w:trHeight w:val="183"/>
        </w:trPr>
        <w:tc>
          <w:tcPr>
            <w:tcW w:w="8940" w:type="dxa"/>
            <w:vAlign w:val="bottom"/>
          </w:tcPr>
          <w:p>
            <w:pPr>
              <w:ind w:left="440"/>
              <w:spacing w:after="0"/>
              <w:rPr>
                <w:sz w:val="20"/>
                <w:szCs w:val="20"/>
                <w:color w:val="auto"/>
              </w:rPr>
            </w:pPr>
            <w:r>
              <w:rPr>
                <w:rFonts w:ascii="Arial" w:cs="Arial" w:eastAsia="Arial" w:hAnsi="Arial"/>
                <w:sz w:val="14"/>
                <w:szCs w:val="14"/>
                <w:color w:val="auto"/>
              </w:rPr>
              <w:t>Other non-current assets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8"/>
        </w:trPr>
        <w:tc>
          <w:tcPr>
            <w:tcW w:w="8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Accounts payable and other accrued liabilities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1,953</w:t>
            </w:r>
          </w:p>
        </w:tc>
        <w:tc>
          <w:tcPr>
            <w:tcW w:w="0" w:type="dxa"/>
            <w:vAlign w:val="bottom"/>
          </w:tcPr>
          <w:p>
            <w:pPr>
              <w:spacing w:after="0"/>
              <w:rPr>
                <w:sz w:val="1"/>
                <w:szCs w:val="1"/>
                <w:color w:val="auto"/>
              </w:rPr>
            </w:pPr>
          </w:p>
        </w:tc>
      </w:tr>
      <w:tr>
        <w:trPr>
          <w:trHeight w:val="183"/>
        </w:trPr>
        <w:tc>
          <w:tcPr>
            <w:tcW w:w="8940" w:type="dxa"/>
            <w:vAlign w:val="bottom"/>
          </w:tcPr>
          <w:p>
            <w:pPr>
              <w:ind w:left="440"/>
              <w:spacing w:after="0"/>
              <w:rPr>
                <w:sz w:val="20"/>
                <w:szCs w:val="20"/>
                <w:color w:val="auto"/>
              </w:rPr>
            </w:pPr>
            <w:r>
              <w:rPr>
                <w:rFonts w:ascii="Arial" w:cs="Arial" w:eastAsia="Arial" w:hAnsi="Arial"/>
                <w:sz w:val="14"/>
                <w:szCs w:val="14"/>
                <w:color w:val="auto"/>
              </w:rPr>
              <w:t>Accrued payroll and benefits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8"/>
        </w:trPr>
        <w:tc>
          <w:tcPr>
            <w:tcW w:w="8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Other long-term liabilities</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8940" w:type="dxa"/>
            <w:vAlign w:val="bottom"/>
            <w:tcBorders>
              <w:bottom w:val="single" w:sz="8" w:color="CCEEFF"/>
            </w:tcBorders>
          </w:tcPr>
          <w:p>
            <w:pPr>
              <w:ind w:left="680"/>
              <w:spacing w:after="0" w:line="160" w:lineRule="exact"/>
              <w:rPr>
                <w:sz w:val="20"/>
                <w:szCs w:val="20"/>
                <w:color w:val="auto"/>
              </w:rPr>
            </w:pPr>
            <w:r>
              <w:rPr>
                <w:rFonts w:ascii="Arial" w:cs="Arial" w:eastAsia="Arial" w:hAnsi="Arial"/>
                <w:sz w:val="14"/>
                <w:szCs w:val="14"/>
                <w:color w:val="auto"/>
              </w:rPr>
              <w:t>Net cash provided by (used in) operating activities</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8,757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(4,553)</w:t>
            </w:r>
          </w:p>
        </w:tc>
        <w:tc>
          <w:tcPr>
            <w:tcW w:w="0" w:type="dxa"/>
            <w:vAlign w:val="bottom"/>
          </w:tcPr>
          <w:p>
            <w:pPr>
              <w:spacing w:after="0"/>
              <w:rPr>
                <w:sz w:val="1"/>
                <w:szCs w:val="1"/>
                <w:color w:val="auto"/>
              </w:rPr>
            </w:pPr>
          </w:p>
        </w:tc>
      </w:tr>
      <w:tr>
        <w:trPr>
          <w:trHeight w:val="168"/>
        </w:trPr>
        <w:tc>
          <w:tcPr>
            <w:tcW w:w="8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9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82"/>
        </w:trPr>
        <w:tc>
          <w:tcPr>
            <w:tcW w:w="89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Cash used in investing activities</w:t>
            </w: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65"/>
        </w:trPr>
        <w:tc>
          <w:tcPr>
            <w:tcW w:w="89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Proceeds from issuance of Series B Preferred Stock, net of issuance costs</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3"/>
        </w:trPr>
        <w:tc>
          <w:tcPr>
            <w:tcW w:w="8940" w:type="dxa"/>
            <w:vAlign w:val="bottom"/>
          </w:tcPr>
          <w:p>
            <w:pPr>
              <w:ind w:left="440"/>
              <w:spacing w:after="0"/>
              <w:rPr>
                <w:sz w:val="20"/>
                <w:szCs w:val="20"/>
                <w:color w:val="auto"/>
              </w:rPr>
            </w:pPr>
            <w:r>
              <w:rPr>
                <w:rFonts w:ascii="Arial" w:cs="Arial" w:eastAsia="Arial" w:hAnsi="Arial"/>
                <w:sz w:val="14"/>
                <w:szCs w:val="14"/>
                <w:color w:val="auto"/>
              </w:rPr>
              <w:t>Proceeds from exercise of vested stock options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8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Proceeds from exercise of stock options prior to vesting</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76"/>
        </w:trPr>
        <w:tc>
          <w:tcPr>
            <w:tcW w:w="8940" w:type="dxa"/>
            <w:vAlign w:val="bottom"/>
            <w:tcBorders>
              <w:bottom w:val="single" w:sz="8" w:color="CCEEFF"/>
            </w:tcBorders>
          </w:tcPr>
          <w:p>
            <w:pPr>
              <w:ind w:left="640"/>
              <w:spacing w:after="0" w:line="160" w:lineRule="exact"/>
              <w:rPr>
                <w:sz w:val="20"/>
                <w:szCs w:val="20"/>
                <w:color w:val="auto"/>
              </w:rPr>
            </w:pPr>
            <w:r>
              <w:rPr>
                <w:rFonts w:ascii="Arial" w:cs="Arial" w:eastAsia="Arial" w:hAnsi="Arial"/>
                <w:sz w:val="14"/>
                <w:szCs w:val="14"/>
                <w:color w:val="auto"/>
              </w:rPr>
              <w:t>Net cash provided by financing activities</w:t>
            </w: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82"/>
        </w:trPr>
        <w:tc>
          <w:tcPr>
            <w:tcW w:w="8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(4,817)</w:t>
            </w:r>
          </w:p>
        </w:tc>
        <w:tc>
          <w:tcPr>
            <w:tcW w:w="0" w:type="dxa"/>
            <w:vAlign w:val="bottom"/>
          </w:tcPr>
          <w:p>
            <w:pPr>
              <w:spacing w:after="0"/>
              <w:rPr>
                <w:sz w:val="1"/>
                <w:szCs w:val="1"/>
                <w:color w:val="auto"/>
              </w:rPr>
            </w:pPr>
          </w:p>
        </w:tc>
      </w:tr>
      <w:tr>
        <w:trPr>
          <w:trHeight w:val="176"/>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cash equivalents, and restricted cash — beginning of year</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168,149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57,972</w:t>
            </w:r>
          </w:p>
        </w:tc>
        <w:tc>
          <w:tcPr>
            <w:tcW w:w="0" w:type="dxa"/>
            <w:vAlign w:val="bottom"/>
          </w:tcPr>
          <w:p>
            <w:pPr>
              <w:spacing w:after="0"/>
              <w:rPr>
                <w:sz w:val="1"/>
                <w:szCs w:val="1"/>
                <w:color w:val="auto"/>
              </w:rPr>
            </w:pPr>
          </w:p>
        </w:tc>
      </w:tr>
      <w:tr>
        <w:trPr>
          <w:trHeight w:val="204"/>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 end of period</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176,735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53,155</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Reconciliation of cash, cash equivalents and restricted cash</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9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176,735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53,135</w:t>
            </w:r>
          </w:p>
        </w:tc>
        <w:tc>
          <w:tcPr>
            <w:tcW w:w="0" w:type="dxa"/>
            <w:vAlign w:val="bottom"/>
          </w:tcPr>
          <w:p>
            <w:pPr>
              <w:spacing w:after="0"/>
              <w:rPr>
                <w:sz w:val="1"/>
                <w:szCs w:val="1"/>
                <w:color w:val="auto"/>
              </w:rPr>
            </w:pPr>
          </w:p>
        </w:tc>
      </w:tr>
      <w:tr>
        <w:trPr>
          <w:trHeight w:val="183"/>
        </w:trPr>
        <w:tc>
          <w:tcPr>
            <w:tcW w:w="8940" w:type="dxa"/>
            <w:vAlign w:val="bottom"/>
          </w:tcPr>
          <w:p>
            <w:pPr>
              <w:ind w:left="440"/>
              <w:spacing w:after="0"/>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4"/>
        </w:trPr>
        <w:tc>
          <w:tcPr>
            <w:tcW w:w="894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Cash, cash equivalents and restricted cash</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176,735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53,155</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Disclosures Noncash Investing and Financing Activities: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9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Operating lease right-of-use asset obtained in exchange for operating lease liability</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176"/>
        </w:trPr>
        <w:tc>
          <w:tcPr>
            <w:tcW w:w="8940" w:type="dxa"/>
            <w:vAlign w:val="bottom"/>
          </w:tcPr>
          <w:p>
            <w:pPr>
              <w:ind w:left="440"/>
              <w:spacing w:after="0"/>
              <w:rPr>
                <w:sz w:val="20"/>
                <w:szCs w:val="20"/>
                <w:color w:val="auto"/>
              </w:rPr>
            </w:pPr>
            <w:r>
              <w:rPr>
                <w:rFonts w:ascii="Arial" w:cs="Arial" w:eastAsia="Arial" w:hAnsi="Arial"/>
                <w:sz w:val="14"/>
                <w:szCs w:val="14"/>
                <w:color w:val="auto"/>
              </w:rPr>
              <w:t>Additions of property and equipment in accounts payable and other accrued liabilities</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
        </w:trPr>
        <w:tc>
          <w:tcPr>
            <w:tcW w:w="8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940" w:type="dxa"/>
            <w:vAlign w:val="bottom"/>
            <w:tcBorders>
              <w:bottom w:val="single" w:sz="8" w:color="CCEEFF"/>
            </w:tcBorders>
            <w:shd w:val="clear" w:color="auto" w:fill="CCEEFF"/>
          </w:tcPr>
          <w:p>
            <w:pPr>
              <w:ind w:left="440"/>
              <w:spacing w:after="0" w:line="160" w:lineRule="exact"/>
              <w:rPr>
                <w:sz w:val="20"/>
                <w:szCs w:val="20"/>
                <w:color w:val="auto"/>
              </w:rPr>
            </w:pPr>
            <w:r>
              <w:rPr>
                <w:rFonts w:ascii="Arial" w:cs="Arial" w:eastAsia="Arial" w:hAnsi="Arial"/>
                <w:sz w:val="14"/>
                <w:szCs w:val="14"/>
                <w:color w:val="auto"/>
              </w:rPr>
              <w:t>Derecognition of right-of-use asset upon lease termination</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940" w:type="dxa"/>
            <w:vAlign w:val="bottom"/>
          </w:tcPr>
          <w:p>
            <w:pPr>
              <w:ind w:left="440"/>
              <w:spacing w:after="0"/>
              <w:rPr>
                <w:sz w:val="20"/>
                <w:szCs w:val="20"/>
                <w:color w:val="auto"/>
              </w:rPr>
            </w:pPr>
            <w:r>
              <w:rPr>
                <w:rFonts w:ascii="Arial" w:cs="Arial" w:eastAsia="Arial" w:hAnsi="Arial"/>
                <w:sz w:val="14"/>
                <w:szCs w:val="14"/>
                <w:color w:val="auto"/>
              </w:rPr>
              <w:t>Stock issued to licensor pursuant to execution of out-license agreement</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5,494</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TARSUS PHARMACEUTICALS, INC.</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PRESENTATION OF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Description of Business</w:t>
      </w:r>
    </w:p>
    <w:p>
      <w:pPr>
        <w:spacing w:after="0" w:line="217" w:lineRule="exact"/>
        <w:rPr>
          <w:sz w:val="20"/>
          <w:szCs w:val="20"/>
          <w:color w:val="auto"/>
        </w:rPr>
      </w:pPr>
    </w:p>
    <w:p>
      <w:pPr>
        <w:jc w:val="both"/>
        <w:ind w:right="220" w:firstLine="874"/>
        <w:spacing w:after="0" w:line="255" w:lineRule="auto"/>
        <w:rPr>
          <w:sz w:val="20"/>
          <w:szCs w:val="20"/>
          <w:color w:val="auto"/>
        </w:rPr>
      </w:pPr>
      <w:r>
        <w:rPr>
          <w:rFonts w:ascii="Arial" w:cs="Arial" w:eastAsia="Arial" w:hAnsi="Arial"/>
          <w:sz w:val="18"/>
          <w:szCs w:val="18"/>
          <w:color w:val="auto"/>
        </w:rPr>
        <w:t>Tarsus Pharmaceuticals, Inc. (“Tarsus” or the “Company”) is a late clinical-stage biopharmaceutical company focused on the development and commercialization of novel therapeutic candidates to address large market opportunities initially in ophthalmic conditions where there are limited treatment alternatives.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Reverse Stock Split and Initial Public Offering</w:t>
      </w:r>
    </w:p>
    <w:p>
      <w:pPr>
        <w:spacing w:after="0" w:line="217" w:lineRule="exact"/>
        <w:rPr>
          <w:sz w:val="20"/>
          <w:szCs w:val="20"/>
          <w:color w:val="auto"/>
        </w:rPr>
      </w:pPr>
    </w:p>
    <w:p>
      <w:pPr>
        <w:ind w:right="60" w:firstLine="874"/>
        <w:spacing w:after="0" w:line="311" w:lineRule="auto"/>
        <w:rPr>
          <w:sz w:val="20"/>
          <w:szCs w:val="20"/>
          <w:color w:val="auto"/>
        </w:rPr>
      </w:pPr>
      <w:r>
        <w:rPr>
          <w:rFonts w:ascii="Arial" w:cs="Arial" w:eastAsia="Arial" w:hAnsi="Arial"/>
          <w:sz w:val="15"/>
          <w:szCs w:val="15"/>
          <w:color w:val="auto"/>
        </w:rPr>
        <w:t>On October 8, 2020, the Tarsus Board of Directors approved a 1-for-7.4276 reverse stock split and a certificate of amendment was filed to amend the Company's certificate of incorporation to effect this reverse split. The par value was not adjusted as a result of the reverse stock split. All share and per share information included in the accompanying financial statements give retroactive effect to this reverse stock split for all periods presented.</w:t>
      </w:r>
    </w:p>
    <w:p>
      <w:pPr>
        <w:spacing w:after="0" w:line="138" w:lineRule="exact"/>
        <w:rPr>
          <w:sz w:val="20"/>
          <w:szCs w:val="20"/>
          <w:color w:val="auto"/>
        </w:rPr>
      </w:pPr>
    </w:p>
    <w:p>
      <w:pPr>
        <w:ind w:right="120" w:firstLine="874"/>
        <w:spacing w:after="0" w:line="237" w:lineRule="auto"/>
        <w:rPr>
          <w:sz w:val="20"/>
          <w:szCs w:val="20"/>
          <w:color w:val="auto"/>
        </w:rPr>
      </w:pPr>
      <w:r>
        <w:rPr>
          <w:rFonts w:ascii="Arial" w:cs="Arial" w:eastAsia="Arial" w:hAnsi="Arial"/>
          <w:sz w:val="18"/>
          <w:szCs w:val="18"/>
          <w:color w:val="auto"/>
        </w:rPr>
        <w:t>On October 20, 2020, the Company completed its initial public offering ("IPO") through an underwritten sale of 6,325,000 shares of its common stock at a price of $16.00 per share, inclusive of an additional 825,000 shares of its common stock sold upon the full exercise of the underwriters’ purchase option. The aggregate net proceeds by the Company from the offering totaled $91.7 million, after deducting underwriting discounts and commissions and other offering expenses.</w:t>
      </w:r>
    </w:p>
    <w:p>
      <w:pPr>
        <w:spacing w:after="0" w:line="216" w:lineRule="exact"/>
        <w:rPr>
          <w:sz w:val="20"/>
          <w:szCs w:val="20"/>
          <w:color w:val="auto"/>
        </w:rPr>
      </w:pPr>
    </w:p>
    <w:p>
      <w:pPr>
        <w:ind w:right="140" w:firstLine="874"/>
        <w:spacing w:after="0" w:line="249" w:lineRule="auto"/>
        <w:rPr>
          <w:sz w:val="20"/>
          <w:szCs w:val="20"/>
          <w:color w:val="auto"/>
        </w:rPr>
      </w:pPr>
      <w:r>
        <w:rPr>
          <w:rFonts w:ascii="Arial" w:cs="Arial" w:eastAsia="Arial" w:hAnsi="Arial"/>
          <w:sz w:val="18"/>
          <w:szCs w:val="18"/>
          <w:color w:val="auto"/>
        </w:rPr>
        <w:t xml:space="preserve">Concurrent with the closing of the Company's IPO, all then-outstanding shares of its convertible preferred stock (see </w:t>
      </w:r>
      <w:r>
        <w:rPr>
          <w:rFonts w:ascii="Arial" w:cs="Arial" w:eastAsia="Arial" w:hAnsi="Arial"/>
          <w:sz w:val="18"/>
          <w:szCs w:val="18"/>
          <w:i w:val="1"/>
          <w:iCs w:val="1"/>
          <w:color w:val="auto"/>
        </w:rPr>
        <w:t>Note 4</w:t>
      </w:r>
      <w:r>
        <w:rPr>
          <w:rFonts w:ascii="Arial" w:cs="Arial" w:eastAsia="Arial" w:hAnsi="Arial"/>
          <w:sz w:val="18"/>
          <w:szCs w:val="18"/>
          <w:color w:val="auto"/>
        </w:rPr>
        <w:t>) were automatically converted into an aggregate of 11,107,018 issued shares of common stock.</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Liquidity</w:t>
      </w:r>
    </w:p>
    <w:p>
      <w:pPr>
        <w:spacing w:after="0" w:line="204" w:lineRule="exact"/>
        <w:rPr>
          <w:sz w:val="20"/>
          <w:szCs w:val="20"/>
          <w:color w:val="auto"/>
        </w:rPr>
      </w:pPr>
    </w:p>
    <w:p>
      <w:pPr>
        <w:ind w:firstLine="874"/>
        <w:spacing w:after="0" w:line="264" w:lineRule="auto"/>
        <w:rPr>
          <w:sz w:val="20"/>
          <w:szCs w:val="20"/>
          <w:color w:val="auto"/>
        </w:rPr>
      </w:pPr>
      <w:r>
        <w:rPr>
          <w:rFonts w:ascii="Arial" w:cs="Arial" w:eastAsia="Arial" w:hAnsi="Arial"/>
          <w:sz w:val="17"/>
          <w:szCs w:val="17"/>
          <w:color w:val="auto"/>
        </w:rPr>
        <w:t xml:space="preserve">The Company currently has no product sales, and since inception, has accumulated losses and negative cash flows from operations (other than consideration received from an out-licensing agreement, as discussed in </w:t>
      </w:r>
      <w:r>
        <w:rPr>
          <w:rFonts w:ascii="Arial" w:cs="Arial" w:eastAsia="Arial" w:hAnsi="Arial"/>
          <w:sz w:val="17"/>
          <w:szCs w:val="17"/>
          <w:i w:val="1"/>
          <w:iCs w:val="1"/>
          <w:color w:val="auto"/>
        </w:rPr>
        <w:t>Note 9</w:t>
      </w:r>
      <w:r>
        <w:rPr>
          <w:rFonts w:ascii="Arial" w:cs="Arial" w:eastAsia="Arial" w:hAnsi="Arial"/>
          <w:sz w:val="17"/>
          <w:szCs w:val="17"/>
          <w:color w:val="auto"/>
        </w:rPr>
        <w:t>), resulting in an accumulated deficit of $16.1 million as of June 30, 2021 and $32.8 million as of December 31, 2020. The Company’s cash and cash equivalents were $176.7 million and $168.1 million as of June 30, 2021 and December 31, 2020, respectively. The Company has funded its inception-to-date operations primarily through equity capital raises and proceeds from its out-license agreement. The Company believes that its existing capital resources will be sufficient to meet projected operating requirements beyond at least 12 months from the August 5, 2021 filing date of this Form 10-Q. Accordingly, the accompanying financial statements in this Form 10-Q have been prepared on a going concern basis, which contemplates the realization of assets and satisfaction of liabilities in the normal course of business. The financial statements do not include any adjustments relating to the recoverability and classification of recorded asset amounts or the amounts and classification of liabilities that might result from the outcome of this uncertainty.</w:t>
      </w:r>
    </w:p>
    <w:p>
      <w:pPr>
        <w:spacing w:after="0" w:line="185" w:lineRule="exact"/>
        <w:rPr>
          <w:sz w:val="20"/>
          <w:szCs w:val="20"/>
          <w:color w:val="auto"/>
        </w:rPr>
      </w:pPr>
    </w:p>
    <w:p>
      <w:pPr>
        <w:ind w:right="60" w:firstLine="874"/>
        <w:spacing w:after="0" w:line="271" w:lineRule="auto"/>
        <w:rPr>
          <w:sz w:val="20"/>
          <w:szCs w:val="20"/>
          <w:color w:val="auto"/>
        </w:rPr>
      </w:pPr>
      <w:r>
        <w:rPr>
          <w:rFonts w:ascii="Arial" w:cs="Arial" w:eastAsia="Arial" w:hAnsi="Arial"/>
          <w:sz w:val="17"/>
          <w:szCs w:val="17"/>
          <w:color w:val="auto"/>
        </w:rPr>
        <w:t>The Company’s operations currently consist of its corporate organization build-out, intellectual property licensing activities, and conducting preclinical and clinical studies. The Company faces the clinical, business, and liquidity risks that are typically associated with early-stage biotechnology companies; it must complete expensive research and development activities, achieve research and development outcomes that are inherently uncertain, recruit and retain skilled personnel (including executive management), and build and defend its intellectual property rights.</w:t>
      </w:r>
    </w:p>
    <w:p>
      <w:pPr>
        <w:spacing w:after="0" w:line="177" w:lineRule="exact"/>
        <w:rPr>
          <w:sz w:val="20"/>
          <w:szCs w:val="20"/>
          <w:color w:val="auto"/>
        </w:rPr>
      </w:pPr>
    </w:p>
    <w:p>
      <w:pPr>
        <w:ind w:firstLine="874"/>
        <w:spacing w:after="0" w:line="264" w:lineRule="auto"/>
        <w:rPr>
          <w:sz w:val="20"/>
          <w:szCs w:val="20"/>
          <w:color w:val="auto"/>
        </w:rPr>
      </w:pPr>
      <w:r>
        <w:rPr>
          <w:rFonts w:ascii="Arial" w:cs="Arial" w:eastAsia="Arial" w:hAnsi="Arial"/>
          <w:sz w:val="17"/>
          <w:szCs w:val="17"/>
          <w:color w:val="auto"/>
        </w:rPr>
        <w:t>Management expects to continue to incur additional substantial losses in the foreseeable future as a result of the Company’s research and development activities and other operating expenses. The Company will be required to raise additional capital to fund its future operations, however, no assurance can be given as to whether financing will be available on terms acceptable to the Company, if at all. If the Company raises additional funds by issuing equity securities, its stockholders may experience dilution. Any future debt financing into which the Company enters may impose additional covenants that restrict operations, including limitations on its ability to incur liens or additional debt, pay dividends, repurchase common stock, make certain investments, or engage in certain merger, consolidation or asset sale transactions. Any debt financing or additional equity raise may contain terms that are not favorable to the Company or its stockholders. The Company’s potential inability to raise capital when needed could have a negative impact on its financial condition and ability to pursue planned business strategies. If the Company is unable to raise additional funds as required, it may need to delay, reduce, or terminate some or all</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TARSUS PHARMACEUTICALS, INC.</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its development programs and clinical trials. The Company may also be required to sell or license its rights to product candidates in certain territories or indications that it would otherwise prefer to develop and commercialize on its own. If the Company is required to enter into collaborations and other arrangements to address its liquidity needs, it may have to give up certain rights that limit its ability to develop and commercialize product candidates or may have other terms that are not favorable to the Company or its stockholders, which could materially and adversely affect its business and financial prospects. These factors may adversely impact the Company's ability to achieve its business objectives and would likely have an adverse effect on its future business prospects, or even its ability to remain a going concern.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Operating Segment</w:t>
      </w:r>
    </w:p>
    <w:p>
      <w:pPr>
        <w:spacing w:after="0" w:line="217" w:lineRule="exact"/>
        <w:rPr>
          <w:sz w:val="20"/>
          <w:szCs w:val="20"/>
          <w:color w:val="auto"/>
        </w:rPr>
      </w:pPr>
    </w:p>
    <w:p>
      <w:pPr>
        <w:jc w:val="both"/>
        <w:ind w:right="440" w:firstLine="874"/>
        <w:spacing w:after="0" w:line="330" w:lineRule="auto"/>
        <w:rPr>
          <w:sz w:val="20"/>
          <w:szCs w:val="20"/>
          <w:color w:val="auto"/>
        </w:rPr>
      </w:pPr>
      <w:r>
        <w:rPr>
          <w:rFonts w:ascii="Arial" w:cs="Arial" w:eastAsia="Arial" w:hAnsi="Arial"/>
          <w:sz w:val="15"/>
          <w:szCs w:val="15"/>
          <w:color w:val="auto"/>
        </w:rPr>
        <w:t>To date, the Company has operated and managed its business and financial information on an aggregate basis for the purposes of evaluating financial performance and the allocation of capital and personnel resources. Accordingly, the Company’s management determined that it operates in one reportable operating segment. This single segment is focused exclusively on developing pharmaceutical products for eventual commercialization.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Emerging Growth Company Status</w:t>
      </w:r>
    </w:p>
    <w:p>
      <w:pPr>
        <w:spacing w:after="0" w:line="217" w:lineRule="exact"/>
        <w:rPr>
          <w:sz w:val="20"/>
          <w:szCs w:val="20"/>
          <w:color w:val="auto"/>
        </w:rPr>
      </w:pPr>
    </w:p>
    <w:p>
      <w:pPr>
        <w:ind w:firstLine="874"/>
        <w:spacing w:after="0" w:line="250"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and, as a result, will adopt new or revised accounting standards on the relevant effective dates on which adoption of such standards is required for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AND USE OF ESTIMATES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Basis of Presentation</w:t>
      </w:r>
    </w:p>
    <w:p>
      <w:pPr>
        <w:spacing w:after="0" w:line="217" w:lineRule="exact"/>
        <w:rPr>
          <w:sz w:val="20"/>
          <w:szCs w:val="20"/>
          <w:color w:val="auto"/>
        </w:rPr>
      </w:pPr>
    </w:p>
    <w:p>
      <w:pPr>
        <w:ind w:right="120" w:firstLine="874"/>
        <w:spacing w:after="0" w:line="252" w:lineRule="auto"/>
        <w:rPr>
          <w:sz w:val="20"/>
          <w:szCs w:val="20"/>
          <w:color w:val="auto"/>
        </w:rPr>
      </w:pPr>
      <w:r>
        <w:rPr>
          <w:rFonts w:ascii="Arial" w:cs="Arial" w:eastAsia="Arial" w:hAnsi="Arial"/>
          <w:sz w:val="18"/>
          <w:szCs w:val="18"/>
          <w:color w:val="auto"/>
        </w:rPr>
        <w:t xml:space="preserve">The Company’s condensed financial statements have been prepared in conformity with accounting principles generally accepted in the United States (“GAAP”) for interim financial information and pursuant to Form 10-Q and </w:t>
      </w:r>
      <w:r>
        <w:rPr>
          <w:rFonts w:ascii="Arial" w:cs="Arial" w:eastAsia="Arial" w:hAnsi="Arial"/>
          <w:sz w:val="18"/>
          <w:szCs w:val="18"/>
          <w:i w:val="1"/>
          <w:iCs w:val="1"/>
          <w:color w:val="auto"/>
        </w:rPr>
        <w:t>Article 10 of Regulation S-X</w:t>
      </w:r>
      <w:r>
        <w:rPr>
          <w:rFonts w:ascii="Arial" w:cs="Arial" w:eastAsia="Arial" w:hAnsi="Arial"/>
          <w:sz w:val="18"/>
          <w:szCs w:val="18"/>
          <w:color w:val="auto"/>
        </w:rPr>
        <w:t xml:space="preserve"> of the Securities and Exchange Commission (“SEC”). Accordingly, the accompanying condensed financial statements do not include all of the information and footnotes required by GAAP for complete financial statements.</w:t>
      </w:r>
    </w:p>
    <w:p>
      <w:pPr>
        <w:spacing w:after="0" w:line="191" w:lineRule="exact"/>
        <w:rPr>
          <w:sz w:val="20"/>
          <w:szCs w:val="20"/>
          <w:color w:val="auto"/>
        </w:rPr>
      </w:pPr>
    </w:p>
    <w:p>
      <w:pPr>
        <w:ind w:right="20" w:firstLine="874"/>
        <w:spacing w:after="0" w:line="318" w:lineRule="auto"/>
        <w:rPr>
          <w:sz w:val="20"/>
          <w:szCs w:val="20"/>
          <w:color w:val="auto"/>
        </w:rPr>
      </w:pPr>
      <w:r>
        <w:rPr>
          <w:rFonts w:ascii="Arial" w:cs="Arial" w:eastAsia="Arial" w:hAnsi="Arial"/>
          <w:sz w:val="15"/>
          <w:szCs w:val="15"/>
          <w:color w:val="auto"/>
        </w:rPr>
        <w:t>The interim condensed balance sheet as of June 30, 2021, and the interim condensed statements of operations and comprehensive income (loss), changes in preferred stock and stockholders’ equity and cash flows for the three and six months ended June 30, 2021 and 2020 are unaudited. These unaudited interim financial statements have been prepared on the same basis as the Company’s annual financial statements and, in the opinion of management, reflect all adjustments, which consist of only normal and recurring adjustments for the fair presentation of its financial information.</w:t>
      </w:r>
    </w:p>
    <w:p>
      <w:pPr>
        <w:spacing w:after="0" w:line="146" w:lineRule="exact"/>
        <w:rPr>
          <w:sz w:val="20"/>
          <w:szCs w:val="20"/>
          <w:color w:val="auto"/>
        </w:rPr>
      </w:pPr>
    </w:p>
    <w:p>
      <w:pPr>
        <w:ind w:right="120" w:firstLine="874"/>
        <w:spacing w:after="0" w:line="318" w:lineRule="auto"/>
        <w:rPr>
          <w:sz w:val="20"/>
          <w:szCs w:val="20"/>
          <w:color w:val="auto"/>
        </w:rPr>
      </w:pPr>
      <w:r>
        <w:rPr>
          <w:rFonts w:ascii="Arial" w:cs="Arial" w:eastAsia="Arial" w:hAnsi="Arial"/>
          <w:sz w:val="15"/>
          <w:szCs w:val="15"/>
          <w:color w:val="auto"/>
        </w:rPr>
        <w:t>The financial data and other information disclosed in these notes related to the three and six-month periods are also unaudited. The condensed balance sheet as of December 31, 2020 has been derived from the audited financial statements at that date but does not include all information and footnotes required by GAAP for annual financial statements. The condensed interim operating results for three and six months ended June 30, 2021 are not necessarily indicative of results to be expected for the year ending December 31, 2021 or any other interim or annual period.</w:t>
      </w:r>
    </w:p>
    <w:p>
      <w:pPr>
        <w:spacing w:after="0" w:line="146" w:lineRule="exact"/>
        <w:rPr>
          <w:sz w:val="20"/>
          <w:szCs w:val="20"/>
          <w:color w:val="auto"/>
        </w:rPr>
      </w:pPr>
    </w:p>
    <w:p>
      <w:pPr>
        <w:ind w:right="120" w:firstLine="874"/>
        <w:spacing w:after="0" w:line="255" w:lineRule="auto"/>
        <w:rPr>
          <w:sz w:val="20"/>
          <w:szCs w:val="20"/>
          <w:color w:val="auto"/>
        </w:rPr>
      </w:pPr>
      <w:r>
        <w:rPr>
          <w:rFonts w:ascii="Arial" w:cs="Arial" w:eastAsia="Arial" w:hAnsi="Arial"/>
          <w:sz w:val="18"/>
          <w:szCs w:val="18"/>
          <w:color w:val="auto"/>
        </w:rPr>
        <w:t>The accompanying interim unaudited condensed financial statements should be read in conjunction with the audited financial statements and the related notes thereto for the year ended December 31, 2020 in the Company’s Annual Report on Form 10-K (“Annual Report”) for the fiscal year ended December 31, 2020, as filed with the SEC on March 31, 2021.</w:t>
      </w:r>
    </w:p>
    <w:p>
      <w:pPr>
        <w:spacing w:after="0" w:line="188" w:lineRule="exact"/>
        <w:rPr>
          <w:sz w:val="20"/>
          <w:szCs w:val="20"/>
          <w:color w:val="auto"/>
        </w:rPr>
      </w:pPr>
    </w:p>
    <w:p>
      <w:pPr>
        <w:jc w:val="both"/>
        <w:ind w:right="260" w:firstLine="874"/>
        <w:spacing w:after="0" w:line="277" w:lineRule="auto"/>
        <w:rPr>
          <w:sz w:val="20"/>
          <w:szCs w:val="20"/>
          <w:color w:val="auto"/>
        </w:rPr>
      </w:pPr>
      <w:r>
        <w:rPr>
          <w:rFonts w:ascii="Arial" w:cs="Arial" w:eastAsia="Arial" w:hAnsi="Arial"/>
          <w:sz w:val="17"/>
          <w:szCs w:val="17"/>
          <w:color w:val="auto"/>
        </w:rPr>
        <w:t>The preparation of financial statements in conformity with GAAP and with the rules and regulations of the SEC requires management to make informed estimates and assumptions that affect the amounts reported in these financial statements and accompanying notes. These amounts may materially differ from the amounts ultimately realized and reported due to the inherent uncertainty of any estimate or assumption.</w:t>
      </w:r>
    </w:p>
    <w:p>
      <w:pPr>
        <w:spacing w:after="0" w:line="171" w:lineRule="exact"/>
        <w:rPr>
          <w:sz w:val="20"/>
          <w:szCs w:val="20"/>
          <w:color w:val="auto"/>
        </w:rPr>
      </w:pPr>
    </w:p>
    <w:p>
      <w:pPr>
        <w:ind w:right="160" w:firstLine="874"/>
        <w:spacing w:after="0" w:line="271" w:lineRule="auto"/>
        <w:rPr>
          <w:sz w:val="20"/>
          <w:szCs w:val="20"/>
          <w:color w:val="auto"/>
        </w:rPr>
      </w:pPr>
      <w:r>
        <w:rPr>
          <w:rFonts w:ascii="Arial" w:cs="Arial" w:eastAsia="Arial" w:hAnsi="Arial"/>
          <w:sz w:val="17"/>
          <w:szCs w:val="17"/>
          <w:color w:val="auto"/>
        </w:rPr>
        <w:t>On an on-going basis, management evaluates its most critical estimates and assumptions, including those related to the (i) fair value of equity-based awards and periodic recognition of stock-based compensation, (ii) the realization of income tax assets and estimates of tax liabilities, and (iii) expense accruals related to research and development activities, including clinical trials. The accounting policies and estimates that most significantly impact the presented amounts within the accompanying condensed financial statements are further described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(ii) Cash and Cash Equivalents</w:t>
      </w:r>
    </w:p>
    <w:p>
      <w:pPr>
        <w:spacing w:after="0" w:line="217" w:lineRule="exact"/>
        <w:rPr>
          <w:sz w:val="20"/>
          <w:szCs w:val="20"/>
          <w:color w:val="auto"/>
        </w:rPr>
      </w:pPr>
    </w:p>
    <w:p>
      <w:pPr>
        <w:ind w:right="20" w:firstLine="874"/>
        <w:spacing w:after="0" w:line="264" w:lineRule="auto"/>
        <w:rPr>
          <w:sz w:val="20"/>
          <w:szCs w:val="20"/>
          <w:color w:val="auto"/>
        </w:rPr>
      </w:pPr>
      <w:r>
        <w:rPr>
          <w:rFonts w:ascii="Arial" w:cs="Arial" w:eastAsia="Arial" w:hAnsi="Arial"/>
          <w:sz w:val="18"/>
          <w:szCs w:val="18"/>
          <w:color w:val="auto"/>
        </w:rPr>
        <w:t>Cash and cash equivalents consist of bank deposits and highly liquid investments, including money market fund accounts, with original maturities of three months or less from the purchase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(iii) Restricted Cash</w:t>
      </w:r>
    </w:p>
    <w:p>
      <w:pPr>
        <w:spacing w:after="0" w:line="217" w:lineRule="exact"/>
        <w:rPr>
          <w:sz w:val="20"/>
          <w:szCs w:val="20"/>
          <w:color w:val="auto"/>
        </w:rPr>
      </w:pPr>
    </w:p>
    <w:p>
      <w:pPr>
        <w:ind w:right="500" w:firstLine="874"/>
        <w:spacing w:after="0" w:line="264" w:lineRule="auto"/>
        <w:rPr>
          <w:sz w:val="20"/>
          <w:szCs w:val="20"/>
          <w:color w:val="auto"/>
        </w:rPr>
      </w:pPr>
      <w:r>
        <w:rPr>
          <w:rFonts w:ascii="Arial" w:cs="Arial" w:eastAsia="Arial" w:hAnsi="Arial"/>
          <w:sz w:val="18"/>
          <w:szCs w:val="18"/>
          <w:color w:val="auto"/>
        </w:rPr>
        <w:t>Restricted cash represents cash held as collateral for the Company’s corporate credit card program. Any cash that is legally or contractually restricted from immediate use is classified as restricted cash.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 Concentration of Credit Risk and Other Risks and Uncertainties</w:t>
      </w:r>
    </w:p>
    <w:p>
      <w:pPr>
        <w:spacing w:after="0" w:line="217" w:lineRule="exact"/>
        <w:rPr>
          <w:sz w:val="20"/>
          <w:szCs w:val="20"/>
          <w:color w:val="auto"/>
        </w:rPr>
      </w:pPr>
    </w:p>
    <w:p>
      <w:pPr>
        <w:ind w:right="740" w:firstLine="874"/>
        <w:spacing w:after="0" w:line="264"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in deposits at financial institutions that exceed federally insured limits.</w:t>
      </w:r>
    </w:p>
    <w:p>
      <w:pPr>
        <w:spacing w:after="0" w:line="181" w:lineRule="exact"/>
        <w:rPr>
          <w:sz w:val="20"/>
          <w:szCs w:val="20"/>
          <w:color w:val="auto"/>
        </w:rPr>
      </w:pPr>
    </w:p>
    <w:p>
      <w:pPr>
        <w:ind w:firstLine="874"/>
        <w:spacing w:after="0" w:line="264" w:lineRule="auto"/>
        <w:rPr>
          <w:sz w:val="20"/>
          <w:szCs w:val="20"/>
          <w:color w:val="auto"/>
        </w:rPr>
      </w:pPr>
      <w:r>
        <w:rPr>
          <w:rFonts w:ascii="Arial" w:cs="Arial" w:eastAsia="Arial" w:hAnsi="Arial"/>
          <w:sz w:val="18"/>
          <w:szCs w:val="18"/>
          <w:color w:val="auto"/>
        </w:rPr>
        <w:t>In March 2020, the World Health Organization declared a pandemic related to the global novel coronavirus disease 2019 (“COVID-19”) outbreak. To date, the Company’s operations have not been significantly impacted by the COVID-19</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440"/>
        <w:spacing w:after="0" w:line="255" w:lineRule="auto"/>
        <w:rPr>
          <w:sz w:val="20"/>
          <w:szCs w:val="20"/>
          <w:color w:val="auto"/>
        </w:rPr>
      </w:pPr>
      <w:r>
        <w:rPr>
          <w:rFonts w:ascii="Arial" w:cs="Arial" w:eastAsia="Arial" w:hAnsi="Arial"/>
          <w:sz w:val="18"/>
          <w:szCs w:val="18"/>
          <w:color w:val="auto"/>
        </w:rPr>
        <w:t>pandemic, though the Company continues to monitor the potential impact COVID-19 may have on its ongoing and planned clinical trials. However, the Company cannot at this time predict the specific extent, duration, or full impact that the COVID-19 outbreak may have on these activities or its financial condition.</w:t>
      </w:r>
    </w:p>
    <w:p>
      <w:pPr>
        <w:spacing w:after="0" w:line="188" w:lineRule="exact"/>
        <w:rPr>
          <w:sz w:val="20"/>
          <w:szCs w:val="20"/>
          <w:color w:val="auto"/>
        </w:rPr>
      </w:pPr>
    </w:p>
    <w:p>
      <w:pPr>
        <w:ind w:right="300" w:firstLine="874"/>
        <w:spacing w:after="0" w:line="249" w:lineRule="auto"/>
        <w:rPr>
          <w:sz w:val="20"/>
          <w:szCs w:val="20"/>
          <w:color w:val="auto"/>
        </w:rPr>
      </w:pPr>
      <w:r>
        <w:rPr>
          <w:rFonts w:ascii="Arial" w:cs="Arial" w:eastAsia="Arial" w:hAnsi="Arial"/>
          <w:sz w:val="18"/>
          <w:szCs w:val="18"/>
          <w:color w:val="auto"/>
        </w:rPr>
        <w:t>The Company’s results of operations involve numerous risks and uncertainties. Factors that could adversely impact the Company’s operating results and business objectives include, but are not limited to, (1) uncertainty of results of clinical trials, (2) uncertainty of regulatory approval of the Company’s potential product candidates, including TP-03 for ophthalmic conditions, TP-04 for treatment of skin conditions and TP-05 for prophylaxis of Lyme and community malaria reduction, (3) uncertainty of market acceptance of its product candidates, (4) competition from substitute products and other companies, (5) securing and protecting proprietary technology and strategic relationships, and (6) and dependence on key individuals and sole source suppliers.</w:t>
      </w:r>
    </w:p>
    <w:p>
      <w:pPr>
        <w:spacing w:after="0" w:line="196" w:lineRule="exact"/>
        <w:rPr>
          <w:sz w:val="20"/>
          <w:szCs w:val="20"/>
          <w:color w:val="auto"/>
        </w:rPr>
      </w:pPr>
    </w:p>
    <w:p>
      <w:pPr>
        <w:ind w:right="200" w:firstLine="874"/>
        <w:spacing w:after="0" w:line="252" w:lineRule="auto"/>
        <w:rPr>
          <w:sz w:val="20"/>
          <w:szCs w:val="20"/>
          <w:color w:val="auto"/>
        </w:rPr>
      </w:pPr>
      <w:r>
        <w:rPr>
          <w:rFonts w:ascii="Arial" w:cs="Arial" w:eastAsia="Arial" w:hAnsi="Arial"/>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these necessary approvals. If the Company is denied approval, approval is delayed, or is unable to maintain approval for any product candidate, it could have a materially adverse impact on the Company's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 Property and Equipment</w:t>
      </w:r>
    </w:p>
    <w:p>
      <w:pPr>
        <w:spacing w:after="0" w:line="217" w:lineRule="exact"/>
        <w:rPr>
          <w:sz w:val="20"/>
          <w:szCs w:val="20"/>
          <w:color w:val="auto"/>
        </w:rPr>
      </w:pPr>
    </w:p>
    <w:p>
      <w:pPr>
        <w:ind w:right="60" w:firstLine="874"/>
        <w:spacing w:after="0" w:line="305" w:lineRule="auto"/>
        <w:rPr>
          <w:sz w:val="20"/>
          <w:szCs w:val="20"/>
          <w:color w:val="auto"/>
        </w:rPr>
      </w:pPr>
      <w:r>
        <w:rPr>
          <w:rFonts w:ascii="Arial" w:cs="Arial" w:eastAsia="Arial" w:hAnsi="Arial"/>
          <w:sz w:val="15"/>
          <w:szCs w:val="15"/>
          <w:color w:val="auto"/>
        </w:rPr>
        <w:t xml:space="preserve">Property and equipment is stated at historical cost and is depreciated on a straight-line basis over an estimated useful life that corresponds with its designated asset category. Leasehold improvements are amortized on a straight-line basis over the shorter of the remaining lease term or the estimated useful lives of related improvements. The Company evaluates the recoverability of “long-lived assets” (which includes property and equipment) whenever events or changes in circumstances in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 Other than the right-of-use ("ROU") asset impairment discussed in </w:t>
      </w:r>
      <w:r>
        <w:rPr>
          <w:rFonts w:ascii="Arial" w:cs="Arial" w:eastAsia="Arial" w:hAnsi="Arial"/>
          <w:sz w:val="15"/>
          <w:szCs w:val="15"/>
          <w:i w:val="1"/>
          <w:iCs w:val="1"/>
          <w:color w:val="auto"/>
        </w:rPr>
        <w:t>Note 8</w:t>
      </w:r>
      <w:r>
        <w:rPr>
          <w:rFonts w:ascii="Arial" w:cs="Arial" w:eastAsia="Arial" w:hAnsi="Arial"/>
          <w:sz w:val="15"/>
          <w:szCs w:val="15"/>
          <w:color w:val="auto"/>
        </w:rPr>
        <w:t>, there were no events or changes in business circumstances during the three and six months ended June 30, 2021 or year ended December 31, 2020 that indicated the carrying amounts of any long-lived assets were not fully recoverable.</w:t>
      </w:r>
    </w:p>
    <w:p>
      <w:pPr>
        <w:spacing w:after="0" w:line="154" w:lineRule="exact"/>
        <w:rPr>
          <w:sz w:val="20"/>
          <w:szCs w:val="20"/>
          <w:color w:val="auto"/>
        </w:rPr>
      </w:pPr>
    </w:p>
    <w:p>
      <w:pPr>
        <w:ind w:left="640" w:right="7100" w:hanging="634"/>
        <w:spacing w:after="0" w:line="506" w:lineRule="auto"/>
        <w:tabs>
          <w:tab w:leader="none" w:pos="293"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 for Out-License Arrangements Overview</w:t>
      </w:r>
    </w:p>
    <w:p>
      <w:pPr>
        <w:spacing w:after="0" w:line="2" w:lineRule="exact"/>
        <w:rPr>
          <w:sz w:val="20"/>
          <w:szCs w:val="20"/>
          <w:color w:val="auto"/>
        </w:rPr>
      </w:pPr>
    </w:p>
    <w:p>
      <w:pPr>
        <w:ind w:right="80" w:firstLine="874"/>
        <w:spacing w:after="0" w:line="250" w:lineRule="auto"/>
        <w:rPr>
          <w:sz w:val="20"/>
          <w:szCs w:val="20"/>
          <w:color w:val="auto"/>
        </w:rPr>
      </w:pPr>
      <w:r>
        <w:rPr>
          <w:rFonts w:ascii="Arial" w:cs="Arial" w:eastAsia="Arial" w:hAnsi="Arial"/>
          <w:sz w:val="18"/>
          <w:szCs w:val="18"/>
          <w:color w:val="auto"/>
        </w:rPr>
        <w:t xml:space="preserve">The Company currently has one out-license arrangement that allows the licensee to market the Company’s TP-03 product (representing "functional intellectual property") in certain territories for a certain field of use and for a stated term - see </w:t>
      </w:r>
      <w:r>
        <w:rPr>
          <w:rFonts w:ascii="Arial" w:cs="Arial" w:eastAsia="Arial" w:hAnsi="Arial"/>
          <w:sz w:val="18"/>
          <w:szCs w:val="18"/>
          <w:i w:val="1"/>
          <w:iCs w:val="1"/>
          <w:color w:val="auto"/>
        </w:rPr>
        <w:t>Note 9</w:t>
      </w:r>
      <w:r>
        <w:rPr>
          <w:rFonts w:ascii="Arial" w:cs="Arial" w:eastAsia="Arial" w:hAnsi="Arial"/>
          <w:sz w:val="18"/>
          <w:szCs w:val="18"/>
          <w:color w:val="auto"/>
        </w:rPr>
        <w:t>. The accounting and reporting of revenue for out-license arrangements requires significant judgment for: (a) identification of the number of performance obligations within the contract, (b) the contract’s transaction price for allocation (including variable consideration), (c) the stand-alone selling price for each identified performance obligation, and (d) the timing and amount of revenue recognition in each period.</w:t>
      </w:r>
    </w:p>
    <w:p>
      <w:pPr>
        <w:spacing w:after="0" w:line="220" w:lineRule="exact"/>
        <w:rPr>
          <w:sz w:val="20"/>
          <w:szCs w:val="20"/>
          <w:color w:val="auto"/>
        </w:rPr>
      </w:pPr>
    </w:p>
    <w:p>
      <w:pPr>
        <w:ind w:right="80" w:firstLine="874"/>
        <w:spacing w:after="0" w:line="297" w:lineRule="auto"/>
        <w:rPr>
          <w:sz w:val="20"/>
          <w:szCs w:val="20"/>
          <w:color w:val="auto"/>
        </w:rPr>
      </w:pPr>
      <w:r>
        <w:rPr>
          <w:rFonts w:ascii="Arial" w:cs="Arial" w:eastAsia="Arial" w:hAnsi="Arial"/>
          <w:sz w:val="15"/>
          <w:szCs w:val="15"/>
          <w:color w:val="auto"/>
        </w:rPr>
        <w:t xml:space="preserve">The Company's out-license arrangement, as described in </w:t>
      </w:r>
      <w:r>
        <w:rPr>
          <w:rFonts w:ascii="Arial" w:cs="Arial" w:eastAsia="Arial" w:hAnsi="Arial"/>
          <w:sz w:val="15"/>
          <w:szCs w:val="15"/>
          <w:i w:val="1"/>
          <w:iCs w:val="1"/>
          <w:color w:val="auto"/>
        </w:rPr>
        <w:t>Note 9</w:t>
      </w:r>
      <w:r>
        <w:rPr>
          <w:rFonts w:ascii="Arial" w:cs="Arial" w:eastAsia="Arial" w:hAnsi="Arial"/>
          <w:sz w:val="15"/>
          <w:szCs w:val="15"/>
          <w:color w:val="auto"/>
        </w:rPr>
        <w:t>, was analyzed under GAAP to determine whether the promised goods or services (which include the license, and know-how, data, and information necessary or reasonably useful for the research, development, manufacture, or commercialization of any license product, and governance committee services) are distinct or must be accounted for as part of a combined performance obligation. In making these assessments, the Company considers factors such as the stage of development of the underlying intellectual property and the capabilities of the customer to develop the intellectual property on their own, and/or whether the required expertise is readily available. If the license is considered to not be distinct, the license is combined with other promised goods or services as a combined performance obligation for revenue recognition.</w:t>
      </w:r>
    </w:p>
    <w:p>
      <w:pPr>
        <w:spacing w:after="0" w:line="3"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The Company's out-license arrangement is in exchange for the following forms of consideration: (i) upfront cash payments, (ii) equity-based consideration, (iii) sales royalties, (iv) sales threshold milestones, (v) development milestone fees, and (vi) regulatory milestone fees. Revenue is recognized in proportion to the allocated transaction price when (or as) the respective performance obligation is satisfied. The Company evaluates the progress related to each milestone at each reporting</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period and, if necessary, also adjusts the probability of achievement and related revenue recognition. The measure of progress, and thereby periods over which revenue is recognized, is subject to estimates by management and may change over the course of the agreement.</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Contractual Terms for Receipt of Payments</w:t>
      </w:r>
    </w:p>
    <w:p>
      <w:pPr>
        <w:spacing w:after="0" w:line="232" w:lineRule="exact"/>
        <w:rPr>
          <w:sz w:val="20"/>
          <w:szCs w:val="20"/>
          <w:color w:val="auto"/>
        </w:rPr>
      </w:pPr>
    </w:p>
    <w:p>
      <w:pPr>
        <w:ind w:right="40" w:firstLine="636"/>
        <w:spacing w:after="0" w:line="264" w:lineRule="auto"/>
        <w:rPr>
          <w:sz w:val="20"/>
          <w:szCs w:val="20"/>
          <w:color w:val="auto"/>
        </w:rPr>
      </w:pPr>
      <w:r>
        <w:rPr>
          <w:rFonts w:ascii="Arial" w:cs="Arial" w:eastAsia="Arial" w:hAnsi="Arial"/>
          <w:sz w:val="18"/>
          <w:szCs w:val="18"/>
          <w:color w:val="auto"/>
        </w:rPr>
        <w:t>The contractual terms that establish the Company’s right to collect specified amounts from its customers and the require contemporaneous evaluation and documentation under GAAP for the corresponding timing and amount of revenue recognition, as follows:</w:t>
      </w:r>
    </w:p>
    <w:p>
      <w:pPr>
        <w:spacing w:after="0" w:line="207" w:lineRule="exact"/>
        <w:rPr>
          <w:sz w:val="20"/>
          <w:szCs w:val="20"/>
          <w:color w:val="auto"/>
        </w:rPr>
      </w:pPr>
    </w:p>
    <w:p>
      <w:pPr>
        <w:ind w:right="80" w:firstLine="642"/>
        <w:spacing w:after="0" w:line="318" w:lineRule="auto"/>
        <w:tabs>
          <w:tab w:leader="none" w:pos="886" w:val="left"/>
        </w:tabs>
        <w:numPr>
          <w:ilvl w:val="1"/>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Upfront License Fees: </w:t>
      </w:r>
      <w:r>
        <w:rPr>
          <w:rFonts w:ascii="Arial" w:cs="Arial" w:eastAsia="Arial" w:hAnsi="Arial"/>
          <w:sz w:val="15"/>
          <w:szCs w:val="15"/>
          <w:color w:val="auto"/>
        </w:rPr>
        <w:t>The Company determines whether non-refundable license consideration is recognized at the time of contract execution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(i.e., when the license is transferred to the customer and customer is able to use and benefit from the license) or over the actual (or implied) contractual period of the out-license. The Company also evaluates whether it has any other requirements to provide substantive services that are inseparable from the performance obligation of the license transfer to determine whether any combined performance obligation is satisfied over time or at a point in time.</w:t>
      </w:r>
    </w:p>
    <w:p>
      <w:pPr>
        <w:spacing w:after="0" w:line="172" w:lineRule="exact"/>
        <w:rPr>
          <w:rFonts w:ascii="Arial" w:cs="Arial" w:eastAsia="Arial" w:hAnsi="Arial"/>
          <w:sz w:val="15"/>
          <w:szCs w:val="15"/>
          <w:color w:val="auto"/>
        </w:rPr>
      </w:pPr>
    </w:p>
    <w:p>
      <w:pPr>
        <w:ind w:right="100" w:firstLine="642"/>
        <w:spacing w:after="0" w:line="249" w:lineRule="auto"/>
        <w:tabs>
          <w:tab w:leader="none" w:pos="886"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Milestones: </w:t>
      </w:r>
      <w:r>
        <w:rPr>
          <w:rFonts w:ascii="Arial" w:cs="Arial" w:eastAsia="Arial" w:hAnsi="Arial"/>
          <w:sz w:val="18"/>
          <w:szCs w:val="18"/>
          <w:color w:val="auto"/>
        </w:rPr>
        <w:t>The Company utilizes the “most likely amount” method to estimate the amount of consideration to which it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for achievement of development milestones. For those payments based on development milestones (e.g., patient dosing in a clinical study or the achievement of statistically significant clinical results), the Company assesses the probability that the milestone will be achieved, including its ability to control the timing or likelihood of achievement, and any associated revenue constraint. At each reporting period, the Company re-evaluates this associated revenue recognition constraint. Any resulting adjustments are recorded to revenue on a cumulative catch-up basis, thus reflected in the financial statements in the period of adjustment.</w:t>
      </w:r>
    </w:p>
    <w:p>
      <w:pPr>
        <w:spacing w:after="0" w:line="222" w:lineRule="exact"/>
        <w:rPr>
          <w:rFonts w:ascii="Arial" w:cs="Arial" w:eastAsia="Arial" w:hAnsi="Arial"/>
          <w:sz w:val="18"/>
          <w:szCs w:val="18"/>
          <w:color w:val="auto"/>
        </w:rPr>
      </w:pPr>
    </w:p>
    <w:p>
      <w:pPr>
        <w:ind w:right="20" w:firstLine="642"/>
        <w:spacing w:after="0" w:line="249" w:lineRule="auto"/>
        <w:tabs>
          <w:tab w:leader="none" w:pos="886"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Regulatory Milestones: </w:t>
      </w:r>
      <w:r>
        <w:rPr>
          <w:rFonts w:ascii="Arial" w:cs="Arial" w:eastAsia="Arial" w:hAnsi="Arial"/>
          <w:sz w:val="18"/>
          <w:szCs w:val="18"/>
          <w:color w:val="auto"/>
        </w:rPr>
        <w:t>The Company utilizes the “most likely amount” method to estimate the consideration to which it will be entitled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recognizes revenue in the period regulatory approval occurs (the performance obligation is satisfied). Amounts constrained as variable consideration are included in the transaction price to the extent that it is probable that a significant reversal in the amount of cumulative revenue recognized will not occur when the uncertainty associated with the variable consideration is subsequently resolved. The Company evaluates whether the milestones are considered probable of being reached and not otherwise constrained. Accordingly, due to the inherent uncertainty of achieving regulatory approval, associated milestones are constrained for revenue recognition until achievement.</w:t>
      </w:r>
    </w:p>
    <w:p>
      <w:pPr>
        <w:spacing w:after="0" w:line="222" w:lineRule="exact"/>
        <w:rPr>
          <w:rFonts w:ascii="Arial" w:cs="Arial" w:eastAsia="Arial" w:hAnsi="Arial"/>
          <w:sz w:val="18"/>
          <w:szCs w:val="18"/>
          <w:color w:val="auto"/>
        </w:rPr>
      </w:pPr>
    </w:p>
    <w:p>
      <w:pPr>
        <w:ind w:firstLine="642"/>
        <w:spacing w:after="0" w:line="252" w:lineRule="auto"/>
        <w:tabs>
          <w:tab w:leader="none" w:pos="886"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Royalties: </w:t>
      </w:r>
      <w:r>
        <w:rPr>
          <w:rFonts w:ascii="Arial" w:cs="Arial" w:eastAsia="Arial" w:hAnsi="Arial"/>
          <w:sz w:val="18"/>
          <w:szCs w:val="18"/>
          <w:color w:val="auto"/>
        </w:rPr>
        <w:t>Under the "sales-or-usage-based royalty exception" the Company recognizes revenue based on the contractual percentage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licensee’s sales to its customers at the later of (i) the occurrence of the related sales or (ii) the date upon which the performance obligation to which some or all of the royalty has been allocated has been satisfied or partially satisfied. To date, the Company has not recognized any royalty revenue from its out-licensing arrangements.</w:t>
      </w:r>
    </w:p>
    <w:p>
      <w:pPr>
        <w:spacing w:after="0" w:line="217" w:lineRule="exact"/>
        <w:rPr>
          <w:rFonts w:ascii="Arial" w:cs="Arial" w:eastAsia="Arial" w:hAnsi="Arial"/>
          <w:sz w:val="18"/>
          <w:szCs w:val="18"/>
          <w:color w:val="auto"/>
        </w:rPr>
      </w:pPr>
    </w:p>
    <w:p>
      <w:pPr>
        <w:ind w:right="40" w:firstLine="642"/>
        <w:spacing w:after="0" w:line="250" w:lineRule="auto"/>
        <w:tabs>
          <w:tab w:leader="none" w:pos="886"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Sales Threshold Milestones: </w:t>
      </w:r>
      <w:r>
        <w:rPr>
          <w:rFonts w:ascii="Arial" w:cs="Arial" w:eastAsia="Arial" w:hAnsi="Arial"/>
          <w:sz w:val="18"/>
          <w:szCs w:val="18"/>
          <w:color w:val="auto"/>
        </w:rPr>
        <w:t>Similar to royalties, applying the "sales-or-usage-based royalty exception", the Company recognizes revenue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threshold milestones at the later of (i) the period the licensee achieves the one-time annual product sales levels in their territories for which the Company is contractually entitled to a specified lump-sum receipt, or (ii) the date upon which the performance obligation to which some or all of the milestone has been allocated has been satisfied or partially satisfied. To date, the Company has not recognized any sales threshold milestone revenue from out-licensing arrangements.</w:t>
      </w:r>
    </w:p>
    <w:p>
      <w:pPr>
        <w:spacing w:after="0" w:line="193" w:lineRule="exact"/>
        <w:rPr>
          <w:rFonts w:ascii="Arial" w:cs="Arial" w:eastAsia="Arial" w:hAnsi="Arial"/>
          <w:sz w:val="18"/>
          <w:szCs w:val="18"/>
          <w:color w:val="auto"/>
        </w:rPr>
      </w:pPr>
    </w:p>
    <w:p>
      <w:pPr>
        <w:ind w:left="340" w:hanging="334"/>
        <w:spacing w:after="0"/>
        <w:tabs>
          <w:tab w:leader="none" w:pos="3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Research and Development Costs</w:t>
      </w:r>
    </w:p>
    <w:p>
      <w:pPr>
        <w:spacing w:after="0" w:line="217" w:lineRule="exact"/>
        <w:rPr>
          <w:sz w:val="20"/>
          <w:szCs w:val="20"/>
          <w:color w:val="auto"/>
        </w:rPr>
      </w:pPr>
    </w:p>
    <w:p>
      <w:pPr>
        <w:ind w:firstLine="874"/>
        <w:spacing w:after="0" w:line="248" w:lineRule="auto"/>
        <w:rPr>
          <w:sz w:val="20"/>
          <w:szCs w:val="20"/>
          <w:color w:val="auto"/>
        </w:rPr>
      </w:pPr>
      <w:r>
        <w:rPr>
          <w:rFonts w:ascii="Arial" w:cs="Arial" w:eastAsia="Arial" w:hAnsi="Arial"/>
          <w:sz w:val="18"/>
          <w:szCs w:val="18"/>
          <w:color w:val="auto"/>
        </w:rPr>
        <w:t>Research and development costs are expensed as incurred or as certain upfront or milestone payments become contractually due to licensors upon the achievement of clinical or regulatory events. These expenses also include internal costs directly attributable to in-development programs, including cost of certain salaries, payroll taxes, employee benefits, and stock-based compensation expense, as well as laboratory and clinical supplies, pre-clinical and clinical trial related expenses, and the cost of services provided by outside contractors. The Company recognizes expense for pre-clinical studies and clinical trial activities performed by these third parties. This is typically based upon estimates of the proportion of work completed over the term of the individual study or trial, as well as patient enrollment and dosing events in accordance with agreements established with clinical research organizations ("CROs") and clinical trial or pre-clinical study sites.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874"/>
        <w:spacing w:after="0" w:line="306" w:lineRule="auto"/>
        <w:rPr>
          <w:sz w:val="20"/>
          <w:szCs w:val="20"/>
          <w:color w:val="auto"/>
        </w:rPr>
      </w:pPr>
      <w:r>
        <w:rPr>
          <w:rFonts w:ascii="Arial" w:cs="Arial" w:eastAsia="Arial" w:hAnsi="Arial"/>
          <w:sz w:val="15"/>
          <w:szCs w:val="15"/>
          <w:color w:val="auto"/>
        </w:rPr>
        <w:t xml:space="preserve">The Company has entered, and may continue to enter into, license agreements to access and utilize intellectual property for drug development. In each case, the Company evaluates if the assets acquired in a transaction represent the acquisition of an asset or a business, as defined under applicable GAAP. The Company’s executed in-license agreements (see </w:t>
      </w:r>
      <w:r>
        <w:rPr>
          <w:rFonts w:ascii="Arial" w:cs="Arial" w:eastAsia="Arial" w:hAnsi="Arial"/>
          <w:sz w:val="15"/>
          <w:szCs w:val="15"/>
          <w:i w:val="1"/>
          <w:iCs w:val="1"/>
          <w:color w:val="auto"/>
        </w:rPr>
        <w:t>Note 8(b)</w:t>
      </w:r>
      <w:r>
        <w:rPr>
          <w:rFonts w:ascii="Arial" w:cs="Arial" w:eastAsia="Arial" w:hAnsi="Arial"/>
          <w:sz w:val="15"/>
          <w:szCs w:val="15"/>
          <w:color w:val="auto"/>
        </w:rPr>
        <w:t>) were evaluated and determined to represent asset acquisitions. Because these assets have not yet received regulatory approval and have no alternative future uses, the purchase price for each was immediately recognized as research and development expense. In addition, any future milestone payments (whether in the form of cash or stock) made before product regulatory approval (that do not meet the definition of a derivative) will also be immediately recognized as research and development expense when paid or becomes payable, provided there is no alternative future use of the rights in other research and development projects.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(viii) Stock-Based Compensation</w:t>
      </w:r>
    </w:p>
    <w:p>
      <w:pPr>
        <w:spacing w:after="0" w:line="217" w:lineRule="exact"/>
        <w:rPr>
          <w:sz w:val="20"/>
          <w:szCs w:val="20"/>
          <w:color w:val="auto"/>
        </w:rPr>
      </w:pPr>
    </w:p>
    <w:p>
      <w:pPr>
        <w:ind w:right="60" w:firstLine="874"/>
        <w:spacing w:after="0" w:line="265" w:lineRule="auto"/>
        <w:rPr>
          <w:sz w:val="20"/>
          <w:szCs w:val="20"/>
          <w:color w:val="auto"/>
        </w:rPr>
      </w:pPr>
      <w:r>
        <w:rPr>
          <w:rFonts w:ascii="Arial" w:cs="Arial" w:eastAsia="Arial" w:hAnsi="Arial"/>
          <w:sz w:val="17"/>
          <w:szCs w:val="17"/>
          <w:color w:val="auto"/>
        </w:rPr>
        <w:t>Stock-based compensation expense is recognized for all equity awards granted to employees, consultants, and members of the Company’s Board of Directors and is recognized at fair value. For stock-based awards that vest subject to the satisfaction of a service requirement, the fair value measurement date is the date of grant and the related expense is recognized on a straight-line basis over each award’s actual or implied vesting period. For stock-based awards that vest subject to a performance condition, the Company recognizes compensation cost if and when it concludes that it is probable that the performance condition will be achieved and the related expense is recognized on an accelerated attribution method. As applicable, the Company reverses previously recognized expense for forfeitures of unvested awards in the period of occurrence. The Company uses the Black-Scholes pricing model to estimate the fair value of stock option awards as of the date of grant.</w:t>
      </w:r>
    </w:p>
    <w:p>
      <w:pPr>
        <w:spacing w:after="0" w:line="185" w:lineRule="exact"/>
        <w:rPr>
          <w:sz w:val="20"/>
          <w:szCs w:val="20"/>
          <w:color w:val="auto"/>
        </w:rPr>
      </w:pPr>
    </w:p>
    <w:p>
      <w:pPr>
        <w:ind w:right="320" w:firstLine="874"/>
        <w:spacing w:after="0" w:line="318" w:lineRule="auto"/>
        <w:rPr>
          <w:sz w:val="20"/>
          <w:szCs w:val="20"/>
          <w:color w:val="auto"/>
        </w:rPr>
      </w:pPr>
      <w:r>
        <w:rPr>
          <w:rFonts w:ascii="Arial" w:cs="Arial" w:eastAsia="Arial" w:hAnsi="Arial"/>
          <w:sz w:val="15"/>
          <w:szCs w:val="15"/>
          <w:color w:val="auto"/>
        </w:rPr>
        <w:t>The measurement of the fair value of stock-based awards and recognition of stock-based compensation expense requires assumptions to be estimated by management that involve inherent uncertainties and the application of management’s judgment, including (a) the fair value of the Company’s common stock on the date of the option grant, (b) the expected term of the stock option until its exercise by the recipient, (c) stock price volatility over the expected term, (d) the prevailing risk-free interest rate over the expected term, and (e) expected dividend payments over the expected term.</w:t>
      </w:r>
    </w:p>
    <w:p>
      <w:pPr>
        <w:spacing w:after="0" w:line="146" w:lineRule="exact"/>
        <w:rPr>
          <w:sz w:val="20"/>
          <w:szCs w:val="20"/>
          <w:color w:val="auto"/>
        </w:rPr>
      </w:pPr>
    </w:p>
    <w:p>
      <w:pPr>
        <w:ind w:firstLine="874"/>
        <w:spacing w:after="0" w:line="265" w:lineRule="auto"/>
        <w:rPr>
          <w:sz w:val="20"/>
          <w:szCs w:val="20"/>
          <w:color w:val="auto"/>
        </w:rPr>
      </w:pPr>
      <w:r>
        <w:rPr>
          <w:rFonts w:ascii="Arial" w:cs="Arial" w:eastAsia="Arial" w:hAnsi="Arial"/>
          <w:sz w:val="17"/>
          <w:szCs w:val="17"/>
          <w:color w:val="auto"/>
        </w:rPr>
        <w:t>Management estimates the expected term of awarded stock options utilizing the “simplified method” for awards as the Company does not yet have sufficient exercise history since its November 2016 formation. Further, prior to the IPO, the Company was privately-held and therefore lacked company-specific historical and implied volatility information of its stock. Accordingly, management estimated this expected volatility based on a designated peer-group of publicly-traded companies for a look-back period, as of the date of grant, that corresponded with the expected term of the awarded stock option. The Company estimates the risk-free interest rate based upon the U.S. Department of the Treasury yield curve in effect at award grant for time periods that correspond with the expected term of the awarded stock option. The Company’s expected dividend yield is zero because it has never paid cash dividends and does not expect to for the foreseeable future.</w:t>
      </w:r>
    </w:p>
    <w:p>
      <w:pPr>
        <w:spacing w:after="0" w:line="185" w:lineRule="exact"/>
        <w:rPr>
          <w:sz w:val="20"/>
          <w:szCs w:val="20"/>
          <w:color w:val="auto"/>
        </w:rPr>
      </w:pPr>
    </w:p>
    <w:p>
      <w:pPr>
        <w:ind w:firstLine="874"/>
        <w:spacing w:after="0" w:line="265" w:lineRule="auto"/>
        <w:rPr>
          <w:sz w:val="20"/>
          <w:szCs w:val="20"/>
          <w:color w:val="auto"/>
        </w:rPr>
      </w:pPr>
      <w:r>
        <w:rPr>
          <w:rFonts w:ascii="Arial" w:cs="Arial" w:eastAsia="Arial" w:hAnsi="Arial"/>
          <w:sz w:val="17"/>
          <w:szCs w:val="17"/>
          <w:color w:val="auto"/>
        </w:rPr>
        <w:t>Prior to the IPO, given the absence of a public trading market, the Company’s Board of Directors, with input from management, considered numerous objective and subjective factors to determine the fair value of its common stock. The factors included: (i) third-party valuations of the Company’s common stock; (ii) the Company’s stage of development; (iii) the status of research and development efforts; (iv) the rights, preferences and privileges of the Company’s preferred stock relative to common stock; (v) the Company’s operating results and financial condition, including the Company’s levels of available capital resources; (vi) equity market conditions affecting comparable public companies; (vii) general U.S. market conditions; and (viii) the lack of current marketability of the Company’s common stock. Subsequent to the IPO, the fair value of the Company’s common stock is based on the closing quoted market price of its common stock as reported by the Nasdaq Global Select Market on the date of grant.</w:t>
      </w:r>
    </w:p>
    <w:p>
      <w:pPr>
        <w:spacing w:after="0" w:line="185" w:lineRule="exact"/>
        <w:rPr>
          <w:sz w:val="20"/>
          <w:szCs w:val="20"/>
          <w:color w:val="auto"/>
        </w:rPr>
      </w:pPr>
    </w:p>
    <w:p>
      <w:pPr>
        <w:ind w:right="540" w:firstLine="874"/>
        <w:spacing w:after="0" w:line="294" w:lineRule="auto"/>
        <w:rPr>
          <w:sz w:val="20"/>
          <w:szCs w:val="20"/>
          <w:color w:val="auto"/>
        </w:rPr>
      </w:pPr>
      <w:r>
        <w:rPr>
          <w:rFonts w:ascii="Arial" w:cs="Arial" w:eastAsia="Arial" w:hAnsi="Arial"/>
          <w:sz w:val="17"/>
          <w:szCs w:val="17"/>
          <w:color w:val="auto"/>
        </w:rPr>
        <w:t>All stock-based compensation expense is reported in the Statements of Operations and Comprehensive Income (Loss) within "research and development" expense or "general and administrative" expense, based upon the assigned department of the award recipient.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(ix) Income Taxes</w:t>
      </w:r>
    </w:p>
    <w:p>
      <w:pPr>
        <w:spacing w:after="0" w:line="217" w:lineRule="exact"/>
        <w:rPr>
          <w:sz w:val="20"/>
          <w:szCs w:val="20"/>
          <w:color w:val="auto"/>
        </w:rPr>
      </w:pPr>
    </w:p>
    <w:p>
      <w:pPr>
        <w:ind w:right="140" w:firstLine="874"/>
        <w:spacing w:after="0" w:line="264" w:lineRule="auto"/>
        <w:rPr>
          <w:sz w:val="20"/>
          <w:szCs w:val="20"/>
          <w:color w:val="auto"/>
        </w:rPr>
      </w:pPr>
      <w:r>
        <w:rPr>
          <w:rFonts w:ascii="Arial" w:cs="Arial" w:eastAsia="Arial" w:hAnsi="Arial"/>
          <w:sz w:val="18"/>
          <w:szCs w:val="18"/>
          <w:color w:val="auto"/>
        </w:rPr>
        <w:t>Income taxes are accounted for using the asset and liability method. Deferred tax assets and liabilities are recorded based on the estimated future tax effects of temporary differences between the tax basis of assets and liabilities and amounts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reported in the financial statements, as well as operating losses and tax credit carryforwards using enacted tax rates and laws that are expected to be in effect when the differences are expected to reverse. Deferred tax assets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of enactment. Realization of deferred tax assets is dependent upon future earnings, the timing and amount of which are uncertain due to the Company’s historical operating performance and recorded cumulative net losses in prior fiscal periods.</w:t>
      </w:r>
    </w:p>
    <w:p>
      <w:pPr>
        <w:spacing w:after="0" w:line="151" w:lineRule="exact"/>
        <w:rPr>
          <w:sz w:val="20"/>
          <w:szCs w:val="20"/>
          <w:color w:val="auto"/>
        </w:rPr>
      </w:pPr>
    </w:p>
    <w:p>
      <w:pPr>
        <w:jc w:val="both"/>
        <w:ind w:right="40" w:firstLine="874"/>
        <w:spacing w:after="0" w:line="277" w:lineRule="auto"/>
        <w:rPr>
          <w:sz w:val="20"/>
          <w:szCs w:val="20"/>
          <w:color w:val="auto"/>
        </w:rPr>
      </w:pPr>
      <w:r>
        <w:rPr>
          <w:rFonts w:ascii="Arial" w:cs="Arial" w:eastAsia="Arial" w:hAnsi="Arial"/>
          <w:sz w:val="17"/>
          <w:szCs w:val="17"/>
          <w:color w:val="auto"/>
        </w:rPr>
        <w:t>A valuation allowance is recorded to reduce deferred tax assets, because based upon a weighting of positive and negative factors, it is more likely than not that these deferred tax assets will not be realized. If and when the Company were to determine that deferred tax assets are realizable, an adjustment to the corresponding valuation allowance would increase the net income in the period that such determination was made.</w:t>
      </w:r>
    </w:p>
    <w:p>
      <w:pPr>
        <w:spacing w:after="0" w:line="171" w:lineRule="exact"/>
        <w:rPr>
          <w:sz w:val="20"/>
          <w:szCs w:val="20"/>
          <w:color w:val="auto"/>
        </w:rPr>
      </w:pPr>
    </w:p>
    <w:p>
      <w:pPr>
        <w:jc w:val="both"/>
        <w:ind w:right="220" w:firstLine="874"/>
        <w:spacing w:after="0" w:line="255" w:lineRule="auto"/>
        <w:rPr>
          <w:sz w:val="20"/>
          <w:szCs w:val="20"/>
          <w:color w:val="auto"/>
        </w:rPr>
      </w:pPr>
      <w:r>
        <w:rPr>
          <w:rFonts w:ascii="Arial" w:cs="Arial" w:eastAsia="Arial" w:hAnsi="Arial"/>
          <w:sz w:val="18"/>
          <w:szCs w:val="18"/>
          <w:color w:val="auto"/>
        </w:rPr>
        <w:t>In the event that the Company is assessed interest and/or penalties from taxing authorities that have not been previously accrued, such amounts would be included as a component of “income tax expense” within the Statements of Operations and Comprehensive Income (Loss) in the period the notice was received. To date there have been no interest or penalties charged.</w:t>
      </w:r>
    </w:p>
    <w:p>
      <w:pPr>
        <w:spacing w:after="0" w:line="188" w:lineRule="exact"/>
        <w:rPr>
          <w:sz w:val="20"/>
          <w:szCs w:val="20"/>
          <w:color w:val="auto"/>
        </w:rPr>
      </w:pPr>
    </w:p>
    <w:p>
      <w:pPr>
        <w:ind w:right="40" w:firstLine="874"/>
        <w:spacing w:after="0" w:line="268" w:lineRule="auto"/>
        <w:rPr>
          <w:sz w:val="20"/>
          <w:szCs w:val="20"/>
          <w:color w:val="auto"/>
        </w:rPr>
      </w:pPr>
      <w:r>
        <w:rPr>
          <w:rFonts w:ascii="Arial" w:cs="Arial" w:eastAsia="Arial" w:hAnsi="Arial"/>
          <w:sz w:val="17"/>
          <w:szCs w:val="17"/>
          <w:color w:val="auto"/>
        </w:rPr>
        <w:t xml:space="preserve">In December 2019, the Financial Accounting Standards Board ("FASB") issued Accounting Standards Update ("ASU") 2019-12, </w:t>
      </w:r>
      <w:r>
        <w:rPr>
          <w:rFonts w:ascii="Arial" w:cs="Arial" w:eastAsia="Arial" w:hAnsi="Arial"/>
          <w:sz w:val="17"/>
          <w:szCs w:val="17"/>
          <w:i w:val="1"/>
          <w:iCs w:val="1"/>
          <w:color w:val="auto"/>
        </w:rPr>
        <w:t>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Income Taxes (Topic 740)</w:t>
      </w:r>
      <w:r>
        <w:rPr>
          <w:rFonts w:ascii="Arial" w:cs="Arial" w:eastAsia="Arial" w:hAnsi="Arial"/>
          <w:sz w:val="17"/>
          <w:szCs w:val="17"/>
          <w:color w:val="auto"/>
        </w:rPr>
        <w:t>.</w:t>
      </w:r>
      <w:r>
        <w:rPr>
          <w:rFonts w:ascii="Arial" w:cs="Arial" w:eastAsia="Arial" w:hAnsi="Arial"/>
          <w:sz w:val="17"/>
          <w:szCs w:val="17"/>
          <w:i w:val="1"/>
          <w:iCs w:val="1"/>
          <w:color w:val="auto"/>
        </w:rPr>
        <w:t xml:space="preserve"> ASU 2019-12 </w:t>
      </w:r>
      <w:r>
        <w:rPr>
          <w:rFonts w:ascii="Arial" w:cs="Arial" w:eastAsia="Arial" w:hAnsi="Arial"/>
          <w:sz w:val="17"/>
          <w:szCs w:val="17"/>
          <w:color w:val="auto"/>
        </w:rPr>
        <w:t>removes certain exceptions for performing intraperiod tax allocations, recognizing deferred taxes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investments, and calculating income taxes in interim periods. The guidance also simplifies the accounting for franchise taxes, transactions that result in a step-up in the tax basis of goodwill, and the effect of enacted changes in tax laws or rates in interim periods. The Company adopted </w:t>
      </w:r>
      <w:r>
        <w:rPr>
          <w:rFonts w:ascii="Arial" w:cs="Arial" w:eastAsia="Arial" w:hAnsi="Arial"/>
          <w:sz w:val="17"/>
          <w:szCs w:val="17"/>
          <w:i w:val="1"/>
          <w:iCs w:val="1"/>
          <w:color w:val="auto"/>
        </w:rPr>
        <w:t>ASU 2019-12</w:t>
      </w:r>
      <w:r>
        <w:rPr>
          <w:rFonts w:ascii="Arial" w:cs="Arial" w:eastAsia="Arial" w:hAnsi="Arial"/>
          <w:sz w:val="17"/>
          <w:szCs w:val="17"/>
          <w:color w:val="auto"/>
        </w:rPr>
        <w:t xml:space="preserve"> in the first quarter of 2021, which had no material impact to its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 Net Income (Loss) per Share Attributable to Common Stockholders</w:t>
      </w:r>
    </w:p>
    <w:p>
      <w:pPr>
        <w:spacing w:after="0" w:line="217" w:lineRule="exact"/>
        <w:rPr>
          <w:sz w:val="20"/>
          <w:szCs w:val="20"/>
          <w:color w:val="auto"/>
        </w:rPr>
      </w:pPr>
    </w:p>
    <w:p>
      <w:pPr>
        <w:ind w:right="60" w:firstLine="874"/>
        <w:spacing w:after="0" w:line="263" w:lineRule="auto"/>
        <w:rPr>
          <w:sz w:val="20"/>
          <w:szCs w:val="20"/>
          <w:color w:val="auto"/>
        </w:rPr>
      </w:pPr>
      <w:r>
        <w:rPr>
          <w:rFonts w:ascii="Arial" w:cs="Arial" w:eastAsia="Arial" w:hAnsi="Arial"/>
          <w:sz w:val="17"/>
          <w:szCs w:val="17"/>
          <w:color w:val="auto"/>
        </w:rPr>
        <w:t>Basic net income (loss) per share attributable to common stockholders is calculated by dividing the net income (loss) by the weighted-average number of shares of common stock outstanding for the period, without the consideration for potential dilutive shares of common stock. Diluted net income (loss) per share is computed by dividing the net income (loss) by the weighted-average number of common stock equivalents outstanding for the period determined using the treasury-stock method and if-converted method, as applicable. The Company’s participating securities include unvested common stock awards issued upon early exercise of certain stock options, as early exercised unvested common stock awards have a non-forfeitable right to dividends. The Company’s participating securities do not have a contractual obligation to share in the Company’s losses, so in periods of net losses, the two-class method of calculating basic and diluted earnings per share is not required. In periods of net income, basic and diluted net loss per share attributable to common stockholders is presented in conformity with the two-class method required for participating securities. In periods of net income, net income is attributed to both common stockholders and participating security holders, and therefore, net income is allocated to shares of common stock and participating securities, as if all of the earnings for the period had been distributed. Diluted earnings per share under the two-class method is calculated using the more dilutive of the treasury stock or the two-class method.</w:t>
      </w:r>
    </w:p>
    <w:p>
      <w:pPr>
        <w:spacing w:after="0" w:line="188" w:lineRule="exact"/>
        <w:rPr>
          <w:sz w:val="20"/>
          <w:szCs w:val="20"/>
          <w:color w:val="auto"/>
        </w:rPr>
      </w:pPr>
    </w:p>
    <w:p>
      <w:pPr>
        <w:ind w:right="220" w:firstLine="874"/>
        <w:spacing w:after="0" w:line="264" w:lineRule="auto"/>
        <w:rPr>
          <w:sz w:val="20"/>
          <w:szCs w:val="20"/>
          <w:color w:val="auto"/>
        </w:rPr>
      </w:pPr>
      <w:r>
        <w:rPr>
          <w:rFonts w:ascii="Arial" w:cs="Arial" w:eastAsia="Arial" w:hAnsi="Arial"/>
          <w:sz w:val="18"/>
          <w:szCs w:val="18"/>
          <w:color w:val="auto"/>
        </w:rPr>
        <w:t>Due to a net loss for the three and six months ended June 30, 2020, all otherwise potentially dilutive securities are antidilutive, and accordingly, the reported basic net loss per share equals the reported diluted net loss per share in these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 Fair Value Measurements</w:t>
      </w:r>
    </w:p>
    <w:p>
      <w:pPr>
        <w:spacing w:after="0" w:line="217" w:lineRule="exact"/>
        <w:rPr>
          <w:sz w:val="20"/>
          <w:szCs w:val="20"/>
          <w:color w:val="auto"/>
        </w:rPr>
      </w:pPr>
    </w:p>
    <w:p>
      <w:pPr>
        <w:ind w:right="100" w:firstLine="874"/>
        <w:spacing w:after="0" w:line="312" w:lineRule="auto"/>
        <w:rPr>
          <w:sz w:val="20"/>
          <w:szCs w:val="20"/>
          <w:color w:val="auto"/>
        </w:rPr>
      </w:pPr>
      <w:r>
        <w:rPr>
          <w:rFonts w:ascii="Arial" w:cs="Arial" w:eastAsia="Arial" w:hAnsi="Arial"/>
          <w:sz w:val="15"/>
          <w:szCs w:val="15"/>
          <w:color w:val="auto"/>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TARSUS PHARMACEUTICALS, INC.</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FINANCIAL STATEMENTS</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00" w:hanging="318"/>
        <w:spacing w:after="0"/>
        <w:tabs>
          <w:tab w:leader="none" w:pos="100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Level 1: </w:t>
      </w:r>
      <w:r>
        <w:rPr>
          <w:rFonts w:ascii="Arial" w:cs="Arial" w:eastAsia="Arial" w:hAnsi="Arial"/>
          <w:sz w:val="15"/>
          <w:szCs w:val="15"/>
          <w:color w:val="auto"/>
        </w:rPr>
        <w:t>Quoted prices (unadjusted) in active markets for identical assets or liabilities that are publicly accessible at the measurement date.</w:t>
      </w:r>
    </w:p>
    <w:p>
      <w:pPr>
        <w:spacing w:after="0" w:line="251" w:lineRule="exact"/>
        <w:rPr>
          <w:rFonts w:ascii="Arial" w:cs="Arial" w:eastAsia="Arial" w:hAnsi="Arial"/>
          <w:sz w:val="15"/>
          <w:szCs w:val="15"/>
          <w:color w:val="auto"/>
        </w:rPr>
      </w:pPr>
    </w:p>
    <w:p>
      <w:pPr>
        <w:ind w:left="1000" w:right="220" w:hanging="318"/>
        <w:spacing w:after="0" w:line="365" w:lineRule="auto"/>
        <w:tabs>
          <w:tab w:leader="none" w:pos="995"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Level 2: </w:t>
      </w:r>
      <w:r>
        <w:rPr>
          <w:rFonts w:ascii="Arial" w:cs="Arial" w:eastAsia="Arial" w:hAnsi="Arial"/>
          <w:sz w:val="15"/>
          <w:szCs w:val="15"/>
          <w:color w:val="auto"/>
        </w:rPr>
        <w:t>Observable prices that are based on inputs not quoted on active markets, but that are corroborated by market data. These inputs may</w:t>
      </w:r>
      <w:r>
        <w:rPr>
          <w:rFonts w:ascii="Arial" w:cs="Arial" w:eastAsia="Arial" w:hAnsi="Arial"/>
          <w:sz w:val="15"/>
          <w:szCs w:val="15"/>
          <w:i w:val="1"/>
          <w:iCs w:val="1"/>
          <w:color w:val="auto"/>
        </w:rPr>
        <w:t xml:space="preserve"> </w:t>
      </w:r>
      <w:r>
        <w:rPr>
          <w:rFonts w:ascii="Arial" w:cs="Arial" w:eastAsia="Arial" w:hAnsi="Arial"/>
          <w:sz w:val="15"/>
          <w:szCs w:val="15"/>
          <w:color w:val="auto"/>
        </w:rPr>
        <w:t>include quoted prices for similar assets or liabilities or quoted market prices in markets that are not active to the general public.</w:t>
      </w:r>
    </w:p>
    <w:p>
      <w:pPr>
        <w:spacing w:after="0" w:line="111" w:lineRule="exact"/>
        <w:rPr>
          <w:rFonts w:ascii="Arial" w:cs="Arial" w:eastAsia="Arial" w:hAnsi="Arial"/>
          <w:sz w:val="15"/>
          <w:szCs w:val="15"/>
          <w:color w:val="auto"/>
        </w:rPr>
      </w:pPr>
    </w:p>
    <w:p>
      <w:pPr>
        <w:ind w:left="1000" w:hanging="318"/>
        <w:spacing w:after="0"/>
        <w:tabs>
          <w:tab w:leader="none" w:pos="100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Level 3: </w:t>
      </w:r>
      <w:r>
        <w:rPr>
          <w:rFonts w:ascii="Arial" w:cs="Arial" w:eastAsia="Arial" w:hAnsi="Arial"/>
          <w:sz w:val="15"/>
          <w:szCs w:val="15"/>
          <w:color w:val="auto"/>
        </w:rPr>
        <w:t>Unobservable inputs that are supported by little or no market activity and that are significant to the fair value of the assets or liabilities.</w:t>
      </w:r>
    </w:p>
    <w:p>
      <w:pPr>
        <w:spacing w:after="0" w:line="252" w:lineRule="exact"/>
        <w:rPr>
          <w:sz w:val="20"/>
          <w:szCs w:val="20"/>
          <w:color w:val="auto"/>
        </w:rPr>
      </w:pPr>
    </w:p>
    <w:p>
      <w:pPr>
        <w:ind w:right="20" w:firstLine="874"/>
        <w:spacing w:after="0" w:line="365" w:lineRule="auto"/>
        <w:rPr>
          <w:sz w:val="20"/>
          <w:szCs w:val="20"/>
          <w:color w:val="auto"/>
        </w:rPr>
      </w:pPr>
      <w:r>
        <w:rPr>
          <w:rFonts w:ascii="Arial" w:cs="Arial" w:eastAsia="Arial" w:hAnsi="Arial"/>
          <w:sz w:val="15"/>
          <w:szCs w:val="15"/>
          <w:color w:val="auto"/>
        </w:rPr>
        <w:t xml:space="preserve">The carrying amounts for financial instruments consisting of cash and cash equivalents, accounts payable and accrued liabilities approximate fair value due to their short maturities. Derivative instruments (see </w:t>
      </w:r>
      <w:r>
        <w:rPr>
          <w:rFonts w:ascii="Arial" w:cs="Arial" w:eastAsia="Arial" w:hAnsi="Arial"/>
          <w:sz w:val="15"/>
          <w:szCs w:val="15"/>
          <w:i w:val="1"/>
          <w:iCs w:val="1"/>
          <w:color w:val="auto"/>
        </w:rPr>
        <w:t>Note 7</w:t>
      </w:r>
      <w:r>
        <w:rPr>
          <w:rFonts w:ascii="Arial" w:cs="Arial" w:eastAsia="Arial" w:hAnsi="Arial"/>
          <w:sz w:val="15"/>
          <w:szCs w:val="15"/>
          <w:color w:val="auto"/>
        </w:rPr>
        <w:t>) are carried at fair value based on unobservable market inputs.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(xii) Comprehensive Income (Loss)</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15"/>
          <w:szCs w:val="15"/>
          <w:color w:val="auto"/>
        </w:rPr>
        <w:t>Comprehensive income (loss) represents all changes in stockholders’ equity (deficit), except those resulting from distributions to stockholders.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For all periods presented, comprehensive income (loss) was the same as reported net income (loss).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(xiii) Recently Issued or Effective Accounting Standards</w:t>
      </w:r>
    </w:p>
    <w:p>
      <w:pPr>
        <w:spacing w:after="0" w:line="217" w:lineRule="exact"/>
        <w:rPr>
          <w:sz w:val="20"/>
          <w:szCs w:val="20"/>
          <w:color w:val="auto"/>
        </w:rPr>
      </w:pPr>
    </w:p>
    <w:p>
      <w:pPr>
        <w:ind w:firstLine="874"/>
        <w:spacing w:after="0" w:line="252" w:lineRule="auto"/>
        <w:rPr>
          <w:sz w:val="20"/>
          <w:szCs w:val="20"/>
          <w:color w:val="auto"/>
        </w:rPr>
      </w:pPr>
      <w:r>
        <w:rPr>
          <w:rFonts w:ascii="Arial" w:cs="Arial" w:eastAsia="Arial" w:hAnsi="Arial"/>
          <w:sz w:val="18"/>
          <w:szCs w:val="18"/>
          <w:color w:val="auto"/>
        </w:rPr>
        <w:t>Recently issued or effective accounting pronouncements that impact, or may have an impact, on the Company’s financial statements have been discussed within the footnote to which each relates. Other recent accounting pronouncements not disclosed in these condensed financial statements have been determined by the Company’s management to have no impact, or an immaterial impact, on its current and expected future financial position, results of operations, or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ACCOUNT DETAIL</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composition of selected financial statement captions that comprise the accompanying balance sheets are summarized below: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Property and Equipment, net of Accumulated Depreciation</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“Property and equipment, net of accumulated depreciation” consists of the following:</w:t>
      </w:r>
    </w:p>
    <w:p>
      <w:pPr>
        <w:spacing w:after="0" w:line="247" w:lineRule="exact"/>
        <w:rPr>
          <w:sz w:val="20"/>
          <w:szCs w:val="20"/>
          <w:color w:val="auto"/>
        </w:rPr>
      </w:pPr>
    </w:p>
    <w:tbl>
      <w:tblPr>
        <w:tblLayout w:type="fixed"/>
        <w:tblInd w:w="24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2021</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2020</w:t>
            </w:r>
          </w:p>
        </w:tc>
      </w:tr>
      <w:tr>
        <w:trPr>
          <w:trHeight w:val="224"/>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8"/>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 equipment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19"/>
        </w:trPr>
        <w:tc>
          <w:tcPr>
            <w:tcW w:w="82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Property and equipment, at cost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25"/>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43"/>
        </w:trPr>
        <w:tc>
          <w:tcPr>
            <w:tcW w:w="824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Property and equipment, net of accumulated depreciation and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0" w:firstLine="874"/>
        <w:spacing w:after="0" w:line="255" w:lineRule="auto"/>
        <w:rPr>
          <w:sz w:val="20"/>
          <w:szCs w:val="20"/>
          <w:color w:val="auto"/>
        </w:rPr>
      </w:pPr>
      <w:r>
        <w:rPr>
          <w:rFonts w:ascii="Arial" w:cs="Arial" w:eastAsia="Arial" w:hAnsi="Arial"/>
          <w:sz w:val="18"/>
          <w:szCs w:val="18"/>
          <w:color w:val="auto"/>
        </w:rPr>
        <w:t>Depreciation expense (included within “total operating expenses” in the accompanying Statements of Operations and Comprehensive Income (Loss)) for the three months ended June 30, 2021 and 2020 was $125 thousand and $17 thousand, respectively, and for the six months ended June 30, 2021 and 2020 was $189 thousand and $32 thousand,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Other Assets</w:t>
      </w: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"Other assets" consists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8"/>
              </w:rPr>
              <w:t>June 30, 2021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0"/>
              </w:rPr>
              <w:t>December 31, 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4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Equity warrant rights*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 term assets</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8"/>
        </w:trPr>
        <w:tc>
          <w:tcPr>
            <w:tcW w:w="8020" w:type="dxa"/>
            <w:vAlign w:val="bottom"/>
          </w:tcPr>
          <w:p>
            <w:pPr>
              <w:ind w:left="20"/>
              <w:spacing w:after="0" w:line="204" w:lineRule="exact"/>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8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488"/>
        </w:trPr>
        <w:tc>
          <w:tcPr>
            <w:tcW w:w="8020" w:type="dxa"/>
            <w:vAlign w:val="bottom"/>
          </w:tcPr>
          <w:p>
            <w:pPr>
              <w:spacing w:after="0"/>
              <w:rPr>
                <w:sz w:val="20"/>
                <w:szCs w:val="20"/>
                <w:color w:val="auto"/>
              </w:rPr>
            </w:pPr>
            <w:r>
              <w:rPr>
                <w:rFonts w:ascii="Arial" w:cs="Arial" w:eastAsia="Arial" w:hAnsi="Arial"/>
                <w:sz w:val="16"/>
                <w:szCs w:val="16"/>
                <w:color w:val="auto"/>
                <w:w w:val="91"/>
              </w:rPr>
              <w:t xml:space="preserve">*In January 2020, the FASB issued </w:t>
            </w:r>
            <w:r>
              <w:rPr>
                <w:rFonts w:ascii="Arial" w:cs="Arial" w:eastAsia="Arial" w:hAnsi="Arial"/>
                <w:sz w:val="16"/>
                <w:szCs w:val="16"/>
                <w:i w:val="1"/>
                <w:iCs w:val="1"/>
                <w:color w:val="auto"/>
                <w:w w:val="91"/>
              </w:rPr>
              <w:t>Accounting Standards Update No. 2020-01, Investments—Equity Securities (Topic 321),</w:t>
            </w:r>
          </w:p>
        </w:tc>
        <w:tc>
          <w:tcPr>
            <w:tcW w:w="3200" w:type="dxa"/>
            <w:vAlign w:val="bottom"/>
            <w:gridSpan w:val="6"/>
          </w:tcPr>
          <w:p>
            <w:pPr>
              <w:jc w:val="right"/>
              <w:spacing w:after="0"/>
              <w:rPr>
                <w:sz w:val="20"/>
                <w:szCs w:val="20"/>
                <w:color w:val="auto"/>
              </w:rPr>
            </w:pPr>
            <w:r>
              <w:rPr>
                <w:rFonts w:ascii="Arial" w:cs="Arial" w:eastAsia="Arial" w:hAnsi="Arial"/>
                <w:sz w:val="16"/>
                <w:szCs w:val="16"/>
                <w:i w:val="1"/>
                <w:iCs w:val="1"/>
                <w:color w:val="auto"/>
                <w:w w:val="91"/>
              </w:rPr>
              <w:t>Investments—Equity Method and Joint Ventures</w:t>
            </w:r>
          </w:p>
        </w:tc>
      </w:tr>
    </w:tbl>
    <w:p>
      <w:pPr>
        <w:ind w:right="40"/>
        <w:spacing w:after="0" w:line="266" w:lineRule="auto"/>
        <w:rPr>
          <w:sz w:val="20"/>
          <w:szCs w:val="20"/>
          <w:color w:val="auto"/>
        </w:rPr>
      </w:pPr>
      <w:r>
        <w:rPr>
          <w:rFonts w:ascii="Arial" w:cs="Arial" w:eastAsia="Arial" w:hAnsi="Arial"/>
          <w:sz w:val="15"/>
          <w:szCs w:val="15"/>
          <w:i w:val="1"/>
          <w:iCs w:val="1"/>
          <w:color w:val="auto"/>
        </w:rPr>
        <w:t xml:space="preserve">(Topic 323), and Derivatives and Hedging (Topic 815)—Clarifying the Interactions between Topic 321, Topic 323, and Topic 815 </w:t>
      </w:r>
      <w:r>
        <w:rPr>
          <w:rFonts w:ascii="Arial" w:cs="Arial" w:eastAsia="Arial" w:hAnsi="Arial"/>
          <w:sz w:val="15"/>
          <w:szCs w:val="15"/>
          <w:color w:val="auto"/>
        </w:rPr>
        <w:t>(a consensus of the Emerging Issues Task</w:t>
      </w:r>
      <w:r>
        <w:rPr>
          <w:rFonts w:ascii="Arial" w:cs="Arial" w:eastAsia="Arial" w:hAnsi="Arial"/>
          <w:sz w:val="15"/>
          <w:szCs w:val="15"/>
          <w:i w:val="1"/>
          <w:iCs w:val="1"/>
          <w:color w:val="auto"/>
        </w:rPr>
        <w:t xml:space="preserve"> </w:t>
      </w:r>
      <w:r>
        <w:rPr>
          <w:rFonts w:ascii="Arial" w:cs="Arial" w:eastAsia="Arial" w:hAnsi="Arial"/>
          <w:sz w:val="15"/>
          <w:szCs w:val="15"/>
          <w:color w:val="auto"/>
        </w:rPr>
        <w:t>Force), which clarifies the interaction of the accounting for equity securities, investments accounted for under the equity method, and certain forward contracts and purchased options. This update is effective for fiscal years beginning after December 15, 2020 and interim periods within those fiscal years. The Company is in the process of determining the impact the adoption will have on its financial statements, beginning as of and for the three months ending March 31,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Accounts Payable and Other Accrued Liabilities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payable and other accrued liabilities” consists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6"/>
                <w:szCs w:val="16"/>
                <w:color w:val="auto"/>
              </w:rPr>
            </w:pPr>
          </w:p>
        </w:tc>
        <w:tc>
          <w:tcPr>
            <w:tcW w:w="130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224"/>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payable and other</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Operating lease liability, current portion</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clinical studies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Contract liability</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option early exercise liability, current portion</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43"/>
        </w:trPr>
        <w:tc>
          <w:tcPr>
            <w:tcW w:w="828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Accounts payable and other accrued liabilities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(d) Other Long-Term 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8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280" w:type="dxa"/>
            <w:vAlign w:val="bottom"/>
          </w:tcPr>
          <w:p>
            <w:pPr>
              <w:ind w:left="880"/>
              <w:spacing w:after="0"/>
              <w:rPr>
                <w:sz w:val="20"/>
                <w:szCs w:val="20"/>
                <w:color w:val="auto"/>
              </w:rPr>
            </w:pPr>
            <w:r>
              <w:rPr>
                <w:rFonts w:ascii="Arial" w:cs="Arial" w:eastAsia="Arial" w:hAnsi="Arial"/>
                <w:sz w:val="18"/>
                <w:szCs w:val="18"/>
                <w:color w:val="auto"/>
              </w:rPr>
              <w:t>“Other long-term liabilities” consists of the following:</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24"/>
                <w:szCs w:val="24"/>
                <w:color w:val="auto"/>
              </w:rPr>
            </w:pPr>
          </w:p>
        </w:tc>
        <w:tc>
          <w:tcPr>
            <w:tcW w:w="130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224"/>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liability, non-current portion</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Derivative liability</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option early exercise liability, non-current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8"/>
        </w:trPr>
        <w:tc>
          <w:tcPr>
            <w:tcW w:w="8280" w:type="dxa"/>
            <w:vAlign w:val="bottom"/>
          </w:tcPr>
          <w:p>
            <w:pPr>
              <w:ind w:left="20"/>
              <w:spacing w:after="0" w:line="204" w:lineRule="exact"/>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STOCKHOLDERS’ EQUITY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Stock</w:t>
      </w:r>
    </w:p>
    <w:p>
      <w:pPr>
        <w:spacing w:after="0" w:line="217" w:lineRule="exact"/>
        <w:rPr>
          <w:sz w:val="20"/>
          <w:szCs w:val="20"/>
          <w:color w:val="auto"/>
        </w:rPr>
      </w:pPr>
    </w:p>
    <w:p>
      <w:pPr>
        <w:ind w:right="260" w:firstLine="874"/>
        <w:spacing w:after="0" w:line="365" w:lineRule="auto"/>
        <w:rPr>
          <w:sz w:val="20"/>
          <w:szCs w:val="20"/>
          <w:color w:val="auto"/>
        </w:rPr>
      </w:pPr>
      <w:r>
        <w:rPr>
          <w:rFonts w:ascii="Arial" w:cs="Arial" w:eastAsia="Arial" w:hAnsi="Arial"/>
          <w:sz w:val="15"/>
          <w:szCs w:val="15"/>
          <w:color w:val="auto"/>
        </w:rPr>
        <w:t>Under the October 2020 Amended and Restated Certificate of Incorporation, the Company is authorized to issue two classes of stock: common and preferred. The total number of shares authorized for issuance is 200.0 million shares of common stock and 10.0 million shares of preferred stock.</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Overview and Reserve for Future Issuance</w:t>
      </w:r>
    </w:p>
    <w:p>
      <w:pPr>
        <w:spacing w:after="0" w:line="217" w:lineRule="exact"/>
        <w:rPr>
          <w:sz w:val="20"/>
          <w:szCs w:val="20"/>
          <w:color w:val="auto"/>
        </w:rPr>
      </w:pPr>
    </w:p>
    <w:p>
      <w:pPr>
        <w:jc w:val="both"/>
        <w:ind w:right="220" w:firstLine="874"/>
        <w:spacing w:after="0" w:line="255" w:lineRule="auto"/>
        <w:rPr>
          <w:sz w:val="20"/>
          <w:szCs w:val="20"/>
          <w:color w:val="auto"/>
        </w:rPr>
      </w:pPr>
      <w:r>
        <w:rPr>
          <w:rFonts w:ascii="Arial" w:cs="Arial" w:eastAsia="Arial" w:hAnsi="Arial"/>
          <w:sz w:val="18"/>
          <w:szCs w:val="18"/>
          <w:color w:val="auto"/>
        </w:rPr>
        <w:t>Common stockholders have one vote for each share of common stock held and are entitled to receive any dividends declared by the Company’s Board of Directors when legally available for distribution, then-subject to the dividend rights of the holders of preferred stock. For the three and six months ended June 30, 2021 and for the year ended December 31, 2020, no dividends were declared.</w:t>
      </w:r>
    </w:p>
    <w:p>
      <w:pPr>
        <w:spacing w:after="0" w:line="188" w:lineRule="exact"/>
        <w:rPr>
          <w:sz w:val="20"/>
          <w:szCs w:val="20"/>
          <w:color w:val="auto"/>
        </w:rPr>
      </w:pPr>
    </w:p>
    <w:p>
      <w:pPr>
        <w:jc w:val="both"/>
        <w:ind w:right="320" w:firstLine="874"/>
        <w:spacing w:after="0" w:line="255" w:lineRule="auto"/>
        <w:rPr>
          <w:sz w:val="20"/>
          <w:szCs w:val="20"/>
          <w:color w:val="auto"/>
        </w:rPr>
      </w:pPr>
      <w:r>
        <w:rPr>
          <w:rFonts w:ascii="Arial" w:cs="Arial" w:eastAsia="Arial" w:hAnsi="Arial"/>
          <w:sz w:val="18"/>
          <w:szCs w:val="18"/>
          <w:color w:val="auto"/>
        </w:rPr>
        <w:t>As of June 30, 2021 and December 31, 2020, the Company had 20.7 million and 20.5 million shares of common stock issued, respectively. At June 30, 2021 and December 31, 2020, the Company had 20.6 million, and 20.3 million shares of common stock outstanding, respectively. The following shares of common stock were reserved for issuance: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1540" w:type="dxa"/>
            <w:vAlign w:val="bottom"/>
            <w:gridSpan w:val="2"/>
          </w:tcPr>
          <w:p>
            <w:pPr>
              <w:ind w:left="300"/>
              <w:spacing w:after="0"/>
              <w:rPr>
                <w:sz w:val="20"/>
                <w:szCs w:val="20"/>
                <w:color w:val="auto"/>
              </w:rPr>
            </w:pPr>
            <w:r>
              <w:rPr>
                <w:rFonts w:ascii="Arial" w:cs="Arial" w:eastAsia="Arial" w:hAnsi="Arial"/>
                <w:sz w:val="14"/>
                <w:szCs w:val="14"/>
                <w:b w:val="1"/>
                <w:bCs w:val="1"/>
                <w:color w:val="auto"/>
              </w:rPr>
              <w:t>June 30, 2021</w:t>
            </w:r>
          </w:p>
        </w:tc>
        <w:tc>
          <w:tcPr>
            <w:tcW w:w="1420" w:type="dxa"/>
            <w:vAlign w:val="bottom"/>
          </w:tcPr>
          <w:p>
            <w:pPr>
              <w:jc w:val="right"/>
              <w:ind w:right="55"/>
              <w:spacing w:after="0"/>
              <w:rPr>
                <w:sz w:val="20"/>
                <w:szCs w:val="20"/>
                <w:color w:val="auto"/>
              </w:rPr>
            </w:pPr>
            <w:r>
              <w:rPr>
                <w:rFonts w:ascii="Arial" w:cs="Arial" w:eastAsia="Arial" w:hAnsi="Arial"/>
                <w:sz w:val="14"/>
                <w:szCs w:val="14"/>
                <w:b w:val="1"/>
                <w:bCs w:val="1"/>
                <w:color w:val="auto"/>
                <w:w w:val="99"/>
              </w:rPr>
              <w:t>December 31, 2020</w:t>
            </w:r>
          </w:p>
        </w:tc>
      </w:tr>
      <w:tr>
        <w:trPr>
          <w:trHeight w:val="224"/>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issued and outstanding</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2,598,764</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1,836,739</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Common stock awards reserved for future grant</w:t>
            </w:r>
          </w:p>
        </w:tc>
        <w:tc>
          <w:tcPr>
            <w:tcW w:w="1420" w:type="dxa"/>
            <w:vAlign w:val="bottom"/>
          </w:tcPr>
          <w:p>
            <w:pPr>
              <w:jc w:val="right"/>
              <w:spacing w:after="0"/>
              <w:rPr>
                <w:sz w:val="20"/>
                <w:szCs w:val="20"/>
                <w:color w:val="auto"/>
              </w:rPr>
            </w:pPr>
            <w:r>
              <w:rPr>
                <w:rFonts w:ascii="Arial" w:cs="Arial" w:eastAsia="Arial" w:hAnsi="Arial"/>
                <w:sz w:val="18"/>
                <w:szCs w:val="18"/>
                <w:color w:val="auto"/>
              </w:rPr>
              <w:t>9,451,191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9,414,091</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 outstanding</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280" w:type="dxa"/>
            <w:vAlign w:val="bottom"/>
          </w:tcPr>
          <w:p>
            <w:pPr>
              <w:ind w:left="20"/>
              <w:spacing w:after="0" w:line="204" w:lineRule="exact"/>
              <w:rPr>
                <w:sz w:val="20"/>
                <w:szCs w:val="20"/>
                <w:color w:val="auto"/>
              </w:rPr>
            </w:pPr>
            <w:r>
              <w:rPr>
                <w:rFonts w:ascii="Arial" w:cs="Arial" w:eastAsia="Arial" w:hAnsi="Arial"/>
                <w:sz w:val="18"/>
                <w:szCs w:val="18"/>
                <w:color w:val="auto"/>
              </w:rPr>
              <w:t>Total shares of common stock reserved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12,054,212</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11,250,830</w:t>
            </w:r>
          </w:p>
        </w:tc>
      </w:tr>
      <w:tr>
        <w:trPr>
          <w:trHeight w:val="20"/>
        </w:trPr>
        <w:tc>
          <w:tcPr>
            <w:tcW w:w="8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and 2016 Equity Incentive Plans</w:t>
      </w:r>
    </w:p>
    <w:p>
      <w:pPr>
        <w:spacing w:after="0" w:line="217" w:lineRule="exact"/>
        <w:rPr>
          <w:sz w:val="20"/>
          <w:szCs w:val="20"/>
          <w:color w:val="auto"/>
        </w:rPr>
      </w:pPr>
    </w:p>
    <w:p>
      <w:pPr>
        <w:ind w:right="100" w:firstLine="636"/>
        <w:spacing w:after="0" w:line="249" w:lineRule="auto"/>
        <w:rPr>
          <w:sz w:val="20"/>
          <w:szCs w:val="20"/>
          <w:color w:val="auto"/>
        </w:rPr>
      </w:pPr>
      <w:r>
        <w:rPr>
          <w:rFonts w:ascii="Arial" w:cs="Arial" w:eastAsia="Arial" w:hAnsi="Arial"/>
          <w:sz w:val="18"/>
          <w:szCs w:val="18"/>
          <w:color w:val="auto"/>
        </w:rPr>
        <w:t xml:space="preserve">The Company's Board of Directors and stockholders adopted and approved the Company's 2020 Equity Incentive Plan (the “2020 Plan”) on October 8, 2020. The 2020 Plan replaced the Company's 2016 Equity Incentive Plan that was earlier adopted in December 2016 (the “2016 Plan”). However, awards outstanding under the 2016 Plan will continue to be governed by its original terms. The number of shares of the Company's common stock that were initially available for issuance under the 2020 Plan equaled the initial sum of 9,000,000 shares </w:t>
      </w:r>
      <w:r>
        <w:rPr>
          <w:rFonts w:ascii="Arial" w:cs="Arial" w:eastAsia="Arial" w:hAnsi="Arial"/>
          <w:sz w:val="18"/>
          <w:szCs w:val="18"/>
          <w:i w:val="1"/>
          <w:iCs w:val="1"/>
          <w:color w:val="auto"/>
        </w:rPr>
        <w:t>plus</w:t>
      </w:r>
      <w:r>
        <w:rPr>
          <w:rFonts w:ascii="Arial" w:cs="Arial" w:eastAsia="Arial" w:hAnsi="Arial"/>
          <w:sz w:val="18"/>
          <w:szCs w:val="18"/>
          <w:color w:val="auto"/>
        </w:rPr>
        <w:t xml:space="preserve"> 2,432,980 shares that were then available for issuance under the 2016 Plan. The 2020 Plan provides for the following types of awards: incentive and non-statutory stock options, stock appreciation rights, restricted shares, and restricted stock units.</w:t>
      </w:r>
    </w:p>
    <w:p>
      <w:pPr>
        <w:spacing w:after="0" w:line="222" w:lineRule="exact"/>
        <w:rPr>
          <w:sz w:val="20"/>
          <w:szCs w:val="20"/>
          <w:color w:val="auto"/>
        </w:rPr>
      </w:pPr>
    </w:p>
    <w:p>
      <w:pPr>
        <w:ind w:right="20" w:firstLine="636"/>
        <w:spacing w:after="0" w:line="249" w:lineRule="auto"/>
        <w:rPr>
          <w:sz w:val="20"/>
          <w:szCs w:val="20"/>
          <w:color w:val="auto"/>
        </w:rPr>
      </w:pPr>
      <w:r>
        <w:rPr>
          <w:rFonts w:ascii="Arial" w:cs="Arial" w:eastAsia="Arial" w:hAnsi="Arial"/>
          <w:sz w:val="18"/>
          <w:szCs w:val="18"/>
          <w:color w:val="auto"/>
        </w:rPr>
        <w:t xml:space="preserve">The number of shares of common stock reserved for issuance under the 2020 Plan are increased automatically on the first business day of each fiscal year, commencing in 2021 and ending in 2030, by a number equal to the </w:t>
      </w:r>
      <w:r>
        <w:rPr>
          <w:rFonts w:ascii="Arial" w:cs="Arial" w:eastAsia="Arial" w:hAnsi="Arial"/>
          <w:sz w:val="18"/>
          <w:szCs w:val="18"/>
          <w:i w:val="1"/>
          <w:iCs w:val="1"/>
          <w:color w:val="auto"/>
        </w:rPr>
        <w:t>lesser of</w:t>
      </w:r>
      <w:r>
        <w:rPr>
          <w:rFonts w:ascii="Arial" w:cs="Arial" w:eastAsia="Arial" w:hAnsi="Arial"/>
          <w:sz w:val="18"/>
          <w:szCs w:val="18"/>
          <w:color w:val="auto"/>
        </w:rPr>
        <w:t>: (i) 4% of the shares of common stock outstanding on the last day of the prior fiscal year; or (ii) the number of shares determined by the Company's Board of Directors. In general, to the extent that any awards under the 2020 Plan are forfeited, terminate, expire or lapse without the issuance of shares, or if the Company reacquires the shares subject to awards granted under the 2020 Plan, those shares will again become available for issuance under the 2020 Plan, as will shares applied to pay the exercise or purchase price of an award or to satisfy tax withholding obligations related to any award.</w:t>
      </w:r>
    </w:p>
    <w:p>
      <w:pPr>
        <w:spacing w:after="0" w:line="196" w:lineRule="exact"/>
        <w:rPr>
          <w:sz w:val="20"/>
          <w:szCs w:val="20"/>
          <w:color w:val="auto"/>
        </w:rPr>
      </w:pPr>
    </w:p>
    <w:p>
      <w:pPr>
        <w:jc w:val="both"/>
        <w:ind w:right="40" w:firstLine="874"/>
        <w:spacing w:after="0" w:line="330" w:lineRule="auto"/>
        <w:rPr>
          <w:sz w:val="20"/>
          <w:szCs w:val="20"/>
          <w:color w:val="auto"/>
        </w:rPr>
      </w:pPr>
      <w:r>
        <w:rPr>
          <w:rFonts w:ascii="Arial" w:cs="Arial" w:eastAsia="Arial" w:hAnsi="Arial"/>
          <w:sz w:val="15"/>
          <w:szCs w:val="15"/>
          <w:color w:val="auto"/>
        </w:rPr>
        <w:t>Stock-based awards are governed by agreements between the Company and the recipients. Incentive stock options and nonqualified stock options may be granted under the 2020 Plan (and previously the 2016 Plan) at an exercise price of not less than 100% of the fair market value of common stock on the respective date of grant. The grant date is the date the terms of the award are formally approved by the Company’s Board of Directors or its designee.</w:t>
      </w:r>
    </w:p>
    <w:p>
      <w:pPr>
        <w:spacing w:after="0" w:line="137" w:lineRule="exact"/>
        <w:rPr>
          <w:sz w:val="20"/>
          <w:szCs w:val="20"/>
          <w:color w:val="auto"/>
        </w:rPr>
      </w:pPr>
    </w:p>
    <w:p>
      <w:pPr>
        <w:ind w:right="200" w:firstLine="874"/>
        <w:spacing w:after="0" w:line="252" w:lineRule="auto"/>
        <w:rPr>
          <w:sz w:val="20"/>
          <w:szCs w:val="20"/>
          <w:color w:val="auto"/>
        </w:rPr>
      </w:pPr>
      <w:r>
        <w:rPr>
          <w:rFonts w:ascii="Arial" w:cs="Arial" w:eastAsia="Arial" w:hAnsi="Arial"/>
          <w:sz w:val="18"/>
          <w:szCs w:val="18"/>
          <w:color w:val="auto"/>
        </w:rPr>
        <w:t>Through June 30, 2021, all awards issued under the 2020 Plan and 2016 Plan were in the form of stock options and restricted stock units. These stock award agreements have service and/or performance conditions for vesting, unless immediately vested on the date of grant. Stock awards granted typically have one to four-year service conditions for full vesting. The performance conditions for vesting are explicitly stated in each award agreement and are associated with clinical, business development, or operational milestones.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TARSUS PHARMACEUTICALS, INC.</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20" w:firstLine="874"/>
        <w:spacing w:after="0" w:line="255" w:lineRule="auto"/>
        <w:rPr>
          <w:sz w:val="20"/>
          <w:szCs w:val="20"/>
          <w:color w:val="auto"/>
        </w:rPr>
      </w:pPr>
      <w:r>
        <w:rPr>
          <w:rFonts w:ascii="Arial" w:cs="Arial" w:eastAsia="Arial" w:hAnsi="Arial"/>
          <w:sz w:val="18"/>
          <w:szCs w:val="18"/>
          <w:color w:val="auto"/>
        </w:rPr>
        <w:t>Stock options must be exercised, if at all, no later than 10 years from the date of grant. Upon termination of employment, vested stock options may be exercised within 12 months after the date of termination upon death, six months after the date of termination upon disability, and three months after the date of termination for all other separations.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Summary</w:t>
      </w:r>
    </w:p>
    <w:p>
      <w:pPr>
        <w:spacing w:after="0" w:line="217" w:lineRule="exact"/>
        <w:rPr>
          <w:sz w:val="20"/>
          <w:szCs w:val="20"/>
          <w:color w:val="auto"/>
        </w:rPr>
      </w:pPr>
    </w:p>
    <w:p>
      <w:pPr>
        <w:ind w:right="80" w:firstLine="874"/>
        <w:spacing w:after="0" w:line="255" w:lineRule="auto"/>
        <w:rPr>
          <w:sz w:val="20"/>
          <w:szCs w:val="20"/>
          <w:color w:val="auto"/>
        </w:rPr>
      </w:pPr>
      <w:r>
        <w:rPr>
          <w:rFonts w:ascii="Arial" w:cs="Arial" w:eastAsia="Arial" w:hAnsi="Arial"/>
          <w:sz w:val="18"/>
          <w:szCs w:val="18"/>
          <w:color w:val="auto"/>
        </w:rPr>
        <w:t>Stock-based compensation expense is recorded in the accompanying condensed statements of operations and comprehensive income (loss) based on the assigned or designated department of the award recipient. Stock-based compensation expense for the three and six months ended June 30, 2021 and 2020 was as follows:</w:t>
      </w:r>
    </w:p>
    <w:p>
      <w:pPr>
        <w:spacing w:after="0" w:line="218"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5140" w:type="dxa"/>
            <w:vAlign w:val="bottom"/>
          </w:tcPr>
          <w:p>
            <w:pPr>
              <w:spacing w:after="0"/>
              <w:rPr>
                <w:sz w:val="16"/>
                <w:szCs w:val="16"/>
                <w:color w:val="auto"/>
              </w:rPr>
            </w:pPr>
          </w:p>
        </w:tc>
        <w:tc>
          <w:tcPr>
            <w:tcW w:w="246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95"/>
              </w:rPr>
              <w:t>Three months ended 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1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19"/>
        </w:trPr>
        <w:tc>
          <w:tcPr>
            <w:tcW w:w="51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2,367</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r>
      <w:tr>
        <w:trPr>
          <w:trHeight w:val="243"/>
        </w:trPr>
        <w:tc>
          <w:tcPr>
            <w:tcW w:w="5140" w:type="dxa"/>
            <w:vAlign w:val="bottom"/>
            <w:tcBorders>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Total stock-based compensation</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2,794</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Pre-Vesting Exercise Feature of Certain Stock Options</w:t>
      </w:r>
    </w:p>
    <w:p>
      <w:pPr>
        <w:spacing w:after="0" w:line="217" w:lineRule="exact"/>
        <w:rPr>
          <w:sz w:val="20"/>
          <w:szCs w:val="20"/>
          <w:color w:val="auto"/>
        </w:rPr>
      </w:pPr>
    </w:p>
    <w:p>
      <w:pPr>
        <w:ind w:firstLine="874"/>
        <w:spacing w:after="0" w:line="249" w:lineRule="auto"/>
        <w:rPr>
          <w:sz w:val="20"/>
          <w:szCs w:val="20"/>
          <w:color w:val="auto"/>
        </w:rPr>
      </w:pPr>
      <w:r>
        <w:rPr>
          <w:rFonts w:ascii="Arial" w:cs="Arial" w:eastAsia="Arial" w:hAnsi="Arial"/>
          <w:sz w:val="18"/>
          <w:szCs w:val="18"/>
          <w:color w:val="auto"/>
        </w:rPr>
        <w:t>The 2016 Plan permitted certain option holders to exercise awarded options prior to vesting. Upon this early exercise, the options became subject to a restricted stock agreement and remain subject to the same vesting provisions in the corresponding stock option award. These unvested options are subject to repurchase by the Company upon employee termination at the same price exercised. These unvested shares of common stock are reported as issued (but not outstanding) on the accompanying Balance Sheets while subject to repurchase by the Company. These shares are also excluded from the basic net income (loss) per share until the repurchase right lapses upon vesting, but are included in the diluted net income per share for the three and six months ended June 30, 2021.</w:t>
      </w:r>
    </w:p>
    <w:p>
      <w:pPr>
        <w:spacing w:after="0" w:line="196" w:lineRule="exact"/>
        <w:rPr>
          <w:sz w:val="20"/>
          <w:szCs w:val="20"/>
          <w:color w:val="auto"/>
        </w:rPr>
      </w:pPr>
    </w:p>
    <w:p>
      <w:pPr>
        <w:ind w:right="80" w:firstLine="874"/>
        <w:spacing w:after="0" w:line="255" w:lineRule="auto"/>
        <w:rPr>
          <w:sz w:val="20"/>
          <w:szCs w:val="20"/>
          <w:color w:val="auto"/>
        </w:rPr>
      </w:pPr>
      <w:r>
        <w:rPr>
          <w:rFonts w:ascii="Arial" w:cs="Arial" w:eastAsia="Arial" w:hAnsi="Arial"/>
          <w:sz w:val="18"/>
          <w:szCs w:val="18"/>
          <w:color w:val="auto"/>
        </w:rPr>
        <w:t>The Company initially records a liability for these early exercises that is subsequently reclassified into stockholders’ equity on a pro rata basis as vesting occurs. As of June 30, 2021 and December 31, 2020, the Company recorded the unvested portion of the exercise proceeds of $0.3 million and $0.4 million, respectively, as a liability from the early exercise in the accompanying Balance Sheets.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(LOSS) PER SHARE</w:t>
      </w:r>
    </w:p>
    <w:p>
      <w:pPr>
        <w:spacing w:after="0" w:line="223" w:lineRule="exact"/>
        <w:rPr>
          <w:sz w:val="20"/>
          <w:szCs w:val="20"/>
          <w:color w:val="auto"/>
        </w:rPr>
      </w:pPr>
    </w:p>
    <w:p>
      <w:pPr>
        <w:ind w:right="80" w:firstLine="874"/>
        <w:spacing w:after="0" w:line="267" w:lineRule="auto"/>
        <w:rPr>
          <w:sz w:val="20"/>
          <w:szCs w:val="20"/>
          <w:color w:val="auto"/>
        </w:rPr>
      </w:pPr>
      <w:r>
        <w:rPr>
          <w:rFonts w:ascii="Arial" w:cs="Arial" w:eastAsia="Arial" w:hAnsi="Arial"/>
          <w:sz w:val="17"/>
          <w:szCs w:val="17"/>
          <w:color w:val="auto"/>
        </w:rPr>
        <w:t xml:space="preserve">The Company permits certain option holders to exercise awarded options prior to vesting (see </w:t>
      </w:r>
      <w:r>
        <w:rPr>
          <w:rFonts w:ascii="Arial" w:cs="Arial" w:eastAsia="Arial" w:hAnsi="Arial"/>
          <w:sz w:val="17"/>
          <w:szCs w:val="17"/>
          <w:i w:val="1"/>
          <w:iCs w:val="1"/>
          <w:color w:val="auto"/>
        </w:rPr>
        <w:t>Note 5</w:t>
      </w:r>
      <w:r>
        <w:rPr>
          <w:rFonts w:ascii="Arial" w:cs="Arial" w:eastAsia="Arial" w:hAnsi="Arial"/>
          <w:sz w:val="17"/>
          <w:szCs w:val="17"/>
          <w:color w:val="auto"/>
        </w:rPr>
        <w:t>). Upon this early exercise, these options become subject to a restricted stock agreement and remain subject to the same vesting provisions in the corresponding stock option award. These early exercised options are considered to be "participating securities" due to non-forfeitable right to dividends (i.e., even prior to vesting). For the three and six months ended June 30, 2021, the "two-class method" was utilized to calculate diluted net income per share as it was more dilutive than the "treasury stock method". Due to a net loss for the three months ended March 31, 2020, all otherwise potentially dilutive securities are antidilutive. Accordingly, basic net loss per share equals diluted net loss per share for the three and six months ended June 30, 2020.</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78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49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9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6,345</w:t>
            </w:r>
          </w:p>
        </w:tc>
        <w:tc>
          <w:tcPr>
            <w:tcW w:w="8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(3,250)</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16,721</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(5,207)</w:t>
            </w:r>
          </w:p>
        </w:tc>
        <w:tc>
          <w:tcPr>
            <w:tcW w:w="0" w:type="dxa"/>
            <w:vAlign w:val="bottom"/>
          </w:tcPr>
          <w:p>
            <w:pPr>
              <w:spacing w:after="0"/>
              <w:rPr>
                <w:sz w:val="1"/>
                <w:szCs w:val="1"/>
                <w:color w:val="auto"/>
              </w:rPr>
            </w:pPr>
          </w:p>
        </w:tc>
      </w:tr>
      <w:tr>
        <w:trPr>
          <w:trHeight w:val="22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Less: undistributed income allocated to participating securities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900" w:type="dxa"/>
            <w:vAlign w:val="bottom"/>
          </w:tcPr>
          <w:p>
            <w:pPr>
              <w:ind w:left="20"/>
              <w:spacing w:after="0" w:line="204" w:lineRule="exact"/>
              <w:rPr>
                <w:sz w:val="20"/>
                <w:szCs w:val="20"/>
                <w:color w:val="auto"/>
              </w:rPr>
            </w:pPr>
            <w:r>
              <w:rPr>
                <w:rFonts w:ascii="Arial" w:cs="Arial" w:eastAsia="Arial" w:hAnsi="Arial"/>
                <w:sz w:val="18"/>
                <w:szCs w:val="18"/>
                <w:color w:val="auto"/>
              </w:rPr>
              <w:t>Net income available to common shareholders</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6,299</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16,588</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(5,207)</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20,555,258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2,651,321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20,446,246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2,650,843</w:t>
            </w:r>
          </w:p>
        </w:tc>
        <w:tc>
          <w:tcPr>
            <w:tcW w:w="0" w:type="dxa"/>
            <w:vAlign w:val="bottom"/>
          </w:tcPr>
          <w:p>
            <w:pPr>
              <w:spacing w:after="0"/>
              <w:rPr>
                <w:sz w:val="1"/>
                <w:szCs w:val="1"/>
                <w:color w:val="auto"/>
              </w:rPr>
            </w:pPr>
          </w:p>
        </w:tc>
      </w:tr>
      <w:tr>
        <w:trPr>
          <w:trHeight w:val="154"/>
        </w:trPr>
        <w:tc>
          <w:tcPr>
            <w:tcW w:w="490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w w:val="96"/>
              </w:rPr>
              <w:t>Net income (loss) per share attributable to common stockholders—</w:t>
            </w:r>
          </w:p>
        </w:tc>
        <w:tc>
          <w:tcPr>
            <w:tcW w:w="3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8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8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8"/>
        </w:trPr>
        <w:tc>
          <w:tcPr>
            <w:tcW w:w="490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6,345</w:t>
            </w:r>
          </w:p>
        </w:tc>
        <w:tc>
          <w:tcPr>
            <w:tcW w:w="8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(3,250)</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16,721</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(5,207)</w:t>
            </w:r>
          </w:p>
        </w:tc>
        <w:tc>
          <w:tcPr>
            <w:tcW w:w="0" w:type="dxa"/>
            <w:vAlign w:val="bottom"/>
          </w:tcPr>
          <w:p>
            <w:pPr>
              <w:spacing w:after="0"/>
              <w:rPr>
                <w:sz w:val="1"/>
                <w:szCs w:val="1"/>
                <w:color w:val="auto"/>
              </w:rPr>
            </w:pPr>
          </w:p>
        </w:tc>
      </w:tr>
      <w:tr>
        <w:trPr>
          <w:trHeight w:val="22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Less: undistributed income reallocated to participating securities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900" w:type="dxa"/>
            <w:vAlign w:val="bottom"/>
          </w:tcPr>
          <w:p>
            <w:pPr>
              <w:ind w:left="20"/>
              <w:spacing w:after="0" w:line="204" w:lineRule="exact"/>
              <w:rPr>
                <w:sz w:val="20"/>
                <w:szCs w:val="20"/>
                <w:color w:val="auto"/>
              </w:rPr>
            </w:pPr>
            <w:r>
              <w:rPr>
                <w:rFonts w:ascii="Arial" w:cs="Arial" w:eastAsia="Arial" w:hAnsi="Arial"/>
                <w:sz w:val="18"/>
                <w:szCs w:val="18"/>
                <w:color w:val="auto"/>
              </w:rPr>
              <w:t>Net income available to common shareholders</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6,302</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16,597</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(5,207)</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0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20,555,258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2,651,321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20,446,246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2,650,843</w:t>
            </w:r>
          </w:p>
        </w:tc>
        <w:tc>
          <w:tcPr>
            <w:tcW w:w="0" w:type="dxa"/>
            <w:vAlign w:val="bottom"/>
          </w:tcPr>
          <w:p>
            <w:pPr>
              <w:spacing w:after="0"/>
              <w:rPr>
                <w:sz w:val="1"/>
                <w:szCs w:val="1"/>
                <w:color w:val="auto"/>
              </w:rPr>
            </w:pPr>
          </w:p>
        </w:tc>
      </w:tr>
      <w:tr>
        <w:trPr>
          <w:trHeight w:val="22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00" w:type="dxa"/>
            <w:vAlign w:val="bottom"/>
          </w:tcPr>
          <w:p>
            <w:pPr>
              <w:ind w:left="240"/>
              <w:spacing w:after="0"/>
              <w:rPr>
                <w:sz w:val="20"/>
                <w:szCs w:val="20"/>
                <w:color w:val="auto"/>
              </w:rPr>
            </w:pPr>
            <w:r>
              <w:rPr>
                <w:rFonts w:ascii="Arial" w:cs="Arial" w:eastAsia="Arial" w:hAnsi="Arial"/>
                <w:sz w:val="18"/>
                <w:szCs w:val="18"/>
                <w:color w:val="auto"/>
              </w:rPr>
              <w:t>Common stock options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1,411,341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1,449,058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9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Diluted weighted average shares outstanding</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21,966,599</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2,651,321</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21,895,304</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2,650,843</w:t>
            </w:r>
          </w:p>
        </w:tc>
        <w:tc>
          <w:tcPr>
            <w:tcW w:w="0" w:type="dxa"/>
            <w:vAlign w:val="bottom"/>
          </w:tcPr>
          <w:p>
            <w:pPr>
              <w:spacing w:after="0"/>
              <w:rPr>
                <w:sz w:val="1"/>
                <w:szCs w:val="1"/>
                <w:color w:val="auto"/>
              </w:rPr>
            </w:pPr>
          </w:p>
        </w:tc>
      </w:tr>
      <w:tr>
        <w:trPr>
          <w:trHeight w:val="153"/>
        </w:trPr>
        <w:tc>
          <w:tcPr>
            <w:tcW w:w="4900" w:type="dxa"/>
            <w:vAlign w:val="bottom"/>
          </w:tcPr>
          <w:p>
            <w:pPr>
              <w:ind w:left="20"/>
              <w:spacing w:after="0" w:line="154" w:lineRule="exact"/>
              <w:rPr>
                <w:sz w:val="20"/>
                <w:szCs w:val="20"/>
                <w:color w:val="auto"/>
              </w:rPr>
            </w:pPr>
            <w:r>
              <w:rPr>
                <w:rFonts w:ascii="Arial" w:cs="Arial" w:eastAsia="Arial" w:hAnsi="Arial"/>
                <w:sz w:val="17"/>
                <w:szCs w:val="17"/>
                <w:color w:val="auto"/>
                <w:w w:val="96"/>
              </w:rPr>
              <w:t>Net income (loss) per share attributable to common stockholders—</w:t>
            </w:r>
          </w:p>
        </w:tc>
        <w:tc>
          <w:tcPr>
            <w:tcW w:w="360" w:type="dxa"/>
            <w:vAlign w:val="bottom"/>
            <w:vMerge w:val="restart"/>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3"/>
                <w:szCs w:val="13"/>
                <w:color w:val="auto"/>
              </w:rPr>
            </w:pPr>
          </w:p>
        </w:tc>
        <w:tc>
          <w:tcPr>
            <w:tcW w:w="360" w:type="dxa"/>
            <w:vAlign w:val="bottom"/>
            <w:vMerge w:val="restart"/>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3"/>
                <w:szCs w:val="13"/>
                <w:color w:val="auto"/>
              </w:rPr>
            </w:pPr>
          </w:p>
        </w:tc>
        <w:tc>
          <w:tcPr>
            <w:tcW w:w="380" w:type="dxa"/>
            <w:vAlign w:val="bottom"/>
            <w:vMerge w:val="restart"/>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0.76</w:t>
            </w:r>
          </w:p>
        </w:tc>
        <w:tc>
          <w:tcPr>
            <w:tcW w:w="80" w:type="dxa"/>
            <w:vAlign w:val="bottom"/>
          </w:tcPr>
          <w:p>
            <w:pPr>
              <w:spacing w:after="0"/>
              <w:rPr>
                <w:sz w:val="13"/>
                <w:szCs w:val="13"/>
                <w:color w:val="auto"/>
              </w:rPr>
            </w:pPr>
          </w:p>
        </w:tc>
        <w:tc>
          <w:tcPr>
            <w:tcW w:w="380" w:type="dxa"/>
            <w:vAlign w:val="bottom"/>
            <w:vMerge w:val="restart"/>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line="198"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jc w:val="both"/>
        <w:ind w:right="140" w:firstLine="874"/>
        <w:spacing w:after="0" w:line="250" w:lineRule="auto"/>
        <w:rPr>
          <w:sz w:val="20"/>
          <w:szCs w:val="20"/>
          <w:color w:val="auto"/>
        </w:rPr>
      </w:pPr>
      <w:r>
        <w:rPr>
          <w:rFonts w:ascii="Arial" w:cs="Arial" w:eastAsia="Arial" w:hAnsi="Arial"/>
          <w:sz w:val="18"/>
          <w:szCs w:val="18"/>
          <w:color w:val="auto"/>
        </w:rPr>
        <w:t>During the three and six months ended June 30, 2021, 0.8 million unexercised stock options were excluded from the computation of net income per share because the effect would have been anti-dilutive. Additionally, during the three and six months ended June 30, 2020, 1.2 million unexercised stock options, 8.2 million shares of preferred stock, and 67 thousand early-exercised and unvested stock options were excluded from the calculation of diluted net loss per share attributable to common stockholders because their impact under the “treasury stock method” and "if-converted method"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23" w:lineRule="exact"/>
        <w:rPr>
          <w:sz w:val="20"/>
          <w:szCs w:val="20"/>
          <w:color w:val="auto"/>
        </w:rPr>
      </w:pPr>
    </w:p>
    <w:p>
      <w:pPr>
        <w:ind w:right="200" w:firstLine="874"/>
        <w:spacing w:after="0" w:line="264" w:lineRule="auto"/>
        <w:rPr>
          <w:sz w:val="20"/>
          <w:szCs w:val="20"/>
          <w:color w:val="auto"/>
        </w:rPr>
      </w:pPr>
      <w:r>
        <w:rPr>
          <w:rFonts w:ascii="Arial" w:cs="Arial" w:eastAsia="Arial" w:hAnsi="Arial"/>
          <w:sz w:val="18"/>
          <w:szCs w:val="18"/>
          <w:color w:val="auto"/>
        </w:rPr>
        <w:t xml:space="preserve">The table below summarizes certain financial instruments measured at fair value that are included within the accompanying balance sheets, and their designation among the three fair value measurement categories (see </w:t>
      </w:r>
      <w:r>
        <w:rPr>
          <w:rFonts w:ascii="Arial" w:cs="Arial" w:eastAsia="Arial" w:hAnsi="Arial"/>
          <w:sz w:val="18"/>
          <w:szCs w:val="18"/>
          <w:i w:val="1"/>
          <w:iCs w:val="1"/>
          <w:color w:val="auto"/>
        </w:rPr>
        <w:t>Note 2(xiii)</w:t>
      </w:r>
      <w:r>
        <w:rPr>
          <w:rFonts w:ascii="Arial" w:cs="Arial" w:eastAsia="Arial" w:hAnsi="Arial"/>
          <w:sz w:val="18"/>
          <w:szCs w:val="18"/>
          <w:color w:val="auto"/>
        </w:rPr>
        <w:t>):</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auto"/>
              </w:rPr>
              <w:t>June 30, 2021 Fair Value Measurements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1"/>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1420" w:type="dxa"/>
            <w:vAlign w:val="bottom"/>
            <w:gridSpan w:val="2"/>
          </w:tcPr>
          <w:p>
            <w:pPr>
              <w:ind w:left="3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Arial" w:cs="Arial" w:eastAsia="Arial" w:hAnsi="Arial"/>
                <w:sz w:val="14"/>
                <w:szCs w:val="14"/>
                <w:b w:val="1"/>
                <w:bCs w:val="1"/>
                <w:color w:val="auto"/>
              </w:rPr>
              <w:t>Total</w:t>
            </w:r>
          </w:p>
        </w:tc>
      </w:tr>
      <w:tr>
        <w:trPr>
          <w:trHeight w:val="211"/>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5"/>
        </w:trPr>
        <w:tc>
          <w:tcPr>
            <w:tcW w:w="51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176,710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176,710</w:t>
            </w:r>
          </w:p>
        </w:tc>
      </w:tr>
      <w:tr>
        <w:trPr>
          <w:trHeight w:val="226"/>
        </w:trPr>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warrant rights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18"/>
        </w:trPr>
        <w:tc>
          <w:tcPr>
            <w:tcW w:w="5180" w:type="dxa"/>
            <w:vAlign w:val="bottom"/>
          </w:tcPr>
          <w:p>
            <w:pPr>
              <w:ind w:left="660"/>
              <w:spacing w:after="0" w:line="204" w:lineRule="exact"/>
              <w:rPr>
                <w:sz w:val="20"/>
                <w:szCs w:val="20"/>
                <w:color w:val="auto"/>
              </w:rPr>
            </w:pPr>
            <w:r>
              <w:rPr>
                <w:rFonts w:ascii="Arial" w:cs="Arial" w:eastAsia="Arial" w:hAnsi="Arial"/>
                <w:sz w:val="18"/>
                <w:szCs w:val="18"/>
                <w:color w:val="auto"/>
              </w:rPr>
              <w:t>Total assets measured at fair value</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176,710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177,786</w:t>
            </w:r>
          </w:p>
        </w:tc>
      </w:tr>
      <w:tr>
        <w:trPr>
          <w:trHeight w:val="20"/>
        </w:trPr>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53"/>
        </w:trPr>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5"/>
          </w:tcPr>
          <w:p>
            <w:pPr>
              <w:spacing w:after="0"/>
              <w:rPr>
                <w:sz w:val="20"/>
                <w:szCs w:val="20"/>
                <w:color w:val="auto"/>
              </w:rPr>
            </w:pPr>
            <w:r>
              <w:rPr>
                <w:rFonts w:ascii="Arial" w:cs="Arial" w:eastAsia="Arial" w:hAnsi="Arial"/>
                <w:sz w:val="14"/>
                <w:szCs w:val="14"/>
                <w:b w:val="1"/>
                <w:bCs w:val="1"/>
                <w:color w:val="auto"/>
                <w:w w:val="98"/>
              </w:rPr>
              <w:t>December 31, 2020 Fair Value Measurements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1"/>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1420" w:type="dxa"/>
            <w:vAlign w:val="bottom"/>
            <w:gridSpan w:val="2"/>
          </w:tcPr>
          <w:p>
            <w:pPr>
              <w:ind w:left="3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Arial" w:cs="Arial" w:eastAsia="Arial" w:hAnsi="Arial"/>
                <w:sz w:val="14"/>
                <w:szCs w:val="14"/>
                <w:b w:val="1"/>
                <w:bCs w:val="1"/>
                <w:color w:val="auto"/>
              </w:rPr>
              <w:t>Total</w:t>
            </w:r>
          </w:p>
        </w:tc>
      </w:tr>
      <w:tr>
        <w:trPr>
          <w:trHeight w:val="211"/>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5"/>
        </w:trPr>
        <w:tc>
          <w:tcPr>
            <w:tcW w:w="5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168,129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168,129</w:t>
            </w:r>
          </w:p>
        </w:tc>
      </w:tr>
      <w:tr>
        <w:trPr>
          <w:trHeight w:val="238"/>
        </w:trPr>
        <w:tc>
          <w:tcPr>
            <w:tcW w:w="5180" w:type="dxa"/>
            <w:vAlign w:val="bottom"/>
            <w:shd w:val="clear" w:color="auto" w:fill="CCEEFF"/>
          </w:tcPr>
          <w:p>
            <w:pPr>
              <w:ind w:left="660"/>
              <w:spacing w:after="0" w:line="205" w:lineRule="exact"/>
              <w:rPr>
                <w:sz w:val="20"/>
                <w:szCs w:val="20"/>
                <w:color w:val="auto"/>
              </w:rPr>
            </w:pPr>
            <w:r>
              <w:rPr>
                <w:rFonts w:ascii="Arial" w:cs="Arial" w:eastAsia="Arial" w:hAnsi="Arial"/>
                <w:sz w:val="18"/>
                <w:szCs w:val="18"/>
                <w:color w:val="auto"/>
              </w:rPr>
              <w:t>Total assets measured at fair value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168,129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168,129</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Money Market Funds</w:t>
      </w:r>
    </w:p>
    <w:p>
      <w:pPr>
        <w:spacing w:after="0" w:line="217" w:lineRule="exact"/>
        <w:rPr>
          <w:sz w:val="20"/>
          <w:szCs w:val="20"/>
          <w:color w:val="auto"/>
        </w:rPr>
      </w:pPr>
    </w:p>
    <w:p>
      <w:pPr>
        <w:ind w:firstLine="874"/>
        <w:spacing w:after="0" w:line="252" w:lineRule="auto"/>
        <w:rPr>
          <w:sz w:val="20"/>
          <w:szCs w:val="20"/>
          <w:color w:val="auto"/>
        </w:rPr>
      </w:pPr>
      <w:r>
        <w:rPr>
          <w:rFonts w:ascii="Arial" w:cs="Arial" w:eastAsia="Arial" w:hAnsi="Arial"/>
          <w:sz w:val="18"/>
          <w:szCs w:val="18"/>
          <w:color w:val="auto"/>
        </w:rPr>
        <w:t xml:space="preserve">Money market fund holdings are included in "cash and cash equivalents" on the accompanying Balance Sheets and are classified within </w:t>
      </w:r>
      <w:r>
        <w:rPr>
          <w:rFonts w:ascii="Arial" w:cs="Arial" w:eastAsia="Arial" w:hAnsi="Arial"/>
          <w:sz w:val="18"/>
          <w:szCs w:val="18"/>
          <w:i w:val="1"/>
          <w:iCs w:val="1"/>
          <w:color w:val="auto"/>
        </w:rPr>
        <w:t>Level 1</w:t>
      </w:r>
      <w:r>
        <w:rPr>
          <w:rFonts w:ascii="Arial" w:cs="Arial" w:eastAsia="Arial" w:hAnsi="Arial"/>
          <w:sz w:val="18"/>
          <w:szCs w:val="18"/>
          <w:color w:val="auto"/>
        </w:rPr>
        <w:t xml:space="preserve"> of the fair value hierarchy because of their readily-available market prices in active markets that are publicly accessible at the measurement date. These money market funds are invested in U.S. Treasury, bills, notes, and other obligations issued or guaranteed as to principal and interest by the U.S. Government or its agencies.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Warrant Rights</w:t>
      </w:r>
    </w:p>
    <w:p>
      <w:pPr>
        <w:spacing w:after="0" w:line="217" w:lineRule="exact"/>
        <w:rPr>
          <w:sz w:val="20"/>
          <w:szCs w:val="20"/>
          <w:color w:val="auto"/>
        </w:rPr>
      </w:pPr>
    </w:p>
    <w:p>
      <w:pPr>
        <w:ind w:right="420" w:firstLine="874"/>
        <w:spacing w:after="0" w:line="252" w:lineRule="auto"/>
        <w:rPr>
          <w:sz w:val="20"/>
          <w:szCs w:val="20"/>
          <w:color w:val="auto"/>
        </w:rPr>
      </w:pPr>
      <w:r>
        <w:rPr>
          <w:rFonts w:ascii="Arial" w:cs="Arial" w:eastAsia="Arial" w:hAnsi="Arial"/>
          <w:sz w:val="18"/>
          <w:szCs w:val="18"/>
          <w:color w:val="auto"/>
        </w:rPr>
        <w:t xml:space="preserve">In March 2021, contemporaneous with the China Out-License transaction (see </w:t>
      </w:r>
      <w:r>
        <w:rPr>
          <w:rFonts w:ascii="Arial" w:cs="Arial" w:eastAsia="Arial" w:hAnsi="Arial"/>
          <w:sz w:val="18"/>
          <w:szCs w:val="18"/>
          <w:i w:val="1"/>
          <w:iCs w:val="1"/>
          <w:color w:val="auto"/>
        </w:rPr>
        <w:t>Note 9</w:t>
      </w:r>
      <w:r>
        <w:rPr>
          <w:rFonts w:ascii="Arial" w:cs="Arial" w:eastAsia="Arial" w:hAnsi="Arial"/>
          <w:sz w:val="18"/>
          <w:szCs w:val="18"/>
          <w:color w:val="auto"/>
        </w:rPr>
        <w:t>), the Company and LianBio Ophthalmology Limited (“LianBio”), executed a warrant agreement for the Company to purchase a stated number of equity securities of LianBio, a privately-held China-focused pharmaceutical company, at fair value (on a per share basis at the time of issuance). The warrants will vest upon the achievement of certain clinical and regulatory events.</w:t>
      </w:r>
    </w:p>
    <w:p>
      <w:pPr>
        <w:spacing w:after="0" w:line="191" w:lineRule="exact"/>
        <w:rPr>
          <w:sz w:val="20"/>
          <w:szCs w:val="20"/>
          <w:color w:val="auto"/>
        </w:rPr>
      </w:pPr>
    </w:p>
    <w:p>
      <w:pPr>
        <w:ind w:right="60" w:firstLine="874"/>
        <w:spacing w:after="0" w:line="271" w:lineRule="auto"/>
        <w:rPr>
          <w:sz w:val="20"/>
          <w:szCs w:val="20"/>
          <w:color w:val="auto"/>
        </w:rPr>
      </w:pPr>
      <w:r>
        <w:rPr>
          <w:rFonts w:ascii="Arial" w:cs="Arial" w:eastAsia="Arial" w:hAnsi="Arial"/>
          <w:sz w:val="17"/>
          <w:szCs w:val="17"/>
          <w:color w:val="auto"/>
        </w:rPr>
        <w:t xml:space="preserve">These warrants are classified as </w:t>
      </w:r>
      <w:r>
        <w:rPr>
          <w:rFonts w:ascii="Arial" w:cs="Arial" w:eastAsia="Arial" w:hAnsi="Arial"/>
          <w:sz w:val="17"/>
          <w:szCs w:val="17"/>
          <w:i w:val="1"/>
          <w:iCs w:val="1"/>
          <w:color w:val="auto"/>
        </w:rPr>
        <w:t>Level 3</w:t>
      </w:r>
      <w:r>
        <w:rPr>
          <w:rFonts w:ascii="Arial" w:cs="Arial" w:eastAsia="Arial" w:hAnsi="Arial"/>
          <w:sz w:val="17"/>
          <w:szCs w:val="17"/>
          <w:color w:val="auto"/>
        </w:rPr>
        <w:t xml:space="preserve"> in the fair value measurement hierarchy. The most significant assumptions used in the option pricing valuation model to determine fair value include: the estimated current fair value of LianBio common stock, LianBio stock volatility (based on the historical volatility of similar companies), and the probability of achievement of discrete clinical and regulatory milestones for the vesting of each of the three warrants. As of June 30, 2021, one of these three milestones was met for vesting of the respective warrant.</w:t>
      </w:r>
    </w:p>
    <w:p>
      <w:pPr>
        <w:spacing w:after="0" w:line="177" w:lineRule="exact"/>
        <w:rPr>
          <w:sz w:val="20"/>
          <w:szCs w:val="20"/>
          <w:color w:val="auto"/>
        </w:rPr>
      </w:pPr>
    </w:p>
    <w:p>
      <w:pPr>
        <w:ind w:right="40" w:firstLine="874"/>
        <w:spacing w:after="0" w:line="252" w:lineRule="auto"/>
        <w:rPr>
          <w:sz w:val="20"/>
          <w:szCs w:val="20"/>
          <w:color w:val="auto"/>
        </w:rPr>
      </w:pPr>
      <w:r>
        <w:rPr>
          <w:rFonts w:ascii="Arial" w:cs="Arial" w:eastAsia="Arial" w:hAnsi="Arial"/>
          <w:sz w:val="18"/>
          <w:szCs w:val="18"/>
          <w:color w:val="auto"/>
        </w:rPr>
        <w:t xml:space="preserve">These warrant agreements allow for "noncash settlement" and therefore met the criteria to be recognized as a "derivative asset" on the accompanying Condensed Balance Sheets and are presented within "other assets" as of June 30, 2021 (see </w:t>
      </w:r>
      <w:r>
        <w:rPr>
          <w:rFonts w:ascii="Arial" w:cs="Arial" w:eastAsia="Arial" w:hAnsi="Arial"/>
          <w:sz w:val="18"/>
          <w:szCs w:val="18"/>
          <w:i w:val="1"/>
          <w:iCs w:val="1"/>
          <w:color w:val="auto"/>
        </w:rPr>
        <w:t>Note 3(b)</w:t>
      </w:r>
      <w:r>
        <w:rPr>
          <w:rFonts w:ascii="Arial" w:cs="Arial" w:eastAsia="Arial" w:hAnsi="Arial"/>
          <w:sz w:val="18"/>
          <w:szCs w:val="18"/>
          <w:color w:val="auto"/>
        </w:rPr>
        <w:t>). These warrants will be remeasured with a corresponding amount reported in "other (expense) income, net" on the Statement of Operations and Comprehensive Income (Loss) at each reporting date, until exercised or expired.</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following table sets forth a summary of the changes in fair value of the equity warrant rights presented in "other assets" on the accompanying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Condensed Balance Sheets. The measurement of the equity warrant rights represents a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financial instrument:</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TARSUS PHARMACEUTICALS, INC.</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Equity Warrant Rights,</w:t>
            </w:r>
          </w:p>
        </w:tc>
        <w:tc>
          <w:tcPr>
            <w:tcW w:w="0" w:type="dxa"/>
            <w:vAlign w:val="bottom"/>
          </w:tcPr>
          <w:p>
            <w:pPr>
              <w:spacing w:after="0"/>
              <w:rPr>
                <w:sz w:val="1"/>
                <w:szCs w:val="1"/>
                <w:color w:val="auto"/>
              </w:rPr>
            </w:pPr>
          </w:p>
        </w:tc>
      </w:tr>
      <w:tr>
        <w:trPr>
          <w:trHeight w:val="133"/>
        </w:trPr>
        <w:tc>
          <w:tcPr>
            <w:tcW w:w="8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1"/>
              </w:rPr>
              <w:t>presented in "other</w:t>
            </w:r>
          </w:p>
        </w:tc>
        <w:tc>
          <w:tcPr>
            <w:tcW w:w="0" w:type="dxa"/>
            <w:vAlign w:val="bottom"/>
          </w:tcPr>
          <w:p>
            <w:pPr>
              <w:spacing w:after="0"/>
              <w:rPr>
                <w:sz w:val="1"/>
                <w:szCs w:val="1"/>
                <w:color w:val="auto"/>
              </w:rPr>
            </w:pPr>
          </w:p>
        </w:tc>
      </w:tr>
      <w:tr>
        <w:trPr>
          <w:trHeight w:val="133"/>
        </w:trPr>
        <w:tc>
          <w:tcPr>
            <w:tcW w:w="8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88"/>
              </w:rPr>
              <w:t>assets" within the</w:t>
            </w:r>
          </w:p>
        </w:tc>
        <w:tc>
          <w:tcPr>
            <w:tcW w:w="0" w:type="dxa"/>
            <w:vAlign w:val="bottom"/>
          </w:tcPr>
          <w:p>
            <w:pPr>
              <w:spacing w:after="0"/>
              <w:rPr>
                <w:sz w:val="1"/>
                <w:szCs w:val="1"/>
                <w:color w:val="auto"/>
              </w:rPr>
            </w:pPr>
          </w:p>
        </w:tc>
      </w:tr>
      <w:tr>
        <w:trPr>
          <w:trHeight w:val="133"/>
        </w:trPr>
        <w:tc>
          <w:tcPr>
            <w:tcW w:w="8180" w:type="dxa"/>
            <w:vAlign w:val="bottom"/>
          </w:tcPr>
          <w:p>
            <w:pPr>
              <w:spacing w:after="0"/>
              <w:rPr>
                <w:sz w:val="11"/>
                <w:szCs w:val="11"/>
                <w:color w:val="auto"/>
              </w:rPr>
            </w:pPr>
          </w:p>
        </w:tc>
        <w:tc>
          <w:tcPr>
            <w:tcW w:w="16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88"/>
              </w:rPr>
              <w:t>Condensed Consolidated</w:t>
            </w:r>
          </w:p>
        </w:tc>
        <w:tc>
          <w:tcPr>
            <w:tcW w:w="0" w:type="dxa"/>
            <w:vAlign w:val="bottom"/>
          </w:tcPr>
          <w:p>
            <w:pPr>
              <w:spacing w:after="0"/>
              <w:rPr>
                <w:sz w:val="1"/>
                <w:szCs w:val="1"/>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6"/>
              </w:rPr>
              <w:t>Balance Sheets</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as of December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Initial fair value estimate of equity warrant rights upon issuance</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as of March 31,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142"/>
        </w:trPr>
        <w:tc>
          <w:tcPr>
            <w:tcW w:w="8180" w:type="dxa"/>
            <w:vAlign w:val="bottom"/>
          </w:tcPr>
          <w:p>
            <w:pPr>
              <w:ind w:left="20"/>
              <w:spacing w:after="0" w:line="142" w:lineRule="exact"/>
              <w:rPr>
                <w:sz w:val="20"/>
                <w:szCs w:val="20"/>
                <w:color w:val="auto"/>
              </w:rPr>
            </w:pPr>
            <w:r>
              <w:rPr>
                <w:rFonts w:ascii="Arial" w:cs="Arial" w:eastAsia="Arial" w:hAnsi="Arial"/>
                <w:sz w:val="16"/>
                <w:szCs w:val="16"/>
                <w:color w:val="auto"/>
                <w:w w:val="94"/>
              </w:rPr>
              <w:t>Revaluation of equity warrant rights upon achievement of first development milestone, included in "license fees" within the</w:t>
            </w:r>
          </w:p>
        </w:tc>
        <w:tc>
          <w:tcPr>
            <w:tcW w:w="12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8"/>
        </w:trPr>
        <w:tc>
          <w:tcPr>
            <w:tcW w:w="8180" w:type="dxa"/>
            <w:vAlign w:val="bottom"/>
          </w:tcPr>
          <w:p>
            <w:pPr>
              <w:ind w:left="20"/>
              <w:spacing w:after="0"/>
              <w:rPr>
                <w:sz w:val="20"/>
                <w:szCs w:val="20"/>
                <w:color w:val="auto"/>
              </w:rPr>
            </w:pPr>
            <w:r>
              <w:rPr>
                <w:rFonts w:ascii="Arial" w:cs="Arial" w:eastAsia="Arial" w:hAnsi="Arial"/>
                <w:sz w:val="16"/>
                <w:szCs w:val="16"/>
                <w:color w:val="auto"/>
              </w:rPr>
              <w:t>Condensed Statement of Operations for the three months ended June 30, 2021</w:t>
            </w:r>
          </w:p>
        </w:tc>
        <w:tc>
          <w:tcPr>
            <w:tcW w:w="12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1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w w:val="92"/>
              </w:rPr>
              <w:t>Revaluation of equity warrant rights included in "other income (expense), net" within the Condensed Statement of Operations</w:t>
            </w:r>
          </w:p>
        </w:tc>
        <w:tc>
          <w:tcPr>
            <w:tcW w:w="12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 the three months ended June 30, 2021</w:t>
            </w: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Fair value as of June 30,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80" w:hanging="174"/>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&amp; CONTINGENCIES</w:t>
      </w:r>
    </w:p>
    <w:p>
      <w:pPr>
        <w:spacing w:after="0" w:line="2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Facility Leases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17" w:lineRule="exact"/>
        <w:rPr>
          <w:sz w:val="20"/>
          <w:szCs w:val="20"/>
          <w:color w:val="auto"/>
        </w:rPr>
      </w:pPr>
    </w:p>
    <w:p>
      <w:pPr>
        <w:ind w:right="20" w:firstLine="874"/>
        <w:spacing w:after="0" w:line="250" w:lineRule="auto"/>
        <w:rPr>
          <w:sz w:val="20"/>
          <w:szCs w:val="20"/>
          <w:color w:val="auto"/>
        </w:rPr>
      </w:pPr>
      <w:r>
        <w:rPr>
          <w:rFonts w:ascii="Arial" w:cs="Arial" w:eastAsia="Arial" w:hAnsi="Arial"/>
          <w:sz w:val="18"/>
          <w:szCs w:val="18"/>
          <w:color w:val="auto"/>
        </w:rPr>
        <w:t>In the ordinary course of business, the Company enters lease agreements with unaffiliated parties for the use of office and laboratory facilities and office equipment. As of December 31, 2020, the Company had three active facility leases in Irvine, California. Separately in January 2021, the Company entered into a six-month lease for an additional adjacent administrative office suite that was not capitalized due to its under 12-month term. In December 2020, the Company recorded a $15 thousand impairment of its "operating lease right-of-use lease asset" in connection with its decision to early terminate one of the leases, which was completed in January 2021.</w:t>
      </w:r>
    </w:p>
    <w:p>
      <w:pPr>
        <w:spacing w:after="0" w:line="194" w:lineRule="exact"/>
        <w:rPr>
          <w:sz w:val="20"/>
          <w:szCs w:val="20"/>
          <w:color w:val="auto"/>
        </w:rPr>
      </w:pPr>
    </w:p>
    <w:p>
      <w:pPr>
        <w:ind w:right="40" w:firstLine="874"/>
        <w:spacing w:after="0" w:line="306" w:lineRule="auto"/>
        <w:rPr>
          <w:sz w:val="20"/>
          <w:szCs w:val="20"/>
          <w:color w:val="auto"/>
        </w:rPr>
      </w:pPr>
      <w:r>
        <w:rPr>
          <w:rFonts w:ascii="Arial" w:cs="Arial" w:eastAsia="Arial" w:hAnsi="Arial"/>
          <w:sz w:val="15"/>
          <w:szCs w:val="15"/>
          <w:color w:val="auto"/>
        </w:rPr>
        <w:t>The Company's remaining two capitalized facility leases for adjacent administrative and laboratory suites in Irvine, California commenced on June 1, 2020. These leases each expire on January 31, 2024 and one includes a renewal option that was not reasonably certain to be exercised at the time of lease commencement for purposes of its associated accounting for capitalized "operating lease right-of-use asset" and accompanying lease liability included within "accounts payable and other accrued liabilities" and "other long-term liabilities" on the accompanying Condensed Balance Sheets, amounting to an aggregate $0.6 million. These operating leases have annual rent that is payable monthly and carry fixed annual increases. Also, under these arrangements, real estate taxes, certain operating expenses, and common area maintenance are paid by the Company; since these costs are variable in nature, they are excluded from the measurement of the reported right-of-use asset and liability and are expensed as incurred.</w:t>
      </w:r>
    </w:p>
    <w:p>
      <w:pPr>
        <w:spacing w:after="0" w:line="157" w:lineRule="exact"/>
        <w:rPr>
          <w:sz w:val="20"/>
          <w:szCs w:val="20"/>
          <w:color w:val="auto"/>
        </w:rPr>
      </w:pPr>
    </w:p>
    <w:p>
      <w:pPr>
        <w:ind w:right="320" w:firstLine="874"/>
        <w:spacing w:after="0" w:line="264" w:lineRule="auto"/>
        <w:rPr>
          <w:sz w:val="20"/>
          <w:szCs w:val="20"/>
          <w:color w:val="auto"/>
        </w:rPr>
      </w:pPr>
      <w:r>
        <w:rPr>
          <w:rFonts w:ascii="Arial" w:cs="Arial" w:eastAsia="Arial" w:hAnsi="Arial"/>
          <w:sz w:val="18"/>
          <w:szCs w:val="18"/>
          <w:color w:val="auto"/>
        </w:rPr>
        <w:t>During the year ended December 31, 2020 and for the three and six months ended June 30, 2021, the Company had no sublease arrangements with it as lessor.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Lease Expense</w:t>
      </w:r>
    </w:p>
    <w:p>
      <w:pPr>
        <w:spacing w:after="0" w:line="217" w:lineRule="exact"/>
        <w:rPr>
          <w:sz w:val="20"/>
          <w:szCs w:val="20"/>
          <w:color w:val="auto"/>
        </w:rPr>
      </w:pPr>
    </w:p>
    <w:p>
      <w:pPr>
        <w:ind w:firstLine="874"/>
        <w:spacing w:after="0" w:line="252" w:lineRule="auto"/>
        <w:rPr>
          <w:sz w:val="20"/>
          <w:szCs w:val="20"/>
          <w:color w:val="auto"/>
        </w:rPr>
      </w:pPr>
      <w:r>
        <w:rPr>
          <w:rFonts w:ascii="Arial" w:cs="Arial" w:eastAsia="Arial" w:hAnsi="Arial"/>
          <w:sz w:val="18"/>
          <w:szCs w:val="18"/>
          <w:color w:val="auto"/>
        </w:rPr>
        <w:t>The liability associated with each lease is amortized over the respective lease term using the “effective interest rate method.” The Company’s right-of-use asset is amortized over the lease term on a straight-line basis to lease expense, as reported on an allocated basis within “research and development” and “general and administrative” expenses on the accompanying Statements of Operations and Comprehensive Income (Loss). The components of lease cost were as follows: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TARSUS PHARMACEUTICALS, INC.</w:t>
      </w:r>
    </w:p>
    <w:p>
      <w:pPr>
        <w:spacing w:after="0" w:line="20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THE FINANCIAL STATEMENTS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89"/>
        </w:trPr>
        <w:tc>
          <w:tcPr>
            <w:tcW w:w="162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Three months ended June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Six months ended 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2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4"/>
        </w:trPr>
        <w:tc>
          <w:tcPr>
            <w:tcW w:w="1620" w:type="dxa"/>
            <w:vAlign w:val="bottom"/>
            <w:shd w:val="clear" w:color="auto" w:fill="CCEEFF"/>
          </w:tcPr>
          <w:p>
            <w:pPr>
              <w:ind w:left="900"/>
              <w:spacing w:after="0" w:line="154" w:lineRule="exact"/>
              <w:rPr>
                <w:sz w:val="20"/>
                <w:szCs w:val="20"/>
                <w:color w:val="auto"/>
              </w:rPr>
            </w:pPr>
            <w:r>
              <w:rPr>
                <w:rFonts w:ascii="Arial" w:cs="Arial" w:eastAsia="Arial" w:hAnsi="Arial"/>
                <w:sz w:val="17"/>
                <w:szCs w:val="17"/>
                <w:color w:val="auto"/>
                <w:w w:val="93"/>
              </w:rPr>
              <w:t>Operating</w:t>
            </w:r>
          </w:p>
        </w:tc>
        <w:tc>
          <w:tcPr>
            <w:tcW w:w="1700" w:type="dxa"/>
            <w:vAlign w:val="bottom"/>
            <w:vMerge w:val="restart"/>
            <w:shd w:val="clear" w:color="auto" w:fill="CCEEFF"/>
          </w:tcPr>
          <w:p>
            <w:pPr>
              <w:jc w:val="right"/>
              <w:ind w:right="638"/>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4"/>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cost</w:t>
            </w:r>
          </w:p>
        </w:tc>
        <w:tc>
          <w:tcPr>
            <w:tcW w:w="170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620" w:type="dxa"/>
            <w:vAlign w:val="bottom"/>
          </w:tcPr>
          <w:p>
            <w:pPr>
              <w:ind w:left="900"/>
              <w:spacing w:after="0" w:line="173" w:lineRule="exact"/>
              <w:rPr>
                <w:sz w:val="20"/>
                <w:szCs w:val="20"/>
                <w:color w:val="auto"/>
              </w:rPr>
            </w:pPr>
            <w:r>
              <w:rPr>
                <w:rFonts w:ascii="Arial" w:cs="Arial" w:eastAsia="Arial" w:hAnsi="Arial"/>
                <w:sz w:val="18"/>
                <w:szCs w:val="18"/>
                <w:color w:val="auto"/>
              </w:rPr>
              <w:t>Variable</w:t>
            </w:r>
          </w:p>
        </w:tc>
        <w:tc>
          <w:tcPr>
            <w:tcW w:w="170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620" w:type="dxa"/>
            <w:vAlign w:val="bottom"/>
          </w:tcPr>
          <w:p>
            <w:pPr>
              <w:ind w:left="20"/>
              <w:spacing w:after="0"/>
              <w:rPr>
                <w:sz w:val="20"/>
                <w:szCs w:val="20"/>
                <w:color w:val="auto"/>
              </w:rPr>
            </w:pPr>
            <w:r>
              <w:rPr>
                <w:rFonts w:ascii="Arial" w:cs="Arial" w:eastAsia="Arial" w:hAnsi="Arial"/>
                <w:sz w:val="18"/>
                <w:szCs w:val="18"/>
                <w:color w:val="auto"/>
              </w:rPr>
              <w:t>lease cost</w:t>
            </w:r>
          </w:p>
        </w:tc>
        <w:tc>
          <w:tcPr>
            <w:tcW w:w="170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620" w:type="dxa"/>
            <w:vAlign w:val="bottom"/>
            <w:shd w:val="clear" w:color="auto" w:fill="CCEEFF"/>
          </w:tcPr>
          <w:p>
            <w:pPr>
              <w:ind w:left="900"/>
              <w:spacing w:after="0" w:line="174" w:lineRule="exact"/>
              <w:rPr>
                <w:sz w:val="20"/>
                <w:szCs w:val="20"/>
                <w:color w:val="auto"/>
              </w:rPr>
            </w:pPr>
            <w:r>
              <w:rPr>
                <w:rFonts w:ascii="Arial" w:cs="Arial" w:eastAsia="Arial" w:hAnsi="Arial"/>
                <w:sz w:val="18"/>
                <w:szCs w:val="18"/>
                <w:color w:val="auto"/>
              </w:rPr>
              <w:t>Short-</w:t>
            </w:r>
          </w:p>
        </w:tc>
        <w:tc>
          <w:tcPr>
            <w:tcW w:w="170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lease cost</w:t>
            </w:r>
          </w:p>
        </w:tc>
        <w:tc>
          <w:tcPr>
            <w:tcW w:w="170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620" w:type="dxa"/>
            <w:vAlign w:val="bottom"/>
          </w:tcPr>
          <w:p>
            <w:pPr>
              <w:ind w:left="900"/>
              <w:spacing w:after="0" w:line="154" w:lineRule="exact"/>
              <w:rPr>
                <w:sz w:val="20"/>
                <w:szCs w:val="20"/>
                <w:color w:val="auto"/>
              </w:rPr>
            </w:pPr>
            <w:r>
              <w:rPr>
                <w:rFonts w:ascii="Arial" w:cs="Arial" w:eastAsia="Arial" w:hAnsi="Arial"/>
                <w:sz w:val="17"/>
                <w:szCs w:val="17"/>
                <w:color w:val="auto"/>
              </w:rPr>
              <w:t>Total</w:t>
            </w:r>
          </w:p>
        </w:tc>
        <w:tc>
          <w:tcPr>
            <w:tcW w:w="1700" w:type="dxa"/>
            <w:vAlign w:val="bottom"/>
            <w:tcBorders>
              <w:top w:val="single" w:sz="8" w:color="auto"/>
            </w:tcBorders>
            <w:vMerge w:val="restart"/>
          </w:tcPr>
          <w:p>
            <w:pPr>
              <w:jc w:val="right"/>
              <w:ind w:right="638"/>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3"/>
                <w:szCs w:val="13"/>
                <w:color w:val="auto"/>
              </w:rPr>
            </w:pPr>
          </w:p>
        </w:tc>
        <w:tc>
          <w:tcPr>
            <w:tcW w:w="1280" w:type="dxa"/>
            <w:vAlign w:val="bottom"/>
            <w:tcBorders>
              <w:top w:val="single" w:sz="8" w:color="auto"/>
            </w:tcBorders>
            <w:vMerge w:val="restart"/>
          </w:tcPr>
          <w:p>
            <w:pPr>
              <w:jc w:val="right"/>
              <w:ind w:right="212"/>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3"/>
                <w:szCs w:val="13"/>
                <w:color w:val="auto"/>
              </w:rPr>
            </w:pPr>
          </w:p>
        </w:tc>
        <w:tc>
          <w:tcPr>
            <w:tcW w:w="120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3"/>
                <w:szCs w:val="13"/>
                <w:color w:val="auto"/>
              </w:rPr>
            </w:pPr>
          </w:p>
        </w:tc>
        <w:tc>
          <w:tcPr>
            <w:tcW w:w="1260" w:type="dxa"/>
            <w:vAlign w:val="bottom"/>
            <w:tcBorders>
              <w:top w:val="single" w:sz="8" w:color="auto"/>
            </w:tcBorders>
            <w:vMerge w:val="restart"/>
          </w:tcPr>
          <w:p>
            <w:pPr>
              <w:jc w:val="right"/>
              <w:ind w:right="192"/>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1620" w:type="dxa"/>
            <w:vAlign w:val="bottom"/>
          </w:tcPr>
          <w:p>
            <w:pPr>
              <w:ind w:left="20"/>
              <w:spacing w:after="0" w:line="198" w:lineRule="exact"/>
              <w:rPr>
                <w:sz w:val="20"/>
                <w:szCs w:val="20"/>
                <w:color w:val="auto"/>
              </w:rPr>
            </w:pPr>
            <w:r>
              <w:rPr>
                <w:rFonts w:ascii="Arial" w:cs="Arial" w:eastAsia="Arial" w:hAnsi="Arial"/>
                <w:sz w:val="18"/>
                <w:szCs w:val="18"/>
                <w:color w:val="auto"/>
              </w:rPr>
              <w:t>lease cost</w:t>
            </w:r>
          </w:p>
        </w:tc>
        <w:tc>
          <w:tcPr>
            <w:tcW w:w="170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Weighted-Average Remaining Lease Term and Applied Discount Rate as of June 30, 2021 and December 31, 2020</w:t>
      </w:r>
    </w:p>
    <w:p>
      <w:pPr>
        <w:spacing w:after="0" w:line="217" w:lineRule="exact"/>
        <w:rPr>
          <w:sz w:val="20"/>
          <w:szCs w:val="20"/>
          <w:color w:val="auto"/>
        </w:rPr>
      </w:pPr>
    </w:p>
    <w:p>
      <w:pPr>
        <w:ind w:right="560" w:firstLine="874"/>
        <w:spacing w:after="0" w:line="255" w:lineRule="auto"/>
        <w:rPr>
          <w:sz w:val="20"/>
          <w:szCs w:val="20"/>
          <w:color w:val="auto"/>
        </w:rPr>
      </w:pPr>
      <w:r>
        <w:rPr>
          <w:rFonts w:ascii="Arial" w:cs="Arial" w:eastAsia="Arial" w:hAnsi="Arial"/>
          <w:sz w:val="18"/>
          <w:szCs w:val="18"/>
          <w:color w:val="auto"/>
        </w:rPr>
        <w:t>As of June 30, 2021 and December 31, 2020, the Company's active facility leases had a weighted average remaining lease term of 2 years, 7 months and 2 years, 10 months, respectively. The weighted average estimated incremental borrowing rate of 10% was utilized to present value future minimum lease payments since an implicit interest rate was not readily determinable.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Contractual Lease Payments as of June 30, 2021</w:t>
      </w:r>
    </w:p>
    <w:p>
      <w:pPr>
        <w:spacing w:after="0" w:line="217" w:lineRule="exact"/>
        <w:rPr>
          <w:sz w:val="20"/>
          <w:szCs w:val="20"/>
          <w:color w:val="auto"/>
        </w:rPr>
      </w:pPr>
    </w:p>
    <w:p>
      <w:pPr>
        <w:ind w:right="240" w:firstLine="874"/>
        <w:spacing w:after="0" w:line="264" w:lineRule="auto"/>
        <w:rPr>
          <w:sz w:val="20"/>
          <w:szCs w:val="20"/>
          <w:color w:val="auto"/>
        </w:rPr>
      </w:pPr>
      <w:r>
        <w:rPr>
          <w:rFonts w:ascii="Arial" w:cs="Arial" w:eastAsia="Arial" w:hAnsi="Arial"/>
          <w:sz w:val="18"/>
          <w:szCs w:val="18"/>
          <w:color w:val="auto"/>
        </w:rPr>
        <w:t>The below table summarizes the (i) minimum lease payments over the next five years and thereafter, (ii) lease arrangement imputed interest, and (iii) present value of future lease payments: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Operating Leases - future payments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June 30, 2021</w:t>
            </w:r>
          </w:p>
        </w:tc>
      </w:tr>
      <w:tr>
        <w:trPr>
          <w:trHeight w:val="224"/>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 six months)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5"/>
        </w:trPr>
        <w:tc>
          <w:tcPr>
            <w:tcW w:w="978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2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25"/>
        </w:trPr>
        <w:tc>
          <w:tcPr>
            <w:tcW w:w="978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9780" w:type="dxa"/>
            <w:vAlign w:val="bottom"/>
          </w:tcPr>
          <w:p>
            <w:pPr>
              <w:ind w:left="20"/>
              <w:spacing w:after="0" w:line="204" w:lineRule="exact"/>
              <w:rPr>
                <w:sz w:val="20"/>
                <w:szCs w:val="20"/>
                <w:color w:val="auto"/>
              </w:rPr>
            </w:pPr>
            <w:r>
              <w:rPr>
                <w:rFonts w:ascii="Arial" w:cs="Arial" w:eastAsia="Arial" w:hAnsi="Arial"/>
                <w:sz w:val="18"/>
                <w:szCs w:val="18"/>
                <w:color w:val="auto"/>
              </w:rPr>
              <w:t>Total future lease payments, undiscounted</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717</w:t>
            </w:r>
          </w:p>
        </w:tc>
      </w:tr>
      <w:tr>
        <w:trPr>
          <w:trHeight w:val="22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18"/>
        </w:trPr>
        <w:tc>
          <w:tcPr>
            <w:tcW w:w="9780" w:type="dxa"/>
            <w:vAlign w:val="bottom"/>
          </w:tcPr>
          <w:p>
            <w:pPr>
              <w:ind w:left="20"/>
              <w:spacing w:after="0" w:line="204" w:lineRule="exact"/>
              <w:rPr>
                <w:sz w:val="20"/>
                <w:szCs w:val="20"/>
                <w:color w:val="auto"/>
              </w:rPr>
            </w:pPr>
            <w:r>
              <w:rPr>
                <w:rFonts w:ascii="Arial" w:cs="Arial" w:eastAsia="Arial" w:hAnsi="Arial"/>
                <w:sz w:val="18"/>
                <w:szCs w:val="18"/>
                <w:color w:val="auto"/>
              </w:rPr>
              <w:t>Present value of operating lease payments</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r>
      <w:tr>
        <w:trPr>
          <w:trHeight w:val="20"/>
        </w:trPr>
        <w:tc>
          <w:tcPr>
            <w:tcW w:w="9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In-License Agreements for Lotilaner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for Skin and Eye Disease or Conditions in Humans</w:t>
      </w:r>
    </w:p>
    <w:p>
      <w:pPr>
        <w:spacing w:after="0" w:line="217" w:lineRule="exact"/>
        <w:rPr>
          <w:sz w:val="20"/>
          <w:szCs w:val="20"/>
          <w:color w:val="auto"/>
        </w:rPr>
      </w:pPr>
    </w:p>
    <w:p>
      <w:pPr>
        <w:jc w:val="both"/>
        <w:ind w:right="200" w:firstLine="874"/>
        <w:spacing w:after="0" w:line="330" w:lineRule="auto"/>
        <w:rPr>
          <w:sz w:val="20"/>
          <w:szCs w:val="20"/>
          <w:color w:val="auto"/>
        </w:rPr>
      </w:pPr>
      <w:r>
        <w:rPr>
          <w:rFonts w:ascii="Arial" w:cs="Arial" w:eastAsia="Arial" w:hAnsi="Arial"/>
          <w:sz w:val="15"/>
          <w:szCs w:val="15"/>
          <w:color w:val="auto"/>
        </w:rPr>
        <w:t>In January 2019, the Company entered into an in-license agreement with Elanco Tiergesundheit AG (“Elanco”) for exclusive worldwide rights to certain intellectual property for the development and commercialization of lotilaner in the treatment or cure of any eye or skin disease or condition in humans (the "January 2019 Agreement"). The Company has sole financial responsibility for related development, regulatory, and commercialization activities.</w:t>
      </w:r>
    </w:p>
    <w:p>
      <w:pPr>
        <w:spacing w:after="0" w:line="137" w:lineRule="exact"/>
        <w:rPr>
          <w:sz w:val="20"/>
          <w:szCs w:val="20"/>
          <w:color w:val="auto"/>
        </w:rPr>
      </w:pPr>
    </w:p>
    <w:p>
      <w:pPr>
        <w:ind w:right="260" w:firstLine="874"/>
        <w:spacing w:after="0" w:line="250" w:lineRule="auto"/>
        <w:rPr>
          <w:sz w:val="20"/>
          <w:szCs w:val="20"/>
          <w:color w:val="auto"/>
        </w:rPr>
      </w:pPr>
      <w:r>
        <w:rPr>
          <w:rFonts w:ascii="Arial" w:cs="Arial" w:eastAsia="Arial" w:hAnsi="Arial"/>
          <w:sz w:val="18"/>
          <w:szCs w:val="18"/>
          <w:color w:val="auto"/>
        </w:rPr>
        <w:t>The Company made a $1.0 million upfront payment at execution of the January 2019 Agreement. In September 2020, the Company made a required $1.0 million clinical milestone payment associated with the first of two U.S. pivotal trials for the treatment of Demodex blepharitis. The Company recognized an additional $2.0 million expense for its second pivotal trial milestone in the three and six months ended June 30, 2021, which was paid in April 2021. These amounts are presented in the applicable period within "research and development" expense in the accompanying Statements of Operations and Comprehensive Income (Loss).</w:t>
      </w:r>
    </w:p>
    <w:p>
      <w:pPr>
        <w:spacing w:after="0" w:line="194" w:lineRule="exact"/>
        <w:rPr>
          <w:sz w:val="20"/>
          <w:szCs w:val="20"/>
          <w:color w:val="auto"/>
        </w:rPr>
      </w:pPr>
    </w:p>
    <w:p>
      <w:pPr>
        <w:ind w:right="120" w:firstLine="874"/>
        <w:spacing w:after="0" w:line="318" w:lineRule="auto"/>
        <w:rPr>
          <w:sz w:val="20"/>
          <w:szCs w:val="20"/>
          <w:color w:val="auto"/>
        </w:rPr>
      </w:pPr>
      <w:r>
        <w:rPr>
          <w:rFonts w:ascii="Arial" w:cs="Arial" w:eastAsia="Arial" w:hAnsi="Arial"/>
          <w:sz w:val="15"/>
          <w:szCs w:val="15"/>
          <w:color w:val="auto"/>
        </w:rPr>
        <w:t>The Company may make further cash payments to Elanco under this January 2019 Agreement upon the achievement of certain clinical milestones in the treatment of human skin diseases using lotilaner for an aggregate maximum of $3.0 million and various commercial and sales threshold milestones for an aggregate maximum of $79.0 million. In addition, the Company will be obligated to pay contractual royalties to Elanco in the single digits of its net sales. If the Company receives certain types of payments from its sublicensees, it will also be obligated to pay Elanco a variable percentage in the low to mid</w:t>
      </w:r>
    </w:p>
    <w:p>
      <w:pPr>
        <w:sectPr>
          <w:pgSz w:w="11900" w:h="16838" w:orient="portrait"/>
          <w:cols w:equalWidth="0" w:num="1">
            <w:col w:w="11340"/>
          </w:cols>
          <w:pgMar w:left="320" w:top="127" w:right="2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TARSUS PHARMACEUTICALS, INC.</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FINANCIAL STATEMENTS</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double-digits of such proceeds, except for territories in which the Company achieved applicable regulatory approval prior to sublicense execution.</w:t>
      </w:r>
    </w:p>
    <w:p>
      <w:pPr>
        <w:spacing w:after="0" w:line="229" w:lineRule="exact"/>
        <w:rPr>
          <w:sz w:val="20"/>
          <w:szCs w:val="20"/>
          <w:color w:val="auto"/>
        </w:rPr>
      </w:pPr>
    </w:p>
    <w:p>
      <w:pPr>
        <w:ind w:firstLine="874"/>
        <w:spacing w:after="0" w:line="264" w:lineRule="auto"/>
        <w:rPr>
          <w:sz w:val="20"/>
          <w:szCs w:val="20"/>
          <w:color w:val="auto"/>
        </w:rPr>
      </w:pPr>
      <w:r>
        <w:rPr>
          <w:rFonts w:ascii="Arial" w:cs="Arial" w:eastAsia="Arial" w:hAnsi="Arial"/>
          <w:sz w:val="18"/>
          <w:szCs w:val="18"/>
          <w:color w:val="auto"/>
        </w:rPr>
        <w:t xml:space="preserve">As part of the China Out-License discussed in </w:t>
      </w:r>
      <w:r>
        <w:rPr>
          <w:rFonts w:ascii="Arial" w:cs="Arial" w:eastAsia="Arial" w:hAnsi="Arial"/>
          <w:sz w:val="18"/>
          <w:szCs w:val="18"/>
          <w:i w:val="1"/>
          <w:iCs w:val="1"/>
          <w:color w:val="auto"/>
        </w:rPr>
        <w:t>Note 9</w:t>
      </w:r>
      <w:r>
        <w:rPr>
          <w:rFonts w:ascii="Arial" w:cs="Arial" w:eastAsia="Arial" w:hAnsi="Arial"/>
          <w:sz w:val="18"/>
          <w:szCs w:val="18"/>
          <w:color w:val="auto"/>
        </w:rPr>
        <w:t>, the Company made a required contractual payment in the amount of $2.5 million to Elanco as part of the receipt of $25 million of initial proceeds from LianBio during the three months ended June 30, 2021.</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Agreement for All Other Diseases or Conditions in Humans</w:t>
      </w:r>
    </w:p>
    <w:p>
      <w:pPr>
        <w:spacing w:after="0" w:line="244" w:lineRule="exact"/>
        <w:rPr>
          <w:sz w:val="20"/>
          <w:szCs w:val="20"/>
          <w:color w:val="auto"/>
        </w:rPr>
      </w:pPr>
    </w:p>
    <w:p>
      <w:pPr>
        <w:ind w:right="280" w:firstLine="874"/>
        <w:spacing w:after="0" w:line="236" w:lineRule="auto"/>
        <w:rPr>
          <w:sz w:val="20"/>
          <w:szCs w:val="20"/>
          <w:color w:val="auto"/>
        </w:rPr>
      </w:pPr>
      <w:r>
        <w:rPr>
          <w:rFonts w:ascii="Arial" w:cs="Arial" w:eastAsia="Arial" w:hAnsi="Arial"/>
          <w:sz w:val="18"/>
          <w:szCs w:val="18"/>
          <w:color w:val="auto"/>
        </w:rPr>
        <w:t>In September 2020, the Company executed an expanded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the “September 2020 Agreement”). The Company issued Elanco 222,460 shares of its common stock at the execution of the September 2020 Agreement. The value of these shares was $3.1 million ($14.0003 per share, approximating the issuance price of the Company's Series C preferred stock in September 2020).</w:t>
      </w:r>
    </w:p>
    <w:p>
      <w:pPr>
        <w:spacing w:after="0" w:line="215" w:lineRule="exact"/>
        <w:rPr>
          <w:sz w:val="20"/>
          <w:szCs w:val="20"/>
          <w:color w:val="auto"/>
        </w:rPr>
      </w:pPr>
    </w:p>
    <w:p>
      <w:pPr>
        <w:ind w:right="40" w:firstLine="874"/>
        <w:spacing w:after="0" w:line="252" w:lineRule="auto"/>
        <w:rPr>
          <w:sz w:val="20"/>
          <w:szCs w:val="20"/>
          <w:color w:val="auto"/>
        </w:rPr>
      </w:pPr>
      <w:r>
        <w:rPr>
          <w:rFonts w:ascii="Arial" w:cs="Arial" w:eastAsia="Arial" w:hAnsi="Arial"/>
          <w:sz w:val="17"/>
          <w:szCs w:val="17"/>
          <w:color w:val="auto"/>
        </w:rPr>
        <w:t>The Company is required to make further cash payments to Elanco under the September 2020 Agreement upon the achievement of various clinical milestones for an aggregate maximum of $4.5 million and various commercial and sales threshold milestones for an aggregate maximum of $77.0 million. In addition, the Company will be obligated to pay contractual royalties to Elanco in the single digits of its net sales. If the Company receives certain types of payments from its sublicensees, it will also be obligated to pay Elanco a variable percentage in the low to mid double-digits of such proceeds, except for territories in which the Company achieved applicable regulatory approval prior to sublicense execution.</w:t>
      </w:r>
    </w:p>
    <w:p>
      <w:pPr>
        <w:spacing w:after="0" w:line="206" w:lineRule="exact"/>
        <w:rPr>
          <w:sz w:val="20"/>
          <w:szCs w:val="20"/>
          <w:color w:val="auto"/>
        </w:rPr>
      </w:pPr>
    </w:p>
    <w:p>
      <w:pPr>
        <w:ind w:right="100" w:firstLine="874"/>
        <w:spacing w:after="0" w:line="294" w:lineRule="auto"/>
        <w:rPr>
          <w:sz w:val="20"/>
          <w:szCs w:val="20"/>
          <w:color w:val="auto"/>
        </w:rPr>
      </w:pPr>
      <w:r>
        <w:rPr>
          <w:rFonts w:ascii="Arial" w:cs="Arial" w:eastAsia="Arial" w:hAnsi="Arial"/>
          <w:sz w:val="15"/>
          <w:szCs w:val="15"/>
          <w:color w:val="auto"/>
        </w:rPr>
        <w:t xml:space="preserve">In March 2021, the Company entered into an out-license agreement with LianBio (see </w:t>
      </w:r>
      <w:r>
        <w:rPr>
          <w:rFonts w:ascii="Arial" w:cs="Arial" w:eastAsia="Arial" w:hAnsi="Arial"/>
          <w:sz w:val="15"/>
          <w:szCs w:val="15"/>
          <w:i w:val="1"/>
          <w:iCs w:val="1"/>
          <w:color w:val="auto"/>
        </w:rPr>
        <w:t>Note 9</w:t>
      </w:r>
      <w:r>
        <w:rPr>
          <w:rFonts w:ascii="Arial" w:cs="Arial" w:eastAsia="Arial" w:hAnsi="Arial"/>
          <w:sz w:val="15"/>
          <w:szCs w:val="15"/>
          <w:color w:val="auto"/>
        </w:rPr>
        <w:t>), which obligated it to grant Elanco an additional fixed 187,500 shares of the Company's common stock that were otherwise required to be granted no later than the 18-month anniversary of the September 2020 Agreement for the Company's continued license exclusivity. These additional shares were valued at $5.5 million based on the Company's stock closing price of $29.30 per share (on the date the issuance became contractually required) and is reported within "research and development" expense within the accompanying Statements of Operations and Comprehensive Income (Loss) for the three and six months ended June 30, 2021.</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Employment Agreements</w:t>
      </w:r>
    </w:p>
    <w:p>
      <w:pPr>
        <w:spacing w:after="0" w:line="223" w:lineRule="exact"/>
        <w:rPr>
          <w:sz w:val="20"/>
          <w:szCs w:val="20"/>
          <w:color w:val="auto"/>
        </w:rPr>
      </w:pPr>
    </w:p>
    <w:p>
      <w:pPr>
        <w:ind w:right="20" w:firstLine="874"/>
        <w:spacing w:after="0" w:line="255" w:lineRule="auto"/>
        <w:rPr>
          <w:sz w:val="20"/>
          <w:szCs w:val="20"/>
          <w:color w:val="auto"/>
        </w:rPr>
      </w:pPr>
      <w:r>
        <w:rPr>
          <w:rFonts w:ascii="Arial" w:cs="Arial" w:eastAsia="Arial" w:hAnsi="Arial"/>
          <w:sz w:val="18"/>
          <w:szCs w:val="18"/>
          <w:color w:val="auto"/>
        </w:rPr>
        <w:t>The Company has entered into employment agreements with six of its named executive officers. These agreements provide for the payment of certain benefits upon separation of employment under specified circumstances, such as termination without cause, or termination in connection with a change in control event.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Litigation Contingencies</w:t>
      </w:r>
    </w:p>
    <w:p>
      <w:pPr>
        <w:spacing w:after="0" w:line="223" w:lineRule="exact"/>
        <w:rPr>
          <w:sz w:val="20"/>
          <w:szCs w:val="20"/>
          <w:color w:val="auto"/>
        </w:rPr>
      </w:pPr>
    </w:p>
    <w:p>
      <w:pPr>
        <w:jc w:val="both"/>
        <w:ind w:firstLine="874"/>
        <w:spacing w:after="0" w:line="255" w:lineRule="auto"/>
        <w:rPr>
          <w:sz w:val="20"/>
          <w:szCs w:val="20"/>
          <w:color w:val="auto"/>
        </w:rPr>
      </w:pPr>
      <w:r>
        <w:rPr>
          <w:rFonts w:ascii="Arial" w:cs="Arial" w:eastAsia="Arial" w:hAnsi="Arial"/>
          <w:sz w:val="18"/>
          <w:szCs w:val="18"/>
          <w:color w:val="auto"/>
        </w:rPr>
        <w:t>From time to time, the Company may be subject to various litigation and related matters arising in the ordinary course of business. The Company is currently not aware of any such matters where there is at least a reasonable probability that a material loss, if any, has been or will be incurred for financial statement recognition.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Indemnities and Guarantees</w:t>
      </w:r>
    </w:p>
    <w:p>
      <w:pPr>
        <w:spacing w:after="0" w:line="223" w:lineRule="exact"/>
        <w:rPr>
          <w:sz w:val="20"/>
          <w:szCs w:val="20"/>
          <w:color w:val="auto"/>
        </w:rPr>
      </w:pPr>
    </w:p>
    <w:p>
      <w:pPr>
        <w:jc w:val="both"/>
        <w:ind w:right="180" w:firstLine="874"/>
        <w:spacing w:after="0" w:line="271" w:lineRule="auto"/>
        <w:rPr>
          <w:sz w:val="20"/>
          <w:szCs w:val="20"/>
          <w:color w:val="auto"/>
        </w:rPr>
      </w:pPr>
      <w:r>
        <w:rPr>
          <w:rFonts w:ascii="Arial" w:cs="Arial" w:eastAsia="Arial" w:hAnsi="Arial"/>
          <w:sz w:val="17"/>
          <w:szCs w:val="17"/>
          <w:color w:val="auto"/>
        </w:rPr>
        <w:t>The Company has certain indemnity commitments, under which it may be required to make payments to its officers and directors in relation to certain transactions to the maximum extent permitted under applicable laws. The duration of these indemnities varies, and in certain cases, is indefinite and does not provide for any limitation of maximum payments. The Company has not been obligated to make any such payments to date and no liabilities have been recorded for this contingency in the accompanying Condensed Balance Sheets.</w:t>
      </w: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OUT-LICENSE AGREEMENT</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Out-License of TP-03 Commercial Rights in Greater China in March 2021</w:t>
      </w:r>
    </w:p>
    <w:p>
      <w:pPr>
        <w:spacing w:after="0" w:line="244" w:lineRule="exact"/>
        <w:rPr>
          <w:sz w:val="20"/>
          <w:szCs w:val="20"/>
          <w:color w:val="auto"/>
        </w:rPr>
      </w:pPr>
    </w:p>
    <w:p>
      <w:pPr>
        <w:ind w:right="60" w:firstLine="999"/>
        <w:spacing w:after="0" w:line="237" w:lineRule="auto"/>
        <w:rPr>
          <w:sz w:val="20"/>
          <w:szCs w:val="20"/>
          <w:color w:val="auto"/>
        </w:rPr>
      </w:pPr>
      <w:r>
        <w:rPr>
          <w:rFonts w:ascii="Arial" w:cs="Arial" w:eastAsia="Arial" w:hAnsi="Arial"/>
          <w:sz w:val="18"/>
          <w:szCs w:val="18"/>
          <w:color w:val="auto"/>
        </w:rPr>
        <w:t>On March 26, 2021, the Company entered into an out-license agreement with LianBio for its exclusive development and commercialization rights of TP-03 (lotilaner ophthalmic solution, 0.25%) in the People’s Republic of China, Hong Kong, Macau, and Taiwan (the “China Territory”) for the treatment of Demodex blepharitis and Meibomian Gland Disease (the “China Out-License”). LianBio is contractually responsible for all clinical development and commercialization activities and costs within the China Territory.</w:t>
      </w:r>
    </w:p>
    <w:p>
      <w:pPr>
        <w:spacing w:after="0" w:line="216" w:lineRule="exact"/>
        <w:rPr>
          <w:sz w:val="20"/>
          <w:szCs w:val="20"/>
          <w:color w:val="auto"/>
        </w:rPr>
      </w:pPr>
    </w:p>
    <w:p>
      <w:pPr>
        <w:ind w:right="480" w:firstLine="954"/>
        <w:spacing w:after="0" w:line="249" w:lineRule="auto"/>
        <w:rPr>
          <w:sz w:val="20"/>
          <w:szCs w:val="20"/>
          <w:color w:val="auto"/>
        </w:rPr>
      </w:pPr>
      <w:r>
        <w:rPr>
          <w:rFonts w:ascii="Arial" w:cs="Arial" w:eastAsia="Arial" w:hAnsi="Arial"/>
          <w:sz w:val="18"/>
          <w:szCs w:val="18"/>
          <w:color w:val="auto"/>
        </w:rPr>
        <w:t>The Company received payments from LianBio of $15.0 million in April 2021 and $10.0 million in May 2021 as initial consideration, and $10.0 million in June 2021 for the achievement of a clinical development milestone.</w:t>
      </w:r>
    </w:p>
    <w:p>
      <w:pPr>
        <w:spacing w:after="0" w:line="207" w:lineRule="exact"/>
        <w:rPr>
          <w:sz w:val="20"/>
          <w:szCs w:val="20"/>
          <w:color w:val="auto"/>
        </w:rPr>
      </w:pPr>
    </w:p>
    <w:p>
      <w:pPr>
        <w:ind w:right="80" w:firstLine="954"/>
        <w:spacing w:after="0" w:line="280" w:lineRule="auto"/>
        <w:rPr>
          <w:sz w:val="20"/>
          <w:szCs w:val="20"/>
          <w:color w:val="auto"/>
        </w:rPr>
      </w:pPr>
      <w:r>
        <w:rPr>
          <w:rFonts w:ascii="Arial" w:cs="Arial" w:eastAsia="Arial" w:hAnsi="Arial"/>
          <w:sz w:val="15"/>
          <w:szCs w:val="15"/>
          <w:color w:val="auto"/>
        </w:rPr>
        <w:t>The Company also is eligible to receive other payments and consideration from LianBio upon achievement of certain additional milestones, including: (i) TP-03 clinical development and regulatory milestones of up to $65.0 million (including $20 million for the achievement of a clinical milestone in June 2021 that is presented within "accounts receivable" on the accompanying Condensed Balance Sheets), (ii) TP-03 sales-based milestones for the China Territory of up to $100.0 million, (iii) tiered mid-to-high-teen royalties for China Territory TP-03 sales, and (iv) equity warrants issued to the Company in March 2021 for purchase of LianBio equity securities, subject to TP-03 clinical/regulatory achievements for vesting.</w:t>
      </w:r>
    </w:p>
    <w:p>
      <w:pPr>
        <w:spacing w:after="0" w:line="2" w:lineRule="exact"/>
        <w:rPr>
          <w:sz w:val="20"/>
          <w:szCs w:val="20"/>
          <w:color w:val="auto"/>
        </w:rPr>
      </w:pPr>
    </w:p>
    <w:p>
      <w:pPr>
        <w:ind w:firstLine="954"/>
        <w:spacing w:after="0" w:line="312" w:lineRule="auto"/>
        <w:rPr>
          <w:sz w:val="20"/>
          <w:szCs w:val="20"/>
          <w:color w:val="auto"/>
        </w:rPr>
      </w:pPr>
      <w:r>
        <w:rPr>
          <w:rFonts w:ascii="Arial" w:cs="Arial" w:eastAsia="Arial" w:hAnsi="Arial"/>
          <w:sz w:val="15"/>
          <w:szCs w:val="15"/>
          <w:color w:val="auto"/>
        </w:rPr>
        <w:t xml:space="preserve">The Company recognized "license fees" and "collaboration revenue" for the three months ended June 30, 2021 of $19.0 million and $3.0 million, respectively, in the accompanying Condensed Statements of Operations and Comprehensive Income (Loss), in accordance with the revenue recognition accounting policy described in </w:t>
      </w:r>
      <w:r>
        <w:rPr>
          <w:rFonts w:ascii="Arial" w:cs="Arial" w:eastAsia="Arial" w:hAnsi="Arial"/>
          <w:sz w:val="15"/>
          <w:szCs w:val="15"/>
          <w:i w:val="1"/>
          <w:iCs w:val="1"/>
          <w:color w:val="auto"/>
        </w:rPr>
        <w:t>Note 2(vi).</w:t>
      </w:r>
      <w:r>
        <w:rPr>
          <w:rFonts w:ascii="Arial" w:cs="Arial" w:eastAsia="Arial" w:hAnsi="Arial"/>
          <w:sz w:val="15"/>
          <w:szCs w:val="15"/>
          <w:color w:val="auto"/>
        </w:rPr>
        <w:t xml:space="preserve"> These amounts represent separately valued "performance obligations" in the China Out-License</w:t>
      </w:r>
      <w:r>
        <w:rPr>
          <w:rFonts w:ascii="Arial" w:cs="Arial" w:eastAsia="Arial" w:hAnsi="Arial"/>
          <w:sz w:val="15"/>
          <w:szCs w:val="15"/>
          <w:i w:val="1"/>
          <w:iCs w:val="1"/>
          <w:color w:val="auto"/>
        </w:rPr>
        <w:t>.</w:t>
      </w:r>
      <w:r>
        <w:rPr>
          <w:rFonts w:ascii="Arial" w:cs="Arial" w:eastAsia="Arial" w:hAnsi="Arial"/>
          <w:sz w:val="15"/>
          <w:szCs w:val="15"/>
          <w:color w:val="auto"/>
        </w:rPr>
        <w:t xml:space="preserve"> For the six months ended June 30, 2021, the Company recognized $52.4 million and $3.1 million, respectively, for "license fees" and "collaboration revenue".</w:t>
      </w:r>
    </w:p>
    <w:p>
      <w:pPr>
        <w:spacing w:after="0" w:line="176" w:lineRule="exact"/>
        <w:rPr>
          <w:sz w:val="20"/>
          <w:szCs w:val="20"/>
          <w:color w:val="auto"/>
        </w:rPr>
      </w:pPr>
    </w:p>
    <w:p>
      <w:pPr>
        <w:ind w:right="60" w:firstLine="954"/>
        <w:spacing w:after="0" w:line="250" w:lineRule="auto"/>
        <w:rPr>
          <w:sz w:val="20"/>
          <w:szCs w:val="20"/>
          <w:color w:val="auto"/>
        </w:rPr>
      </w:pPr>
      <w:r>
        <w:rPr>
          <w:rFonts w:ascii="Arial" w:cs="Arial" w:eastAsia="Arial" w:hAnsi="Arial"/>
          <w:sz w:val="18"/>
          <w:szCs w:val="18"/>
          <w:color w:val="auto"/>
        </w:rPr>
        <w:t>These revenue amounts were each recognized upon (i) the transfer of TP-03 license rights in the China Territory to LianBio and (ii) the actual or partial completion of clinical activities and related data for the Company's pivotal trials of TP-03 in the treatment of Demodex blepharitis (each representing separately valued "performance obligations" in the China Out-License). As part of this revenue recognition model, the Company was required to value the LianBio equity warrant, applying a discounted cash flow model with highly subjective inputs for this pre-revenue company, and to also consider the probability of achievement of requisite vesting events.</w:t>
      </w:r>
    </w:p>
    <w:p>
      <w:pPr>
        <w:spacing w:after="0" w:line="220" w:lineRule="exact"/>
        <w:rPr>
          <w:sz w:val="20"/>
          <w:szCs w:val="20"/>
          <w:color w:val="auto"/>
        </w:rPr>
      </w:pPr>
    </w:p>
    <w:p>
      <w:pPr>
        <w:ind w:right="40" w:firstLine="954"/>
        <w:spacing w:after="0" w:line="255" w:lineRule="auto"/>
        <w:rPr>
          <w:sz w:val="20"/>
          <w:szCs w:val="20"/>
          <w:color w:val="auto"/>
        </w:rPr>
      </w:pPr>
      <w:r>
        <w:rPr>
          <w:rFonts w:ascii="Arial" w:cs="Arial" w:eastAsia="Arial" w:hAnsi="Arial"/>
          <w:sz w:val="18"/>
          <w:szCs w:val="18"/>
          <w:color w:val="auto"/>
        </w:rPr>
        <w:t>In future periods, the Company may recognize additional revenue from contractual receipts due from LianBio as (1) performance obligations are satisfied related to the completion of the TP-03 pivotal trial and as associated clinical data and reports are delivered, (2) regulatory approval events are achieved, and (3) LianBio has sales of TP-03 in the China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3" w:lineRule="exact"/>
        <w:rPr>
          <w:sz w:val="20"/>
          <w:szCs w:val="20"/>
          <w:color w:val="auto"/>
        </w:rPr>
      </w:pPr>
    </w:p>
    <w:p>
      <w:pPr>
        <w:ind w:right="140" w:firstLine="874"/>
        <w:spacing w:after="0" w:line="309" w:lineRule="auto"/>
        <w:rPr>
          <w:sz w:val="20"/>
          <w:szCs w:val="20"/>
          <w:color w:val="auto"/>
        </w:rPr>
      </w:pPr>
      <w:r>
        <w:rPr>
          <w:rFonts w:ascii="Arial" w:cs="Arial" w:eastAsia="Arial" w:hAnsi="Arial"/>
          <w:sz w:val="15"/>
          <w:szCs w:val="15"/>
          <w:color w:val="auto"/>
        </w:rPr>
        <w:t>This Quarterly Report on Form 10-Q contains certain forward-looking statements. All statements other than statements of historical facts contained in this report, including statements regarding our future results of operations and financial position, future revenue, business strategy, prospects,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52" w:lineRule="exact"/>
        <w:rPr>
          <w:sz w:val="20"/>
          <w:szCs w:val="20"/>
          <w:color w:val="auto"/>
        </w:rPr>
      </w:pPr>
    </w:p>
    <w:p>
      <w:pPr>
        <w:ind w:firstLine="874"/>
        <w:spacing w:after="0" w:line="255" w:lineRule="auto"/>
        <w:rPr>
          <w:sz w:val="20"/>
          <w:szCs w:val="20"/>
          <w:color w:val="auto"/>
        </w:rPr>
      </w:pPr>
      <w:r>
        <w:rPr>
          <w:rFonts w:ascii="Arial" w:cs="Arial" w:eastAsia="Arial" w:hAnsi="Arial"/>
          <w:sz w:val="18"/>
          <w:szCs w:val="18"/>
          <w:color w:val="auto"/>
        </w:rPr>
        <w:t>The words “anticipate,” “believe,” contemplate,” “continue,” “could,” “estimate,” “expect,” “intend,” “may,” “might,” “plan,” “potential,” “predict,” “project,” “should,” “target,” “will,” or “would,” or the negative of these terms or other similar expressions are intended to identify forward looking statements. Forward-looking statements contained in this report include, but are not limited to, statements about:</w:t>
      </w:r>
    </w:p>
    <w:p>
      <w:pPr>
        <w:spacing w:after="0" w:line="29" w:lineRule="exact"/>
        <w:rPr>
          <w:sz w:val="20"/>
          <w:szCs w:val="20"/>
          <w:color w:val="auto"/>
        </w:rPr>
      </w:pPr>
    </w:p>
    <w:p>
      <w:pPr>
        <w:ind w:left="1000" w:hanging="31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likelihood of our clinical trials demonstrating safety and efficacy of our product candidates, and other positive results;</w:t>
      </w:r>
    </w:p>
    <w:p>
      <w:pPr>
        <w:spacing w:after="0" w:line="58" w:lineRule="exact"/>
        <w:rPr>
          <w:rFonts w:ascii="Arial" w:cs="Arial" w:eastAsia="Arial" w:hAnsi="Arial"/>
          <w:sz w:val="18"/>
          <w:szCs w:val="18"/>
          <w:color w:val="auto"/>
        </w:rPr>
      </w:pPr>
    </w:p>
    <w:p>
      <w:pPr>
        <w:ind w:left="1000" w:right="500" w:hanging="318"/>
        <w:spacing w:after="0" w:line="264" w:lineRule="auto"/>
        <w:tabs>
          <w:tab w:leader="none" w:pos="9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progress of our current clinical trials and timing of initiation of our future clinical trials, and the reporting of data from our current and future trials;</w:t>
      </w:r>
    </w:p>
    <w:p>
      <w:pPr>
        <w:spacing w:after="0" w:line="21" w:lineRule="exact"/>
        <w:rPr>
          <w:rFonts w:ascii="Arial" w:cs="Arial" w:eastAsia="Arial" w:hAnsi="Arial"/>
          <w:sz w:val="18"/>
          <w:szCs w:val="18"/>
          <w:color w:val="auto"/>
        </w:rPr>
      </w:pPr>
    </w:p>
    <w:p>
      <w:pPr>
        <w:ind w:left="1000" w:right="240" w:hanging="318"/>
        <w:spacing w:after="0" w:line="264" w:lineRule="auto"/>
        <w:tabs>
          <w:tab w:leader="none" w:pos="99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relating to the clinical development of our current and future product candidates, including the size, number and disease areas to be evaluated;</w:t>
      </w:r>
    </w:p>
    <w:p>
      <w:pPr>
        <w:spacing w:after="0" w:line="21" w:lineRule="exact"/>
        <w:rPr>
          <w:rFonts w:ascii="Arial" w:cs="Arial" w:eastAsia="Arial" w:hAnsi="Arial"/>
          <w:sz w:val="18"/>
          <w:szCs w:val="18"/>
          <w:color w:val="auto"/>
        </w:rPr>
      </w:pPr>
    </w:p>
    <w:p>
      <w:pPr>
        <w:ind w:left="1000" w:hanging="31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prevalence of Demodex blepharitis and the size of the market opportunity for our product candidates;</w:t>
      </w:r>
    </w:p>
    <w:p>
      <w:pPr>
        <w:spacing w:after="0" w:line="58" w:lineRule="exact"/>
        <w:rPr>
          <w:rFonts w:ascii="Arial" w:cs="Arial" w:eastAsia="Arial" w:hAnsi="Arial"/>
          <w:sz w:val="18"/>
          <w:szCs w:val="18"/>
          <w:color w:val="auto"/>
        </w:rPr>
      </w:pPr>
    </w:p>
    <w:p>
      <w:pPr>
        <w:ind w:left="1000" w:hanging="31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w:t>
      </w:r>
    </w:p>
    <w:p>
      <w:pPr>
        <w:spacing w:after="0" w:line="58" w:lineRule="exact"/>
        <w:rPr>
          <w:rFonts w:ascii="Arial" w:cs="Arial" w:eastAsia="Arial" w:hAnsi="Arial"/>
          <w:sz w:val="18"/>
          <w:szCs w:val="18"/>
          <w:color w:val="auto"/>
        </w:rPr>
      </w:pPr>
    </w:p>
    <w:p>
      <w:pPr>
        <w:ind w:left="1000" w:hanging="31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 including sales strategy;</w:t>
      </w:r>
    </w:p>
    <w:p>
      <w:pPr>
        <w:spacing w:after="0" w:line="58" w:lineRule="exact"/>
        <w:rPr>
          <w:rFonts w:ascii="Arial" w:cs="Arial" w:eastAsia="Arial" w:hAnsi="Arial"/>
          <w:sz w:val="18"/>
          <w:szCs w:val="18"/>
          <w:color w:val="auto"/>
        </w:rPr>
      </w:pPr>
    </w:p>
    <w:p>
      <w:pPr>
        <w:ind w:left="1000" w:hanging="31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COVID-19 on our business and operations;</w:t>
      </w:r>
    </w:p>
    <w:p>
      <w:pPr>
        <w:spacing w:after="0" w:line="58" w:lineRule="exact"/>
        <w:rPr>
          <w:rFonts w:ascii="Arial" w:cs="Arial" w:eastAsia="Arial" w:hAnsi="Arial"/>
          <w:sz w:val="18"/>
          <w:szCs w:val="18"/>
          <w:color w:val="auto"/>
        </w:rPr>
      </w:pPr>
    </w:p>
    <w:p>
      <w:pPr>
        <w:ind w:left="1000" w:hanging="31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58" w:lineRule="exact"/>
        <w:rPr>
          <w:rFonts w:ascii="Arial" w:cs="Arial" w:eastAsia="Arial" w:hAnsi="Arial"/>
          <w:sz w:val="18"/>
          <w:szCs w:val="18"/>
          <w:color w:val="auto"/>
        </w:rPr>
      </w:pPr>
    </w:p>
    <w:p>
      <w:pPr>
        <w:ind w:left="1000" w:right="80" w:hanging="318"/>
        <w:spacing w:after="0" w:line="292" w:lineRule="auto"/>
        <w:tabs>
          <w:tab w:leader="none" w:pos="995"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estimates of the number of patients in the United States or globally, as applicable, who suffer from Demodex blepharitis, Meibomian Gland Disease ("MGD"), rosacea, Lyme disease and malaria and the number of patients that will enroll in our clinical trials;</w:t>
      </w:r>
    </w:p>
    <w:p>
      <w:pPr>
        <w:spacing w:after="0" w:line="1" w:lineRule="exact"/>
        <w:rPr>
          <w:rFonts w:ascii="Arial" w:cs="Arial" w:eastAsia="Arial" w:hAnsi="Arial"/>
          <w:sz w:val="17"/>
          <w:szCs w:val="17"/>
          <w:color w:val="auto"/>
        </w:rPr>
      </w:pPr>
    </w:p>
    <w:p>
      <w:pPr>
        <w:ind w:left="1000" w:hanging="31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beneficial characteristics, safety, efficacy, therapeutic effects and potential advantages of our product candidates;</w:t>
      </w:r>
    </w:p>
    <w:p>
      <w:pPr>
        <w:spacing w:after="0" w:line="58" w:lineRule="exact"/>
        <w:rPr>
          <w:rFonts w:ascii="Arial" w:cs="Arial" w:eastAsia="Arial" w:hAnsi="Arial"/>
          <w:sz w:val="18"/>
          <w:szCs w:val="18"/>
          <w:color w:val="auto"/>
        </w:rPr>
      </w:pPr>
    </w:p>
    <w:p>
      <w:pPr>
        <w:ind w:left="1000" w:hanging="31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 for our product candidates;</w:t>
      </w:r>
    </w:p>
    <w:p>
      <w:pPr>
        <w:spacing w:after="0" w:line="58" w:lineRule="exact"/>
        <w:rPr>
          <w:rFonts w:ascii="Arial" w:cs="Arial" w:eastAsia="Arial" w:hAnsi="Arial"/>
          <w:sz w:val="18"/>
          <w:szCs w:val="18"/>
          <w:color w:val="auto"/>
        </w:rPr>
      </w:pPr>
    </w:p>
    <w:p>
      <w:pPr>
        <w:ind w:left="1000" w:right="20" w:hanging="318"/>
        <w:spacing w:after="0" w:line="264" w:lineRule="auto"/>
        <w:tabs>
          <w:tab w:leader="none" w:pos="99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our product candidates to meet existing or future regulatory standards;</w:t>
      </w:r>
    </w:p>
    <w:p>
      <w:pPr>
        <w:spacing w:after="0" w:line="21" w:lineRule="exact"/>
        <w:rPr>
          <w:rFonts w:ascii="Arial" w:cs="Arial" w:eastAsia="Arial" w:hAnsi="Arial"/>
          <w:sz w:val="18"/>
          <w:szCs w:val="18"/>
          <w:color w:val="auto"/>
        </w:rPr>
      </w:pPr>
    </w:p>
    <w:p>
      <w:pPr>
        <w:ind w:left="1000" w:right="180" w:hanging="318"/>
        <w:spacing w:after="0" w:line="264" w:lineRule="auto"/>
        <w:tabs>
          <w:tab w:leader="none" w:pos="99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for which we may pursue;</w:t>
      </w:r>
    </w:p>
    <w:p>
      <w:pPr>
        <w:spacing w:after="0" w:line="21" w:lineRule="exact"/>
        <w:rPr>
          <w:rFonts w:ascii="Arial" w:cs="Arial" w:eastAsia="Arial" w:hAnsi="Arial"/>
          <w:sz w:val="18"/>
          <w:szCs w:val="18"/>
          <w:color w:val="auto"/>
        </w:rPr>
      </w:pPr>
    </w:p>
    <w:p>
      <w:pPr>
        <w:ind w:left="1000" w:right="100" w:hanging="318"/>
        <w:spacing w:after="0" w:line="264" w:lineRule="auto"/>
        <w:tabs>
          <w:tab w:leader="none" w:pos="99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21" w:lineRule="exact"/>
        <w:rPr>
          <w:rFonts w:ascii="Arial" w:cs="Arial" w:eastAsia="Arial" w:hAnsi="Arial"/>
          <w:sz w:val="18"/>
          <w:szCs w:val="18"/>
          <w:color w:val="auto"/>
        </w:rPr>
      </w:pPr>
    </w:p>
    <w:p>
      <w:pPr>
        <w:jc w:val="both"/>
        <w:ind w:left="1000" w:right="200" w:hanging="318"/>
        <w:spacing w:after="0" w:line="319" w:lineRule="auto"/>
        <w:tabs>
          <w:tab w:leader="none" w:pos="995"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expected potential benefits of strategic collaborations with third parties (including, for example, the receipt of payments, achievement and timing of milestones under license agreements, and the ability of our third party collaborators to commercialize our product candidates in the territories under license) and our ability to attract collaborators with development, regulatory and commercialization expertise;</w:t>
      </w:r>
    </w:p>
    <w:p>
      <w:pPr>
        <w:spacing w:after="0" w:line="1" w:lineRule="exact"/>
        <w:rPr>
          <w:rFonts w:ascii="Arial" w:cs="Arial" w:eastAsia="Arial" w:hAnsi="Arial"/>
          <w:sz w:val="15"/>
          <w:szCs w:val="15"/>
          <w:color w:val="auto"/>
        </w:rPr>
      </w:pPr>
    </w:p>
    <w:p>
      <w:pPr>
        <w:ind w:left="1000" w:hanging="31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58" w:lineRule="exact"/>
        <w:rPr>
          <w:rFonts w:ascii="Arial" w:cs="Arial" w:eastAsia="Arial" w:hAnsi="Arial"/>
          <w:sz w:val="18"/>
          <w:szCs w:val="18"/>
          <w:color w:val="auto"/>
        </w:rPr>
      </w:pPr>
    </w:p>
    <w:p>
      <w:pPr>
        <w:ind w:left="1000" w:hanging="318"/>
        <w:spacing w:after="0"/>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69" w:lineRule="exact"/>
        <w:rPr>
          <w:rFonts w:ascii="Arial" w:cs="Arial" w:eastAsia="Arial" w:hAnsi="Arial"/>
          <w:sz w:val="17"/>
          <w:szCs w:val="17"/>
          <w:color w:val="auto"/>
        </w:rPr>
      </w:pPr>
    </w:p>
    <w:p>
      <w:pPr>
        <w:ind w:left="1000" w:right="340" w:hanging="318"/>
        <w:spacing w:after="0" w:line="264" w:lineRule="auto"/>
        <w:tabs>
          <w:tab w:leader="none" w:pos="99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21" w:lineRule="exact"/>
        <w:rPr>
          <w:rFonts w:ascii="Arial" w:cs="Arial" w:eastAsia="Arial" w:hAnsi="Arial"/>
          <w:sz w:val="18"/>
          <w:szCs w:val="18"/>
          <w:color w:val="auto"/>
        </w:rPr>
      </w:pPr>
    </w:p>
    <w:p>
      <w:pPr>
        <w:ind w:left="1000" w:hanging="31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hire additional personnel, in particular sales personnel, and our ability to attract and retain such personnel;</w:t>
      </w:r>
    </w:p>
    <w:p>
      <w:pPr>
        <w:spacing w:after="0" w:line="58" w:lineRule="exact"/>
        <w:rPr>
          <w:rFonts w:ascii="Arial" w:cs="Arial" w:eastAsia="Arial" w:hAnsi="Arial"/>
          <w:sz w:val="18"/>
          <w:szCs w:val="18"/>
          <w:color w:val="auto"/>
        </w:rPr>
      </w:pPr>
    </w:p>
    <w:p>
      <w:pPr>
        <w:ind w:left="1000" w:hanging="31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00" w:hanging="31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58" w:lineRule="exact"/>
        <w:rPr>
          <w:rFonts w:ascii="Arial" w:cs="Arial" w:eastAsia="Arial" w:hAnsi="Arial"/>
          <w:sz w:val="18"/>
          <w:szCs w:val="18"/>
          <w:color w:val="auto"/>
        </w:rPr>
      </w:pPr>
    </w:p>
    <w:p>
      <w:pPr>
        <w:ind w:left="1000" w:hanging="31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sufficiency of our existing capital resources to fund our future operating expenses and capital expenditure requirements;</w:t>
      </w:r>
    </w:p>
    <w:p>
      <w:pPr>
        <w:spacing w:after="0" w:line="58" w:lineRule="exact"/>
        <w:rPr>
          <w:rFonts w:ascii="Arial" w:cs="Arial" w:eastAsia="Arial" w:hAnsi="Arial"/>
          <w:sz w:val="18"/>
          <w:szCs w:val="18"/>
          <w:color w:val="auto"/>
        </w:rPr>
      </w:pPr>
    </w:p>
    <w:p>
      <w:pPr>
        <w:ind w:left="1000" w:hanging="31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58" w:lineRule="exact"/>
        <w:rPr>
          <w:rFonts w:ascii="Arial" w:cs="Arial" w:eastAsia="Arial" w:hAnsi="Arial"/>
          <w:sz w:val="18"/>
          <w:szCs w:val="18"/>
          <w:color w:val="auto"/>
        </w:rPr>
      </w:pPr>
    </w:p>
    <w:p>
      <w:pPr>
        <w:ind w:left="1000" w:hanging="31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 and</w:t>
      </w:r>
    </w:p>
    <w:p>
      <w:pPr>
        <w:spacing w:after="0" w:line="58" w:lineRule="exact"/>
        <w:rPr>
          <w:rFonts w:ascii="Arial" w:cs="Arial" w:eastAsia="Arial" w:hAnsi="Arial"/>
          <w:sz w:val="18"/>
          <w:szCs w:val="18"/>
          <w:color w:val="auto"/>
        </w:rPr>
      </w:pPr>
    </w:p>
    <w:p>
      <w:pPr>
        <w:ind w:left="1000" w:hanging="31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anticipated use of our existing resources and the proceeds from our IPO.</w:t>
      </w:r>
    </w:p>
    <w:p>
      <w:pPr>
        <w:spacing w:after="0" w:line="217" w:lineRule="exact"/>
        <w:rPr>
          <w:sz w:val="20"/>
          <w:szCs w:val="20"/>
          <w:color w:val="auto"/>
        </w:rPr>
      </w:pPr>
    </w:p>
    <w:p>
      <w:pPr>
        <w:ind w:firstLine="874"/>
        <w:spacing w:after="0" w:line="267"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the section titled “Risk Factors” elsewhere in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79" w:lineRule="exact"/>
        <w:rPr>
          <w:sz w:val="20"/>
          <w:szCs w:val="20"/>
          <w:color w:val="auto"/>
        </w:rPr>
      </w:pPr>
    </w:p>
    <w:p>
      <w:pPr>
        <w:ind w:right="40" w:firstLine="874"/>
        <w:spacing w:after="0" w:line="312" w:lineRule="auto"/>
        <w:rPr>
          <w:sz w:val="20"/>
          <w:szCs w:val="20"/>
          <w:color w:val="auto"/>
        </w:rPr>
      </w:pPr>
      <w:r>
        <w:rPr>
          <w:rFonts w:ascii="Arial" w:cs="Arial" w:eastAsia="Arial" w:hAnsi="Arial"/>
          <w:sz w:val="15"/>
          <w:szCs w:val="15"/>
          <w:color w:val="auto"/>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w:t>
      </w:r>
    </w:p>
    <w:p>
      <w:pPr>
        <w:spacing w:after="0" w:line="151" w:lineRule="exact"/>
        <w:rPr>
          <w:sz w:val="20"/>
          <w:szCs w:val="20"/>
          <w:color w:val="auto"/>
        </w:rPr>
      </w:pPr>
    </w:p>
    <w:p>
      <w:pPr>
        <w:ind w:right="300" w:firstLine="874"/>
        <w:spacing w:after="0" w:line="365" w:lineRule="auto"/>
        <w:rPr>
          <w:sz w:val="20"/>
          <w:szCs w:val="20"/>
          <w:color w:val="auto"/>
        </w:rPr>
      </w:pPr>
      <w:r>
        <w:rPr>
          <w:rFonts w:ascii="Arial" w:cs="Arial" w:eastAsia="Arial" w:hAnsi="Arial"/>
          <w:sz w:val="15"/>
          <w:szCs w:val="15"/>
          <w:color w:val="auto"/>
        </w:rPr>
        <w:t>You should read this report and the documents that we reference in this report and have filed with the SEC as exhibits to this report with the understanding that our actual future results, levels of activity, performance and events and circumstances may be materially different from what we expect.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Business</w:t>
      </w:r>
    </w:p>
    <w:p>
      <w:pPr>
        <w:spacing w:after="0" w:line="223" w:lineRule="exact"/>
        <w:rPr>
          <w:sz w:val="20"/>
          <w:szCs w:val="20"/>
          <w:color w:val="auto"/>
        </w:rPr>
      </w:pPr>
    </w:p>
    <w:p>
      <w:pPr>
        <w:ind w:right="120" w:firstLine="874"/>
        <w:spacing w:after="0" w:line="248" w:lineRule="auto"/>
        <w:rPr>
          <w:sz w:val="20"/>
          <w:szCs w:val="20"/>
          <w:color w:val="auto"/>
        </w:rPr>
      </w:pPr>
      <w:r>
        <w:rPr>
          <w:rFonts w:ascii="Arial" w:cs="Arial" w:eastAsia="Arial" w:hAnsi="Arial"/>
          <w:sz w:val="18"/>
          <w:szCs w:val="18"/>
          <w:color w:val="auto"/>
        </w:rPr>
        <w:t>We are a late clinical-stage biopharmaceutical company focused on the development and commercialization of therapeutic candidates to address large market opportunities initially in ophthalmic conditions where there are limited treatment alternatives. Our lead product candidate, TP-03, is a novel therapeutic in Phase 3 that is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The healthy interaction of the eyelid and the surface of the eye is crucial to ocular health. Poorly controlled and progressive blepharitis can lead to worsening of corneal damage over time and, in extreme cases, blindness.</w:t>
      </w:r>
    </w:p>
    <w:p>
      <w:pPr>
        <w:spacing w:after="0" w:line="199" w:lineRule="exact"/>
        <w:rPr>
          <w:sz w:val="20"/>
          <w:szCs w:val="20"/>
          <w:color w:val="auto"/>
        </w:rPr>
      </w:pPr>
    </w:p>
    <w:p>
      <w:pPr>
        <w:ind w:right="20" w:firstLine="874"/>
        <w:spacing w:after="0" w:line="271" w:lineRule="auto"/>
        <w:rPr>
          <w:sz w:val="20"/>
          <w:szCs w:val="20"/>
          <w:color w:val="auto"/>
        </w:rPr>
      </w:pPr>
      <w:r>
        <w:rPr>
          <w:rFonts w:ascii="Arial" w:cs="Arial" w:eastAsia="Arial" w:hAnsi="Arial"/>
          <w:sz w:val="17"/>
          <w:szCs w:val="17"/>
          <w:color w:val="auto"/>
        </w:rPr>
        <w:t>According to published studies, there are an estimated 20 million patients in the United States who suffer from blepharitis, with approximately 45% or nine million of cases caused by Demodex infestation. Further, our estimates indicate the possible number of Demodex blepharitis cases may be as high as approximately 25 million, based on our internal research indicating approximately 58% of patients presenting to eye care clinics have collarettes and a published study estimating that at least 45 million people annually visit an eye care clinic.</w:t>
      </w:r>
    </w:p>
    <w:p>
      <w:pPr>
        <w:spacing w:after="0" w:line="204" w:lineRule="exact"/>
        <w:rPr>
          <w:sz w:val="20"/>
          <w:szCs w:val="20"/>
          <w:color w:val="auto"/>
        </w:rPr>
      </w:pPr>
    </w:p>
    <w:p>
      <w:pPr>
        <w:jc w:val="both"/>
        <w:ind w:right="180" w:firstLine="874"/>
        <w:spacing w:after="0" w:line="311" w:lineRule="auto"/>
        <w:rPr>
          <w:sz w:val="20"/>
          <w:szCs w:val="20"/>
          <w:color w:val="auto"/>
        </w:rPr>
      </w:pPr>
      <w:r>
        <w:rPr>
          <w:rFonts w:ascii="Arial" w:cs="Arial" w:eastAsia="Arial" w:hAnsi="Arial"/>
          <w:sz w:val="15"/>
          <w:szCs w:val="15"/>
          <w:color w:val="auto"/>
        </w:rPr>
        <w:t>We believe that TP-03 has the potential to be the first therapeutic approved by the United States Food and Drug Administration ("FDA") for the treatment of Demodex blepharitis and become the standard of care. The active pharmaceutical ingredient ("API") of TP-03, lotilaner, is designed to paralyze and eradicate mites and other parasites through the inhibition of parasite-specific gamma-aminobutyric acid-gated chloride ("GABA-Cl") channels.</w:t>
      </w:r>
    </w:p>
    <w:p>
      <w:pPr>
        <w:spacing w:after="0" w:line="164" w:lineRule="exact"/>
        <w:rPr>
          <w:sz w:val="20"/>
          <w:szCs w:val="20"/>
          <w:color w:val="auto"/>
        </w:rPr>
      </w:pPr>
    </w:p>
    <w:p>
      <w:pPr>
        <w:ind w:right="140" w:firstLine="874"/>
        <w:spacing w:after="0" w:line="236" w:lineRule="auto"/>
        <w:rPr>
          <w:sz w:val="20"/>
          <w:szCs w:val="20"/>
          <w:color w:val="auto"/>
        </w:rPr>
      </w:pPr>
      <w:r>
        <w:rPr>
          <w:rFonts w:ascii="Arial" w:cs="Arial" w:eastAsia="Arial" w:hAnsi="Arial"/>
          <w:sz w:val="18"/>
          <w:szCs w:val="18"/>
          <w:color w:val="auto"/>
        </w:rPr>
        <w:t>To date, we have completed four Phase 2 trials and one Phase 2b/3 trial for TP-03 in Demodex blepharitis, all of which met their primary, secondary and/or exploratory endpoints, as applicable, and during which TP-03 was well tolerated. Our Phase 2b/3 trial, Saturn-1, met all pre-specified primary and secondary endpoints, as announced in June 2021. We commenced our second pivotal trial, Saturn-2, in May 2021. Saturn-2 has primary and secondary endpoints consistent with Saturn-1. These TP-03 pivotal trials are expected to support our submission of a new drug application ("NDA") with the FDA for TP-03 for the treatment of Demodex blepharitis during the first half of 2022.</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ind w:right="400" w:firstLine="874"/>
        <w:spacing w:after="0" w:line="311" w:lineRule="auto"/>
        <w:rPr>
          <w:sz w:val="20"/>
          <w:szCs w:val="20"/>
          <w:color w:val="auto"/>
        </w:rPr>
      </w:pPr>
      <w:r>
        <w:rPr>
          <w:rFonts w:ascii="Arial" w:cs="Arial" w:eastAsia="Arial" w:hAnsi="Arial"/>
          <w:sz w:val="15"/>
          <w:szCs w:val="15"/>
          <w:color w:val="auto"/>
        </w:rPr>
        <w:t>We intend to further advance our pipeline with the lotilaner API to address several diseases across therapeutic categories in human medicine, including eye care, dermatology, and other diseases. These targeted diseases with high unmet medical needs currently include TP-03 for the treatment of MGD, TP-04 for the potential treatment of rosacea and TP-05 for the potential Lyme disease prophylaxis and community malaria reduction.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and Clinical Highlights</w:t>
      </w:r>
    </w:p>
    <w:p>
      <w:pPr>
        <w:spacing w:after="0" w:line="217" w:lineRule="exact"/>
        <w:rPr>
          <w:sz w:val="20"/>
          <w:szCs w:val="20"/>
          <w:color w:val="auto"/>
        </w:rPr>
      </w:pPr>
    </w:p>
    <w:p>
      <w:pPr>
        <w:jc w:val="both"/>
        <w:ind w:right="180" w:firstLine="874"/>
        <w:spacing w:after="0" w:line="232" w:lineRule="auto"/>
        <w:rPr>
          <w:sz w:val="20"/>
          <w:szCs w:val="20"/>
          <w:color w:val="auto"/>
        </w:rPr>
      </w:pPr>
      <w:r>
        <w:rPr>
          <w:rFonts w:ascii="Arial" w:cs="Arial" w:eastAsia="Arial" w:hAnsi="Arial"/>
          <w:sz w:val="18"/>
          <w:szCs w:val="18"/>
          <w:b w:val="1"/>
          <w:bCs w:val="1"/>
          <w:u w:val="single" w:color="auto"/>
          <w:color w:val="auto"/>
        </w:rPr>
        <w:t>TP-03 Demodex Blepharitis Pivotal Trials, Saturn-1 &amp; Saturn-2</w:t>
      </w:r>
      <w:r>
        <w:rPr>
          <w:rFonts w:ascii="Arial" w:cs="Arial" w:eastAsia="Arial" w:hAnsi="Arial"/>
          <w:sz w:val="18"/>
          <w:szCs w:val="18"/>
          <w:color w:val="auto"/>
        </w:rPr>
        <w:t>: On June 21, 2021, we announced positive results of the pivotal Phase 2b/3</w:t>
      </w:r>
      <w:r>
        <w:rPr>
          <w:rFonts w:ascii="Arial" w:cs="Arial" w:eastAsia="Arial" w:hAnsi="Arial"/>
          <w:sz w:val="18"/>
          <w:szCs w:val="18"/>
          <w:b w:val="1"/>
          <w:bCs w:val="1"/>
          <w:color w:val="auto"/>
        </w:rPr>
        <w:t xml:space="preserve"> </w:t>
      </w:r>
      <w:r>
        <w:rPr>
          <w:rFonts w:ascii="Arial" w:cs="Arial" w:eastAsia="Arial" w:hAnsi="Arial"/>
          <w:sz w:val="18"/>
          <w:szCs w:val="18"/>
          <w:color w:val="auto"/>
        </w:rPr>
        <w:t>Saturn-1 pivotal trial. All pre-specified primary and secondary endpoints were met, and complete resolution of Demodex blepharitis signs was demonstrated in patients treated with TP-03 (lotilaner ophthalmic solution, 0.25%).</w:t>
      </w:r>
    </w:p>
    <w:p>
      <w:pPr>
        <w:spacing w:after="0" w:line="201" w:lineRule="exact"/>
        <w:rPr>
          <w:sz w:val="20"/>
          <w:szCs w:val="20"/>
          <w:color w:val="auto"/>
        </w:rPr>
      </w:pPr>
    </w:p>
    <w:p>
      <w:pPr>
        <w:ind w:left="1280" w:right="140" w:hanging="320"/>
        <w:spacing w:after="0" w:line="223" w:lineRule="auto"/>
        <w:tabs>
          <w:tab w:leader="none" w:pos="12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81% of patients on TP-03 achieved a clinically meaningful collarette cure, defined as 0-10 collarettes per lid at day 43 compared to 23% of those on vehicle (p&lt;0.0001).</w:t>
      </w:r>
    </w:p>
    <w:p>
      <w:pPr>
        <w:ind w:left="1280" w:hanging="320"/>
        <w:spacing w:after="0" w:line="215" w:lineRule="auto"/>
        <w:tabs>
          <w:tab w:leader="none" w:pos="12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44% of patients on TP-03 achieved the primary endpoint of complete collarette cure, defined as 0-2 collarettes per lid at day 43, compared to 7% on vehicle (p&lt;0.0001).</w:t>
      </w:r>
    </w:p>
    <w:p>
      <w:pPr>
        <w:ind w:left="1280" w:hanging="320"/>
        <w:spacing w:after="0" w:line="227"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68% of patients on TP-03 achieved mite eradication defined as 0 mites per lash at day 43, compared to 18% on vehicle (p&lt;0.0001).</w:t>
      </w:r>
    </w:p>
    <w:p>
      <w:pPr>
        <w:ind w:left="1280" w:right="140" w:hanging="320"/>
        <w:spacing w:after="0" w:line="215" w:lineRule="auto"/>
        <w:tabs>
          <w:tab w:leader="none" w:pos="12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Additionally, significant efficacy in lid erythema (redness) was demonstrated across multiple measures including complete and clinically meaningful composite cures, and in erythema alone. Results showed 45 % of patients improved erythema by one (1) grade or more (compared to 28% of patients on vehicle, p=0.0002) and 19% of patients on TP-03 achieved a complete erythema cure (compared to 7% of patients on vehicle, p&lt;0.0001).</w:t>
      </w:r>
    </w:p>
    <w:p>
      <w:pPr>
        <w:jc w:val="both"/>
        <w:ind w:left="1280" w:right="220" w:hanging="320"/>
        <w:spacing w:after="0" w:line="224" w:lineRule="auto"/>
        <w:tabs>
          <w:tab w:leader="none" w:pos="12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TP-03 was well tolerated with a safety profile similar to the vehicle group. Additionally, most TP-03 patients (92%) reported that the drop comfort was neutral to very comfortable. There were no serious treatment-related adverse events nor any treatment-related adverse events leading to treatment discontinuation.</w:t>
      </w:r>
    </w:p>
    <w:p>
      <w:pPr>
        <w:spacing w:after="0" w:line="215" w:lineRule="exact"/>
        <w:rPr>
          <w:sz w:val="20"/>
          <w:szCs w:val="20"/>
          <w:color w:val="auto"/>
        </w:rPr>
      </w:pPr>
    </w:p>
    <w:p>
      <w:pPr>
        <w:ind w:right="120" w:firstLine="874"/>
        <w:spacing w:after="0" w:line="271" w:lineRule="auto"/>
        <w:rPr>
          <w:sz w:val="20"/>
          <w:szCs w:val="20"/>
          <w:color w:val="auto"/>
        </w:rPr>
      </w:pPr>
      <w:r>
        <w:rPr>
          <w:rFonts w:ascii="Arial" w:cs="Arial" w:eastAsia="Arial" w:hAnsi="Arial"/>
          <w:sz w:val="17"/>
          <w:szCs w:val="17"/>
          <w:color w:val="auto"/>
        </w:rPr>
        <w:t>On May 6, 2021, we announced the commencement of our second pivotal trial, Saturn-2. This Phase 3 trial is substantially identical in design to Saturn-1 (same primary and secondary endpoints) and is expected to enroll approximately 418 participants. We expect to report topline data results from Saturn-2 in the first quarter of 2022. If Saturn-2 results are positive, we expect to use the data from the Saturn-1 and Saturn-2 trials to support our submission of an NDA with the FDA for TP-03 for the treatment of Demodex blepharitis in the first half of 2022.</w:t>
      </w:r>
    </w:p>
    <w:p>
      <w:pPr>
        <w:spacing w:after="0" w:line="198" w:lineRule="exact"/>
        <w:rPr>
          <w:sz w:val="20"/>
          <w:szCs w:val="20"/>
          <w:color w:val="auto"/>
        </w:rPr>
      </w:pPr>
    </w:p>
    <w:p>
      <w:pPr>
        <w:ind w:right="120" w:firstLine="874"/>
        <w:spacing w:after="0" w:line="258" w:lineRule="auto"/>
        <w:rPr>
          <w:sz w:val="20"/>
          <w:szCs w:val="20"/>
          <w:color w:val="auto"/>
        </w:rPr>
      </w:pPr>
      <w:r>
        <w:rPr>
          <w:rFonts w:ascii="Arial" w:cs="Arial" w:eastAsia="Arial" w:hAnsi="Arial"/>
          <w:sz w:val="18"/>
          <w:szCs w:val="18"/>
          <w:b w:val="1"/>
          <w:bCs w:val="1"/>
          <w:u w:val="single" w:color="auto"/>
          <w:color w:val="auto"/>
        </w:rPr>
        <w:t>TP-03 China Territory Out-License</w:t>
      </w:r>
      <w:r>
        <w:rPr>
          <w:rFonts w:ascii="Arial" w:cs="Arial" w:eastAsia="Arial" w:hAnsi="Arial"/>
          <w:sz w:val="18"/>
          <w:szCs w:val="18"/>
          <w:color w:val="auto"/>
        </w:rPr>
        <w:t>: On March 26, 2021, we executed an out-license agreement (the "China Out-License") with LianBio</w:t>
      </w:r>
      <w:r>
        <w:rPr>
          <w:rFonts w:ascii="Arial" w:cs="Arial" w:eastAsia="Arial" w:hAnsi="Arial"/>
          <w:sz w:val="18"/>
          <w:szCs w:val="18"/>
          <w:b w:val="1"/>
          <w:bCs w:val="1"/>
          <w:color w:val="auto"/>
        </w:rPr>
        <w:t xml:space="preserve"> </w:t>
      </w:r>
      <w:r>
        <w:rPr>
          <w:rFonts w:ascii="Arial" w:cs="Arial" w:eastAsia="Arial" w:hAnsi="Arial"/>
          <w:sz w:val="18"/>
          <w:szCs w:val="18"/>
          <w:color w:val="auto"/>
        </w:rPr>
        <w:t>Ophthalmology Limited ("LianBio"), granting exclusive commercial rights to TP-03 for the treatment of Demodex blepharitis and MGD within The People’s Republic of China, Macau, Hong Kong, and Taiwan (the "China Territory").</w:t>
      </w:r>
    </w:p>
    <w:p>
      <w:pPr>
        <w:spacing w:after="0" w:line="213" w:lineRule="exact"/>
        <w:rPr>
          <w:sz w:val="20"/>
          <w:szCs w:val="20"/>
          <w:color w:val="auto"/>
        </w:rPr>
      </w:pPr>
    </w:p>
    <w:p>
      <w:pPr>
        <w:ind w:right="220" w:firstLine="874"/>
        <w:spacing w:after="0" w:line="255" w:lineRule="auto"/>
        <w:rPr>
          <w:sz w:val="20"/>
          <w:szCs w:val="20"/>
          <w:color w:val="auto"/>
        </w:rPr>
      </w:pPr>
      <w:r>
        <w:rPr>
          <w:rFonts w:ascii="Arial" w:cs="Arial" w:eastAsia="Arial" w:hAnsi="Arial"/>
          <w:sz w:val="18"/>
          <w:szCs w:val="18"/>
          <w:color w:val="auto"/>
        </w:rPr>
        <w:t>We have received contractual proceeds of $35 million from LianBio during the three months ended June 30, 2021 and expect to receive an additional $20 million by September 30, 2021 for a recently achieved Saturn-1 clinical milestone. In March 2021, also as part of the China Out-License, we received warrant rights in LianBio, subject to clinical and regulatory vesting provisions.</w:t>
      </w:r>
    </w:p>
    <w:p>
      <w:pPr>
        <w:spacing w:after="0" w:line="215" w:lineRule="exact"/>
        <w:rPr>
          <w:sz w:val="20"/>
          <w:szCs w:val="20"/>
          <w:color w:val="auto"/>
        </w:rPr>
      </w:pPr>
    </w:p>
    <w:p>
      <w:pPr>
        <w:jc w:val="both"/>
        <w:ind w:right="480" w:firstLine="874"/>
        <w:spacing w:after="0" w:line="255" w:lineRule="auto"/>
        <w:rPr>
          <w:sz w:val="20"/>
          <w:szCs w:val="20"/>
          <w:color w:val="auto"/>
        </w:rPr>
      </w:pPr>
      <w:r>
        <w:rPr>
          <w:rFonts w:ascii="Arial" w:cs="Arial" w:eastAsia="Arial" w:hAnsi="Arial"/>
          <w:sz w:val="18"/>
          <w:szCs w:val="18"/>
          <w:color w:val="auto"/>
        </w:rPr>
        <w:t>We are further eligible to receive (i) Saturn-2 clinical milestone of $15 million (expected achievement by March 31, 2022), (ii) China-based clinical and regulatory milestones totaling $30 million, and (iii) China Territory sales threshold milestones totaling $100 million. We are also entitled to receive tiered royalties in the low double-digits on the net sales of TP-03 within the China Territory.</w:t>
      </w:r>
    </w:p>
    <w:p>
      <w:pPr>
        <w:spacing w:after="0" w:line="209" w:lineRule="exact"/>
        <w:rPr>
          <w:sz w:val="20"/>
          <w:szCs w:val="20"/>
          <w:color w:val="auto"/>
        </w:rPr>
      </w:pPr>
    </w:p>
    <w:p>
      <w:pPr>
        <w:ind w:firstLine="874"/>
        <w:spacing w:after="0" w:line="237" w:lineRule="auto"/>
        <w:rPr>
          <w:sz w:val="20"/>
          <w:szCs w:val="20"/>
          <w:color w:val="auto"/>
        </w:rPr>
      </w:pPr>
      <w:r>
        <w:rPr>
          <w:rFonts w:ascii="Arial" w:cs="Arial" w:eastAsia="Arial" w:hAnsi="Arial"/>
          <w:sz w:val="18"/>
          <w:szCs w:val="18"/>
          <w:b w:val="1"/>
          <w:bCs w:val="1"/>
          <w:u w:val="single" w:color="auto"/>
          <w:color w:val="auto"/>
        </w:rPr>
        <w:t>TP-05 Initiation of Phase 1 Trial, Callisto</w:t>
      </w:r>
      <w:r>
        <w:rPr>
          <w:rFonts w:ascii="Arial" w:cs="Arial" w:eastAsia="Arial" w:hAnsi="Arial"/>
          <w:sz w:val="18"/>
          <w:szCs w:val="18"/>
          <w:color w:val="auto"/>
        </w:rPr>
        <w:t>: On June 16, 2021, we announced that we initiated dosing participants in our first clinical trial for TP-05, a novel, oral, non-vaccine therapeutic, for the prevention of Lyme disease and malaria. The Phase 1 Callisto trial is a single ascending dose and multiple ascending dose trial to evaluate the safety, tolerability and pharmacokinetics ("PK") of TP-05 in healthy volunteers. There are currently no FDA-approved pharmacological prophylactic options for Lyme disease, which is the most common vector-borne disease in the United States, transmitted to humans via Borrelia burgdorferi bacterium infection following the bite of a tick vector.</w:t>
      </w:r>
    </w:p>
    <w:p>
      <w:pPr>
        <w:spacing w:after="0" w:line="216" w:lineRule="exact"/>
        <w:rPr>
          <w:sz w:val="20"/>
          <w:szCs w:val="20"/>
          <w:color w:val="auto"/>
        </w:rPr>
      </w:pPr>
    </w:p>
    <w:p>
      <w:pPr>
        <w:ind w:right="200" w:firstLine="874"/>
        <w:spacing w:after="0" w:line="239" w:lineRule="auto"/>
        <w:rPr>
          <w:sz w:val="20"/>
          <w:szCs w:val="20"/>
          <w:color w:val="auto"/>
        </w:rPr>
      </w:pPr>
      <w:r>
        <w:rPr>
          <w:rFonts w:ascii="Arial" w:cs="Arial" w:eastAsia="Arial" w:hAnsi="Arial"/>
          <w:sz w:val="18"/>
          <w:szCs w:val="18"/>
          <w:color w:val="auto"/>
        </w:rPr>
        <w:t>We believe TP-05 is currently the only non-vaccine, drug-based, preventive therapeutic in development that targets the ticks, and potentially prevents Lyme disease transmission. It is designed to rapidly provide systemic blood levels of lotilaner potentially sufficient to kill infected ticks attached to the human body before they can transmit the Borrelia bacteria that causes Lyme disease.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ind w:firstLine="874"/>
        <w:spacing w:after="0" w:line="225" w:lineRule="auto"/>
        <w:rPr>
          <w:sz w:val="20"/>
          <w:szCs w:val="20"/>
          <w:color w:val="auto"/>
        </w:rPr>
      </w:pPr>
      <w:r>
        <w:rPr>
          <w:rFonts w:ascii="Arial" w:cs="Arial" w:eastAsia="Arial" w:hAnsi="Arial"/>
          <w:sz w:val="18"/>
          <w:szCs w:val="18"/>
          <w:b w:val="1"/>
          <w:bCs w:val="1"/>
          <w:u w:val="single" w:color="auto"/>
          <w:color w:val="auto"/>
        </w:rPr>
        <w:t>New Saturn-1 Data Presented at ASCRS</w:t>
      </w:r>
      <w:r>
        <w:rPr>
          <w:rFonts w:ascii="Arial" w:cs="Arial" w:eastAsia="Arial" w:hAnsi="Arial"/>
          <w:sz w:val="18"/>
          <w:szCs w:val="18"/>
          <w:color w:val="auto"/>
        </w:rPr>
        <w:t>: On July 24, 2021, we presented new Saturn-1 data at the American Society of Cataract and Refractive</w:t>
      </w:r>
      <w:r>
        <w:rPr>
          <w:rFonts w:ascii="Arial" w:cs="Arial" w:eastAsia="Arial" w:hAnsi="Arial"/>
          <w:sz w:val="18"/>
          <w:szCs w:val="18"/>
          <w:b w:val="1"/>
          <w:bCs w:val="1"/>
          <w:color w:val="auto"/>
        </w:rPr>
        <w:t xml:space="preserve"> </w:t>
      </w:r>
      <w:r>
        <w:rPr>
          <w:rFonts w:ascii="Arial" w:cs="Arial" w:eastAsia="Arial" w:hAnsi="Arial"/>
          <w:sz w:val="18"/>
          <w:szCs w:val="18"/>
          <w:color w:val="auto"/>
        </w:rPr>
        <w:t>Surgery ("ASCRS") 2021 Annual Meeting. The new Saturn-1 data demonstrated a strong patient responder rate, in addition to achieving all primary and secondary endpoints; nearly all Demodex blepharitis patients studied experienced a significant response to treatment with TP-03. These findings indicate the substantial potential impact this treatment may have for both patients and eye care professionals, including meaningful improvement in reducing the number of mites per lash and collarette grade reduction.</w:t>
      </w:r>
    </w:p>
    <w:p>
      <w:pPr>
        <w:spacing w:after="0" w:line="202" w:lineRule="exact"/>
        <w:rPr>
          <w:sz w:val="20"/>
          <w:szCs w:val="20"/>
          <w:color w:val="auto"/>
        </w:rPr>
      </w:pPr>
    </w:p>
    <w:p>
      <w:pPr>
        <w:ind w:firstLine="874"/>
        <w:spacing w:after="0" w:line="275" w:lineRule="auto"/>
        <w:rPr>
          <w:sz w:val="20"/>
          <w:szCs w:val="20"/>
          <w:color w:val="auto"/>
        </w:rPr>
      </w:pPr>
      <w:r>
        <w:rPr>
          <w:rFonts w:ascii="Arial" w:cs="Arial" w:eastAsia="Arial" w:hAnsi="Arial"/>
          <w:sz w:val="15"/>
          <w:szCs w:val="15"/>
          <w:color w:val="auto"/>
        </w:rPr>
        <w:t>In addition to this new data presented at the ASCRS meeting, on July 24, 2021 we also announced results from additional Saturn-1 safety analysis, which revealed that TP-03 had no clinically significant adverse effect on multiple safety measures including Corrected Distance Visual Acuity ("CDVA"), corneal staining, and intraocular pressure ("IOP"), and no significant findings from slit lamp biomicroscopy or fundus exam. In addition, no impact to endothelial cell density ("ECD") was seen in a subset of 21 patients. ECD will be further evaluated as part of the Saturn-2 trial plan. We believe that the results from our Saturn-1 clinical trial, along with previously announced data, reinforces that TP-03 is potentially safe to use in a broad patient population.</w:t>
      </w:r>
    </w:p>
    <w:p>
      <w:pPr>
        <w:spacing w:after="0" w:line="185" w:lineRule="exact"/>
        <w:rPr>
          <w:sz w:val="20"/>
          <w:szCs w:val="20"/>
          <w:color w:val="auto"/>
        </w:rPr>
      </w:pPr>
    </w:p>
    <w:p>
      <w:pPr>
        <w:ind w:right="240" w:firstLine="874"/>
        <w:spacing w:after="0" w:line="310" w:lineRule="auto"/>
        <w:rPr>
          <w:sz w:val="20"/>
          <w:szCs w:val="20"/>
          <w:color w:val="auto"/>
        </w:rPr>
      </w:pPr>
      <w:r>
        <w:rPr>
          <w:rFonts w:ascii="Arial" w:cs="Arial" w:eastAsia="Arial" w:hAnsi="Arial"/>
          <w:sz w:val="15"/>
          <w:szCs w:val="15"/>
          <w:b w:val="1"/>
          <w:bCs w:val="1"/>
          <w:u w:val="single" w:color="auto"/>
          <w:color w:val="auto"/>
        </w:rPr>
        <w:t>Atlas and Europa Studies Presented at ARVO</w:t>
      </w:r>
      <w:r>
        <w:rPr>
          <w:rFonts w:ascii="Arial" w:cs="Arial" w:eastAsia="Arial" w:hAnsi="Arial"/>
          <w:sz w:val="15"/>
          <w:szCs w:val="15"/>
          <w:color w:val="auto"/>
        </w:rPr>
        <w:t>: On May 3, 2021, we released the results of the Atlas study at the virtual Association for</w:t>
      </w:r>
      <w:r>
        <w:rPr>
          <w:rFonts w:ascii="Arial" w:cs="Arial" w:eastAsia="Arial" w:hAnsi="Arial"/>
          <w:sz w:val="15"/>
          <w:szCs w:val="15"/>
          <w:b w:val="1"/>
          <w:bCs w:val="1"/>
          <w:color w:val="auto"/>
        </w:rPr>
        <w:t xml:space="preserve"> </w:t>
      </w:r>
      <w:r>
        <w:rPr>
          <w:rFonts w:ascii="Arial" w:cs="Arial" w:eastAsia="Arial" w:hAnsi="Arial"/>
          <w:sz w:val="15"/>
          <w:szCs w:val="15"/>
          <w:color w:val="auto"/>
        </w:rPr>
        <w:t>Research in Vision and Ophthalmology ("ARVO") 2021 Annual Meeting. The Atlas study is what we believe is the first multi-center observational study to evaluate the functional and psychosocial impact of Demodex blepharitis. The study also provided insights on the clinical manifestations of Demodex blepharitis in adult patients. Overall, the study showed that Demodex blepharitis is associated with a significant symptomatic and psychosocial burden, negatively affecting daily life in the majority (80%) of patients. We also presented complete efficacy and safety data from our Phase 2b Europa trial, which consisted of positive trial results that were used as the basis for our Saturn-1 and 2 pivotal trial designs.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Financial Overview</w:t>
      </w:r>
    </w:p>
    <w:p>
      <w:pPr>
        <w:spacing w:after="0" w:line="223" w:lineRule="exact"/>
        <w:rPr>
          <w:sz w:val="20"/>
          <w:szCs w:val="20"/>
          <w:color w:val="auto"/>
        </w:rPr>
      </w:pPr>
    </w:p>
    <w:p>
      <w:pPr>
        <w:ind w:right="160" w:firstLine="874"/>
        <w:spacing w:after="0" w:line="330" w:lineRule="auto"/>
        <w:rPr>
          <w:sz w:val="20"/>
          <w:szCs w:val="20"/>
          <w:color w:val="auto"/>
        </w:rPr>
      </w:pPr>
      <w:r>
        <w:rPr>
          <w:rFonts w:ascii="Arial" w:cs="Arial" w:eastAsia="Arial" w:hAnsi="Arial"/>
          <w:sz w:val="15"/>
          <w:szCs w:val="15"/>
          <w:color w:val="auto"/>
        </w:rPr>
        <w:t>We were incorporated as a Delaware corporation in November 2016, and our headquarters is located in Irvine, California. Since our inception in November 2016, we have devoted substantially all of our resources to organizing and staffing our company, acquiring intellectual property, clinical development of our product candidates, building our research and development capabilities, raising capital, and enhancing our corporate infrastructure.</w:t>
      </w:r>
    </w:p>
    <w:p>
      <w:pPr>
        <w:spacing w:after="0" w:line="137" w:lineRule="exact"/>
        <w:rPr>
          <w:sz w:val="20"/>
          <w:szCs w:val="20"/>
          <w:color w:val="auto"/>
        </w:rPr>
      </w:pPr>
    </w:p>
    <w:p>
      <w:pPr>
        <w:jc w:val="both"/>
        <w:ind w:right="140" w:firstLine="874"/>
        <w:spacing w:after="0" w:line="255" w:lineRule="auto"/>
        <w:rPr>
          <w:sz w:val="20"/>
          <w:szCs w:val="20"/>
          <w:color w:val="auto"/>
        </w:rPr>
      </w:pPr>
      <w:r>
        <w:rPr>
          <w:rFonts w:ascii="Arial" w:cs="Arial" w:eastAsia="Arial" w:hAnsi="Arial"/>
          <w:sz w:val="18"/>
          <w:szCs w:val="18"/>
          <w:color w:val="auto"/>
        </w:rPr>
        <w:t>To date we have financed our operations through private placements of preferred stock, convertible promissory notes, the net proceeds from our IPO (as defined below), and out-licensing arrangements. From inception through June 2021, we raised net proceeds of approximately $103.2 million through private placements of preferred stock.</w:t>
      </w:r>
    </w:p>
    <w:p>
      <w:pPr>
        <w:spacing w:after="0" w:line="188" w:lineRule="exact"/>
        <w:rPr>
          <w:sz w:val="20"/>
          <w:szCs w:val="20"/>
          <w:color w:val="auto"/>
        </w:rPr>
      </w:pPr>
    </w:p>
    <w:p>
      <w:pPr>
        <w:ind w:right="20" w:firstLine="874"/>
        <w:spacing w:after="0" w:line="309" w:lineRule="auto"/>
        <w:rPr>
          <w:sz w:val="20"/>
          <w:szCs w:val="20"/>
          <w:color w:val="auto"/>
        </w:rPr>
      </w:pPr>
      <w:r>
        <w:rPr>
          <w:rFonts w:ascii="Arial" w:cs="Arial" w:eastAsia="Arial" w:hAnsi="Arial"/>
          <w:sz w:val="15"/>
          <w:szCs w:val="15"/>
          <w:color w:val="auto"/>
        </w:rPr>
        <w:t>In advance of our IPO, on October 8, 2020, our board of directors approved a 1-for-7.4276 reverse stock split of our capital stock. All share and per share information included in the accompanying financial statements has been adjusted to reflect this reverse stock split. On October 20, 2020, we completed our initial public offering ("IPO") through an underwritten sale of 6,325,000 shares of our common stock at a price of $16.00 per share, inclusive of an additional 825,000 shares of common stock sold upon the full exercise of the underwriters’ purchase option. The aggregate net proceeds from the offering after deducting underwriting discounts and commissions and other offering expenses were $91.7 million. Concurrent with the IPO, all then-outstanding shares of our convertible preferred stock automatically converted into an aggregate of 11,107,018 issued shares of common stock.</w:t>
      </w:r>
    </w:p>
    <w:p>
      <w:pPr>
        <w:spacing w:after="0" w:line="152" w:lineRule="exact"/>
        <w:rPr>
          <w:sz w:val="20"/>
          <w:szCs w:val="20"/>
          <w:color w:val="auto"/>
        </w:rPr>
      </w:pPr>
    </w:p>
    <w:p>
      <w:pPr>
        <w:ind w:firstLine="874"/>
        <w:spacing w:after="0" w:line="237" w:lineRule="auto"/>
        <w:rPr>
          <w:sz w:val="20"/>
          <w:szCs w:val="20"/>
          <w:color w:val="auto"/>
        </w:rPr>
      </w:pPr>
      <w:r>
        <w:rPr>
          <w:rFonts w:ascii="Arial" w:cs="Arial" w:eastAsia="Arial" w:hAnsi="Arial"/>
          <w:sz w:val="18"/>
          <w:szCs w:val="18"/>
          <w:color w:val="auto"/>
        </w:rPr>
        <w:t xml:space="preserve">In March 2021, we executed an out-license of TP-03 for the China Territory (see </w:t>
      </w:r>
      <w:r>
        <w:rPr>
          <w:rFonts w:ascii="Arial" w:cs="Arial" w:eastAsia="Arial" w:hAnsi="Arial"/>
          <w:sz w:val="18"/>
          <w:szCs w:val="18"/>
          <w:i w:val="1"/>
          <w:iCs w:val="1"/>
          <w:color w:val="auto"/>
        </w:rPr>
        <w:t>Note 9</w:t>
      </w:r>
      <w:r>
        <w:rPr>
          <w:rFonts w:ascii="Arial" w:cs="Arial" w:eastAsia="Arial" w:hAnsi="Arial"/>
          <w:sz w:val="18"/>
          <w:szCs w:val="18"/>
          <w:color w:val="auto"/>
        </w:rPr>
        <w:t>). During the six months ended June 30, 2021, we received cash proceeds of $35.0 million from our licensee. We expect to receive additional cash proceeds from our licensee totaling $35.0 million by March 31, 2022 (for first-year consideration of $70 million), assuming all of our TP-03 U.S. clinical milestones are achieved (including $20 million that became payable upon the achievement of a milestone in June 2021 and is pending receipt).</w:t>
      </w:r>
    </w:p>
    <w:p>
      <w:pPr>
        <w:spacing w:after="0" w:line="189" w:lineRule="exact"/>
        <w:rPr>
          <w:sz w:val="20"/>
          <w:szCs w:val="20"/>
          <w:color w:val="auto"/>
        </w:rPr>
      </w:pPr>
    </w:p>
    <w:p>
      <w:pPr>
        <w:ind w:right="20" w:firstLine="874"/>
        <w:spacing w:after="0" w:line="234" w:lineRule="auto"/>
        <w:rPr>
          <w:sz w:val="20"/>
          <w:szCs w:val="20"/>
          <w:color w:val="auto"/>
        </w:rPr>
      </w:pPr>
      <w:r>
        <w:rPr>
          <w:rFonts w:ascii="Arial" w:cs="Arial" w:eastAsia="Arial" w:hAnsi="Arial"/>
          <w:sz w:val="18"/>
          <w:szCs w:val="18"/>
          <w:color w:val="auto"/>
        </w:rPr>
        <w:t>We have incurred significant net operating losses in every year since our inception and expect to continue to incur significant operating expenses and, other than the effect of license fee revenue from the China Out-License Agreement, increasing operating losses for the foreseeable future. Our net income (losses) were $6.3 million and $(3.3) million for the three months ended June 30, 2021 and 2020, respectively, and $16.7 million and $(5.2) million for the six months ended</w:t>
      </w:r>
    </w:p>
    <w:p>
      <w:pPr>
        <w:spacing w:after="0" w:line="2"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June 30, 2021 and 2020, respectively. Our net losses and any net income we may generate may fluctuate significantly from quarter to quarter and year to year and could be substantial. As of June 30, 2021 and December 31, 2020, we had an accumulated deficit of $16.1 million and $32.8 million, respectively, from research and development and general and administrative activities since our inception. We anticipate that our operating expenses will increase significantly as we:</w:t>
      </w:r>
    </w:p>
    <w:p>
      <w:pPr>
        <w:spacing w:after="0" w:line="189" w:lineRule="exact"/>
        <w:rPr>
          <w:sz w:val="20"/>
          <w:szCs w:val="20"/>
          <w:color w:val="auto"/>
        </w:rPr>
      </w:pPr>
    </w:p>
    <w:p>
      <w:pPr>
        <w:ind w:left="5540" w:right="460" w:hanging="4858"/>
        <w:spacing w:after="0" w:line="894"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conduct clinical trials of our lead product candidate, TP-03, for the treatment of Demodex blepharitis including our Phase 3 trial, Saturn-2;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-301625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00" w:hanging="318"/>
        <w:spacing w:after="0" w:line="264" w:lineRule="auto"/>
        <w:tabs>
          <w:tab w:leader="none" w:pos="9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the clinical development of TP-03 for the treatment of MGD, TP-04 for the potential treatment of rosacea and TP-05 for potential Lyme prophylaxis and community malaria reduction;</w:t>
      </w:r>
    </w:p>
    <w:p>
      <w:pPr>
        <w:spacing w:after="0" w:line="180" w:lineRule="exact"/>
        <w:rPr>
          <w:rFonts w:ascii="Arial" w:cs="Arial" w:eastAsia="Arial" w:hAnsi="Arial"/>
          <w:sz w:val="18"/>
          <w:szCs w:val="18"/>
          <w:color w:val="auto"/>
        </w:rPr>
      </w:pPr>
    </w:p>
    <w:p>
      <w:pPr>
        <w:ind w:left="1000" w:hanging="31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regulatory and marketing approvals for product candidates that successfully complete clinical development, if any;</w:t>
      </w:r>
    </w:p>
    <w:p>
      <w:pPr>
        <w:spacing w:after="0" w:line="217" w:lineRule="exact"/>
        <w:rPr>
          <w:rFonts w:ascii="Arial" w:cs="Arial" w:eastAsia="Arial" w:hAnsi="Arial"/>
          <w:sz w:val="18"/>
          <w:szCs w:val="18"/>
          <w:color w:val="auto"/>
        </w:rPr>
      </w:pPr>
    </w:p>
    <w:p>
      <w:pPr>
        <w:ind w:left="1000" w:hanging="31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our own sales force in the United States to commercialize our products for which we obtain regulatory approval;</w:t>
      </w:r>
    </w:p>
    <w:p>
      <w:pPr>
        <w:spacing w:after="0" w:line="217" w:lineRule="exact"/>
        <w:rPr>
          <w:rFonts w:ascii="Arial" w:cs="Arial" w:eastAsia="Arial" w:hAnsi="Arial"/>
          <w:sz w:val="18"/>
          <w:szCs w:val="18"/>
          <w:color w:val="auto"/>
        </w:rPr>
      </w:pPr>
    </w:p>
    <w:p>
      <w:pPr>
        <w:ind w:left="1000" w:right="120" w:hanging="318"/>
        <w:spacing w:after="0" w:line="264" w:lineRule="auto"/>
        <w:tabs>
          <w:tab w:leader="none" w:pos="9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 with contract manufacturers to ensure a sufficient supply chain capacity to provide commercial quantities of any products for which we may obtain marketing approval;</w:t>
      </w:r>
    </w:p>
    <w:p>
      <w:pPr>
        <w:spacing w:after="0" w:line="180" w:lineRule="exact"/>
        <w:rPr>
          <w:rFonts w:ascii="Arial" w:cs="Arial" w:eastAsia="Arial" w:hAnsi="Arial"/>
          <w:sz w:val="18"/>
          <w:szCs w:val="18"/>
          <w:color w:val="auto"/>
        </w:rPr>
      </w:pPr>
    </w:p>
    <w:p>
      <w:pPr>
        <w:ind w:left="1000" w:hanging="31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17" w:lineRule="exact"/>
        <w:rPr>
          <w:rFonts w:ascii="Arial" w:cs="Arial" w:eastAsia="Arial" w:hAnsi="Arial"/>
          <w:sz w:val="18"/>
          <w:szCs w:val="18"/>
          <w:color w:val="auto"/>
        </w:rPr>
      </w:pPr>
    </w:p>
    <w:p>
      <w:pPr>
        <w:ind w:left="1000" w:right="60" w:hanging="318"/>
        <w:spacing w:after="0" w:line="264" w:lineRule="auto"/>
        <w:tabs>
          <w:tab w:leader="none" w:pos="9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technical, regulatory, marketing, operations, financial, and other support personnel, to execute our business plan; and</w:t>
      </w:r>
    </w:p>
    <w:p>
      <w:pPr>
        <w:spacing w:after="0" w:line="180" w:lineRule="exact"/>
        <w:rPr>
          <w:rFonts w:ascii="Arial" w:cs="Arial" w:eastAsia="Arial" w:hAnsi="Arial"/>
          <w:sz w:val="18"/>
          <w:szCs w:val="18"/>
          <w:color w:val="auto"/>
        </w:rPr>
      </w:pPr>
    </w:p>
    <w:p>
      <w:pPr>
        <w:ind w:left="1000" w:right="180" w:hanging="318"/>
        <w:spacing w:after="0" w:line="264" w:lineRule="auto"/>
        <w:tabs>
          <w:tab w:leader="none" w:pos="9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 information systems and personnel to support our product development and potential future commercialization efforts, and to enable us to operate as a public company.</w:t>
      </w:r>
    </w:p>
    <w:p>
      <w:pPr>
        <w:spacing w:after="0" w:line="181" w:lineRule="exact"/>
        <w:rPr>
          <w:sz w:val="20"/>
          <w:szCs w:val="20"/>
          <w:color w:val="auto"/>
        </w:rPr>
      </w:pPr>
    </w:p>
    <w:p>
      <w:pPr>
        <w:ind w:right="120" w:firstLine="874"/>
        <w:spacing w:after="0" w:line="330" w:lineRule="auto"/>
        <w:rPr>
          <w:sz w:val="20"/>
          <w:szCs w:val="20"/>
          <w:color w:val="auto"/>
        </w:rPr>
      </w:pPr>
      <w:r>
        <w:rPr>
          <w:rFonts w:ascii="Arial" w:cs="Arial" w:eastAsia="Arial" w:hAnsi="Arial"/>
          <w:sz w:val="15"/>
          <w:szCs w:val="15"/>
          <w:color w:val="auto"/>
        </w:rPr>
        <w:t xml:space="preserve">We do not have any products approved for sale and we have not yet generated any revenue from product sales. However, we recognized "license fee revenue" and "collaboration revenue" from our China Out-License for the three and six months ended June 30, 2021 of an aggregate $22.0 million and $55.4 million, respectively (see </w:t>
      </w:r>
      <w:r>
        <w:rPr>
          <w:rFonts w:ascii="Arial" w:cs="Arial" w:eastAsia="Arial" w:hAnsi="Arial"/>
          <w:sz w:val="15"/>
          <w:szCs w:val="15"/>
          <w:i w:val="1"/>
          <w:iCs w:val="1"/>
          <w:color w:val="auto"/>
        </w:rPr>
        <w:t>Note 9</w:t>
      </w:r>
      <w:r>
        <w:rPr>
          <w:rFonts w:ascii="Arial" w:cs="Arial" w:eastAsia="Arial" w:hAnsi="Arial"/>
          <w:sz w:val="15"/>
          <w:szCs w:val="15"/>
          <w:color w:val="auto"/>
        </w:rPr>
        <w:t>), and expect to recognize additional revenue under these captions from this arrangement in future periods.</w:t>
      </w:r>
    </w:p>
    <w:p>
      <w:pPr>
        <w:spacing w:after="0" w:line="137" w:lineRule="exact"/>
        <w:rPr>
          <w:sz w:val="20"/>
          <w:szCs w:val="20"/>
          <w:color w:val="auto"/>
        </w:rPr>
      </w:pPr>
    </w:p>
    <w:p>
      <w:pPr>
        <w:ind w:firstLine="874"/>
        <w:spacing w:after="0" w:line="265" w:lineRule="auto"/>
        <w:rPr>
          <w:sz w:val="20"/>
          <w:szCs w:val="20"/>
          <w:color w:val="auto"/>
        </w:rPr>
      </w:pPr>
      <w:r>
        <w:rPr>
          <w:rFonts w:ascii="Arial" w:cs="Arial" w:eastAsia="Arial" w:hAnsi="Arial"/>
          <w:sz w:val="17"/>
          <w:szCs w:val="17"/>
          <w:color w:val="auto"/>
        </w:rPr>
        <w:t>We do not expect to generate revenues from product sales unless and until we successfully complete clinical development and obtain regulatory approval for a product candidate and commercially launch such product. Until such time as we can generate significant revenue from product sales, if ever, we expect to finance our operations through private or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spacing w:after="0" w:line="181" w:lineRule="exact"/>
        <w:rPr>
          <w:sz w:val="20"/>
          <w:szCs w:val="20"/>
          <w:color w:val="auto"/>
        </w:rPr>
      </w:pPr>
    </w:p>
    <w:p>
      <w:pPr>
        <w:ind w:firstLine="874"/>
        <w:spacing w:after="0" w:line="252" w:lineRule="auto"/>
        <w:rPr>
          <w:sz w:val="20"/>
          <w:szCs w:val="20"/>
          <w:color w:val="auto"/>
        </w:rPr>
      </w:pPr>
      <w:r>
        <w:rPr>
          <w:rFonts w:ascii="Arial" w:cs="Arial" w:eastAsia="Arial" w:hAnsi="Arial"/>
          <w:sz w:val="18"/>
          <w:szCs w:val="18"/>
          <w:color w:val="auto"/>
        </w:rPr>
        <w:t>Because of the numerous risks and uncertainties associated with drug product development, we are unable to accurately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w:t>
      </w:r>
    </w:p>
    <w:p>
      <w:pPr>
        <w:spacing w:after="0" w:line="191" w:lineRule="exact"/>
        <w:rPr>
          <w:sz w:val="20"/>
          <w:szCs w:val="20"/>
          <w:color w:val="auto"/>
        </w:rPr>
      </w:pPr>
    </w:p>
    <w:p>
      <w:pPr>
        <w:ind w:right="240" w:firstLine="874"/>
        <w:spacing w:after="0" w:line="264" w:lineRule="auto"/>
        <w:rPr>
          <w:sz w:val="20"/>
          <w:szCs w:val="20"/>
          <w:color w:val="auto"/>
        </w:rPr>
      </w:pPr>
      <w:r>
        <w:rPr>
          <w:rFonts w:ascii="Arial" w:cs="Arial" w:eastAsia="Arial" w:hAnsi="Arial"/>
          <w:sz w:val="18"/>
          <w:szCs w:val="18"/>
          <w:color w:val="auto"/>
        </w:rPr>
        <w:t>As of June 30, 2021, our aggregate cash and cash equivalents was $176.7 million – see the section below titled “Management's Discussion and Analysis of Financial Condition and Results of Operations — 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 on our Operations</w:t>
      </w:r>
    </w:p>
    <w:p>
      <w:pPr>
        <w:spacing w:after="0" w:line="223" w:lineRule="exact"/>
        <w:rPr>
          <w:sz w:val="20"/>
          <w:szCs w:val="20"/>
          <w:color w:val="auto"/>
        </w:rPr>
      </w:pPr>
    </w:p>
    <w:p>
      <w:pPr>
        <w:jc w:val="both"/>
        <w:ind w:right="120" w:firstLine="874"/>
        <w:spacing w:after="0" w:line="255" w:lineRule="auto"/>
        <w:rPr>
          <w:sz w:val="20"/>
          <w:szCs w:val="20"/>
          <w:color w:val="auto"/>
        </w:rPr>
      </w:pPr>
      <w:r>
        <w:rPr>
          <w:rFonts w:ascii="Arial" w:cs="Arial" w:eastAsia="Arial" w:hAnsi="Arial"/>
          <w:sz w:val="18"/>
          <w:szCs w:val="18"/>
          <w:color w:val="auto"/>
        </w:rPr>
        <w:t>Efforts to contain the spread of COVID-19 in the United States (including in California where our corporate headquarters and laboratory facility are located) and other countries have included quarantines, shelter-in-place orders, and various other government restrictions in order to control the spread of this virus.</w:t>
      </w:r>
    </w:p>
    <w:p>
      <w:pPr>
        <w:spacing w:after="0" w:line="188" w:lineRule="exact"/>
        <w:rPr>
          <w:sz w:val="20"/>
          <w:szCs w:val="20"/>
          <w:color w:val="auto"/>
        </w:rPr>
      </w:pPr>
    </w:p>
    <w:p>
      <w:pPr>
        <w:ind w:right="180" w:firstLine="874"/>
        <w:spacing w:after="0" w:line="330" w:lineRule="auto"/>
        <w:rPr>
          <w:sz w:val="20"/>
          <w:szCs w:val="20"/>
          <w:color w:val="auto"/>
        </w:rPr>
      </w:pPr>
      <w:r>
        <w:rPr>
          <w:rFonts w:ascii="Arial" w:cs="Arial" w:eastAsia="Arial" w:hAnsi="Arial"/>
          <w:sz w:val="15"/>
          <w:szCs w:val="15"/>
          <w:color w:val="auto"/>
        </w:rPr>
        <w:t>We have been carefully monitoring the COVID-19 pandemic as it continues to progress and its potential impact on our business. We have taken important steps to ensure the workplace safety of our employees when working within our laboratory and administrative offices, or when traveling to our clinical trial sites. We have also implemented a vaccination policy and we may take further actions as may be required by federal, state or local authorities.</w:t>
      </w:r>
    </w:p>
    <w:p>
      <w:pPr>
        <w:spacing w:after="0" w:line="163" w:lineRule="exact"/>
        <w:rPr>
          <w:sz w:val="20"/>
          <w:szCs w:val="20"/>
          <w:color w:val="auto"/>
        </w:rPr>
      </w:pPr>
    </w:p>
    <w:p>
      <w:pPr>
        <w:ind w:right="120" w:firstLine="874"/>
        <w:spacing w:after="0" w:line="237" w:lineRule="auto"/>
        <w:rPr>
          <w:sz w:val="20"/>
          <w:szCs w:val="20"/>
          <w:color w:val="auto"/>
        </w:rPr>
      </w:pPr>
      <w:r>
        <w:rPr>
          <w:rFonts w:ascii="Arial" w:cs="Arial" w:eastAsia="Arial" w:hAnsi="Arial"/>
          <w:sz w:val="18"/>
          <w:szCs w:val="18"/>
          <w:color w:val="auto"/>
        </w:rPr>
        <w:t>To date, we have been able to continue our key business activities and advance our clinical programs. However, in the future, it is possible that our clinical development timelines and business plans could be adversely affected. We maintain regular communication with our vendors and clinical sites to appropriately plan for, and mitigate, the impact of the COVID-19 pandemic on our operations. Specifically, for our Phase 3 Saturn-2 trial, we have instituted various protocols for our sites,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including increasing health screening of individuals and providing enhanced communication and training to staff regarding COVID-19. However, the ultimate effect from this pandemic on our development timelines for TP-03 and our other product candidates is inherently uncertain.</w:t>
      </w:r>
    </w:p>
    <w:p>
      <w:pPr>
        <w:spacing w:after="0" w:line="157" w:lineRule="exact"/>
        <w:rPr>
          <w:sz w:val="20"/>
          <w:szCs w:val="20"/>
          <w:color w:val="auto"/>
        </w:rPr>
      </w:pPr>
    </w:p>
    <w:p>
      <w:pPr>
        <w:ind w:right="40" w:firstLine="874"/>
        <w:spacing w:after="0" w:line="294" w:lineRule="auto"/>
        <w:rPr>
          <w:sz w:val="20"/>
          <w:szCs w:val="20"/>
          <w:color w:val="auto"/>
        </w:rPr>
      </w:pPr>
      <w:r>
        <w:rPr>
          <w:rFonts w:ascii="Arial" w:cs="Arial" w:eastAsia="Arial" w:hAnsi="Arial"/>
          <w:sz w:val="17"/>
          <w:szCs w:val="17"/>
          <w:color w:val="auto"/>
        </w:rPr>
        <w:t>See the section titled “Risk Factors” in our Annual Report on Form 10-K for the year ended December 31, 2020, filed with the SEC on March 31, 2021, for a further discussion of the potential adverse impact of COVID-19 on our business, results of operations and financial condition.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 of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3080" w:type="dxa"/>
            <w:vAlign w:val="bottom"/>
            <w:gridSpan w:val="6"/>
          </w:tcPr>
          <w:p>
            <w:pPr>
              <w:ind w:left="5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3"/>
        </w:trPr>
        <w:tc>
          <w:tcPr>
            <w:tcW w:w="6700" w:type="dxa"/>
            <w:vAlign w:val="bottom"/>
          </w:tcPr>
          <w:p>
            <w:pPr>
              <w:spacing w:after="0"/>
              <w:rPr>
                <w:sz w:val="16"/>
                <w:szCs w:val="16"/>
                <w:color w:val="auto"/>
              </w:rPr>
            </w:pP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b w:val="1"/>
                <w:bCs w:val="1"/>
                <w:color w:val="auto"/>
                <w:w w:val="83"/>
              </w:rPr>
              <w:t>2021</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Change</w:t>
            </w:r>
          </w:p>
        </w:tc>
      </w:tr>
      <w:tr>
        <w:trPr>
          <w:trHeight w:val="183"/>
        </w:trPr>
        <w:tc>
          <w:tcPr>
            <w:tcW w:w="6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License fees and collaboration revenue</w:t>
            </w:r>
          </w:p>
        </w:tc>
        <w:tc>
          <w:tcPr>
            <w:tcW w:w="860" w:type="dxa"/>
            <w:vAlign w:val="bottom"/>
            <w:tcBorders>
              <w:bottom w:val="single" w:sz="8" w:color="auto"/>
            </w:tcBorders>
          </w:tcPr>
          <w:p>
            <w:pPr>
              <w:jc w:val="right"/>
              <w:ind w:right="68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22,017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22,017</w:t>
            </w:r>
          </w:p>
        </w:tc>
      </w:tr>
      <w:tr>
        <w:trPr>
          <w:trHeight w:val="219"/>
        </w:trPr>
        <w:tc>
          <w:tcPr>
            <w:tcW w:w="6700" w:type="dxa"/>
            <w:vAlign w:val="bottom"/>
            <w:shd w:val="clear" w:color="auto" w:fill="CCEEFF"/>
          </w:tcPr>
          <w:p>
            <w:pPr>
              <w:ind w:left="660"/>
              <w:spacing w:after="0" w:line="205" w:lineRule="exact"/>
              <w:rPr>
                <w:sz w:val="20"/>
                <w:szCs w:val="20"/>
                <w:color w:val="auto"/>
              </w:rPr>
            </w:pPr>
            <w:r>
              <w:rPr>
                <w:rFonts w:ascii="Arial" w:cs="Arial" w:eastAsia="Arial" w:hAnsi="Arial"/>
                <w:sz w:val="18"/>
                <w:szCs w:val="18"/>
                <w:color w:val="auto"/>
              </w:rPr>
              <w:t>Total revenues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22,017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22,017</w:t>
            </w:r>
          </w:p>
        </w:tc>
      </w:tr>
      <w:tr>
        <w:trPr>
          <w:trHeight w:val="205"/>
        </w:trPr>
        <w:tc>
          <w:tcPr>
            <w:tcW w:w="6700" w:type="dxa"/>
            <w:vAlign w:val="bottom"/>
          </w:tcPr>
          <w:p>
            <w:pPr>
              <w:ind w:left="20"/>
              <w:spacing w:after="0" w:line="204" w:lineRule="exact"/>
              <w:rPr>
                <w:sz w:val="20"/>
                <w:szCs w:val="20"/>
                <w:color w:val="auto"/>
              </w:rPr>
            </w:pPr>
            <w:r>
              <w:rPr>
                <w:rFonts w:ascii="Arial" w:cs="Arial" w:eastAsia="Arial" w:hAnsi="Arial"/>
                <w:sz w:val="18"/>
                <w:szCs w:val="18"/>
                <w:color w:val="auto"/>
              </w:rPr>
              <w:t>Operating expenses:</w:t>
            </w:r>
          </w:p>
        </w:tc>
        <w:tc>
          <w:tcPr>
            <w:tcW w:w="8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2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license fees and collaboration revenue</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r>
      <w:tr>
        <w:trPr>
          <w:trHeight w:val="225"/>
        </w:trPr>
        <w:tc>
          <w:tcPr>
            <w:tcW w:w="67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5,467</w:t>
            </w:r>
          </w:p>
        </w:tc>
      </w:tr>
      <w:tr>
        <w:trPr>
          <w:trHeight w:val="22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5,268</w:t>
            </w:r>
          </w:p>
        </w:tc>
      </w:tr>
      <w:tr>
        <w:trPr>
          <w:trHeight w:val="218"/>
        </w:trPr>
        <w:tc>
          <w:tcPr>
            <w:tcW w:w="6700" w:type="dxa"/>
            <w:vAlign w:val="bottom"/>
            <w:tcBorders>
              <w:bottom w:val="single" w:sz="8" w:color="CCEEFF"/>
            </w:tcBorders>
          </w:tcPr>
          <w:p>
            <w:pPr>
              <w:ind w:left="660"/>
              <w:spacing w:after="0" w:line="204" w:lineRule="exact"/>
              <w:rPr>
                <w:sz w:val="20"/>
                <w:szCs w:val="20"/>
                <w:color w:val="auto"/>
              </w:rPr>
            </w:pPr>
            <w:r>
              <w:rPr>
                <w:rFonts w:ascii="Arial" w:cs="Arial" w:eastAsia="Arial" w:hAnsi="Arial"/>
                <w:sz w:val="18"/>
                <w:szCs w:val="18"/>
                <w:color w:val="auto"/>
              </w:rPr>
              <w:t>Total operating expenses</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14,735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11,472</w:t>
            </w:r>
          </w:p>
        </w:tc>
      </w:tr>
      <w:tr>
        <w:trPr>
          <w:trHeight w:val="219"/>
        </w:trPr>
        <w:tc>
          <w:tcPr>
            <w:tcW w:w="67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Income (loss) from operations before other (expense) income and income taxes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10,545</w:t>
            </w:r>
          </w:p>
        </w:tc>
      </w:tr>
      <w:tr>
        <w:trPr>
          <w:trHeight w:val="205"/>
        </w:trPr>
        <w:tc>
          <w:tcPr>
            <w:tcW w:w="6700" w:type="dxa"/>
            <w:vAlign w:val="bottom"/>
          </w:tcPr>
          <w:p>
            <w:pPr>
              <w:ind w:left="20"/>
              <w:spacing w:after="0" w:line="204" w:lineRule="exact"/>
              <w:rPr>
                <w:sz w:val="20"/>
                <w:szCs w:val="20"/>
                <w:color w:val="auto"/>
              </w:rPr>
            </w:pPr>
            <w:r>
              <w:rPr>
                <w:rFonts w:ascii="Arial" w:cs="Arial" w:eastAsia="Arial" w:hAnsi="Arial"/>
                <w:sz w:val="18"/>
                <w:szCs w:val="18"/>
                <w:color w:val="auto"/>
              </w:rPr>
              <w:t>Other (expense) income:</w:t>
            </w: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 net</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6700" w:type="dxa"/>
            <w:vAlign w:val="bottom"/>
          </w:tcPr>
          <w:p>
            <w:pPr>
              <w:ind w:left="340"/>
              <w:spacing w:after="0"/>
              <w:rPr>
                <w:sz w:val="20"/>
                <w:szCs w:val="20"/>
                <w:color w:val="auto"/>
              </w:rPr>
            </w:pPr>
            <w:r>
              <w:rPr>
                <w:rFonts w:ascii="Arial" w:cs="Arial" w:eastAsia="Arial" w:hAnsi="Arial"/>
                <w:sz w:val="18"/>
                <w:szCs w:val="18"/>
                <w:color w:val="auto"/>
              </w:rPr>
              <w:t>Change in fair value of equity warrant rights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(876)</w:t>
            </w:r>
          </w:p>
        </w:tc>
      </w:tr>
      <w:tr>
        <w:trPr>
          <w:trHeight w:val="22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8"/>
        </w:trPr>
        <w:tc>
          <w:tcPr>
            <w:tcW w:w="6700" w:type="dxa"/>
            <w:vAlign w:val="bottom"/>
            <w:tcBorders>
              <w:bottom w:val="single" w:sz="8" w:color="CCEEFF"/>
            </w:tcBorders>
          </w:tcPr>
          <w:p>
            <w:pPr>
              <w:ind w:left="660"/>
              <w:spacing w:after="0" w:line="204" w:lineRule="exact"/>
              <w:rPr>
                <w:sz w:val="20"/>
                <w:szCs w:val="20"/>
                <w:color w:val="auto"/>
              </w:rPr>
            </w:pPr>
            <w:r>
              <w:rPr>
                <w:rFonts w:ascii="Arial" w:cs="Arial" w:eastAsia="Arial" w:hAnsi="Arial"/>
                <w:sz w:val="18"/>
                <w:szCs w:val="18"/>
                <w:color w:val="auto"/>
              </w:rPr>
              <w:t>Total other (expense) income, net</w:t>
            </w:r>
          </w:p>
        </w:tc>
        <w:tc>
          <w:tcPr>
            <w:tcW w:w="8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w:t>
            </w:r>
          </w:p>
        </w:tc>
      </w:tr>
      <w:tr>
        <w:trPr>
          <w:trHeight w:val="219"/>
        </w:trPr>
        <w:tc>
          <w:tcPr>
            <w:tcW w:w="670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Provision for income taxes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8"/>
        </w:trPr>
        <w:tc>
          <w:tcPr>
            <w:tcW w:w="6700" w:type="dxa"/>
            <w:vAlign w:val="bottom"/>
          </w:tcPr>
          <w:p>
            <w:pPr>
              <w:ind w:left="20"/>
              <w:spacing w:after="0" w:line="204" w:lineRule="exact"/>
              <w:rPr>
                <w:sz w:val="20"/>
                <w:szCs w:val="20"/>
                <w:color w:val="auto"/>
              </w:rPr>
            </w:pPr>
            <w:r>
              <w:rPr>
                <w:rFonts w:ascii="Arial" w:cs="Arial" w:eastAsia="Arial" w:hAnsi="Arial"/>
                <w:sz w:val="18"/>
                <w:szCs w:val="18"/>
                <w:color w:val="auto"/>
              </w:rPr>
              <w:t>Net income (loss)</w:t>
            </w:r>
          </w:p>
        </w:tc>
        <w:tc>
          <w:tcPr>
            <w:tcW w:w="86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9,595</w:t>
            </w:r>
          </w:p>
        </w:tc>
      </w:tr>
      <w:tr>
        <w:trPr>
          <w:trHeight w:val="20"/>
        </w:trPr>
        <w:tc>
          <w:tcPr>
            <w:tcW w:w="6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 and Collaboration Revenue</w:t>
      </w:r>
    </w:p>
    <w:p>
      <w:pPr>
        <w:spacing w:after="0" w:line="217" w:lineRule="exact"/>
        <w:rPr>
          <w:sz w:val="20"/>
          <w:szCs w:val="20"/>
          <w:color w:val="auto"/>
        </w:rPr>
      </w:pPr>
    </w:p>
    <w:p>
      <w:pPr>
        <w:ind w:firstLine="874"/>
        <w:spacing w:after="0" w:line="318" w:lineRule="auto"/>
        <w:rPr>
          <w:sz w:val="20"/>
          <w:szCs w:val="20"/>
          <w:color w:val="auto"/>
        </w:rPr>
      </w:pPr>
      <w:r>
        <w:rPr>
          <w:rFonts w:ascii="Arial" w:cs="Arial" w:eastAsia="Arial" w:hAnsi="Arial"/>
          <w:sz w:val="15"/>
          <w:szCs w:val="15"/>
          <w:color w:val="auto"/>
        </w:rPr>
        <w:t xml:space="preserve">License fees and collaboration revenue was $22.0 million for the three months ended June 30, 2021, of which $19.0 million was attributable to license fees and $3.0 million of which was attributable to collaboration revenue. These revenue amounts are attributable to the portion of the China Out-License (see </w:t>
      </w:r>
      <w:r>
        <w:rPr>
          <w:rFonts w:ascii="Arial" w:cs="Arial" w:eastAsia="Arial" w:hAnsi="Arial"/>
          <w:sz w:val="15"/>
          <w:szCs w:val="15"/>
          <w:i w:val="1"/>
          <w:iCs w:val="1"/>
          <w:color w:val="auto"/>
        </w:rPr>
        <w:t>Note 9</w:t>
      </w:r>
      <w:r>
        <w:rPr>
          <w:rFonts w:ascii="Arial" w:cs="Arial" w:eastAsia="Arial" w:hAnsi="Arial"/>
          <w:sz w:val="15"/>
          <w:szCs w:val="15"/>
          <w:color w:val="auto"/>
        </w:rPr>
        <w:t>) contractual milestones that were fully or partially complete by June 30, 2021. These amounts respectively represent the satisfaction of the transfer of license rights to LianBio and the partial completion of clinical-related "performance obligations" stated in the China Out-License.</w:t>
      </w:r>
    </w:p>
    <w:p>
      <w:pPr>
        <w:spacing w:after="0" w:line="146" w:lineRule="exact"/>
        <w:rPr>
          <w:sz w:val="20"/>
          <w:szCs w:val="20"/>
          <w:color w:val="auto"/>
        </w:rPr>
      </w:pPr>
    </w:p>
    <w:p>
      <w:pPr>
        <w:jc w:val="both"/>
        <w:ind w:right="140" w:firstLine="874"/>
        <w:spacing w:after="0" w:line="330" w:lineRule="auto"/>
        <w:rPr>
          <w:sz w:val="20"/>
          <w:szCs w:val="20"/>
          <w:color w:val="auto"/>
        </w:rPr>
      </w:pPr>
      <w:r>
        <w:rPr>
          <w:rFonts w:ascii="Arial" w:cs="Arial" w:eastAsia="Arial" w:hAnsi="Arial"/>
          <w:sz w:val="15"/>
          <w:szCs w:val="15"/>
          <w:color w:val="auto"/>
        </w:rPr>
        <w:t>We will recognize additional "license fee and collaboration revenue" as these performance obligations are further satisfied or other events occur, specifically related to (i) milestone payments upon TP-03 pivotal trial completion and the delivery of associated clinical data and reports to our licensee, (ii) achievement of regulatory events that trigger milestone payments, and (iii) sales by our licensee of TP-03 in the China Territory.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License Fees and Collaboration Revenue</w:t>
      </w:r>
    </w:p>
    <w:p>
      <w:pPr>
        <w:spacing w:after="0" w:line="217" w:lineRule="exact"/>
        <w:rPr>
          <w:sz w:val="20"/>
          <w:szCs w:val="20"/>
          <w:color w:val="auto"/>
        </w:rPr>
      </w:pPr>
    </w:p>
    <w:p>
      <w:pPr>
        <w:ind w:right="140" w:firstLine="874"/>
        <w:spacing w:after="0" w:line="255" w:lineRule="auto"/>
        <w:rPr>
          <w:sz w:val="20"/>
          <w:szCs w:val="20"/>
          <w:color w:val="auto"/>
        </w:rPr>
      </w:pPr>
      <w:r>
        <w:rPr>
          <w:rFonts w:ascii="Arial" w:cs="Arial" w:eastAsia="Arial" w:hAnsi="Arial"/>
          <w:sz w:val="18"/>
          <w:szCs w:val="18"/>
          <w:color w:val="auto"/>
        </w:rPr>
        <w:t xml:space="preserve">Cost of license fees and collaboration revenue was $0.7 million for the three months ended June 30, 2021. Under the terms of the China Out-License and our in-license agreement for lotilaner (see </w:t>
      </w:r>
      <w:r>
        <w:rPr>
          <w:rFonts w:ascii="Arial" w:cs="Arial" w:eastAsia="Arial" w:hAnsi="Arial"/>
          <w:sz w:val="18"/>
          <w:szCs w:val="18"/>
          <w:i w:val="1"/>
          <w:iCs w:val="1"/>
          <w:color w:val="auto"/>
        </w:rPr>
        <w:t>Note 8(b)</w:t>
      </w:r>
      <w:r>
        <w:rPr>
          <w:rFonts w:ascii="Arial" w:cs="Arial" w:eastAsia="Arial" w:hAnsi="Arial"/>
          <w:sz w:val="18"/>
          <w:szCs w:val="18"/>
          <w:color w:val="auto"/>
        </w:rPr>
        <w:t>), we recognized $0.7 million of associated expense in proportion to our recognized "license fee" and "collaboration revenue" in the same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firstLine="874"/>
        <w:spacing w:after="0" w:line="302" w:lineRule="auto"/>
        <w:rPr>
          <w:sz w:val="20"/>
          <w:szCs w:val="20"/>
          <w:color w:val="auto"/>
        </w:rPr>
      </w:pPr>
      <w:r>
        <w:rPr>
          <w:rFonts w:ascii="Arial" w:cs="Arial" w:eastAsia="Arial" w:hAnsi="Arial"/>
          <w:sz w:val="15"/>
          <w:szCs w:val="15"/>
          <w:color w:val="auto"/>
        </w:rPr>
        <w:t>Research and development expenses increased by $5.5 million for the three months ended June 30, 2021 as compared to the prior year period. The increase was primarily due to (i) increased clinical and preclinical study costs of $2.7 million, (ii) increased manufacturing and formulation costs of</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$1.0 million, and (iii) increased payroll and personnel-related costs, including stock-based compensation, of $1.3 million for additional employees to drive our product development initiatives.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17" w:lineRule="exact"/>
        <w:rPr>
          <w:sz w:val="20"/>
          <w:szCs w:val="20"/>
          <w:color w:val="auto"/>
        </w:rPr>
      </w:pPr>
    </w:p>
    <w:p>
      <w:pPr>
        <w:ind w:right="260" w:firstLine="874"/>
        <w:spacing w:after="0" w:line="252" w:lineRule="auto"/>
        <w:rPr>
          <w:sz w:val="20"/>
          <w:szCs w:val="20"/>
          <w:color w:val="auto"/>
        </w:rPr>
      </w:pPr>
      <w:r>
        <w:rPr>
          <w:rFonts w:ascii="Arial" w:cs="Arial" w:eastAsia="Arial" w:hAnsi="Arial"/>
          <w:sz w:val="18"/>
          <w:szCs w:val="18"/>
          <w:color w:val="auto"/>
        </w:rPr>
        <w:t>General and administrative expenses increased by $5.3 million for the three months ended June 30, 2021, as compared to the prior year period. The increase was primarily due to (i) $3.5 million increase in payroll and personnel-related costs, including stock-based compensation, for employee additions, (ii) increased insurance and other administrative costs of $0.8 million, (iii) increased professional fees of $0.6 million, and (iv) increased commercial and market research costs of $0.3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7" w:lineRule="exact"/>
        <w:rPr>
          <w:sz w:val="20"/>
          <w:szCs w:val="20"/>
          <w:color w:val="auto"/>
        </w:rPr>
      </w:pPr>
    </w:p>
    <w:p>
      <w:pPr>
        <w:ind w:right="60" w:firstLine="874"/>
        <w:spacing w:after="0" w:line="267" w:lineRule="auto"/>
        <w:rPr>
          <w:sz w:val="20"/>
          <w:szCs w:val="20"/>
          <w:color w:val="auto"/>
        </w:rPr>
      </w:pPr>
      <w:r>
        <w:rPr>
          <w:rFonts w:ascii="Arial" w:cs="Arial" w:eastAsia="Arial" w:hAnsi="Arial"/>
          <w:sz w:val="17"/>
          <w:szCs w:val="17"/>
          <w:color w:val="auto"/>
        </w:rPr>
        <w:t>We maintain a full "valuation allowance" against our net deferred tax assets as of June 30, 2021 and 2020 since we cannot conclude that these future benefits will be realized through the offset of our potential taxable income in the future. For the three months ended June 30, 2021, we recorded income tax expense of $29 thousand attributable to current federal and state income tax expense as a result of taxable income in those jurisdictions which cannot be fully offset by available net operating losses and credits. We used the year-to-date "effective tax rate method" to determine our interim income tax expense for federal and state jurisdictions where a reliable estimate of the annual effective tax rate could not be made. For the three and six months ended June 30, 2020, we did not record any income tax expense due to our incurred losses in that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3080" w:type="dxa"/>
            <w:vAlign w:val="bottom"/>
            <w:gridSpan w:val="6"/>
          </w:tcPr>
          <w:p>
            <w:pPr>
              <w:ind w:left="66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3"/>
        </w:trPr>
        <w:tc>
          <w:tcPr>
            <w:tcW w:w="670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Change</w:t>
            </w:r>
          </w:p>
        </w:tc>
      </w:tr>
      <w:tr>
        <w:trPr>
          <w:trHeight w:val="183"/>
        </w:trPr>
        <w:tc>
          <w:tcPr>
            <w:tcW w:w="6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License fees and collaboration revenue</w:t>
            </w:r>
          </w:p>
        </w:tc>
        <w:tc>
          <w:tcPr>
            <w:tcW w:w="860" w:type="dxa"/>
            <w:vAlign w:val="bottom"/>
            <w:tcBorders>
              <w:bottom w:val="single" w:sz="8" w:color="auto"/>
            </w:tcBorders>
          </w:tcPr>
          <w:p>
            <w:pPr>
              <w:jc w:val="right"/>
              <w:ind w:right="68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55,449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55,449</w:t>
            </w:r>
          </w:p>
        </w:tc>
      </w:tr>
      <w:tr>
        <w:trPr>
          <w:trHeight w:val="219"/>
        </w:trPr>
        <w:tc>
          <w:tcPr>
            <w:tcW w:w="6700" w:type="dxa"/>
            <w:vAlign w:val="bottom"/>
            <w:shd w:val="clear" w:color="auto" w:fill="CCEEFF"/>
          </w:tcPr>
          <w:p>
            <w:pPr>
              <w:ind w:left="660"/>
              <w:spacing w:after="0" w:line="205" w:lineRule="exact"/>
              <w:rPr>
                <w:sz w:val="20"/>
                <w:szCs w:val="20"/>
                <w:color w:val="auto"/>
              </w:rPr>
            </w:pPr>
            <w:r>
              <w:rPr>
                <w:rFonts w:ascii="Arial" w:cs="Arial" w:eastAsia="Arial" w:hAnsi="Arial"/>
                <w:sz w:val="18"/>
                <w:szCs w:val="18"/>
                <w:color w:val="auto"/>
              </w:rPr>
              <w:t>Total revenues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55,449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55,449</w:t>
            </w:r>
          </w:p>
        </w:tc>
      </w:tr>
      <w:tr>
        <w:trPr>
          <w:trHeight w:val="205"/>
        </w:trPr>
        <w:tc>
          <w:tcPr>
            <w:tcW w:w="6700" w:type="dxa"/>
            <w:vAlign w:val="bottom"/>
          </w:tcPr>
          <w:p>
            <w:pPr>
              <w:ind w:left="20"/>
              <w:spacing w:after="0" w:line="204" w:lineRule="exact"/>
              <w:rPr>
                <w:sz w:val="20"/>
                <w:szCs w:val="20"/>
                <w:color w:val="auto"/>
              </w:rPr>
            </w:pPr>
            <w:r>
              <w:rPr>
                <w:rFonts w:ascii="Arial" w:cs="Arial" w:eastAsia="Arial" w:hAnsi="Arial"/>
                <w:sz w:val="18"/>
                <w:szCs w:val="18"/>
                <w:color w:val="auto"/>
              </w:rPr>
              <w:t>Operating expenses:</w:t>
            </w:r>
          </w:p>
        </w:tc>
        <w:tc>
          <w:tcPr>
            <w:tcW w:w="8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2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license fees and collaboration revenue</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r>
      <w:tr>
        <w:trPr>
          <w:trHeight w:val="225"/>
        </w:trPr>
        <w:tc>
          <w:tcPr>
            <w:tcW w:w="67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23,465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20,216</w:t>
            </w:r>
          </w:p>
        </w:tc>
      </w:tr>
      <w:tr>
        <w:trPr>
          <w:trHeight w:val="22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11,954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9,822</w:t>
            </w:r>
          </w:p>
        </w:tc>
      </w:tr>
      <w:tr>
        <w:trPr>
          <w:trHeight w:val="218"/>
        </w:trPr>
        <w:tc>
          <w:tcPr>
            <w:tcW w:w="6700" w:type="dxa"/>
            <w:vAlign w:val="bottom"/>
            <w:tcBorders>
              <w:bottom w:val="single" w:sz="8" w:color="CCEEFF"/>
            </w:tcBorders>
          </w:tcPr>
          <w:p>
            <w:pPr>
              <w:ind w:left="660"/>
              <w:spacing w:after="0" w:line="204" w:lineRule="exact"/>
              <w:rPr>
                <w:sz w:val="20"/>
                <w:szCs w:val="20"/>
                <w:color w:val="auto"/>
              </w:rPr>
            </w:pPr>
            <w:r>
              <w:rPr>
                <w:rFonts w:ascii="Arial" w:cs="Arial" w:eastAsia="Arial" w:hAnsi="Arial"/>
                <w:sz w:val="18"/>
                <w:szCs w:val="18"/>
                <w:color w:val="auto"/>
              </w:rPr>
              <w:t>Total operating expenses</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37,453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32,072</w:t>
            </w:r>
          </w:p>
        </w:tc>
      </w:tr>
      <w:tr>
        <w:trPr>
          <w:trHeight w:val="219"/>
        </w:trPr>
        <w:tc>
          <w:tcPr>
            <w:tcW w:w="67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Income (loss) from operations before other income (expense) and income taxes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17,996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23,377</w:t>
            </w:r>
          </w:p>
        </w:tc>
      </w:tr>
      <w:tr>
        <w:trPr>
          <w:trHeight w:val="205"/>
        </w:trPr>
        <w:tc>
          <w:tcPr>
            <w:tcW w:w="6700" w:type="dxa"/>
            <w:vAlign w:val="bottom"/>
          </w:tcPr>
          <w:p>
            <w:pPr>
              <w:ind w:left="20"/>
              <w:spacing w:after="0" w:line="204" w:lineRule="exact"/>
              <w:rPr>
                <w:sz w:val="20"/>
                <w:szCs w:val="20"/>
                <w:color w:val="auto"/>
              </w:rPr>
            </w:pPr>
            <w:r>
              <w:rPr>
                <w:rFonts w:ascii="Arial" w:cs="Arial" w:eastAsia="Arial" w:hAnsi="Arial"/>
                <w:sz w:val="18"/>
                <w:szCs w:val="18"/>
                <w:color w:val="auto"/>
              </w:rPr>
              <w:t>Other (expense) income:</w:t>
            </w: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 (expense), net</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5"/>
        </w:trPr>
        <w:tc>
          <w:tcPr>
            <w:tcW w:w="670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convertible notes</w:t>
            </w: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700" w:type="dxa"/>
            <w:vAlign w:val="bottom"/>
          </w:tcPr>
          <w:p>
            <w:pPr>
              <w:ind w:left="340"/>
              <w:spacing w:after="0"/>
              <w:rPr>
                <w:sz w:val="20"/>
                <w:szCs w:val="20"/>
                <w:color w:val="auto"/>
              </w:rPr>
            </w:pPr>
            <w:r>
              <w:rPr>
                <w:rFonts w:ascii="Arial" w:cs="Arial" w:eastAsia="Arial" w:hAnsi="Arial"/>
                <w:sz w:val="18"/>
                <w:szCs w:val="18"/>
                <w:color w:val="auto"/>
              </w:rPr>
              <w:t>Change in fair value of equity warrant rights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(876)</w:t>
            </w:r>
          </w:p>
        </w:tc>
      </w:tr>
      <w:tr>
        <w:trPr>
          <w:trHeight w:val="219"/>
        </w:trPr>
        <w:tc>
          <w:tcPr>
            <w:tcW w:w="6700" w:type="dxa"/>
            <w:vAlign w:val="bottom"/>
            <w:tcBorders>
              <w:top w:val="single" w:sz="8" w:color="CCEEFF"/>
            </w:tcBorders>
            <w:shd w:val="clear" w:color="auto" w:fill="CCEEFF"/>
          </w:tcPr>
          <w:p>
            <w:pPr>
              <w:ind w:left="660"/>
              <w:spacing w:after="0" w:line="205" w:lineRule="exact"/>
              <w:rPr>
                <w:sz w:val="20"/>
                <w:szCs w:val="20"/>
                <w:color w:val="auto"/>
              </w:rPr>
            </w:pPr>
            <w:r>
              <w:rPr>
                <w:rFonts w:ascii="Arial" w:cs="Arial" w:eastAsia="Arial" w:hAnsi="Arial"/>
                <w:sz w:val="18"/>
                <w:szCs w:val="18"/>
                <w:color w:val="auto"/>
              </w:rPr>
              <w:t>Total income (expense), net</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r>
      <w:tr>
        <w:trPr>
          <w:trHeight w:val="218"/>
        </w:trPr>
        <w:tc>
          <w:tcPr>
            <w:tcW w:w="6700" w:type="dxa"/>
            <w:vAlign w:val="bottom"/>
          </w:tcPr>
          <w:p>
            <w:pPr>
              <w:ind w:left="340"/>
              <w:spacing w:after="0" w:line="204" w:lineRule="exact"/>
              <w:rPr>
                <w:sz w:val="20"/>
                <w:szCs w:val="20"/>
                <w:color w:val="auto"/>
              </w:rPr>
            </w:pPr>
            <w:r>
              <w:rPr>
                <w:rFonts w:ascii="Arial" w:cs="Arial" w:eastAsia="Arial" w:hAnsi="Arial"/>
                <w:sz w:val="18"/>
                <w:szCs w:val="18"/>
                <w:color w:val="auto"/>
              </w:rPr>
              <w:t>Provision for income taxes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43"/>
        </w:trPr>
        <w:tc>
          <w:tcPr>
            <w:tcW w:w="6700" w:type="dxa"/>
            <w:vAlign w:val="bottom"/>
            <w:tcBorders>
              <w:top w:val="single" w:sz="8" w:color="CCEEFF"/>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Net income (loss)</w:t>
            </w:r>
          </w:p>
        </w:tc>
        <w:tc>
          <w:tcPr>
            <w:tcW w:w="860" w:type="dxa"/>
            <w:vAlign w:val="bottom"/>
            <w:tcBorders>
              <w:top w:val="single" w:sz="8" w:color="auto"/>
              <w:bottom w:val="single" w:sz="8" w:color="auto"/>
            </w:tcBorders>
            <w:shd w:val="clear" w:color="auto" w:fill="CCEEFF"/>
          </w:tcPr>
          <w:p>
            <w:pPr>
              <w:jc w:val="right"/>
              <w:ind w:right="681"/>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16,721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 and Collaboration Revenue</w:t>
      </w:r>
    </w:p>
    <w:p>
      <w:pPr>
        <w:spacing w:after="0" w:line="217" w:lineRule="exact"/>
        <w:rPr>
          <w:sz w:val="20"/>
          <w:szCs w:val="20"/>
          <w:color w:val="auto"/>
        </w:rPr>
      </w:pPr>
    </w:p>
    <w:p>
      <w:pPr>
        <w:ind w:right="260" w:firstLine="874"/>
        <w:spacing w:after="0" w:line="255" w:lineRule="auto"/>
        <w:rPr>
          <w:sz w:val="20"/>
          <w:szCs w:val="20"/>
          <w:color w:val="auto"/>
        </w:rPr>
      </w:pPr>
      <w:r>
        <w:rPr>
          <w:rFonts w:ascii="Arial" w:cs="Arial" w:eastAsia="Arial" w:hAnsi="Arial"/>
          <w:sz w:val="18"/>
          <w:szCs w:val="18"/>
          <w:color w:val="auto"/>
        </w:rPr>
        <w:t xml:space="preserve">License fees and collaboration revenue was $55.4 million for the six months ended June 30, 2021, of which $52.4 million was attributable to license fees and $3.1 million was attributable to collaboration revenue. These revenue amounts are attributable to the portion of the China Out-License (see </w:t>
      </w:r>
      <w:r>
        <w:rPr>
          <w:rFonts w:ascii="Arial" w:cs="Arial" w:eastAsia="Arial" w:hAnsi="Arial"/>
          <w:sz w:val="18"/>
          <w:szCs w:val="18"/>
          <w:i w:val="1"/>
          <w:iCs w:val="1"/>
          <w:color w:val="auto"/>
        </w:rPr>
        <w:t>Note 9</w:t>
      </w:r>
      <w:r>
        <w:rPr>
          <w:rFonts w:ascii="Arial" w:cs="Arial" w:eastAsia="Arial" w:hAnsi="Arial"/>
          <w:sz w:val="18"/>
          <w:szCs w:val="18"/>
          <w:color w:val="auto"/>
        </w:rPr>
        <w:t>) contractual milestones that are fully or partially complete by</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June 30, 2021. These amounts respectively represent the satisfaction of the transfer of license rights to LianBio and the partial completion of clinical-related "performance obligations" stated in the China Out-License.</w:t>
      </w:r>
    </w:p>
    <w:p>
      <w:pPr>
        <w:spacing w:after="0" w:line="181" w:lineRule="exact"/>
        <w:rPr>
          <w:sz w:val="20"/>
          <w:szCs w:val="20"/>
          <w:color w:val="auto"/>
        </w:rPr>
      </w:pPr>
    </w:p>
    <w:p>
      <w:pPr>
        <w:jc w:val="both"/>
        <w:ind w:right="120" w:firstLine="874"/>
        <w:spacing w:after="0" w:line="330" w:lineRule="auto"/>
        <w:rPr>
          <w:sz w:val="20"/>
          <w:szCs w:val="20"/>
          <w:color w:val="auto"/>
        </w:rPr>
      </w:pPr>
      <w:r>
        <w:rPr>
          <w:rFonts w:ascii="Arial" w:cs="Arial" w:eastAsia="Arial" w:hAnsi="Arial"/>
          <w:sz w:val="15"/>
          <w:szCs w:val="15"/>
          <w:color w:val="auto"/>
        </w:rPr>
        <w:t>We will recognize additional "license fee and collaboration revenue" as these performance obligations are further satisfied or other events occur, specifically related to (i) milestone payments upon TP-03 pivotal trial completion and the delivery of associated clinical data and reports to our licensee, (ii) achievement of regulatory events that trigger milestone payments, and (iii) our licensee's sales of TP-03 in the China Territory.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License Fees and Collaboration Revenue</w:t>
      </w:r>
    </w:p>
    <w:p>
      <w:pPr>
        <w:spacing w:after="0" w:line="217" w:lineRule="exact"/>
        <w:rPr>
          <w:sz w:val="20"/>
          <w:szCs w:val="20"/>
          <w:color w:val="auto"/>
        </w:rPr>
      </w:pPr>
    </w:p>
    <w:p>
      <w:pPr>
        <w:ind w:right="80" w:firstLine="874"/>
        <w:spacing w:after="0" w:line="255" w:lineRule="auto"/>
        <w:rPr>
          <w:sz w:val="20"/>
          <w:szCs w:val="20"/>
          <w:color w:val="auto"/>
        </w:rPr>
      </w:pPr>
      <w:r>
        <w:rPr>
          <w:rFonts w:ascii="Arial" w:cs="Arial" w:eastAsia="Arial" w:hAnsi="Arial"/>
          <w:sz w:val="18"/>
          <w:szCs w:val="18"/>
          <w:color w:val="auto"/>
        </w:rPr>
        <w:t xml:space="preserve">Cost of license fees and collaboration revenue was $2.0 million for the six months ended June 30, 2021. Under the terms of the China Out-License, and our in-license agreement for lotilaner (see </w:t>
      </w:r>
      <w:r>
        <w:rPr>
          <w:rFonts w:ascii="Arial" w:cs="Arial" w:eastAsia="Arial" w:hAnsi="Arial"/>
          <w:sz w:val="18"/>
          <w:szCs w:val="18"/>
          <w:i w:val="1"/>
          <w:iCs w:val="1"/>
          <w:color w:val="auto"/>
        </w:rPr>
        <w:t>Note 8(b)</w:t>
      </w:r>
      <w:r>
        <w:rPr>
          <w:rFonts w:ascii="Arial" w:cs="Arial" w:eastAsia="Arial" w:hAnsi="Arial"/>
          <w:sz w:val="18"/>
          <w:szCs w:val="18"/>
          <w:color w:val="auto"/>
        </w:rPr>
        <w:t>), we recognized $2.0 million of associated expense in proportion to our recognized "license fee" and "collaboration revenue" in the same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7" w:lineRule="exact"/>
        <w:rPr>
          <w:sz w:val="20"/>
          <w:szCs w:val="20"/>
          <w:color w:val="auto"/>
        </w:rPr>
      </w:pPr>
    </w:p>
    <w:p>
      <w:pPr>
        <w:ind w:firstLine="874"/>
        <w:spacing w:after="0" w:line="298" w:lineRule="auto"/>
        <w:rPr>
          <w:sz w:val="20"/>
          <w:szCs w:val="20"/>
          <w:color w:val="auto"/>
        </w:rPr>
      </w:pPr>
      <w:r>
        <w:rPr>
          <w:rFonts w:ascii="Arial" w:cs="Arial" w:eastAsia="Arial" w:hAnsi="Arial"/>
          <w:sz w:val="15"/>
          <w:szCs w:val="15"/>
          <w:color w:val="auto"/>
        </w:rPr>
        <w:t>Research and development expenses increased by $20.2 million for the six months ended June 30, 2021 as compared to the prior year period. The increase was primarily due to (i) payment to our licensor in the form of issuance of 187,500 shares of our common stock valued at $5.5 million in March 2021 (at our early-extension of exclusive rights to lotilaner in "all other" diseases and conditions in humans), (ii) clinical milestone expense of $2.0 million that became payable in March 2021 to our licensor in connection with the commencement of Saturn-2, our second U.S. pivotal trial for the treatment of Demodex blepharitis, (iii) increased clinical and preclinical study costs of $7.9 million, (iv) increased manufacturing and formulation costs of $2.2 million, and</w:t>
      </w:r>
    </w:p>
    <w:p>
      <w:pPr>
        <w:spacing w:after="0" w:line="1" w:lineRule="exact"/>
        <w:rPr>
          <w:sz w:val="20"/>
          <w:szCs w:val="20"/>
          <w:color w:val="auto"/>
        </w:rPr>
      </w:pPr>
    </w:p>
    <w:p>
      <w:pPr>
        <w:ind w:right="720" w:firstLine="6"/>
        <w:spacing w:after="0" w:line="251" w:lineRule="auto"/>
        <w:tabs>
          <w:tab w:leader="none" w:pos="2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payroll and personnel-related costs, including stock-based compensation, of $2.2 million for additional employees to drive our product development initiatives.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17" w:lineRule="exact"/>
        <w:rPr>
          <w:sz w:val="20"/>
          <w:szCs w:val="20"/>
          <w:color w:val="auto"/>
        </w:rPr>
      </w:pPr>
    </w:p>
    <w:p>
      <w:pPr>
        <w:ind w:right="60" w:firstLine="874"/>
        <w:spacing w:after="0" w:line="330" w:lineRule="auto"/>
        <w:rPr>
          <w:sz w:val="20"/>
          <w:szCs w:val="20"/>
          <w:color w:val="auto"/>
        </w:rPr>
      </w:pPr>
      <w:r>
        <w:rPr>
          <w:rFonts w:ascii="Arial" w:cs="Arial" w:eastAsia="Arial" w:hAnsi="Arial"/>
          <w:sz w:val="15"/>
          <w:szCs w:val="15"/>
          <w:color w:val="auto"/>
        </w:rPr>
        <w:t>General and administrative expenses increased by $9.8 million for the six months ended June 30, 2021. The increase was primarily due to (i) $5.4 million increase in payroll and personnel-related costs, including stock-based compensation, for employee additions, (ii) increased insurance and other administrative costs of $1.7 million, (iii) increased professional fees of $1.3 million, and (iv) increased commercial and market research costs of $1.3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17" w:lineRule="exact"/>
        <w:rPr>
          <w:sz w:val="20"/>
          <w:szCs w:val="20"/>
          <w:color w:val="auto"/>
        </w:rPr>
      </w:pPr>
    </w:p>
    <w:p>
      <w:pPr>
        <w:ind w:right="20" w:firstLine="874"/>
        <w:spacing w:after="0" w:line="264" w:lineRule="auto"/>
        <w:rPr>
          <w:sz w:val="20"/>
          <w:szCs w:val="20"/>
          <w:color w:val="auto"/>
        </w:rPr>
      </w:pPr>
      <w:r>
        <w:rPr>
          <w:rFonts w:ascii="Arial" w:cs="Arial" w:eastAsia="Arial" w:hAnsi="Arial"/>
          <w:sz w:val="18"/>
          <w:szCs w:val="18"/>
          <w:color w:val="auto"/>
        </w:rPr>
        <w:t>The decrease in other (expense) income, net of $1.1 million was primarily due to lower interest income on our U.S. Treasury money market funds and removal of capitalized leasehold improvements for a terminated lease.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7" w:lineRule="exact"/>
        <w:rPr>
          <w:sz w:val="20"/>
          <w:szCs w:val="20"/>
          <w:color w:val="auto"/>
        </w:rPr>
      </w:pPr>
    </w:p>
    <w:p>
      <w:pPr>
        <w:ind w:right="20" w:firstLine="874"/>
        <w:spacing w:after="0" w:line="267" w:lineRule="auto"/>
        <w:rPr>
          <w:sz w:val="20"/>
          <w:szCs w:val="20"/>
          <w:color w:val="auto"/>
        </w:rPr>
      </w:pPr>
      <w:r>
        <w:rPr>
          <w:rFonts w:ascii="Arial" w:cs="Arial" w:eastAsia="Arial" w:hAnsi="Arial"/>
          <w:sz w:val="17"/>
          <w:szCs w:val="17"/>
          <w:color w:val="auto"/>
        </w:rPr>
        <w:t>We maintain a full "valuation allowance" against our net deferred tax assets as of June 30, 2021 and 2020 since we cannot conclude that these future benefits will be realized through the offset of our potential taxable income in the future. For the six months ended June 30, 2021, we recorded income tax expense of $0.3 million attributable to current federal and state income tax expense as a result of taxable income in those jurisdictions which cannot be fully offset by available net operating losses and credits. We used the year-to-date "effective tax rate method" to determine our interim income tax expense for federal and state jurisdictions where a reliable estimate of the annual effective tax rate could not be made. For the three and six months ended June 30, 2020, we did not record any income tax expense due to our incurred losses in that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17" w:lineRule="exact"/>
        <w:rPr>
          <w:sz w:val="20"/>
          <w:szCs w:val="20"/>
          <w:color w:val="auto"/>
        </w:rPr>
      </w:pPr>
    </w:p>
    <w:p>
      <w:pPr>
        <w:jc w:val="both"/>
        <w:ind w:right="60" w:firstLine="874"/>
        <w:spacing w:after="0" w:line="277" w:lineRule="auto"/>
        <w:rPr>
          <w:sz w:val="20"/>
          <w:szCs w:val="20"/>
          <w:color w:val="auto"/>
        </w:rPr>
      </w:pPr>
      <w:r>
        <w:rPr>
          <w:rFonts w:ascii="Arial" w:cs="Arial" w:eastAsia="Arial" w:hAnsi="Arial"/>
          <w:sz w:val="17"/>
          <w:szCs w:val="17"/>
          <w:color w:val="auto"/>
        </w:rPr>
        <w:t>We will continue to be dependent upon equity, debt financing, and/or other forms of capital raises at least until we are able to generate significant ongoing positive cash flows from our operations. As of June 30, 2021, we had cash and cash equivalents of $176.7 million and accounts receivable from our licensee of $20 million for a clinical milestone achieved in June 2021 and expect collection by September 30, 2021.</w:t>
      </w:r>
    </w:p>
    <w:p>
      <w:pPr>
        <w:spacing w:after="0" w:line="171" w:lineRule="exact"/>
        <w:rPr>
          <w:sz w:val="20"/>
          <w:szCs w:val="20"/>
          <w:color w:val="auto"/>
        </w:rPr>
      </w:pPr>
    </w:p>
    <w:p>
      <w:pPr>
        <w:jc w:val="both"/>
        <w:ind w:right="80" w:firstLine="874"/>
        <w:spacing w:after="0" w:line="255" w:lineRule="auto"/>
        <w:rPr>
          <w:sz w:val="20"/>
          <w:szCs w:val="20"/>
          <w:color w:val="auto"/>
        </w:rPr>
      </w:pPr>
      <w:r>
        <w:rPr>
          <w:rFonts w:ascii="Arial" w:cs="Arial" w:eastAsia="Arial" w:hAnsi="Arial"/>
          <w:sz w:val="18"/>
          <w:szCs w:val="18"/>
          <w:color w:val="auto"/>
        </w:rPr>
        <w:t>Since our inception in 2016 through June 30, 2021, our operations have been substantially financed by cash proceeds from private placements of preferred stock, our IPO proceeds, and China Out-License consideration. As part of our IPO, we sold 6,325,000 shares of our common stock (inclusive of the full exercise of the underwriters’ option to purchase an</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additional 825,000 shares of our common stock). After deducting underwriting discounts and commissions and other related expenses, our IPO proceeds were $91.7 million.</w:t>
      </w:r>
    </w:p>
    <w:p>
      <w:pPr>
        <w:spacing w:after="0" w:line="181" w:lineRule="exact"/>
        <w:rPr>
          <w:sz w:val="20"/>
          <w:szCs w:val="20"/>
          <w:color w:val="auto"/>
        </w:rPr>
      </w:pPr>
    </w:p>
    <w:p>
      <w:pPr>
        <w:ind w:right="80" w:firstLine="874"/>
        <w:spacing w:after="0" w:line="250" w:lineRule="auto"/>
        <w:rPr>
          <w:sz w:val="20"/>
          <w:szCs w:val="20"/>
          <w:color w:val="auto"/>
        </w:rPr>
      </w:pPr>
      <w:r>
        <w:rPr>
          <w:rFonts w:ascii="Arial" w:cs="Arial" w:eastAsia="Arial" w:hAnsi="Arial"/>
          <w:sz w:val="18"/>
          <w:szCs w:val="18"/>
          <w:color w:val="auto"/>
        </w:rPr>
        <w:t xml:space="preserve">In April and May 2021, we received $25 million of initial proceeds from our licensee as part of the execution of our China Out-License (see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9</w:t>
      </w:r>
      <w:r>
        <w:rPr>
          <w:rFonts w:ascii="Arial" w:cs="Arial" w:eastAsia="Arial" w:hAnsi="Arial"/>
          <w:sz w:val="18"/>
          <w:szCs w:val="18"/>
          <w:color w:val="auto"/>
        </w:rPr>
        <w:t>) and received an additional $10 million in June 2021 for the achievement of a clinical milestone. We expect to receive an additional $20 million by</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and $15 million by March 31, 2022, for $70 million in aggregate proceeds within 12 months following agreement execution. The remaining $130 million of potential milestones under this license will be received upon future clinical/regulatory and sales achievements within the China Territory.</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currently have no ongoing material financing commitments, such as lines of credit or guarantees.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17" w:lineRule="exact"/>
        <w:rPr>
          <w:sz w:val="20"/>
          <w:szCs w:val="20"/>
          <w:color w:val="auto"/>
        </w:rPr>
      </w:pPr>
    </w:p>
    <w:p>
      <w:pPr>
        <w:ind w:right="160" w:firstLine="874"/>
        <w:spacing w:after="0" w:line="330" w:lineRule="auto"/>
        <w:rPr>
          <w:sz w:val="20"/>
          <w:szCs w:val="20"/>
          <w:color w:val="auto"/>
        </w:rPr>
      </w:pPr>
      <w:r>
        <w:rPr>
          <w:rFonts w:ascii="Arial" w:cs="Arial" w:eastAsia="Arial" w:hAnsi="Arial"/>
          <w:sz w:val="15"/>
          <w:szCs w:val="15"/>
          <w:color w:val="auto"/>
        </w:rPr>
        <w:t>Our current cash balance funds our operating expenditures and other working capital requirements. Our operating expenditures currently consist of research and development expenses (including activities within our preclinical, clinical, regulatory, and drug manufacturing initiatives) and general and administrative expenses. Our use of cash is impacted by the timing and extent of payments for each of these activities and other business requirements.</w:t>
      </w:r>
    </w:p>
    <w:p>
      <w:pPr>
        <w:spacing w:after="0" w:line="137" w:lineRule="exact"/>
        <w:rPr>
          <w:sz w:val="20"/>
          <w:szCs w:val="20"/>
          <w:color w:val="auto"/>
        </w:rPr>
      </w:pPr>
    </w:p>
    <w:p>
      <w:pPr>
        <w:ind w:firstLine="874"/>
        <w:spacing w:after="0" w:line="318" w:lineRule="auto"/>
        <w:rPr>
          <w:sz w:val="20"/>
          <w:szCs w:val="20"/>
          <w:color w:val="auto"/>
        </w:rPr>
      </w:pPr>
      <w:r>
        <w:rPr>
          <w:rFonts w:ascii="Arial" w:cs="Arial" w:eastAsia="Arial" w:hAnsi="Arial"/>
          <w:sz w:val="15"/>
          <w:szCs w:val="15"/>
          <w:color w:val="auto"/>
        </w:rPr>
        <w:t>We believe that our cash and cash equivalents of $176.7 million as of June 30, 2021 and our expected total $35 million of additional proceeds from the China Out-Licensee by March 2022 will enable us to fund our operating expenses and capital expenditure requirements into the first half of 2023. We have based this cash runway estimate on our current assumptions that may require future adjustments as part of our ongoing business decisions within pipeline development and our other corporate initiatives. Accordingly, we may require additional capital resources earlier than we currently expect.</w:t>
      </w:r>
    </w:p>
    <w:p>
      <w:pPr>
        <w:spacing w:after="0" w:line="146" w:lineRule="exact"/>
        <w:rPr>
          <w:sz w:val="20"/>
          <w:szCs w:val="20"/>
          <w:color w:val="auto"/>
        </w:rPr>
      </w:pPr>
    </w:p>
    <w:p>
      <w:pPr>
        <w:ind w:right="40" w:firstLine="874"/>
        <w:spacing w:after="0" w:line="252" w:lineRule="auto"/>
        <w:rPr>
          <w:sz w:val="20"/>
          <w:szCs w:val="20"/>
          <w:color w:val="auto"/>
        </w:rPr>
      </w:pPr>
      <w:r>
        <w:rPr>
          <w:rFonts w:ascii="Arial" w:cs="Arial" w:eastAsia="Arial" w:hAnsi="Arial"/>
          <w:sz w:val="18"/>
          <w:szCs w:val="18"/>
          <w:color w:val="auto"/>
        </w:rPr>
        <w:t>To date, we have not generated any product sales (separate from our reported "license fee and collaboration revenue" discussed above). We do not expect to report any product revenue unless and until we (1) complete development of any of our product candidates; (2) obtain applicable regulatory approvals; and then (3) successfully commercialize or enter into other collaborative agreements for our product candidates with third parties. We do not know with certainty when, or if, any of these items will ultimately occur.</w:t>
      </w:r>
    </w:p>
    <w:p>
      <w:pPr>
        <w:spacing w:after="0" w:line="191" w:lineRule="exact"/>
        <w:rPr>
          <w:sz w:val="20"/>
          <w:szCs w:val="20"/>
          <w:color w:val="auto"/>
        </w:rPr>
      </w:pPr>
    </w:p>
    <w:p>
      <w:pPr>
        <w:ind w:right="140" w:firstLine="874"/>
        <w:spacing w:after="0" w:line="255" w:lineRule="auto"/>
        <w:rPr>
          <w:sz w:val="20"/>
          <w:szCs w:val="20"/>
          <w:color w:val="auto"/>
        </w:rPr>
      </w:pPr>
      <w:r>
        <w:rPr>
          <w:rFonts w:ascii="Arial" w:cs="Arial" w:eastAsia="Arial" w:hAnsi="Arial"/>
          <w:sz w:val="18"/>
          <w:szCs w:val="18"/>
          <w:color w:val="auto"/>
        </w:rPr>
        <w:t>We expect to incur significant operating losses for the foreseeable future, and expect these losses to further increase, as we ramp up our clinical development programs and begin activities for commercial launch readiness. We may also encounter unforeseen expenses, difficulties, complications, delays and other currently unknown factors that could adversely affect our business.</w:t>
      </w:r>
    </w:p>
    <w:p>
      <w:pPr>
        <w:spacing w:after="0" w:line="188" w:lineRule="exact"/>
        <w:rPr>
          <w:sz w:val="20"/>
          <w:szCs w:val="20"/>
          <w:color w:val="auto"/>
        </w:rPr>
      </w:pPr>
    </w:p>
    <w:p>
      <w:pPr>
        <w:ind w:right="500" w:firstLine="874"/>
        <w:spacing w:after="0" w:line="264" w:lineRule="auto"/>
        <w:rPr>
          <w:sz w:val="20"/>
          <w:szCs w:val="20"/>
          <w:color w:val="auto"/>
        </w:rPr>
      </w:pPr>
      <w:r>
        <w:rPr>
          <w:rFonts w:ascii="Arial" w:cs="Arial" w:eastAsia="Arial" w:hAnsi="Arial"/>
          <w:sz w:val="18"/>
          <w:szCs w:val="18"/>
          <w:color w:val="auto"/>
        </w:rPr>
        <w:t>We will require additional capital to fully develop our product candidates and to execute our business strategy. Our requirements of a future capital raise will depend on many factors, including:</w:t>
      </w:r>
    </w:p>
    <w:p>
      <w:pPr>
        <w:spacing w:after="0" w:line="181" w:lineRule="exact"/>
        <w:rPr>
          <w:sz w:val="20"/>
          <w:szCs w:val="20"/>
          <w:color w:val="auto"/>
        </w:rPr>
      </w:pPr>
    </w:p>
    <w:p>
      <w:pPr>
        <w:ind w:left="1000" w:right="20" w:hanging="318"/>
        <w:spacing w:after="0" w:line="264" w:lineRule="auto"/>
        <w:tabs>
          <w:tab w:leader="none" w:pos="9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timing, rate of progress and costs of our drug discovery efforts, preclinical development activities, laboratory testing and clinical trials for our product candidates;</w:t>
      </w:r>
    </w:p>
    <w:p>
      <w:pPr>
        <w:spacing w:after="0" w:line="180" w:lineRule="exact"/>
        <w:rPr>
          <w:rFonts w:ascii="Arial" w:cs="Arial" w:eastAsia="Arial" w:hAnsi="Arial"/>
          <w:sz w:val="18"/>
          <w:szCs w:val="18"/>
          <w:color w:val="auto"/>
        </w:rPr>
      </w:pPr>
    </w:p>
    <w:p>
      <w:pPr>
        <w:ind w:left="1000" w:hanging="31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217" w:lineRule="exact"/>
        <w:rPr>
          <w:rFonts w:ascii="Arial" w:cs="Arial" w:eastAsia="Arial" w:hAnsi="Arial"/>
          <w:sz w:val="18"/>
          <w:szCs w:val="18"/>
          <w:color w:val="auto"/>
        </w:rPr>
      </w:pPr>
    </w:p>
    <w:p>
      <w:pPr>
        <w:ind w:left="1000" w:hanging="31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timing and outcome of preparing for and undergoing regulatory review of our product candidates;</w:t>
      </w:r>
    </w:p>
    <w:p>
      <w:pPr>
        <w:spacing w:after="0" w:line="217" w:lineRule="exact"/>
        <w:rPr>
          <w:rFonts w:ascii="Arial" w:cs="Arial" w:eastAsia="Arial" w:hAnsi="Arial"/>
          <w:sz w:val="18"/>
          <w:szCs w:val="18"/>
          <w:color w:val="auto"/>
        </w:rPr>
      </w:pPr>
    </w:p>
    <w:p>
      <w:pPr>
        <w:ind w:left="1000" w:hanging="31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and costs of development and commercial manufacturing activities;</w:t>
      </w:r>
    </w:p>
    <w:p>
      <w:pPr>
        <w:spacing w:after="0" w:line="217" w:lineRule="exact"/>
        <w:rPr>
          <w:rFonts w:ascii="Arial" w:cs="Arial" w:eastAsia="Arial" w:hAnsi="Arial"/>
          <w:sz w:val="18"/>
          <w:szCs w:val="18"/>
          <w:color w:val="auto"/>
        </w:rPr>
      </w:pPr>
    </w:p>
    <w:p>
      <w:pPr>
        <w:ind w:left="1000" w:hanging="31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217" w:lineRule="exact"/>
        <w:rPr>
          <w:rFonts w:ascii="Arial" w:cs="Arial" w:eastAsia="Arial" w:hAnsi="Arial"/>
          <w:sz w:val="18"/>
          <w:szCs w:val="18"/>
          <w:color w:val="auto"/>
        </w:rPr>
      </w:pPr>
    </w:p>
    <w:p>
      <w:pPr>
        <w:ind w:left="1000" w:right="740" w:hanging="318"/>
        <w:spacing w:after="0" w:line="264" w:lineRule="auto"/>
        <w:tabs>
          <w:tab w:leader="none" w:pos="9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of revenue, if any, received from commercial sales of our product candidates, should any of our product candidates receive marketing approval;</w:t>
      </w:r>
    </w:p>
    <w:p>
      <w:pPr>
        <w:spacing w:after="0" w:line="180" w:lineRule="exact"/>
        <w:rPr>
          <w:rFonts w:ascii="Arial" w:cs="Arial" w:eastAsia="Arial" w:hAnsi="Arial"/>
          <w:sz w:val="18"/>
          <w:szCs w:val="18"/>
          <w:color w:val="auto"/>
        </w:rPr>
      </w:pPr>
    </w:p>
    <w:p>
      <w:pPr>
        <w:ind w:left="1000" w:right="100" w:hanging="318"/>
        <w:spacing w:after="0" w:line="264" w:lineRule="auto"/>
        <w:tabs>
          <w:tab w:leader="none" w:pos="9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collaboration agreements we might have at such time;</w:t>
      </w:r>
    </w:p>
    <w:p>
      <w:pPr>
        <w:spacing w:after="0" w:line="180" w:lineRule="exact"/>
        <w:rPr>
          <w:rFonts w:ascii="Arial" w:cs="Arial" w:eastAsia="Arial" w:hAnsi="Arial"/>
          <w:sz w:val="18"/>
          <w:szCs w:val="18"/>
          <w:color w:val="auto"/>
        </w:rPr>
      </w:pPr>
    </w:p>
    <w:p>
      <w:pPr>
        <w:ind w:left="1000" w:hanging="31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17" w:lineRule="exact"/>
        <w:rPr>
          <w:rFonts w:ascii="Arial" w:cs="Arial" w:eastAsia="Arial" w:hAnsi="Arial"/>
          <w:sz w:val="18"/>
          <w:szCs w:val="18"/>
          <w:color w:val="auto"/>
        </w:rPr>
      </w:pPr>
    </w:p>
    <w:p>
      <w:pPr>
        <w:ind w:left="1000" w:right="200" w:hanging="318"/>
        <w:spacing w:after="0" w:line="264" w:lineRule="auto"/>
        <w:tabs>
          <w:tab w:leader="none" w:pos="9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and trademark applications, maintaining and enforcing our intellectual property rights and defending intellectual property-related claims;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00" w:hanging="31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217" w:lineRule="exact"/>
        <w:rPr>
          <w:rFonts w:ascii="Arial" w:cs="Arial" w:eastAsia="Arial" w:hAnsi="Arial"/>
          <w:sz w:val="18"/>
          <w:szCs w:val="18"/>
          <w:color w:val="auto"/>
        </w:rPr>
      </w:pPr>
    </w:p>
    <w:p>
      <w:pPr>
        <w:ind w:left="1000" w:right="500" w:hanging="318"/>
        <w:spacing w:after="0" w:line="294" w:lineRule="auto"/>
        <w:tabs>
          <w:tab w:leader="none" w:pos="9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efforts to enhance operational systems and our ability to attract, hire and retain qualified personnel, including personnel to support the development of our product candidates and, ultimately, the sale of our products, following FDA approval;</w:t>
      </w:r>
    </w:p>
    <w:p>
      <w:pPr>
        <w:spacing w:after="0" w:line="157" w:lineRule="exact"/>
        <w:rPr>
          <w:rFonts w:ascii="Arial" w:cs="Arial" w:eastAsia="Arial" w:hAnsi="Arial"/>
          <w:sz w:val="17"/>
          <w:szCs w:val="17"/>
          <w:color w:val="auto"/>
        </w:rPr>
      </w:pPr>
    </w:p>
    <w:p>
      <w:pPr>
        <w:ind w:left="1000" w:hanging="31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implementation of various computerized information systems;</w:t>
      </w:r>
    </w:p>
    <w:p>
      <w:pPr>
        <w:spacing w:after="0" w:line="217" w:lineRule="exact"/>
        <w:rPr>
          <w:rFonts w:ascii="Arial" w:cs="Arial" w:eastAsia="Arial" w:hAnsi="Arial"/>
          <w:sz w:val="18"/>
          <w:szCs w:val="18"/>
          <w:color w:val="auto"/>
        </w:rPr>
      </w:pPr>
    </w:p>
    <w:p>
      <w:pPr>
        <w:ind w:left="1000" w:hanging="31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impact of COVID-19 on our clinical development or operations; and</w:t>
      </w:r>
    </w:p>
    <w:p>
      <w:pPr>
        <w:spacing w:after="0" w:line="217" w:lineRule="exact"/>
        <w:rPr>
          <w:rFonts w:ascii="Arial" w:cs="Arial" w:eastAsia="Arial" w:hAnsi="Arial"/>
          <w:sz w:val="18"/>
          <w:szCs w:val="18"/>
          <w:color w:val="auto"/>
        </w:rPr>
      </w:pPr>
    </w:p>
    <w:p>
      <w:pPr>
        <w:ind w:left="1000" w:hanging="31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17" w:lineRule="exact"/>
        <w:rPr>
          <w:sz w:val="20"/>
          <w:szCs w:val="20"/>
          <w:color w:val="auto"/>
        </w:rPr>
      </w:pPr>
    </w:p>
    <w:p>
      <w:pPr>
        <w:ind w:right="40" w:firstLine="874"/>
        <w:spacing w:after="0" w:line="265" w:lineRule="auto"/>
        <w:rPr>
          <w:sz w:val="20"/>
          <w:szCs w:val="20"/>
          <w:color w:val="auto"/>
        </w:rPr>
      </w:pPr>
      <w:r>
        <w:rPr>
          <w:rFonts w:ascii="Arial" w:cs="Arial" w:eastAsia="Arial" w:hAnsi="Arial"/>
          <w:sz w:val="17"/>
          <w:szCs w:val="17"/>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185" w:lineRule="exact"/>
        <w:rPr>
          <w:sz w:val="20"/>
          <w:szCs w:val="20"/>
          <w:color w:val="auto"/>
        </w:rPr>
      </w:pPr>
    </w:p>
    <w:p>
      <w:pPr>
        <w:ind w:right="20" w:firstLine="874"/>
        <w:spacing w:after="0" w:line="306" w:lineRule="auto"/>
        <w:rPr>
          <w:sz w:val="20"/>
          <w:szCs w:val="20"/>
          <w:color w:val="auto"/>
        </w:rPr>
      </w:pPr>
      <w:r>
        <w:rPr>
          <w:rFonts w:ascii="Arial" w:cs="Arial" w:eastAsia="Arial" w:hAnsi="Arial"/>
          <w:sz w:val="15"/>
          <w:szCs w:val="15"/>
          <w:color w:val="auto"/>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titled “Risk Factors” in this report for additional risks associated with our substantial capital requirements.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 sets forth the primary sources and uses of cash, cash equivalents and restricted cash for each of the periods presented below:</w:t>
      </w:r>
    </w:p>
    <w:p>
      <w:pPr>
        <w:spacing w:after="0" w:line="269"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Six Months Ended</w:t>
      </w:r>
    </w:p>
    <w:p>
      <w:pPr>
        <w:jc w:val="center"/>
        <w:ind w:left="8260"/>
        <w:spacing w:after="0"/>
        <w:rPr>
          <w:sz w:val="20"/>
          <w:szCs w:val="20"/>
          <w:color w:val="auto"/>
        </w:rPr>
      </w:pPr>
      <w:r>
        <w:rPr>
          <w:rFonts w:ascii="Arial" w:cs="Arial" w:eastAsia="Arial" w:hAnsi="Arial"/>
          <w:sz w:val="14"/>
          <w:szCs w:val="14"/>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179"/>
        </w:trPr>
        <w:tc>
          <w:tcPr>
            <w:tcW w:w="8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828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900" w:type="dxa"/>
            <w:vAlign w:val="bottom"/>
          </w:tcPr>
          <w:p>
            <w:pPr>
              <w:jc w:val="right"/>
              <w:ind w:right="718"/>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8,757</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(4,553)</w:t>
            </w:r>
          </w:p>
        </w:tc>
      </w:tr>
      <w:tr>
        <w:trPr>
          <w:trHeight w:val="226"/>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25"/>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Financing activities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828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Net increase (decrease) in cash, cash equivalents and restricted cash</w:t>
            </w:r>
          </w:p>
        </w:tc>
        <w:tc>
          <w:tcPr>
            <w:tcW w:w="900" w:type="dxa"/>
            <w:vAlign w:val="bottom"/>
            <w:tcBorders>
              <w:bottom w:val="single" w:sz="8" w:color="auto"/>
            </w:tcBorders>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8,586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 Cash Provided by (Used in) Operating Activities</w:t>
      </w:r>
    </w:p>
    <w:p>
      <w:pPr>
        <w:spacing w:after="0" w:line="217" w:lineRule="exact"/>
        <w:rPr>
          <w:sz w:val="20"/>
          <w:szCs w:val="20"/>
          <w:color w:val="auto"/>
        </w:rPr>
      </w:pPr>
    </w:p>
    <w:p>
      <w:pPr>
        <w:jc w:val="both"/>
        <w:ind w:right="200" w:firstLine="874"/>
        <w:spacing w:after="0" w:line="318" w:lineRule="auto"/>
        <w:rPr>
          <w:sz w:val="20"/>
          <w:szCs w:val="20"/>
          <w:color w:val="auto"/>
        </w:rPr>
      </w:pPr>
      <w:r>
        <w:rPr>
          <w:rFonts w:ascii="Arial" w:cs="Arial" w:eastAsia="Arial" w:hAnsi="Arial"/>
          <w:sz w:val="15"/>
          <w:szCs w:val="15"/>
          <w:color w:val="auto"/>
        </w:rPr>
        <w:t xml:space="preserve">Net cash provided by operating activities was $8.8 million for the six months ended June 30, 2021. We recognized $55.4 million of license fee and collaboration revenue, though we received $35 million in cash in the current six-month period in connection with the China Out-License transaction. In the current six-month period, our cash payments to vendors for our operating activities totaled $17.4 million and payroll-related cash payments (inclusive of 2020 bonus payouts) totaled $4.6 million. In addition, we made contractual payments of $4.5 million to our intellectual property licensor (see </w:t>
      </w:r>
      <w:r>
        <w:rPr>
          <w:rFonts w:ascii="Arial" w:cs="Arial" w:eastAsia="Arial" w:hAnsi="Arial"/>
          <w:sz w:val="15"/>
          <w:szCs w:val="15"/>
          <w:i w:val="1"/>
          <w:iCs w:val="1"/>
          <w:color w:val="auto"/>
        </w:rPr>
        <w:t>Note 8(b)</w:t>
      </w:r>
      <w:r>
        <w:rPr>
          <w:rFonts w:ascii="Arial" w:cs="Arial" w:eastAsia="Arial" w:hAnsi="Arial"/>
          <w:sz w:val="15"/>
          <w:szCs w:val="15"/>
          <w:color w:val="auto"/>
        </w:rPr>
        <w:t>).</w:t>
      </w:r>
    </w:p>
    <w:p>
      <w:pPr>
        <w:spacing w:after="0" w:line="146" w:lineRule="exact"/>
        <w:rPr>
          <w:sz w:val="20"/>
          <w:szCs w:val="20"/>
          <w:color w:val="auto"/>
        </w:rPr>
      </w:pPr>
    </w:p>
    <w:p>
      <w:pPr>
        <w:ind w:right="100" w:firstLine="874"/>
        <w:spacing w:after="0" w:line="264" w:lineRule="auto"/>
        <w:rPr>
          <w:sz w:val="20"/>
          <w:szCs w:val="20"/>
          <w:color w:val="auto"/>
        </w:rPr>
      </w:pPr>
      <w:r>
        <w:rPr>
          <w:rFonts w:ascii="Arial" w:cs="Arial" w:eastAsia="Arial" w:hAnsi="Arial"/>
          <w:sz w:val="18"/>
          <w:szCs w:val="18"/>
          <w:color w:val="auto"/>
        </w:rPr>
        <w:t>Net cash used in operating activities was $4.6 million for the six months ended June 30, 2020 and primarily represented a net loss of $5.2 million associated with our operating expenses in that period.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17" w:lineRule="exact"/>
        <w:rPr>
          <w:sz w:val="20"/>
          <w:szCs w:val="20"/>
          <w:color w:val="auto"/>
        </w:rPr>
      </w:pPr>
    </w:p>
    <w:p>
      <w:pPr>
        <w:ind w:right="60" w:firstLine="874"/>
        <w:spacing w:after="0" w:line="264" w:lineRule="auto"/>
        <w:rPr>
          <w:sz w:val="20"/>
          <w:szCs w:val="20"/>
          <w:color w:val="auto"/>
        </w:rPr>
      </w:pPr>
      <w:r>
        <w:rPr>
          <w:rFonts w:ascii="Arial" w:cs="Arial" w:eastAsia="Arial" w:hAnsi="Arial"/>
          <w:sz w:val="18"/>
          <w:szCs w:val="18"/>
          <w:color w:val="auto"/>
        </w:rPr>
        <w:t>Net cash used in investing activities was $0.2 million for the six months ended June 30, 2021, which consisted of leasehold improvements for our laboratory and administrative offices and various purchases of property and equipment.</w:t>
      </w:r>
    </w:p>
    <w:p>
      <w:pPr>
        <w:spacing w:after="0" w:line="181" w:lineRule="exact"/>
        <w:rPr>
          <w:sz w:val="20"/>
          <w:szCs w:val="20"/>
          <w:color w:val="auto"/>
        </w:rPr>
      </w:pPr>
    </w:p>
    <w:p>
      <w:pPr>
        <w:ind w:right="220" w:firstLine="874"/>
        <w:spacing w:after="0" w:line="264" w:lineRule="auto"/>
        <w:rPr>
          <w:sz w:val="20"/>
          <w:szCs w:val="20"/>
          <w:color w:val="auto"/>
        </w:rPr>
      </w:pPr>
      <w:r>
        <w:rPr>
          <w:rFonts w:ascii="Arial" w:cs="Arial" w:eastAsia="Arial" w:hAnsi="Arial"/>
          <w:sz w:val="18"/>
          <w:szCs w:val="18"/>
          <w:color w:val="auto"/>
        </w:rPr>
        <w:t>Net cash used in investing activities was $0.4 million for the six months ended June 30, 2020, which consisted of various purchases of property and equipment.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17" w:lineRule="exact"/>
        <w:rPr>
          <w:sz w:val="20"/>
          <w:szCs w:val="20"/>
          <w:color w:val="auto"/>
        </w:rPr>
      </w:pPr>
    </w:p>
    <w:p>
      <w:pPr>
        <w:ind w:right="160" w:firstLine="874"/>
        <w:spacing w:after="0" w:line="264" w:lineRule="auto"/>
        <w:rPr>
          <w:sz w:val="20"/>
          <w:szCs w:val="20"/>
          <w:color w:val="auto"/>
        </w:rPr>
      </w:pPr>
      <w:r>
        <w:rPr>
          <w:rFonts w:ascii="Arial" w:cs="Arial" w:eastAsia="Arial" w:hAnsi="Arial"/>
          <w:sz w:val="18"/>
          <w:szCs w:val="18"/>
          <w:color w:val="auto"/>
        </w:rPr>
        <w:t>Net cash provided by financing activities was $20 thousand and $0.1 million for the six months ended June 30, 2021 and 2020, respectively, and was attributable to proceeds from the exercises of stock options in each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23" w:lineRule="exact"/>
        <w:rPr>
          <w:sz w:val="20"/>
          <w:szCs w:val="20"/>
          <w:color w:val="auto"/>
        </w:rPr>
      </w:pPr>
    </w:p>
    <w:p>
      <w:pPr>
        <w:ind w:right="40" w:firstLine="874"/>
        <w:spacing w:after="0" w:line="255" w:lineRule="auto"/>
        <w:rPr>
          <w:sz w:val="20"/>
          <w:szCs w:val="20"/>
          <w:color w:val="auto"/>
        </w:rPr>
      </w:pPr>
      <w:r>
        <w:rPr>
          <w:rFonts w:ascii="Arial" w:cs="Arial" w:eastAsia="Arial" w:hAnsi="Arial"/>
          <w:sz w:val="17"/>
          <w:szCs w:val="17"/>
          <w:color w:val="auto"/>
        </w:rPr>
        <w:t>The preparation of our condensed financial statements in conformity with GAAP requires management to make estimates and assumptions that affect the amounts reported in the financial statements and notes to the financial statements. Some of those judgments can be subjective and complex, and therefore, actual results could differ materially from those estimates are different assumptions and conditions. A summary of our critical accounting policies is presented in our filed Annual Report on Form 10-K for the year ended December 31, 2020.</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There were no material changes to our previously reported "Critical Accounting Policies" during the three and six months ended June 30, 2021,</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except for:</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Revenue Recognition for Out-Licenses and Collaborative Agreements</w:t>
      </w:r>
    </w:p>
    <w:p>
      <w:pPr>
        <w:spacing w:after="0" w:line="204" w:lineRule="exact"/>
        <w:rPr>
          <w:sz w:val="20"/>
          <w:szCs w:val="20"/>
          <w:color w:val="auto"/>
        </w:rPr>
      </w:pPr>
    </w:p>
    <w:p>
      <w:pPr>
        <w:ind w:firstLine="874"/>
        <w:spacing w:after="0" w:line="247" w:lineRule="auto"/>
        <w:rPr>
          <w:sz w:val="20"/>
          <w:szCs w:val="20"/>
          <w:color w:val="auto"/>
        </w:rPr>
      </w:pPr>
      <w:r>
        <w:rPr>
          <w:rFonts w:ascii="Arial" w:cs="Arial" w:eastAsia="Arial" w:hAnsi="Arial"/>
          <w:sz w:val="17"/>
          <w:szCs w:val="17"/>
          <w:color w:val="auto"/>
        </w:rPr>
        <w:t>The terms of our out-licenses and collaborative agreements include upfront license fees, milestones, and other contingent payments for the achievement of defined development, regulatory and sales-based events, as well as royalties on sales of commercialized products. Arrangements that include upfront payments may require deferral of revenue recognition to a future period until we perform obligations under these arrangements. The event-based milestone and other contingent payments represent variable consideration, and we use the "most likely amount method" to estimate this variable consideration. Given the high degree of uncertainty around the occurrence of these events, we determine the milestone and other contingent amounts to be "constrained" until the uncertainty associated with these payments is resolved. We will recognize revenue from sales-based royalty payments when or as our licensee sales occur. We will re-evaluate our determined "transaction price" in each reporting period as uncertain events are resolved and other changes in circumstances occur. A "performance obligation" is a promise in a contract to transfer a distinct good or service and is the unit of accounting. A contract’s "transaction price" is allocated among each distinct performance obligation based on relative standalone selling price and recognized when, or as, the applicable performance obligation is satisfied.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3" w:lineRule="exact"/>
        <w:rPr>
          <w:sz w:val="20"/>
          <w:szCs w:val="20"/>
          <w:color w:val="auto"/>
        </w:rPr>
      </w:pPr>
    </w:p>
    <w:p>
      <w:pPr>
        <w:ind w:right="400" w:firstLine="874"/>
        <w:spacing w:after="0" w:line="264" w:lineRule="auto"/>
        <w:rPr>
          <w:sz w:val="20"/>
          <w:szCs w:val="20"/>
          <w:color w:val="auto"/>
        </w:rPr>
      </w:pPr>
      <w:r>
        <w:rPr>
          <w:rFonts w:ascii="Arial" w:cs="Arial" w:eastAsia="Arial" w:hAnsi="Arial"/>
          <w:sz w:val="18"/>
          <w:szCs w:val="18"/>
          <w:color w:val="auto"/>
        </w:rPr>
        <w:t>A description of recent accounting pronouncements that may potentially impact our financial position, results of operations or cash flows are disclosed in the footnote to which each relates within these accompanying Condensed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Since our inception, we have not engaged in any off-balance sheet arrangements, as defined in the rules and regulations of the SEC.</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have been no material changes outside the ordinary course of business to the Company’s contractual obligations disclosed in “Management’s Discussion and Analysis of Financial Condition and Results of Operations” included in our Annual Report on Form 10-K for the year ended December 31, 2020 filed with the SEC.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60" w:firstLine="636"/>
        <w:spacing w:after="0" w:line="252" w:lineRule="auto"/>
        <w:rPr>
          <w:sz w:val="20"/>
          <w:szCs w:val="20"/>
          <w:color w:val="auto"/>
        </w:rPr>
      </w:pPr>
      <w:r>
        <w:rPr>
          <w:rFonts w:ascii="Arial" w:cs="Arial" w:eastAsia="Arial" w:hAnsi="Arial"/>
          <w:sz w:val="18"/>
          <w:szCs w:val="18"/>
          <w:color w:val="auto"/>
        </w:rPr>
        <w:t>As permitted under Delaware law and in accordance with our amended and restated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June 30,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3" w:lineRule="exact"/>
        <w:rPr>
          <w:sz w:val="20"/>
          <w:szCs w:val="20"/>
          <w:color w:val="auto"/>
        </w:rPr>
      </w:pPr>
    </w:p>
    <w:p>
      <w:pPr>
        <w:ind w:right="160" w:firstLine="874"/>
        <w:spacing w:after="0" w:line="330" w:lineRule="auto"/>
        <w:rPr>
          <w:sz w:val="20"/>
          <w:szCs w:val="20"/>
          <w:color w:val="auto"/>
        </w:rPr>
      </w:pPr>
      <w:r>
        <w:rPr>
          <w:rFonts w:ascii="Arial" w:cs="Arial" w:eastAsia="Arial" w:hAnsi="Arial"/>
          <w:sz w:val="15"/>
          <w:szCs w:val="15"/>
          <w:color w:val="auto"/>
        </w:rPr>
        <w:t>The Jumpstart Our Business Startups Act of 2012, as amended (the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spacing w:after="0" w:line="137" w:lineRule="exact"/>
        <w:rPr>
          <w:sz w:val="20"/>
          <w:szCs w:val="20"/>
          <w:color w:val="auto"/>
        </w:rPr>
      </w:pPr>
    </w:p>
    <w:p>
      <w:pPr>
        <w:ind w:right="80" w:firstLine="874"/>
        <w:spacing w:after="0" w:line="271" w:lineRule="auto"/>
        <w:rPr>
          <w:sz w:val="20"/>
          <w:szCs w:val="20"/>
          <w:color w:val="auto"/>
        </w:rPr>
      </w:pPr>
      <w:r>
        <w:rPr>
          <w:rFonts w:ascii="Arial" w:cs="Arial" w:eastAsia="Arial" w:hAnsi="Arial"/>
          <w:sz w:val="17"/>
          <w:szCs w:val="17"/>
          <w:color w:val="auto"/>
        </w:rPr>
        <w:t xml:space="preserve">We will remain an emerging growth company until the </w:t>
      </w:r>
      <w:r>
        <w:rPr>
          <w:rFonts w:ascii="Arial" w:cs="Arial" w:eastAsia="Arial" w:hAnsi="Arial"/>
          <w:sz w:val="17"/>
          <w:szCs w:val="17"/>
          <w:i w:val="1"/>
          <w:iCs w:val="1"/>
          <w:color w:val="auto"/>
        </w:rPr>
        <w:t>earliest of</w:t>
      </w:r>
      <w:r>
        <w:rPr>
          <w:rFonts w:ascii="Arial" w:cs="Arial" w:eastAsia="Arial" w:hAnsi="Arial"/>
          <w:sz w:val="17"/>
          <w:szCs w:val="17"/>
          <w:color w:val="auto"/>
        </w:rPr>
        <w:t xml:space="preserve"> (1) the last day of our first fiscal year (a) following the fifth anniversary of the completion of our IPO, (b) in which we have total annual gross revenues of at least $1.07 billion or (c) in which we are deemed to be a large accelerated filer, which means the market value of our common stock that is held by non-affiliates exceeds $700 million of the prior June 30th and (2) the date on which we have issued more than $1.0 billion in non-convertible debt securities during the prior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17" w:lineRule="exact"/>
        <w:rPr>
          <w:sz w:val="20"/>
          <w:szCs w:val="20"/>
          <w:color w:val="auto"/>
        </w:rPr>
      </w:pPr>
    </w:p>
    <w:p>
      <w:pPr>
        <w:ind w:right="20" w:firstLine="874"/>
        <w:spacing w:after="0" w:line="250"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June 30, 2021, we had cash and cash equivalents of $176.7 million, consisting of interest-bearing money market accounts,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and cash equivalents.</w:t>
      </w:r>
    </w:p>
    <w:p>
      <w:pPr>
        <w:spacing w:after="0" w:line="194" w:lineRule="exact"/>
        <w:rPr>
          <w:sz w:val="20"/>
          <w:szCs w:val="20"/>
          <w:color w:val="auto"/>
        </w:rPr>
      </w:pPr>
    </w:p>
    <w:p>
      <w:pPr>
        <w:ind w:right="300" w:firstLine="874"/>
        <w:spacing w:after="0" w:line="264" w:lineRule="auto"/>
        <w:rPr>
          <w:sz w:val="20"/>
          <w:szCs w:val="20"/>
          <w:color w:val="auto"/>
        </w:rPr>
      </w:pPr>
      <w:r>
        <w:rPr>
          <w:rFonts w:ascii="Arial" w:cs="Arial" w:eastAsia="Arial" w:hAnsi="Arial"/>
          <w:sz w:val="18"/>
          <w:szCs w:val="18"/>
          <w:color w:val="auto"/>
        </w:rPr>
        <w:t>We do not believe that inflation, interest rate changes, or foreign currency exchange rate fluctuations had a significant impact on our results of operations for any periods presented herein.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3" w:lineRule="exact"/>
        <w:rPr>
          <w:sz w:val="20"/>
          <w:szCs w:val="20"/>
          <w:color w:val="auto"/>
        </w:rPr>
      </w:pPr>
    </w:p>
    <w:p>
      <w:pPr>
        <w:ind w:firstLine="874"/>
        <w:spacing w:after="0" w:line="306" w:lineRule="auto"/>
        <w:rPr>
          <w:sz w:val="20"/>
          <w:szCs w:val="20"/>
          <w:color w:val="auto"/>
        </w:rPr>
      </w:pPr>
      <w:r>
        <w:rPr>
          <w:rFonts w:ascii="Arial" w:cs="Arial" w:eastAsia="Arial" w:hAnsi="Arial"/>
          <w:sz w:val="15"/>
          <w:szCs w:val="15"/>
          <w:color w:val="auto"/>
        </w:rPr>
        <w:t>Our management, with the participation of our Chief Executive Officer and our Chief Financial Officer, has evaluated the effectiveness of our disclosure controls and procedures (as defined in Rules 13a-15(e) and 15d-15(e) under the Exchange Act of 1934, as amended ("Exchange Act")) as of the end of the period covered by this report. Based upon that evaluation, our Chief Executive Officer and Chief Financial Officer concluded that, as of the end of the period covered by this report,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3" w:lineRule="exact"/>
        <w:rPr>
          <w:sz w:val="20"/>
          <w:szCs w:val="20"/>
          <w:color w:val="auto"/>
        </w:rPr>
      </w:pPr>
    </w:p>
    <w:p>
      <w:pPr>
        <w:ind w:right="120" w:firstLine="874"/>
        <w:spacing w:after="0" w:line="255"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firstLine="874"/>
        <w:spacing w:after="0" w:line="302" w:lineRule="auto"/>
        <w:rPr>
          <w:sz w:val="20"/>
          <w:szCs w:val="20"/>
          <w:color w:val="auto"/>
        </w:rPr>
      </w:pPr>
      <w:r>
        <w:rPr>
          <w:rFonts w:ascii="Arial" w:cs="Arial" w:eastAsia="Arial" w:hAnsi="Arial"/>
          <w:sz w:val="15"/>
          <w:szCs w:val="15"/>
          <w:color w:val="auto"/>
        </w:rPr>
        <w:t>Our management, including our Chief Executive Officer and Chief Financial Officer, do not expect that our disclosure controls or our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3" w:lineRule="exact"/>
        <w:rPr>
          <w:sz w:val="20"/>
          <w:szCs w:val="20"/>
          <w:color w:val="auto"/>
        </w:rPr>
      </w:pPr>
    </w:p>
    <w:p>
      <w:pPr>
        <w:ind w:right="240" w:firstLine="874"/>
        <w:spacing w:after="0" w:line="255"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3" w:lineRule="exact"/>
        <w:rPr>
          <w:sz w:val="20"/>
          <w:szCs w:val="20"/>
          <w:color w:val="auto"/>
        </w:rPr>
      </w:pPr>
    </w:p>
    <w:p>
      <w:pPr>
        <w:ind w:right="360" w:firstLine="874"/>
        <w:spacing w:after="0" w:line="264" w:lineRule="auto"/>
        <w:rPr>
          <w:sz w:val="20"/>
          <w:szCs w:val="20"/>
          <w:color w:val="auto"/>
        </w:rPr>
      </w:pPr>
      <w:r>
        <w:rPr>
          <w:rFonts w:ascii="Arial" w:cs="Arial" w:eastAsia="Arial" w:hAnsi="Arial"/>
          <w:sz w:val="18"/>
          <w:szCs w:val="18"/>
          <w:color w:val="auto"/>
        </w:rPr>
        <w:t>As of the date of this filing, there have been no material changes to the risk factors included in our Annual Report on Form 10-K for the year ended December 31, 2020, as filed with the SEC on March 31, 2021.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50" w:lineRule="exact"/>
        <w:rPr>
          <w:sz w:val="20"/>
          <w:szCs w:val="20"/>
          <w:color w:val="auto"/>
        </w:rPr>
      </w:pPr>
    </w:p>
    <w:p>
      <w:pPr>
        <w:ind w:firstLine="636"/>
        <w:spacing w:after="0" w:line="250" w:lineRule="auto"/>
        <w:rPr>
          <w:sz w:val="20"/>
          <w:szCs w:val="20"/>
          <w:color w:val="auto"/>
        </w:rPr>
      </w:pPr>
      <w:r>
        <w:rPr>
          <w:rFonts w:ascii="Arial" w:cs="Arial" w:eastAsia="Arial" w:hAnsi="Arial"/>
          <w:sz w:val="18"/>
          <w:szCs w:val="18"/>
          <w:color w:val="auto"/>
        </w:rPr>
        <w:t>The following sets forth information regarding all unregistered securities sold by us from April 1, 2021 through June 30, 2021.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 w:lineRule="exact"/>
        <w:rPr>
          <w:sz w:val="20"/>
          <w:szCs w:val="20"/>
          <w:color w:val="auto"/>
        </w:rPr>
      </w:pPr>
    </w:p>
    <w:p>
      <w:pPr>
        <w:ind w:right="260" w:firstLine="636"/>
        <w:spacing w:after="0" w:line="251" w:lineRule="auto"/>
        <w:rPr>
          <w:sz w:val="20"/>
          <w:szCs w:val="20"/>
          <w:color w:val="auto"/>
        </w:rPr>
      </w:pPr>
      <w:r>
        <w:rPr>
          <w:rFonts w:ascii="Arial" w:cs="Arial" w:eastAsia="Arial" w:hAnsi="Arial"/>
          <w:sz w:val="18"/>
          <w:szCs w:val="18"/>
          <w:color w:val="auto"/>
        </w:rPr>
        <w:t>In connection with the China Out-License, in May 2021, we issued 187,500 shares of our common stock to Elanco as consideration for continued license exclusivity under the License Agreement with Elanco, dated September 3, 2020.</w:t>
      </w:r>
    </w:p>
    <w:p>
      <w:pPr>
        <w:spacing w:after="0" w:line="218" w:lineRule="exact"/>
        <w:rPr>
          <w:sz w:val="20"/>
          <w:szCs w:val="20"/>
          <w:color w:val="auto"/>
        </w:rPr>
      </w:pPr>
    </w:p>
    <w:p>
      <w:pPr>
        <w:jc w:val="both"/>
        <w:ind w:right="120" w:firstLine="636"/>
        <w:spacing w:after="0" w:line="250" w:lineRule="auto"/>
        <w:rPr>
          <w:sz w:val="20"/>
          <w:szCs w:val="20"/>
          <w:color w:val="auto"/>
        </w:rPr>
      </w:pPr>
      <w:r>
        <w:rPr>
          <w:rFonts w:ascii="Arial" w:cs="Arial" w:eastAsia="Arial" w:hAnsi="Arial"/>
          <w:sz w:val="18"/>
          <w:szCs w:val="18"/>
          <w:color w:val="auto"/>
        </w:rPr>
        <w:t>The issuance of these securities was exempt from registration under the Securities Act under Section 4(a)(2) of the Securities Act or Regulation D promulgated thereunder as transactions by an issuer not involving a public offering. The recipient of securities in this transaction acquired the securities for investment only and not with a view to or for sale in connection with any distribution thereof and appropriate legends were affixed to the securities issued in these transactions. The recipient of these securities is an accredited person and had adequate access, through employment, business or other relationships, to information about the registrant.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3" w:lineRule="exact"/>
        <w:rPr>
          <w:sz w:val="20"/>
          <w:szCs w:val="20"/>
          <w:color w:val="auto"/>
        </w:rPr>
      </w:pPr>
    </w:p>
    <w:p>
      <w:pPr>
        <w:ind w:right="40" w:firstLine="636"/>
        <w:spacing w:after="0" w:line="255" w:lineRule="auto"/>
        <w:rPr>
          <w:sz w:val="20"/>
          <w:szCs w:val="20"/>
          <w:color w:val="auto"/>
        </w:rPr>
      </w:pPr>
      <w:r>
        <w:rPr>
          <w:rFonts w:ascii="Arial" w:cs="Arial" w:eastAsia="Arial" w:hAnsi="Arial"/>
          <w:sz w:val="18"/>
          <w:szCs w:val="18"/>
          <w:color w:val="auto"/>
        </w:rPr>
        <w:t>There has been no material change in the planned use of proceeds from our IPO as described in the Registration Statement on Form S-1 (File No. 333-249076), declared effective by the SEC on October 15, 2020, and the related final prospectus, dated October 15, 2020, filed with the SEC on October 16, 2020, pursuant to Rule 424(b) of the Securities 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Incorporated by</w:t>
            </w:r>
          </w:p>
        </w:tc>
        <w:tc>
          <w:tcPr>
            <w:tcW w:w="86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33"/>
        </w:trPr>
        <w:tc>
          <w:tcPr>
            <w:tcW w:w="10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3220" w:type="dxa"/>
            <w:vAlign w:val="bottom"/>
            <w:gridSpan w:val="10"/>
            <w:vMerge w:val="restart"/>
          </w:tcPr>
          <w:p>
            <w:pPr>
              <w:spacing w:after="0"/>
              <w:rPr>
                <w:sz w:val="20"/>
                <w:szCs w:val="20"/>
                <w:color w:val="auto"/>
              </w:rPr>
            </w:pPr>
            <w:r>
              <w:rPr>
                <w:rFonts w:ascii="Arial" w:cs="Arial" w:eastAsia="Arial" w:hAnsi="Arial"/>
                <w:sz w:val="14"/>
                <w:szCs w:val="14"/>
                <w:b w:val="1"/>
                <w:bCs w:val="1"/>
                <w:color w:val="auto"/>
              </w:rPr>
              <w:t>Description</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File Number</w:t>
            </w: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Reference</w:t>
            </w:r>
          </w:p>
        </w:tc>
        <w:tc>
          <w:tcPr>
            <w:tcW w:w="860" w:type="dxa"/>
            <w:vAlign w:val="bottom"/>
            <w:vMerge w:val="restart"/>
          </w:tcPr>
          <w:p>
            <w:pPr>
              <w:jc w:val="center"/>
              <w:ind w:right="9"/>
              <w:spacing w:after="0"/>
              <w:rPr>
                <w:sz w:val="20"/>
                <w:szCs w:val="20"/>
                <w:color w:val="auto"/>
              </w:rPr>
            </w:pPr>
            <w:r>
              <w:rPr>
                <w:rFonts w:ascii="Arial" w:cs="Arial" w:eastAsia="Arial" w:hAnsi="Arial"/>
                <w:sz w:val="14"/>
                <w:szCs w:val="14"/>
                <w:b w:val="1"/>
                <w:bCs w:val="1"/>
                <w:color w:val="auto"/>
                <w:w w:val="98"/>
              </w:rPr>
              <w:t>Date</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220" w:type="dxa"/>
            <w:vAlign w:val="bottom"/>
            <w:gridSpan w:val="10"/>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860" w:type="dxa"/>
            <w:vAlign w:val="bottom"/>
            <w:vMerge w:val="continue"/>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92"/>
        </w:trPr>
        <w:tc>
          <w:tcPr>
            <w:tcW w:w="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700" w:type="dxa"/>
            <w:vAlign w:val="bottom"/>
            <w:tcBorders>
              <w:top w:val="single" w:sz="8" w:color="auto"/>
              <w:bottom w:val="single" w:sz="8" w:color="0000FF"/>
            </w:tcBorders>
            <w:gridSpan w:val="5"/>
          </w:tcPr>
          <w:p>
            <w:pPr>
              <w:spacing w:after="0"/>
              <w:rPr>
                <w:rFonts w:ascii="Arial" w:cs="Arial" w:eastAsia="Arial" w:hAnsi="Arial"/>
                <w:sz w:val="14"/>
                <w:szCs w:val="14"/>
                <w:color w:val="0000FF"/>
                <w:w w:val="91"/>
              </w:rPr>
            </w:pPr>
            <w:hyperlink r:id="rId53">
              <w:r>
                <w:rPr>
                  <w:rFonts w:ascii="Arial" w:cs="Arial" w:eastAsia="Arial" w:hAnsi="Arial"/>
                  <w:sz w:val="14"/>
                  <w:szCs w:val="14"/>
                  <w:color w:val="0000FF"/>
                  <w:w w:val="91"/>
                </w:rPr>
                <w:t>Amended and Restated Certificate of Incorporation of Registrant.</w:t>
              </w:r>
            </w:hyperlink>
          </w:p>
        </w:tc>
        <w:tc>
          <w:tcPr>
            <w:tcW w:w="1960" w:type="dxa"/>
            <w:vAlign w:val="bottom"/>
            <w:tcBorders>
              <w:top w:val="single" w:sz="8" w:color="auto"/>
            </w:tcBorders>
            <w:gridSpan w:val="7"/>
          </w:tcPr>
          <w:p>
            <w:pPr>
              <w:spacing w:after="0"/>
              <w:rPr>
                <w:sz w:val="24"/>
                <w:szCs w:val="24"/>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8-K</w:t>
            </w:r>
          </w:p>
        </w:tc>
        <w:tc>
          <w:tcPr>
            <w:tcW w:w="1020" w:type="dxa"/>
            <w:vAlign w:val="bottom"/>
            <w:tcBorders>
              <w:top w:val="single" w:sz="8" w:color="auto"/>
            </w:tcBorders>
          </w:tcPr>
          <w:p>
            <w:pPr>
              <w:jc w:val="center"/>
              <w:ind w:left="29"/>
              <w:spacing w:after="0"/>
              <w:rPr>
                <w:sz w:val="20"/>
                <w:szCs w:val="20"/>
                <w:color w:val="auto"/>
              </w:rPr>
            </w:pPr>
            <w:r>
              <w:rPr>
                <w:rFonts w:ascii="Arial" w:cs="Arial" w:eastAsia="Arial" w:hAnsi="Arial"/>
                <w:sz w:val="14"/>
                <w:szCs w:val="14"/>
                <w:color w:val="auto"/>
                <w:w w:val="89"/>
              </w:rPr>
              <w:t>001-39614</w:t>
            </w: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3.1</w:t>
            </w:r>
          </w:p>
        </w:tc>
        <w:tc>
          <w:tcPr>
            <w:tcW w:w="860" w:type="dxa"/>
            <w:vAlign w:val="bottom"/>
            <w:tcBorders>
              <w:top w:val="single" w:sz="8" w:color="auto"/>
            </w:tcBorders>
          </w:tcPr>
          <w:p>
            <w:pPr>
              <w:jc w:val="center"/>
              <w:ind w:right="9"/>
              <w:spacing w:after="0"/>
              <w:rPr>
                <w:sz w:val="20"/>
                <w:szCs w:val="20"/>
                <w:color w:val="auto"/>
              </w:rPr>
            </w:pPr>
            <w:r>
              <w:rPr>
                <w:rFonts w:ascii="Arial" w:cs="Arial" w:eastAsia="Arial" w:hAnsi="Arial"/>
                <w:sz w:val="14"/>
                <w:szCs w:val="14"/>
                <w:color w:val="auto"/>
                <w:w w:val="94"/>
              </w:rPr>
              <w:t>10/20/2020</w:t>
            </w: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40" w:type="dxa"/>
            <w:vAlign w:val="bottom"/>
          </w:tcPr>
          <w:p>
            <w:pPr>
              <w:ind w:left="20"/>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12"/>
          </w:tcPr>
          <w:p>
            <w:pPr>
              <w:spacing w:after="0"/>
              <w:rPr>
                <w:rFonts w:ascii="Arial" w:cs="Arial" w:eastAsia="Arial" w:hAnsi="Arial"/>
                <w:sz w:val="14"/>
                <w:szCs w:val="14"/>
                <w:color w:val="0000FF"/>
              </w:rPr>
            </w:pPr>
            <w:hyperlink r:id="rId54">
              <w:r>
                <w:rPr>
                  <w:rFonts w:ascii="Arial" w:cs="Arial" w:eastAsia="Arial" w:hAnsi="Arial"/>
                  <w:sz w:val="14"/>
                  <w:szCs w:val="14"/>
                  <w:color w:val="0000FF"/>
                </w:rPr>
                <w:t>Amended and Restated Bylaws of Registrant</w:t>
              </w:r>
            </w:hyperlink>
            <w:r>
              <w:rPr>
                <w:rFonts w:ascii="Arial" w:cs="Arial" w:eastAsia="Arial" w:hAnsi="Arial"/>
                <w:sz w:val="14"/>
                <w:szCs w:val="14"/>
                <w:color w:val="000000"/>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8-K</w:t>
            </w:r>
          </w:p>
        </w:tc>
        <w:tc>
          <w:tcPr>
            <w:tcW w:w="1020" w:type="dxa"/>
            <w:vAlign w:val="bottom"/>
          </w:tcPr>
          <w:p>
            <w:pPr>
              <w:jc w:val="center"/>
              <w:ind w:left="29"/>
              <w:spacing w:after="0"/>
              <w:rPr>
                <w:sz w:val="20"/>
                <w:szCs w:val="20"/>
                <w:color w:val="auto"/>
              </w:rPr>
            </w:pPr>
            <w:r>
              <w:rPr>
                <w:rFonts w:ascii="Arial" w:cs="Arial" w:eastAsia="Arial" w:hAnsi="Arial"/>
                <w:sz w:val="14"/>
                <w:szCs w:val="14"/>
                <w:color w:val="auto"/>
                <w:w w:val="89"/>
              </w:rPr>
              <w:t>001-39614</w:t>
            </w: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860" w:type="dxa"/>
            <w:vAlign w:val="bottom"/>
          </w:tcPr>
          <w:p>
            <w:pPr>
              <w:jc w:val="center"/>
              <w:ind w:right="9"/>
              <w:spacing w:after="0"/>
              <w:rPr>
                <w:sz w:val="20"/>
                <w:szCs w:val="20"/>
                <w:color w:val="auto"/>
              </w:rPr>
            </w:pPr>
            <w:r>
              <w:rPr>
                <w:rFonts w:ascii="Arial" w:cs="Arial" w:eastAsia="Arial" w:hAnsi="Arial"/>
                <w:sz w:val="14"/>
                <w:szCs w:val="14"/>
                <w:color w:val="auto"/>
                <w:w w:val="94"/>
              </w:rPr>
              <w:t>10/20/2020</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4.2</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60" w:type="dxa"/>
            <w:vAlign w:val="bottom"/>
            <w:gridSpan w:val="12"/>
          </w:tcPr>
          <w:p>
            <w:pPr>
              <w:spacing w:after="0"/>
              <w:rPr>
                <w:rFonts w:ascii="Arial" w:cs="Arial" w:eastAsia="Arial" w:hAnsi="Arial"/>
                <w:sz w:val="14"/>
                <w:szCs w:val="14"/>
                <w:color w:val="0000FF"/>
                <w:w w:val="94"/>
              </w:rPr>
            </w:pPr>
            <w:hyperlink r:id="rId55">
              <w:r>
                <w:rPr>
                  <w:rFonts w:ascii="Arial" w:cs="Arial" w:eastAsia="Arial" w:hAnsi="Arial"/>
                  <w:sz w:val="14"/>
                  <w:szCs w:val="14"/>
                  <w:color w:val="0000FF"/>
                  <w:w w:val="94"/>
                </w:rPr>
                <w:t>Amended and Restated Investors’ Rights Agreement, dated September 24, 2020, by and among</w:t>
              </w:r>
            </w:hyperlink>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tcBorders>
              <w:top w:val="single" w:sz="8" w:color="0000FF"/>
              <w:bottom w:val="single" w:sz="8" w:color="0000FF"/>
            </w:tcBorders>
            <w:gridSpan w:val="2"/>
          </w:tcPr>
          <w:p>
            <w:pPr>
              <w:spacing w:after="0" w:line="126" w:lineRule="exact"/>
              <w:rPr>
                <w:rFonts w:ascii="Arial" w:cs="Arial" w:eastAsia="Arial" w:hAnsi="Arial"/>
                <w:sz w:val="14"/>
                <w:szCs w:val="14"/>
                <w:color w:val="0000FF"/>
                <w:w w:val="89"/>
              </w:rPr>
            </w:pPr>
            <w:hyperlink r:id="rId55">
              <w:r>
                <w:rPr>
                  <w:rFonts w:ascii="Arial" w:cs="Arial" w:eastAsia="Arial" w:hAnsi="Arial"/>
                  <w:sz w:val="14"/>
                  <w:szCs w:val="14"/>
                  <w:color w:val="0000FF"/>
                  <w:w w:val="89"/>
                </w:rPr>
                <w:t>the Registrant and the other parties thereto.</w:t>
              </w:r>
            </w:hyperlink>
          </w:p>
        </w:tc>
        <w:tc>
          <w:tcPr>
            <w:tcW w:w="940" w:type="dxa"/>
            <w:vAlign w:val="bottom"/>
            <w:tcBorders>
              <w:top w:val="single" w:sz="8" w:color="0000FF"/>
            </w:tcBorders>
            <w:gridSpan w:val="2"/>
          </w:tcPr>
          <w:p>
            <w:pPr>
              <w:spacing w:after="0"/>
              <w:rPr>
                <w:sz w:val="12"/>
                <w:szCs w:val="12"/>
                <w:color w:val="auto"/>
              </w:rPr>
            </w:pPr>
          </w:p>
        </w:tc>
        <w:tc>
          <w:tcPr>
            <w:tcW w:w="1780" w:type="dxa"/>
            <w:vAlign w:val="bottom"/>
            <w:tcBorders>
              <w:top w:val="single" w:sz="8" w:color="0000FF"/>
            </w:tcBorders>
            <w:gridSpan w:val="2"/>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4"/>
                <w:szCs w:val="14"/>
                <w:color w:val="auto"/>
                <w:w w:val="96"/>
              </w:rPr>
              <w:t>S-1/A</w:t>
            </w:r>
          </w:p>
        </w:tc>
        <w:tc>
          <w:tcPr>
            <w:tcW w:w="1020" w:type="dxa"/>
            <w:vAlign w:val="bottom"/>
          </w:tcPr>
          <w:p>
            <w:pPr>
              <w:jc w:val="center"/>
              <w:ind w:left="29"/>
              <w:spacing w:after="0" w:line="139" w:lineRule="exact"/>
              <w:rPr>
                <w:sz w:val="20"/>
                <w:szCs w:val="20"/>
                <w:color w:val="auto"/>
              </w:rPr>
            </w:pPr>
            <w:r>
              <w:rPr>
                <w:rFonts w:ascii="Arial" w:cs="Arial" w:eastAsia="Arial" w:hAnsi="Arial"/>
                <w:sz w:val="14"/>
                <w:szCs w:val="14"/>
                <w:color w:val="auto"/>
                <w:w w:val="90"/>
              </w:rPr>
              <w:t>333-249076</w:t>
            </w:r>
          </w:p>
        </w:tc>
        <w:tc>
          <w:tcPr>
            <w:tcW w:w="1120" w:type="dxa"/>
            <w:vAlign w:val="bottom"/>
          </w:tcPr>
          <w:p>
            <w:pPr>
              <w:jc w:val="center"/>
              <w:spacing w:after="0" w:line="139" w:lineRule="exact"/>
              <w:rPr>
                <w:sz w:val="20"/>
                <w:szCs w:val="20"/>
                <w:color w:val="auto"/>
              </w:rPr>
            </w:pPr>
            <w:r>
              <w:rPr>
                <w:rFonts w:ascii="Arial" w:cs="Arial" w:eastAsia="Arial" w:hAnsi="Arial"/>
                <w:sz w:val="14"/>
                <w:szCs w:val="14"/>
                <w:color w:val="auto"/>
                <w:w w:val="92"/>
              </w:rPr>
              <w:t>4.2</w:t>
            </w:r>
          </w:p>
        </w:tc>
        <w:tc>
          <w:tcPr>
            <w:tcW w:w="860" w:type="dxa"/>
            <w:vAlign w:val="bottom"/>
          </w:tcPr>
          <w:p>
            <w:pPr>
              <w:jc w:val="center"/>
              <w:ind w:right="9"/>
              <w:spacing w:after="0" w:line="139" w:lineRule="exact"/>
              <w:rPr>
                <w:sz w:val="20"/>
                <w:szCs w:val="20"/>
                <w:color w:val="auto"/>
              </w:rPr>
            </w:pPr>
            <w:r>
              <w:rPr>
                <w:rFonts w:ascii="Arial" w:cs="Arial" w:eastAsia="Arial" w:hAnsi="Arial"/>
                <w:sz w:val="14"/>
                <w:szCs w:val="14"/>
                <w:color w:val="auto"/>
                <w:w w:val="94"/>
              </w:rPr>
              <w:t>10/09/2020</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840" w:type="dxa"/>
            <w:vAlign w:val="bottom"/>
          </w:tcPr>
          <w:p>
            <w:pPr>
              <w:ind w:left="20"/>
              <w:spacing w:after="0"/>
              <w:rPr>
                <w:sz w:val="20"/>
                <w:szCs w:val="20"/>
                <w:color w:val="auto"/>
              </w:rPr>
            </w:pPr>
            <w:r>
              <w:rPr>
                <w:rFonts w:ascii="Arial" w:cs="Arial" w:eastAsia="Arial" w:hAnsi="Arial"/>
                <w:sz w:val="14"/>
                <w:szCs w:val="14"/>
                <w:color w:val="auto"/>
              </w:rPr>
              <w:t>31.1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60" w:type="dxa"/>
            <w:vAlign w:val="bottom"/>
            <w:gridSpan w:val="12"/>
          </w:tcPr>
          <w:p>
            <w:pPr>
              <w:spacing w:after="0"/>
              <w:rPr>
                <w:rFonts w:ascii="Arial" w:cs="Arial" w:eastAsia="Arial" w:hAnsi="Arial"/>
                <w:sz w:val="14"/>
                <w:szCs w:val="14"/>
                <w:color w:val="0000FF"/>
                <w:w w:val="95"/>
              </w:rPr>
            </w:pPr>
            <w:hyperlink w:anchor="page41">
              <w:r>
                <w:rPr>
                  <w:rFonts w:ascii="Arial" w:cs="Arial" w:eastAsia="Arial" w:hAnsi="Arial"/>
                  <w:sz w:val="14"/>
                  <w:szCs w:val="14"/>
                  <w:color w:val="0000FF"/>
                  <w:w w:val="95"/>
                </w:rPr>
                <w:t>Certification of Principal Executive Officer Pursuant to Rules 13a-14(a) and 15d-14(a) under the</w:t>
              </w:r>
            </w:hyperlink>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3"/>
        </w:trPr>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60" w:type="dxa"/>
            <w:vAlign w:val="bottom"/>
            <w:tcBorders>
              <w:top w:val="single" w:sz="8" w:color="0000FF"/>
              <w:bottom w:val="single" w:sz="8" w:color="0000FF"/>
            </w:tcBorders>
            <w:gridSpan w:val="10"/>
          </w:tcPr>
          <w:p>
            <w:pPr>
              <w:spacing w:after="0" w:line="113" w:lineRule="exact"/>
              <w:rPr>
                <w:rFonts w:ascii="Arial" w:cs="Arial" w:eastAsia="Arial" w:hAnsi="Arial"/>
                <w:sz w:val="13"/>
                <w:szCs w:val="13"/>
                <w:color w:val="0000FF"/>
                <w:w w:val="97"/>
              </w:rPr>
            </w:pPr>
            <w:hyperlink w:anchor="page41">
              <w:r>
                <w:rPr>
                  <w:rFonts w:ascii="Arial" w:cs="Arial" w:eastAsia="Arial" w:hAnsi="Arial"/>
                  <w:sz w:val="13"/>
                  <w:szCs w:val="13"/>
                  <w:color w:val="0000FF"/>
                  <w:w w:val="97"/>
                </w:rPr>
                <w:t>Securities Exchange Act of 1934, as Adopted Pursuant to Section 302 of the Sarbanes-Oxley Act</w:t>
              </w:r>
            </w:hyperlink>
          </w:p>
        </w:tc>
        <w:tc>
          <w:tcPr>
            <w:tcW w:w="20" w:type="dxa"/>
            <w:vAlign w:val="bottom"/>
            <w:tcBorders>
              <w:bottom w:val="single" w:sz="8" w:color="0000FF"/>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80" w:type="dxa"/>
            <w:vAlign w:val="bottom"/>
            <w:gridSpan w:val="11"/>
          </w:tcPr>
          <w:p>
            <w:pPr>
              <w:spacing w:after="0" w:line="113" w:lineRule="exact"/>
              <w:rPr>
                <w:rFonts w:ascii="Arial" w:cs="Arial" w:eastAsia="Arial" w:hAnsi="Arial"/>
                <w:sz w:val="13"/>
                <w:szCs w:val="13"/>
                <w:color w:val="0000FF"/>
              </w:rPr>
            </w:pPr>
            <w:hyperlink w:anchor="page41">
              <w:r>
                <w:rPr>
                  <w:rFonts w:ascii="Arial" w:cs="Arial" w:eastAsia="Arial" w:hAnsi="Arial"/>
                  <w:sz w:val="13"/>
                  <w:szCs w:val="13"/>
                  <w:color w:val="0000FF"/>
                </w:rPr>
                <w:t>of 2002.</w:t>
              </w:r>
            </w:hyperlink>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40" w:type="dxa"/>
            <w:vAlign w:val="bottom"/>
          </w:tcPr>
          <w:p>
            <w:pPr>
              <w:ind w:left="20"/>
              <w:spacing w:after="0"/>
              <w:rPr>
                <w:sz w:val="20"/>
                <w:szCs w:val="20"/>
                <w:color w:val="auto"/>
              </w:rPr>
            </w:pPr>
            <w:r>
              <w:rPr>
                <w:rFonts w:ascii="Arial" w:cs="Arial" w:eastAsia="Arial" w:hAnsi="Arial"/>
                <w:sz w:val="14"/>
                <w:szCs w:val="14"/>
                <w:color w:val="auto"/>
              </w:rPr>
              <w:t>31.2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12"/>
          </w:tcPr>
          <w:p>
            <w:pPr>
              <w:spacing w:after="0"/>
              <w:rPr>
                <w:rFonts w:ascii="Arial" w:cs="Arial" w:eastAsia="Arial" w:hAnsi="Arial"/>
                <w:sz w:val="14"/>
                <w:szCs w:val="14"/>
                <w:color w:val="0000FF"/>
                <w:w w:val="96"/>
              </w:rPr>
            </w:pPr>
            <w:hyperlink w:anchor="page42">
              <w:r>
                <w:rPr>
                  <w:rFonts w:ascii="Arial" w:cs="Arial" w:eastAsia="Arial" w:hAnsi="Arial"/>
                  <w:sz w:val="14"/>
                  <w:szCs w:val="14"/>
                  <w:color w:val="0000FF"/>
                  <w:w w:val="96"/>
                </w:rPr>
                <w:t>Certification of Principal Financial Officer Pursuant to Rules 13a-14(a) and 15d-14(a) under the</w:t>
              </w:r>
            </w:hyperlink>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gridSpan w:val="4"/>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60" w:type="dxa"/>
            <w:vAlign w:val="bottom"/>
            <w:gridSpan w:val="12"/>
          </w:tcPr>
          <w:p>
            <w:pPr>
              <w:spacing w:after="0" w:line="113" w:lineRule="exact"/>
              <w:rPr>
                <w:rFonts w:ascii="Arial" w:cs="Arial" w:eastAsia="Arial" w:hAnsi="Arial"/>
                <w:sz w:val="13"/>
                <w:szCs w:val="13"/>
                <w:color w:val="0000FF"/>
              </w:rPr>
            </w:pPr>
            <w:hyperlink w:anchor="page42">
              <w:r>
                <w:rPr>
                  <w:rFonts w:ascii="Arial" w:cs="Arial" w:eastAsia="Arial" w:hAnsi="Arial"/>
                  <w:sz w:val="13"/>
                  <w:szCs w:val="13"/>
                  <w:color w:val="0000FF"/>
                </w:rPr>
                <w:t>Securities Exchange Act of 1934, as Adopted Pursuant to Section 302 of the Sarbanes-Oxley Act</w:t>
              </w:r>
            </w:hyperlink>
          </w:p>
        </w:tc>
        <w:tc>
          <w:tcPr>
            <w:tcW w:w="7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80" w:type="dxa"/>
            <w:vAlign w:val="bottom"/>
            <w:tcBorders>
              <w:top w:val="single" w:sz="8" w:color="0000FF"/>
            </w:tcBorders>
            <w:gridSpan w:val="11"/>
          </w:tcPr>
          <w:p>
            <w:pPr>
              <w:spacing w:after="0" w:line="113" w:lineRule="exact"/>
              <w:rPr>
                <w:rFonts w:ascii="Arial" w:cs="Arial" w:eastAsia="Arial" w:hAnsi="Arial"/>
                <w:sz w:val="13"/>
                <w:szCs w:val="13"/>
                <w:color w:val="0000FF"/>
              </w:rPr>
            </w:pPr>
            <w:hyperlink w:anchor="page42">
              <w:r>
                <w:rPr>
                  <w:rFonts w:ascii="Arial" w:cs="Arial" w:eastAsia="Arial" w:hAnsi="Arial"/>
                  <w:sz w:val="13"/>
                  <w:szCs w:val="13"/>
                  <w:color w:val="0000FF"/>
                </w:rPr>
                <w:t>of 2002.</w:t>
              </w:r>
            </w:hyperlink>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40" w:type="dxa"/>
            <w:vAlign w:val="bottom"/>
          </w:tcPr>
          <w:p>
            <w:pPr>
              <w:ind w:left="20"/>
              <w:spacing w:after="0"/>
              <w:rPr>
                <w:sz w:val="20"/>
                <w:szCs w:val="20"/>
                <w:color w:val="auto"/>
              </w:rPr>
            </w:pPr>
            <w:r>
              <w:rPr>
                <w:rFonts w:ascii="Arial" w:cs="Arial" w:eastAsia="Arial" w:hAnsi="Arial"/>
                <w:sz w:val="14"/>
                <w:szCs w:val="14"/>
                <w:color w:val="auto"/>
              </w:rPr>
              <w:t>32.1*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12"/>
          </w:tcPr>
          <w:p>
            <w:pPr>
              <w:spacing w:after="0"/>
              <w:rPr>
                <w:rFonts w:ascii="Arial" w:cs="Arial" w:eastAsia="Arial" w:hAnsi="Arial"/>
                <w:sz w:val="14"/>
                <w:szCs w:val="14"/>
                <w:color w:val="0000FF"/>
              </w:rPr>
            </w:pPr>
            <w:hyperlink w:anchor="page43">
              <w:r>
                <w:rPr>
                  <w:rFonts w:ascii="Arial" w:cs="Arial" w:eastAsia="Arial" w:hAnsi="Arial"/>
                  <w:sz w:val="14"/>
                  <w:szCs w:val="14"/>
                  <w:color w:val="0000FF"/>
                </w:rPr>
                <w:t>Certification of Principal Executive Officer Pursuant to 18 U.S.C. Section 1350, as Adopted</w:t>
              </w:r>
            </w:hyperlink>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75"/>
        </w:trPr>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0" w:type="dxa"/>
            <w:vAlign w:val="bottom"/>
            <w:tcBorders>
              <w:top w:val="single" w:sz="8" w:color="0000FF"/>
            </w:tcBorders>
            <w:gridSpan w:val="7"/>
            <w:vMerge w:val="restart"/>
          </w:tcPr>
          <w:p>
            <w:pPr>
              <w:spacing w:after="0" w:line="113" w:lineRule="exact"/>
              <w:rPr>
                <w:rFonts w:ascii="Arial" w:cs="Arial" w:eastAsia="Arial" w:hAnsi="Arial"/>
                <w:sz w:val="13"/>
                <w:szCs w:val="13"/>
                <w:color w:val="0000FF"/>
              </w:rPr>
            </w:pPr>
            <w:hyperlink w:anchor="page43">
              <w:r>
                <w:rPr>
                  <w:rFonts w:ascii="Arial" w:cs="Arial" w:eastAsia="Arial" w:hAnsi="Arial"/>
                  <w:sz w:val="13"/>
                  <w:szCs w:val="13"/>
                  <w:color w:val="0000FF"/>
                </w:rPr>
                <w:t>Pursuant to Section 906 of the Sarbanes-Oxley Act of 2002.</w:t>
              </w:r>
            </w:hyperlink>
          </w:p>
        </w:tc>
        <w:tc>
          <w:tcPr>
            <w:tcW w:w="460" w:type="dxa"/>
            <w:vAlign w:val="bottom"/>
            <w:gridSpan w:val="5"/>
            <w:vMerge w:val="restart"/>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0" w:type="dxa"/>
            <w:vAlign w:val="bottom"/>
            <w:gridSpan w:val="7"/>
            <w:vMerge w:val="continue"/>
          </w:tcPr>
          <w:p>
            <w:pPr>
              <w:spacing w:after="0"/>
              <w:rPr>
                <w:sz w:val="3"/>
                <w:szCs w:val="3"/>
                <w:color w:val="auto"/>
              </w:rPr>
            </w:pPr>
          </w:p>
        </w:tc>
        <w:tc>
          <w:tcPr>
            <w:tcW w:w="460" w:type="dxa"/>
            <w:vAlign w:val="bottom"/>
            <w:gridSpan w:val="5"/>
            <w:vMerge w:val="continue"/>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gridSpan w:val="4"/>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40" w:type="dxa"/>
            <w:vAlign w:val="bottom"/>
          </w:tcPr>
          <w:p>
            <w:pPr>
              <w:ind w:left="20"/>
              <w:spacing w:after="0"/>
              <w:rPr>
                <w:sz w:val="20"/>
                <w:szCs w:val="20"/>
                <w:color w:val="auto"/>
              </w:rPr>
            </w:pPr>
            <w:r>
              <w:rPr>
                <w:rFonts w:ascii="Arial" w:cs="Arial" w:eastAsia="Arial" w:hAnsi="Arial"/>
                <w:sz w:val="14"/>
                <w:szCs w:val="14"/>
                <w:color w:val="auto"/>
              </w:rPr>
              <w:t>32.2*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12"/>
          </w:tcPr>
          <w:p>
            <w:pPr>
              <w:spacing w:after="0"/>
              <w:rPr>
                <w:rFonts w:ascii="Arial" w:cs="Arial" w:eastAsia="Arial" w:hAnsi="Arial"/>
                <w:sz w:val="14"/>
                <w:szCs w:val="14"/>
                <w:color w:val="0000FF"/>
              </w:rPr>
            </w:pPr>
            <w:hyperlink w:anchor="page44">
              <w:r>
                <w:rPr>
                  <w:rFonts w:ascii="Arial" w:cs="Arial" w:eastAsia="Arial" w:hAnsi="Arial"/>
                  <w:sz w:val="14"/>
                  <w:szCs w:val="14"/>
                  <w:color w:val="0000FF"/>
                </w:rPr>
                <w:t>Certification of Principal Financial Officer Pursuant to 18 U.S.C. Section 1350, as Adopted</w:t>
              </w:r>
            </w:hyperlink>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75"/>
        </w:trPr>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5160" w:type="dxa"/>
            <w:vAlign w:val="bottom"/>
            <w:tcBorders>
              <w:top w:val="single" w:sz="8" w:color="0000FF"/>
            </w:tcBorders>
            <w:gridSpan w:val="6"/>
            <w:vMerge w:val="restart"/>
          </w:tcPr>
          <w:p>
            <w:pPr>
              <w:spacing w:after="0" w:line="113" w:lineRule="exact"/>
              <w:rPr>
                <w:rFonts w:ascii="Arial" w:cs="Arial" w:eastAsia="Arial" w:hAnsi="Arial"/>
                <w:sz w:val="13"/>
                <w:szCs w:val="13"/>
                <w:color w:val="0000FF"/>
              </w:rPr>
            </w:pPr>
            <w:hyperlink w:anchor="page44">
              <w:r>
                <w:rPr>
                  <w:rFonts w:ascii="Arial" w:cs="Arial" w:eastAsia="Arial" w:hAnsi="Arial"/>
                  <w:sz w:val="13"/>
                  <w:szCs w:val="13"/>
                  <w:color w:val="0000FF"/>
                </w:rPr>
                <w:t>Pursuant to Section 906 of the Sarbanes-Oxley Act of 2002.</w:t>
              </w:r>
            </w:hyperlink>
          </w:p>
        </w:tc>
        <w:tc>
          <w:tcPr>
            <w:tcW w:w="500" w:type="dxa"/>
            <w:vAlign w:val="bottom"/>
            <w:gridSpan w:val="6"/>
            <w:vMerge w:val="restart"/>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5160" w:type="dxa"/>
            <w:vAlign w:val="bottom"/>
            <w:gridSpan w:val="6"/>
            <w:vMerge w:val="continue"/>
          </w:tcPr>
          <w:p>
            <w:pPr>
              <w:spacing w:after="0"/>
              <w:rPr>
                <w:sz w:val="3"/>
                <w:szCs w:val="3"/>
                <w:color w:val="auto"/>
              </w:rPr>
            </w:pPr>
          </w:p>
        </w:tc>
        <w:tc>
          <w:tcPr>
            <w:tcW w:w="500" w:type="dxa"/>
            <w:vAlign w:val="bottom"/>
            <w:gridSpan w:val="6"/>
            <w:vMerge w:val="continue"/>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gridSpan w:val="4"/>
            <w:shd w:val="clear" w:color="auto" w:fill="0000FF"/>
          </w:tcPr>
          <w:p>
            <w:pPr>
              <w:spacing w:after="0" w:line="20" w:lineRule="exact"/>
              <w:rPr>
                <w:sz w:val="1"/>
                <w:szCs w:val="1"/>
                <w:color w:val="auto"/>
              </w:rPr>
            </w:pPr>
          </w:p>
        </w:tc>
        <w:tc>
          <w:tcPr>
            <w:tcW w:w="228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00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101.INS</w:t>
            </w:r>
          </w:p>
        </w:tc>
        <w:tc>
          <w:tcPr>
            <w:tcW w:w="20" w:type="dxa"/>
            <w:vAlign w:val="bottom"/>
          </w:tcPr>
          <w:p>
            <w:pPr>
              <w:spacing w:after="0"/>
              <w:rPr>
                <w:sz w:val="13"/>
                <w:szCs w:val="13"/>
                <w:color w:val="auto"/>
              </w:rPr>
            </w:pPr>
          </w:p>
        </w:tc>
        <w:tc>
          <w:tcPr>
            <w:tcW w:w="5660" w:type="dxa"/>
            <w:vAlign w:val="bottom"/>
            <w:gridSpan w:val="12"/>
          </w:tcPr>
          <w:p>
            <w:pPr>
              <w:spacing w:after="0" w:line="152" w:lineRule="exact"/>
              <w:rPr>
                <w:sz w:val="20"/>
                <w:szCs w:val="20"/>
                <w:color w:val="auto"/>
              </w:rPr>
            </w:pPr>
            <w:r>
              <w:rPr>
                <w:rFonts w:ascii="Arial" w:cs="Arial" w:eastAsia="Arial" w:hAnsi="Arial"/>
                <w:sz w:val="14"/>
                <w:szCs w:val="14"/>
                <w:color w:val="auto"/>
                <w:w w:val="94"/>
              </w:rPr>
              <w:t>Inline XBRL Instance Document - The instance document does not appear in the interactive data</w:t>
            </w: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60" w:type="dxa"/>
            <w:vAlign w:val="bottom"/>
            <w:gridSpan w:val="12"/>
            <w:vMerge w:val="restart"/>
          </w:tcPr>
          <w:p>
            <w:pPr>
              <w:spacing w:after="0"/>
              <w:rPr>
                <w:sz w:val="20"/>
                <w:szCs w:val="20"/>
                <w:color w:val="auto"/>
              </w:rPr>
            </w:pPr>
            <w:r>
              <w:rPr>
                <w:rFonts w:ascii="Arial" w:cs="Arial" w:eastAsia="Arial" w:hAnsi="Arial"/>
                <w:sz w:val="14"/>
                <w:szCs w:val="14"/>
                <w:color w:val="auto"/>
              </w:rPr>
              <w:t>file because its XBRL tags are embedded within the inline XBRL document.</w:t>
            </w:r>
          </w:p>
        </w:tc>
        <w:tc>
          <w:tcPr>
            <w:tcW w:w="7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5660" w:type="dxa"/>
            <w:vAlign w:val="bottom"/>
            <w:gridSpan w:val="12"/>
            <w:vMerge w:val="continue"/>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000" w:type="dxa"/>
            <w:vAlign w:val="bottom"/>
            <w:gridSpan w:val="2"/>
          </w:tcPr>
          <w:p>
            <w:pPr>
              <w:ind w:left="20"/>
              <w:spacing w:after="0"/>
              <w:rPr>
                <w:sz w:val="20"/>
                <w:szCs w:val="20"/>
                <w:color w:val="auto"/>
              </w:rPr>
            </w:pPr>
            <w:r>
              <w:rPr>
                <w:rFonts w:ascii="Arial" w:cs="Arial" w:eastAsia="Arial" w:hAnsi="Arial"/>
                <w:sz w:val="14"/>
                <w:szCs w:val="14"/>
                <w:color w:val="auto"/>
              </w:rPr>
              <w:t>101.SCH</w:t>
            </w:r>
          </w:p>
        </w:tc>
        <w:tc>
          <w:tcPr>
            <w:tcW w:w="20" w:type="dxa"/>
            <w:vAlign w:val="bottom"/>
          </w:tcPr>
          <w:p>
            <w:pPr>
              <w:spacing w:after="0"/>
              <w:rPr>
                <w:sz w:val="15"/>
                <w:szCs w:val="15"/>
                <w:color w:val="auto"/>
              </w:rPr>
            </w:pPr>
          </w:p>
        </w:tc>
        <w:tc>
          <w:tcPr>
            <w:tcW w:w="5660" w:type="dxa"/>
            <w:vAlign w:val="bottom"/>
            <w:gridSpan w:val="12"/>
          </w:tcPr>
          <w:p>
            <w:pPr>
              <w:spacing w:after="0"/>
              <w:rPr>
                <w:sz w:val="20"/>
                <w:szCs w:val="20"/>
                <w:color w:val="auto"/>
              </w:rPr>
            </w:pPr>
            <w:r>
              <w:rPr>
                <w:rFonts w:ascii="Arial" w:cs="Arial" w:eastAsia="Arial" w:hAnsi="Arial"/>
                <w:sz w:val="14"/>
                <w:szCs w:val="14"/>
                <w:color w:val="auto"/>
              </w:rPr>
              <w:t>Inline XBRL Taxonomy Extension Schema Document.</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5"/>
        </w:trPr>
        <w:tc>
          <w:tcPr>
            <w:tcW w:w="1000" w:type="dxa"/>
            <w:vAlign w:val="bottom"/>
            <w:gridSpan w:val="2"/>
          </w:tcPr>
          <w:p>
            <w:pPr>
              <w:ind w:left="20"/>
              <w:spacing w:after="0"/>
              <w:rPr>
                <w:sz w:val="20"/>
                <w:szCs w:val="20"/>
                <w:color w:val="auto"/>
              </w:rPr>
            </w:pPr>
            <w:r>
              <w:rPr>
                <w:rFonts w:ascii="Arial" w:cs="Arial" w:eastAsia="Arial" w:hAnsi="Arial"/>
                <w:sz w:val="14"/>
                <w:szCs w:val="14"/>
                <w:color w:val="auto"/>
              </w:rPr>
              <w:t>101.CAL</w:t>
            </w:r>
          </w:p>
        </w:tc>
        <w:tc>
          <w:tcPr>
            <w:tcW w:w="20" w:type="dxa"/>
            <w:vAlign w:val="bottom"/>
          </w:tcPr>
          <w:p>
            <w:pPr>
              <w:spacing w:after="0"/>
              <w:rPr>
                <w:sz w:val="16"/>
                <w:szCs w:val="16"/>
                <w:color w:val="auto"/>
              </w:rPr>
            </w:pPr>
          </w:p>
        </w:tc>
        <w:tc>
          <w:tcPr>
            <w:tcW w:w="5660" w:type="dxa"/>
            <w:vAlign w:val="bottom"/>
            <w:gridSpan w:val="12"/>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6"/>
        </w:trPr>
        <w:tc>
          <w:tcPr>
            <w:tcW w:w="1000" w:type="dxa"/>
            <w:vAlign w:val="bottom"/>
            <w:gridSpan w:val="2"/>
          </w:tcPr>
          <w:p>
            <w:pPr>
              <w:ind w:left="20"/>
              <w:spacing w:after="0"/>
              <w:rPr>
                <w:sz w:val="20"/>
                <w:szCs w:val="20"/>
                <w:color w:val="auto"/>
              </w:rPr>
            </w:pPr>
            <w:r>
              <w:rPr>
                <w:rFonts w:ascii="Arial" w:cs="Arial" w:eastAsia="Arial" w:hAnsi="Arial"/>
                <w:sz w:val="14"/>
                <w:szCs w:val="14"/>
                <w:color w:val="auto"/>
              </w:rPr>
              <w:t>101.DEF</w:t>
            </w:r>
          </w:p>
        </w:tc>
        <w:tc>
          <w:tcPr>
            <w:tcW w:w="20" w:type="dxa"/>
            <w:vAlign w:val="bottom"/>
          </w:tcPr>
          <w:p>
            <w:pPr>
              <w:spacing w:after="0"/>
              <w:rPr>
                <w:sz w:val="16"/>
                <w:szCs w:val="16"/>
                <w:color w:val="auto"/>
              </w:rPr>
            </w:pPr>
          </w:p>
        </w:tc>
        <w:tc>
          <w:tcPr>
            <w:tcW w:w="5660" w:type="dxa"/>
            <w:vAlign w:val="bottom"/>
            <w:gridSpan w:val="12"/>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5"/>
        </w:trPr>
        <w:tc>
          <w:tcPr>
            <w:tcW w:w="1000" w:type="dxa"/>
            <w:vAlign w:val="bottom"/>
            <w:gridSpan w:val="2"/>
          </w:tcPr>
          <w:p>
            <w:pPr>
              <w:ind w:left="2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16"/>
                <w:szCs w:val="16"/>
                <w:color w:val="auto"/>
              </w:rPr>
            </w:pPr>
          </w:p>
        </w:tc>
        <w:tc>
          <w:tcPr>
            <w:tcW w:w="5660" w:type="dxa"/>
            <w:vAlign w:val="bottom"/>
            <w:gridSpan w:val="12"/>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6"/>
        </w:trPr>
        <w:tc>
          <w:tcPr>
            <w:tcW w:w="100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20" w:type="dxa"/>
            <w:vAlign w:val="bottom"/>
          </w:tcPr>
          <w:p>
            <w:pPr>
              <w:spacing w:after="0"/>
              <w:rPr>
                <w:sz w:val="16"/>
                <w:szCs w:val="16"/>
                <w:color w:val="auto"/>
              </w:rPr>
            </w:pPr>
          </w:p>
        </w:tc>
        <w:tc>
          <w:tcPr>
            <w:tcW w:w="5660" w:type="dxa"/>
            <w:vAlign w:val="bottom"/>
            <w:gridSpan w:val="12"/>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5"/>
        </w:trPr>
        <w:tc>
          <w:tcPr>
            <w:tcW w:w="840" w:type="dxa"/>
            <w:vAlign w:val="bottom"/>
          </w:tcPr>
          <w:p>
            <w:pPr>
              <w:ind w:left="20"/>
              <w:spacing w:after="0"/>
              <w:rPr>
                <w:sz w:val="20"/>
                <w:szCs w:val="20"/>
                <w:color w:val="auto"/>
              </w:rPr>
            </w:pPr>
            <w:r>
              <w:rPr>
                <w:rFonts w:ascii="Arial" w:cs="Arial" w:eastAsia="Arial" w:hAnsi="Arial"/>
                <w:sz w:val="14"/>
                <w:szCs w:val="14"/>
                <w:color w:val="auto"/>
              </w:rPr>
              <w:t>104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60" w:type="dxa"/>
            <w:vAlign w:val="bottom"/>
            <w:gridSpan w:val="12"/>
          </w:tcPr>
          <w:p>
            <w:pPr>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680" w:right="120" w:hanging="372"/>
        <w:spacing w:after="0" w:line="238" w:lineRule="auto"/>
        <w:tabs>
          <w:tab w:leader="none" w:pos="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certifications attached as Exhibit 32.1 and 32.2 that accompany this Quarterly Report on Form 10-Q are not deemed filed with the Securities and Exchange Commission and are not to be incorporated by reference into any filing of Tarsus Pharmaceuticals,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ind w:firstLine="874"/>
        <w:spacing w:after="0" w:line="264"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on Form 10-Q to be signed on its behalf by the undersigned, thereunto duly authorized.</w:t>
      </w:r>
    </w:p>
    <w:p>
      <w:pPr>
        <w:sectPr>
          <w:pgSz w:w="11900" w:h="16838" w:orient="portrait"/>
          <w:cols w:equalWidth="0" w:num="1">
            <w:col w:w="11100"/>
          </w:cols>
          <w:pgMar w:left="320" w:top="127"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480"/>
        <w:spacing w:after="0"/>
        <w:tabs>
          <w:tab w:leader="none" w:pos="2800" w:val="left"/>
        </w:tabs>
        <w:rPr>
          <w:sz w:val="20"/>
          <w:szCs w:val="20"/>
          <w:color w:val="auto"/>
        </w:rPr>
      </w:pPr>
      <w:r>
        <w:rPr>
          <w:rFonts w:ascii="Arial" w:cs="Arial" w:eastAsia="Arial" w:hAnsi="Arial"/>
          <w:sz w:val="15"/>
          <w:szCs w:val="15"/>
          <w:color w:val="auto"/>
        </w:rPr>
        <w:t>Date:</w:t>
      </w:r>
      <w:r>
        <w:rPr>
          <w:sz w:val="20"/>
          <w:szCs w:val="20"/>
          <w:color w:val="auto"/>
        </w:rPr>
        <w:tab/>
      </w:r>
      <w:r>
        <w:rPr>
          <w:rFonts w:ascii="Arial" w:cs="Arial" w:eastAsia="Arial" w:hAnsi="Arial"/>
          <w:sz w:val="15"/>
          <w:szCs w:val="15"/>
          <w:color w:val="auto"/>
        </w:rPr>
        <w:t>August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80"/>
        <w:spacing w:after="0"/>
        <w:tabs>
          <w:tab w:leader="none" w:pos="2800" w:val="left"/>
        </w:tabs>
        <w:rPr>
          <w:sz w:val="20"/>
          <w:szCs w:val="20"/>
          <w:color w:val="auto"/>
        </w:rPr>
      </w:pPr>
      <w:r>
        <w:rPr>
          <w:rFonts w:ascii="Arial" w:cs="Arial" w:eastAsia="Arial" w:hAnsi="Arial"/>
          <w:sz w:val="15"/>
          <w:szCs w:val="15"/>
          <w:color w:val="auto"/>
        </w:rPr>
        <w:t>Date:</w:t>
      </w:r>
      <w:r>
        <w:rPr>
          <w:sz w:val="20"/>
          <w:szCs w:val="20"/>
          <w:color w:val="auto"/>
        </w:rPr>
        <w:tab/>
      </w:r>
      <w:r>
        <w:rPr>
          <w:rFonts w:ascii="Arial" w:cs="Arial" w:eastAsia="Arial" w:hAnsi="Arial"/>
          <w:sz w:val="15"/>
          <w:szCs w:val="15"/>
          <w:color w:val="auto"/>
        </w:rPr>
        <w:t>August 5,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jc w:val="center"/>
        <w:ind w:right="2140"/>
        <w:spacing w:after="0"/>
        <w:rPr>
          <w:sz w:val="20"/>
          <w:szCs w:val="20"/>
          <w:color w:val="auto"/>
        </w:rPr>
      </w:pPr>
      <w:r>
        <w:rPr>
          <w:rFonts w:ascii="Arial" w:cs="Arial" w:eastAsia="Arial" w:hAnsi="Arial"/>
          <w:sz w:val="17"/>
          <w:szCs w:val="17"/>
          <w:b w:val="1"/>
          <w:bCs w:val="1"/>
          <w:color w:val="auto"/>
        </w:rPr>
        <w:t>TARSUS PHARMACEUTICALS, INC.</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33737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37375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Bobak Azamian, M.D., Ph.D.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/s/ Leonard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33737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37375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Leonard M. Greenstein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(Principal Financial Officer and Principal Accounting Officer)</w:t>
      </w:r>
    </w:p>
    <w:p>
      <w:pPr>
        <w:spacing w:after="0" w:line="200" w:lineRule="exact"/>
        <w:rPr>
          <w:sz w:val="20"/>
          <w:szCs w:val="20"/>
          <w:color w:val="auto"/>
        </w:rPr>
      </w:pPr>
    </w:p>
    <w:p>
      <w:pPr>
        <w:sectPr>
          <w:pgSz w:w="11900" w:h="16838" w:orient="portrait"/>
          <w:cols w:equalWidth="0" w:num="2">
            <w:col w:w="5220" w:space="720"/>
            <w:col w:w="5160"/>
          </w:cols>
          <w:pgMar w:left="320" w:top="127"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1100"/>
          </w:cols>
          <w:pgMar w:left="320" w:top="127" w:right="47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auto"/>
        </w:rPr>
        <w:t>Exhibit 31.1</w:t>
      </w:r>
    </w:p>
    <w:tbl>
      <w:tblPr>
        <w:tblLayout w:type="fixed"/>
        <w:tblInd w:w="0" w:type="dxa"/>
        <w:tblCellMar>
          <w:top w:w="0" w:type="dxa"/>
          <w:left w:w="0" w:type="dxa"/>
          <w:bottom w:w="0" w:type="dxa"/>
          <w:right w:w="0" w:type="dxa"/>
        </w:tblCellMar>
      </w:tblPr>
      <w:tr>
        <w:trPr>
          <w:trHeight w:val="165"/>
        </w:trPr>
        <w:tc>
          <w:tcPr>
            <w:tcW w:w="140" w:type="dxa"/>
            <w:vAlign w:val="bottom"/>
          </w:tcPr>
          <w:p>
            <w:pPr>
              <w:spacing w:after="0"/>
              <w:rPr>
                <w:sz w:val="14"/>
                <w:szCs w:val="14"/>
                <w:color w:val="auto"/>
              </w:rPr>
            </w:pPr>
          </w:p>
        </w:tc>
        <w:tc>
          <w:tcPr>
            <w:tcW w:w="11060" w:type="dxa"/>
            <w:vAlign w:val="bottom"/>
          </w:tcPr>
          <w:p>
            <w:pPr>
              <w:jc w:val="center"/>
              <w:ind w:right="1"/>
              <w:spacing w:after="0" w:line="165" w:lineRule="exact"/>
              <w:rPr>
                <w:sz w:val="20"/>
                <w:szCs w:val="20"/>
                <w:color w:val="auto"/>
              </w:rPr>
            </w:pPr>
            <w:r>
              <w:rPr>
                <w:rFonts w:ascii="Arial" w:cs="Arial" w:eastAsia="Arial" w:hAnsi="Arial"/>
                <w:sz w:val="16"/>
                <w:szCs w:val="16"/>
                <w:color w:val="auto"/>
                <w:w w:val="95"/>
              </w:rPr>
              <w:t>CERTIFICATION PURSUANT TO</w:t>
            </w:r>
          </w:p>
        </w:tc>
      </w:tr>
      <w:tr>
        <w:trPr>
          <w:trHeight w:val="172"/>
        </w:trPr>
        <w:tc>
          <w:tcPr>
            <w:tcW w:w="140" w:type="dxa"/>
            <w:vAlign w:val="bottom"/>
          </w:tcPr>
          <w:p>
            <w:pPr>
              <w:spacing w:after="0"/>
              <w:rPr>
                <w:sz w:val="14"/>
                <w:szCs w:val="14"/>
                <w:color w:val="auto"/>
              </w:rPr>
            </w:pPr>
          </w:p>
        </w:tc>
        <w:tc>
          <w:tcPr>
            <w:tcW w:w="11060" w:type="dxa"/>
            <w:vAlign w:val="bottom"/>
          </w:tcPr>
          <w:p>
            <w:pPr>
              <w:jc w:val="center"/>
              <w:ind w:right="21"/>
              <w:spacing w:after="0" w:line="172" w:lineRule="exact"/>
              <w:rPr>
                <w:sz w:val="20"/>
                <w:szCs w:val="20"/>
                <w:color w:val="auto"/>
              </w:rPr>
            </w:pPr>
            <w:r>
              <w:rPr>
                <w:rFonts w:ascii="Arial" w:cs="Arial" w:eastAsia="Arial" w:hAnsi="Arial"/>
                <w:sz w:val="16"/>
                <w:szCs w:val="16"/>
                <w:color w:val="auto"/>
                <w:w w:val="93"/>
              </w:rPr>
              <w:t>RULES 13a-14(a) AND 15d-14(a) UNDER THE SECURITIES EXCHANGE ACT OF 1934,</w:t>
            </w:r>
          </w:p>
        </w:tc>
      </w:tr>
      <w:tr>
        <w:trPr>
          <w:trHeight w:val="204"/>
        </w:trPr>
        <w:tc>
          <w:tcPr>
            <w:tcW w:w="140" w:type="dxa"/>
            <w:vAlign w:val="bottom"/>
          </w:tcPr>
          <w:p>
            <w:pPr>
              <w:spacing w:after="0"/>
              <w:rPr>
                <w:sz w:val="17"/>
                <w:szCs w:val="17"/>
                <w:color w:val="auto"/>
              </w:rPr>
            </w:pPr>
          </w:p>
        </w:tc>
        <w:tc>
          <w:tcPr>
            <w:tcW w:w="11060" w:type="dxa"/>
            <w:vAlign w:val="bottom"/>
          </w:tcPr>
          <w:p>
            <w:pPr>
              <w:jc w:val="center"/>
              <w:ind w:right="21"/>
              <w:spacing w:after="0"/>
              <w:rPr>
                <w:sz w:val="20"/>
                <w:szCs w:val="20"/>
                <w:color w:val="auto"/>
              </w:rPr>
            </w:pPr>
            <w:r>
              <w:rPr>
                <w:rFonts w:ascii="Arial" w:cs="Arial" w:eastAsia="Arial" w:hAnsi="Arial"/>
                <w:sz w:val="16"/>
                <w:szCs w:val="16"/>
                <w:color w:val="auto"/>
                <w:w w:val="94"/>
              </w:rPr>
              <w:t>AS ADOPTED PURSUANT TO SECTION 302 OF THE SARBANES-OXLEY ACT OF 2002</w:t>
            </w:r>
          </w:p>
        </w:tc>
      </w:tr>
      <w:tr>
        <w:trPr>
          <w:trHeight w:val="888"/>
        </w:trPr>
        <w:tc>
          <w:tcPr>
            <w:tcW w:w="11200" w:type="dxa"/>
            <w:vAlign w:val="bottom"/>
            <w:gridSpan w:val="2"/>
          </w:tcPr>
          <w:p>
            <w:pPr>
              <w:spacing w:after="0"/>
              <w:rPr>
                <w:sz w:val="20"/>
                <w:szCs w:val="20"/>
                <w:color w:val="auto"/>
              </w:rPr>
            </w:pPr>
            <w:r>
              <w:rPr>
                <w:rFonts w:ascii="Arial" w:cs="Arial" w:eastAsia="Arial" w:hAnsi="Arial"/>
                <w:sz w:val="16"/>
                <w:szCs w:val="16"/>
                <w:color w:val="auto"/>
              </w:rPr>
              <w:t>I, Bobak Azamian, M.D., Ph.D., certify that:</w:t>
            </w:r>
          </w:p>
        </w:tc>
      </w:tr>
      <w:tr>
        <w:trPr>
          <w:trHeight w:val="411"/>
        </w:trPr>
        <w:tc>
          <w:tcPr>
            <w:tcW w:w="140" w:type="dxa"/>
            <w:vAlign w:val="bottom"/>
          </w:tcPr>
          <w:p>
            <w:pPr>
              <w:spacing w:after="0"/>
              <w:rPr>
                <w:sz w:val="20"/>
                <w:szCs w:val="20"/>
                <w:color w:val="auto"/>
              </w:rPr>
            </w:pPr>
            <w:r>
              <w:rPr>
                <w:rFonts w:ascii="Arial" w:cs="Arial" w:eastAsia="Arial" w:hAnsi="Arial"/>
                <w:sz w:val="16"/>
                <w:szCs w:val="16"/>
                <w:color w:val="auto"/>
                <w:w w:val="89"/>
              </w:rPr>
              <w:t>1.</w:t>
            </w:r>
          </w:p>
        </w:tc>
        <w:tc>
          <w:tcPr>
            <w:tcW w:w="11060" w:type="dxa"/>
            <w:vAlign w:val="bottom"/>
          </w:tcPr>
          <w:p>
            <w:pPr>
              <w:ind w:left="20"/>
              <w:spacing w:after="0"/>
              <w:rPr>
                <w:sz w:val="20"/>
                <w:szCs w:val="20"/>
                <w:color w:val="auto"/>
              </w:rPr>
            </w:pPr>
            <w:r>
              <w:rPr>
                <w:rFonts w:ascii="Arial" w:cs="Arial" w:eastAsia="Arial" w:hAnsi="Arial"/>
                <w:sz w:val="16"/>
                <w:szCs w:val="16"/>
                <w:color w:val="auto"/>
              </w:rPr>
              <w:t>I have reviewed this Quarterly Report on Form 10-Q of Tarsus Pharmaceuticals, Inc;</w:t>
            </w:r>
          </w:p>
        </w:tc>
      </w:tr>
      <w:tr>
        <w:trPr>
          <w:trHeight w:val="194"/>
        </w:trPr>
        <w:tc>
          <w:tcPr>
            <w:tcW w:w="140" w:type="dxa"/>
            <w:vAlign w:val="bottom"/>
          </w:tcPr>
          <w:p>
            <w:pPr>
              <w:spacing w:after="0"/>
              <w:rPr>
                <w:sz w:val="20"/>
                <w:szCs w:val="20"/>
                <w:color w:val="auto"/>
              </w:rPr>
            </w:pPr>
            <w:r>
              <w:rPr>
                <w:rFonts w:ascii="Arial" w:cs="Arial" w:eastAsia="Arial" w:hAnsi="Arial"/>
                <w:sz w:val="16"/>
                <w:szCs w:val="16"/>
                <w:color w:val="auto"/>
                <w:w w:val="89"/>
              </w:rPr>
              <w:t>2.</w:t>
            </w:r>
          </w:p>
        </w:tc>
        <w:tc>
          <w:tcPr>
            <w:tcW w:w="11060" w:type="dxa"/>
            <w:vAlign w:val="bottom"/>
          </w:tcPr>
          <w:p>
            <w:pPr>
              <w:ind w:left="20"/>
              <w:spacing w:after="0"/>
              <w:rPr>
                <w:sz w:val="20"/>
                <w:szCs w:val="20"/>
                <w:color w:val="auto"/>
              </w:rPr>
            </w:pPr>
            <w:r>
              <w:rPr>
                <w:rFonts w:ascii="Arial" w:cs="Arial" w:eastAsia="Arial" w:hAnsi="Arial"/>
                <w:sz w:val="16"/>
                <w:szCs w:val="16"/>
                <w:color w:val="auto"/>
                <w:w w:val="89"/>
              </w:rPr>
              <w:t>Based on my knowledge, this report does not contain any untrue statement of a material fact or omit to state a material fact   necessary to make the statements made, in light</w:t>
            </w:r>
          </w:p>
        </w:tc>
      </w:tr>
      <w:tr>
        <w:trPr>
          <w:trHeight w:val="204"/>
        </w:trPr>
        <w:tc>
          <w:tcPr>
            <w:tcW w:w="140" w:type="dxa"/>
            <w:vAlign w:val="bottom"/>
          </w:tcPr>
          <w:p>
            <w:pPr>
              <w:spacing w:after="0"/>
              <w:rPr>
                <w:sz w:val="17"/>
                <w:szCs w:val="17"/>
                <w:color w:val="auto"/>
              </w:rPr>
            </w:pPr>
          </w:p>
        </w:tc>
        <w:tc>
          <w:tcPr>
            <w:tcW w:w="11060" w:type="dxa"/>
            <w:vAlign w:val="bottom"/>
          </w:tcPr>
          <w:p>
            <w:pPr>
              <w:ind w:left="180"/>
              <w:spacing w:after="0"/>
              <w:rPr>
                <w:sz w:val="20"/>
                <w:szCs w:val="20"/>
                <w:color w:val="auto"/>
              </w:rPr>
            </w:pPr>
            <w:r>
              <w:rPr>
                <w:rFonts w:ascii="Arial" w:cs="Arial" w:eastAsia="Arial" w:hAnsi="Arial"/>
                <w:sz w:val="16"/>
                <w:szCs w:val="16"/>
                <w:color w:val="auto"/>
              </w:rPr>
              <w:t>of the circumstances under which such statements were made, not misleading with respect to the period covered by this report;</w:t>
            </w:r>
          </w:p>
        </w:tc>
      </w:tr>
    </w:tbl>
    <w:p>
      <w:pPr>
        <w:spacing w:after="0" w:line="22" w:lineRule="exact"/>
        <w:rPr>
          <w:sz w:val="20"/>
          <w:szCs w:val="20"/>
          <w:color w:val="auto"/>
        </w:rPr>
      </w:pPr>
    </w:p>
    <w:p>
      <w:pPr>
        <w:ind w:left="320" w:right="60" w:hanging="314"/>
        <w:spacing w:after="0" w:line="250" w:lineRule="auto"/>
        <w:tabs>
          <w:tab w:leader="none" w:pos="161"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 w:lineRule="exact"/>
        <w:rPr>
          <w:rFonts w:ascii="Arial" w:cs="Arial" w:eastAsia="Arial" w:hAnsi="Arial"/>
          <w:sz w:val="16"/>
          <w:szCs w:val="16"/>
          <w:color w:val="auto"/>
        </w:rPr>
      </w:pPr>
    </w:p>
    <w:p>
      <w:pPr>
        <w:ind w:left="320" w:right="180" w:hanging="314"/>
        <w:spacing w:after="0" w:line="250" w:lineRule="auto"/>
        <w:tabs>
          <w:tab w:leader="none" w:pos="16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67" w:lineRule="exact"/>
        <w:rPr>
          <w:rFonts w:ascii="Arial" w:cs="Arial" w:eastAsia="Arial" w:hAnsi="Arial"/>
          <w:sz w:val="16"/>
          <w:szCs w:val="16"/>
          <w:color w:val="auto"/>
        </w:rPr>
      </w:pPr>
    </w:p>
    <w:p>
      <w:pPr>
        <w:ind w:left="1440" w:right="160" w:hanging="321"/>
        <w:spacing w:after="0" w:line="238" w:lineRule="auto"/>
        <w:tabs>
          <w:tab w:leader="none" w:pos="1338"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Arial" w:cs="Arial" w:eastAsia="Arial" w:hAnsi="Arial"/>
          <w:sz w:val="16"/>
          <w:szCs w:val="16"/>
          <w:color w:val="auto"/>
        </w:rPr>
      </w:pPr>
    </w:p>
    <w:p>
      <w:pPr>
        <w:ind w:left="1440" w:right="60" w:hanging="321"/>
        <w:spacing w:after="0" w:line="267" w:lineRule="auto"/>
        <w:tabs>
          <w:tab w:leader="none" w:pos="13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sz w:val="20"/>
          <w:szCs w:val="20"/>
          <w:color w:val="auto"/>
        </w:rPr>
      </w:pPr>
    </w:p>
    <w:p>
      <w:pPr>
        <w:ind w:left="1440" w:right="260" w:hanging="317"/>
        <w:spacing w:after="0" w:line="248" w:lineRule="auto"/>
        <w:rPr>
          <w:sz w:val="20"/>
          <w:szCs w:val="20"/>
          <w:color w:val="auto"/>
        </w:rPr>
      </w:pPr>
      <w:r>
        <w:rPr>
          <w:rFonts w:ascii="Arial" w:cs="Arial" w:eastAsia="Arial" w:hAnsi="Arial"/>
          <w:sz w:val="16"/>
          <w:szCs w:val="16"/>
          <w:color w:val="auto"/>
        </w:rPr>
        <w:t>(c) Disclosed in this report any change in the registrant's internal control over financial reporting that occurred</w:t>
      </w:r>
      <w:r>
        <w:rPr>
          <w:sz w:val="20"/>
          <w:szCs w:val="20"/>
          <w:color w:val="auto"/>
        </w:rPr>
        <w:t xml:space="preserve"> </w:t>
      </w:r>
      <w:r>
        <w:rPr>
          <w:rFonts w:ascii="Arial" w:cs="Arial" w:eastAsia="Arial" w:hAnsi="Arial"/>
          <w:sz w:val="16"/>
          <w:szCs w:val="16"/>
          <w:color w:val="auto"/>
        </w:rPr>
        <w:t>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9" w:lineRule="exact"/>
        <w:rPr>
          <w:sz w:val="20"/>
          <w:szCs w:val="20"/>
          <w:color w:val="auto"/>
        </w:rPr>
      </w:pPr>
    </w:p>
    <w:p>
      <w:pPr>
        <w:ind w:left="320" w:hanging="314"/>
        <w:spacing w:after="0" w:line="267" w:lineRule="auto"/>
        <w:tabs>
          <w:tab w:leader="none" w:pos="17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6"/>
          <w:szCs w:val="16"/>
          <w:color w:val="auto"/>
        </w:rPr>
      </w:pPr>
    </w:p>
    <w:p>
      <w:pPr>
        <w:ind w:left="1440" w:right="220" w:hanging="321"/>
        <w:spacing w:after="0" w:line="267" w:lineRule="auto"/>
        <w:tabs>
          <w:tab w:leader="none" w:pos="1351"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6"/>
          <w:szCs w:val="16"/>
          <w:color w:val="auto"/>
        </w:rPr>
      </w:pPr>
    </w:p>
    <w:p>
      <w:pPr>
        <w:ind w:left="1440" w:right="440" w:hanging="321"/>
        <w:spacing w:after="0" w:line="267" w:lineRule="auto"/>
        <w:tabs>
          <w:tab w:leader="none" w:pos="13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p>
      <w:pPr>
        <w:ind w:left="40"/>
        <w:spacing w:after="0"/>
        <w:tabs>
          <w:tab w:leader="none" w:pos="5680" w:val="left"/>
          <w:tab w:leader="none" w:pos="7540" w:val="left"/>
        </w:tabs>
        <w:rPr>
          <w:sz w:val="20"/>
          <w:szCs w:val="20"/>
          <w:color w:val="auto"/>
        </w:rPr>
      </w:pPr>
      <w:r>
        <w:rPr>
          <w:rFonts w:ascii="Arial" w:cs="Arial" w:eastAsia="Arial" w:hAnsi="Arial"/>
          <w:sz w:val="16"/>
          <w:szCs w:val="16"/>
          <w:color w:val="auto"/>
        </w:rPr>
        <w:t>Date: August 5,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24130</wp:posOffset>
            </wp:positionV>
            <wp:extent cx="33572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357245" cy="8255"/>
                    </a:xfrm>
                    <a:prstGeom prst="rect">
                      <a:avLst/>
                    </a:prstGeom>
                    <a:noFill/>
                  </pic:spPr>
                </pic:pic>
              </a:graphicData>
            </a:graphic>
          </wp:anchor>
        </w:drawing>
      </w:r>
    </w:p>
    <w:p>
      <w:pPr>
        <w:spacing w:after="0" w:line="35"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Bobak Azamian, M.D., Ph.D.</w:t>
      </w:r>
    </w:p>
    <w:p>
      <w:pPr>
        <w:jc w:val="center"/>
        <w:ind w:left="5960"/>
        <w:spacing w:after="0" w:line="227" w:lineRule="auto"/>
        <w:rPr>
          <w:sz w:val="20"/>
          <w:szCs w:val="20"/>
          <w:color w:val="auto"/>
        </w:rPr>
      </w:pPr>
      <w:r>
        <w:rPr>
          <w:rFonts w:ascii="Arial" w:cs="Arial" w:eastAsia="Arial" w:hAnsi="Arial"/>
          <w:sz w:val="16"/>
          <w:szCs w:val="16"/>
          <w:color w:val="auto"/>
        </w:rPr>
        <w:t>President and Chief Executive Officer</w:t>
      </w:r>
    </w:p>
    <w:p>
      <w:pPr>
        <w:jc w:val="center"/>
        <w:ind w:left="596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1384"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31.2</w:t>
      </w:r>
    </w:p>
    <w:tbl>
      <w:tblPr>
        <w:tblLayout w:type="fixed"/>
        <w:tblInd w:w="0" w:type="dxa"/>
        <w:tblCellMar>
          <w:top w:w="0" w:type="dxa"/>
          <w:left w:w="0" w:type="dxa"/>
          <w:bottom w:w="0" w:type="dxa"/>
          <w:right w:w="0" w:type="dxa"/>
        </w:tblCellMar>
      </w:tblPr>
      <w:tr>
        <w:trPr>
          <w:trHeight w:val="165"/>
        </w:trPr>
        <w:tc>
          <w:tcPr>
            <w:tcW w:w="140" w:type="dxa"/>
            <w:vAlign w:val="bottom"/>
          </w:tcPr>
          <w:p>
            <w:pPr>
              <w:spacing w:after="0"/>
              <w:rPr>
                <w:sz w:val="14"/>
                <w:szCs w:val="14"/>
                <w:color w:val="auto"/>
              </w:rPr>
            </w:pPr>
          </w:p>
        </w:tc>
        <w:tc>
          <w:tcPr>
            <w:tcW w:w="11060" w:type="dxa"/>
            <w:vAlign w:val="bottom"/>
          </w:tcPr>
          <w:p>
            <w:pPr>
              <w:jc w:val="center"/>
              <w:ind w:right="1"/>
              <w:spacing w:after="0" w:line="165" w:lineRule="exact"/>
              <w:rPr>
                <w:sz w:val="20"/>
                <w:szCs w:val="20"/>
                <w:color w:val="auto"/>
              </w:rPr>
            </w:pPr>
            <w:r>
              <w:rPr>
                <w:rFonts w:ascii="Arial" w:cs="Arial" w:eastAsia="Arial" w:hAnsi="Arial"/>
                <w:sz w:val="16"/>
                <w:szCs w:val="16"/>
                <w:color w:val="auto"/>
                <w:w w:val="95"/>
              </w:rPr>
              <w:t>CERTIFICATION PURSUANT TO</w:t>
            </w:r>
          </w:p>
        </w:tc>
      </w:tr>
      <w:tr>
        <w:trPr>
          <w:trHeight w:val="172"/>
        </w:trPr>
        <w:tc>
          <w:tcPr>
            <w:tcW w:w="140" w:type="dxa"/>
            <w:vAlign w:val="bottom"/>
          </w:tcPr>
          <w:p>
            <w:pPr>
              <w:spacing w:after="0"/>
              <w:rPr>
                <w:sz w:val="14"/>
                <w:szCs w:val="14"/>
                <w:color w:val="auto"/>
              </w:rPr>
            </w:pPr>
          </w:p>
        </w:tc>
        <w:tc>
          <w:tcPr>
            <w:tcW w:w="11060" w:type="dxa"/>
            <w:vAlign w:val="bottom"/>
          </w:tcPr>
          <w:p>
            <w:pPr>
              <w:jc w:val="center"/>
              <w:ind w:right="21"/>
              <w:spacing w:after="0" w:line="172" w:lineRule="exact"/>
              <w:rPr>
                <w:sz w:val="20"/>
                <w:szCs w:val="20"/>
                <w:color w:val="auto"/>
              </w:rPr>
            </w:pPr>
            <w:r>
              <w:rPr>
                <w:rFonts w:ascii="Arial" w:cs="Arial" w:eastAsia="Arial" w:hAnsi="Arial"/>
                <w:sz w:val="16"/>
                <w:szCs w:val="16"/>
                <w:color w:val="auto"/>
                <w:w w:val="93"/>
              </w:rPr>
              <w:t>RULES 13a-14(a) AND 15d-14(a) UNDER THE SECURITIES EXCHANGE ACT OF 1934,</w:t>
            </w:r>
          </w:p>
        </w:tc>
      </w:tr>
      <w:tr>
        <w:trPr>
          <w:trHeight w:val="204"/>
        </w:trPr>
        <w:tc>
          <w:tcPr>
            <w:tcW w:w="140" w:type="dxa"/>
            <w:vAlign w:val="bottom"/>
          </w:tcPr>
          <w:p>
            <w:pPr>
              <w:spacing w:after="0"/>
              <w:rPr>
                <w:sz w:val="17"/>
                <w:szCs w:val="17"/>
                <w:color w:val="auto"/>
              </w:rPr>
            </w:pPr>
          </w:p>
        </w:tc>
        <w:tc>
          <w:tcPr>
            <w:tcW w:w="11060" w:type="dxa"/>
            <w:vAlign w:val="bottom"/>
          </w:tcPr>
          <w:p>
            <w:pPr>
              <w:jc w:val="center"/>
              <w:ind w:right="21"/>
              <w:spacing w:after="0"/>
              <w:rPr>
                <w:sz w:val="20"/>
                <w:szCs w:val="20"/>
                <w:color w:val="auto"/>
              </w:rPr>
            </w:pPr>
            <w:r>
              <w:rPr>
                <w:rFonts w:ascii="Arial" w:cs="Arial" w:eastAsia="Arial" w:hAnsi="Arial"/>
                <w:sz w:val="16"/>
                <w:szCs w:val="16"/>
                <w:color w:val="auto"/>
                <w:w w:val="94"/>
              </w:rPr>
              <w:t>AS ADOPTED PURSUANT TO SECTION 302 OF THE SARBANES-OXLEY ACT OF 2002</w:t>
            </w:r>
          </w:p>
        </w:tc>
      </w:tr>
      <w:tr>
        <w:trPr>
          <w:trHeight w:val="888"/>
        </w:trPr>
        <w:tc>
          <w:tcPr>
            <w:tcW w:w="11200" w:type="dxa"/>
            <w:vAlign w:val="bottom"/>
            <w:gridSpan w:val="2"/>
          </w:tcPr>
          <w:p>
            <w:pPr>
              <w:spacing w:after="0"/>
              <w:rPr>
                <w:sz w:val="20"/>
                <w:szCs w:val="20"/>
                <w:color w:val="auto"/>
              </w:rPr>
            </w:pPr>
            <w:r>
              <w:rPr>
                <w:rFonts w:ascii="Arial" w:cs="Arial" w:eastAsia="Arial" w:hAnsi="Arial"/>
                <w:sz w:val="16"/>
                <w:szCs w:val="16"/>
                <w:color w:val="auto"/>
              </w:rPr>
              <w:t>I, Leo M. Greenstein, certify that:</w:t>
            </w:r>
          </w:p>
        </w:tc>
      </w:tr>
      <w:tr>
        <w:trPr>
          <w:trHeight w:val="411"/>
        </w:trPr>
        <w:tc>
          <w:tcPr>
            <w:tcW w:w="140" w:type="dxa"/>
            <w:vAlign w:val="bottom"/>
          </w:tcPr>
          <w:p>
            <w:pPr>
              <w:spacing w:after="0"/>
              <w:rPr>
                <w:sz w:val="20"/>
                <w:szCs w:val="20"/>
                <w:color w:val="auto"/>
              </w:rPr>
            </w:pPr>
            <w:r>
              <w:rPr>
                <w:rFonts w:ascii="Arial" w:cs="Arial" w:eastAsia="Arial" w:hAnsi="Arial"/>
                <w:sz w:val="16"/>
                <w:szCs w:val="16"/>
                <w:color w:val="auto"/>
                <w:w w:val="89"/>
              </w:rPr>
              <w:t>1.</w:t>
            </w:r>
          </w:p>
        </w:tc>
        <w:tc>
          <w:tcPr>
            <w:tcW w:w="11060" w:type="dxa"/>
            <w:vAlign w:val="bottom"/>
          </w:tcPr>
          <w:p>
            <w:pPr>
              <w:ind w:left="20"/>
              <w:spacing w:after="0"/>
              <w:rPr>
                <w:sz w:val="20"/>
                <w:szCs w:val="20"/>
                <w:color w:val="auto"/>
              </w:rPr>
            </w:pPr>
            <w:r>
              <w:rPr>
                <w:rFonts w:ascii="Arial" w:cs="Arial" w:eastAsia="Arial" w:hAnsi="Arial"/>
                <w:sz w:val="16"/>
                <w:szCs w:val="16"/>
                <w:color w:val="auto"/>
              </w:rPr>
              <w:t>I have reviewed this Quarterly Report on Form 10-Q of Tarsus Pharmaceuticals, Inc;</w:t>
            </w:r>
          </w:p>
        </w:tc>
      </w:tr>
      <w:tr>
        <w:trPr>
          <w:trHeight w:val="194"/>
        </w:trPr>
        <w:tc>
          <w:tcPr>
            <w:tcW w:w="140" w:type="dxa"/>
            <w:vAlign w:val="bottom"/>
          </w:tcPr>
          <w:p>
            <w:pPr>
              <w:spacing w:after="0"/>
              <w:rPr>
                <w:sz w:val="20"/>
                <w:szCs w:val="20"/>
                <w:color w:val="auto"/>
              </w:rPr>
            </w:pPr>
            <w:r>
              <w:rPr>
                <w:rFonts w:ascii="Arial" w:cs="Arial" w:eastAsia="Arial" w:hAnsi="Arial"/>
                <w:sz w:val="16"/>
                <w:szCs w:val="16"/>
                <w:color w:val="auto"/>
                <w:w w:val="89"/>
              </w:rPr>
              <w:t>2.</w:t>
            </w:r>
          </w:p>
        </w:tc>
        <w:tc>
          <w:tcPr>
            <w:tcW w:w="11060" w:type="dxa"/>
            <w:vAlign w:val="bottom"/>
          </w:tcPr>
          <w:p>
            <w:pPr>
              <w:ind w:left="20"/>
              <w:spacing w:after="0"/>
              <w:rPr>
                <w:sz w:val="20"/>
                <w:szCs w:val="20"/>
                <w:color w:val="auto"/>
              </w:rPr>
            </w:pPr>
            <w:r>
              <w:rPr>
                <w:rFonts w:ascii="Arial" w:cs="Arial" w:eastAsia="Arial" w:hAnsi="Arial"/>
                <w:sz w:val="16"/>
                <w:szCs w:val="16"/>
                <w:color w:val="auto"/>
                <w:w w:val="89"/>
              </w:rPr>
              <w:t>Based on my knowledge, this report does not contain any untrue statement of a material fact or omit to state a material fact   necessary to make the statements made, in light</w:t>
            </w:r>
          </w:p>
        </w:tc>
      </w:tr>
      <w:tr>
        <w:trPr>
          <w:trHeight w:val="204"/>
        </w:trPr>
        <w:tc>
          <w:tcPr>
            <w:tcW w:w="140" w:type="dxa"/>
            <w:vAlign w:val="bottom"/>
          </w:tcPr>
          <w:p>
            <w:pPr>
              <w:spacing w:after="0"/>
              <w:rPr>
                <w:sz w:val="17"/>
                <w:szCs w:val="17"/>
                <w:color w:val="auto"/>
              </w:rPr>
            </w:pPr>
          </w:p>
        </w:tc>
        <w:tc>
          <w:tcPr>
            <w:tcW w:w="11060" w:type="dxa"/>
            <w:vAlign w:val="bottom"/>
          </w:tcPr>
          <w:p>
            <w:pPr>
              <w:ind w:left="180"/>
              <w:spacing w:after="0"/>
              <w:rPr>
                <w:sz w:val="20"/>
                <w:szCs w:val="20"/>
                <w:color w:val="auto"/>
              </w:rPr>
            </w:pPr>
            <w:r>
              <w:rPr>
                <w:rFonts w:ascii="Arial" w:cs="Arial" w:eastAsia="Arial" w:hAnsi="Arial"/>
                <w:sz w:val="16"/>
                <w:szCs w:val="16"/>
                <w:color w:val="auto"/>
              </w:rPr>
              <w:t>of the circumstances under which such statements were made, not misleading with respect to the period covered by this report;</w:t>
            </w:r>
          </w:p>
        </w:tc>
      </w:tr>
    </w:tbl>
    <w:p>
      <w:pPr>
        <w:spacing w:after="0" w:line="22" w:lineRule="exact"/>
        <w:rPr>
          <w:sz w:val="20"/>
          <w:szCs w:val="20"/>
          <w:color w:val="auto"/>
        </w:rPr>
      </w:pPr>
    </w:p>
    <w:p>
      <w:pPr>
        <w:ind w:left="320" w:right="60" w:hanging="314"/>
        <w:spacing w:after="0" w:line="250" w:lineRule="auto"/>
        <w:tabs>
          <w:tab w:leader="none" w:pos="161"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 w:lineRule="exact"/>
        <w:rPr>
          <w:rFonts w:ascii="Arial" w:cs="Arial" w:eastAsia="Arial" w:hAnsi="Arial"/>
          <w:sz w:val="16"/>
          <w:szCs w:val="16"/>
          <w:color w:val="auto"/>
        </w:rPr>
      </w:pPr>
    </w:p>
    <w:p>
      <w:pPr>
        <w:ind w:left="320" w:right="180" w:hanging="314"/>
        <w:spacing w:after="0" w:line="250" w:lineRule="auto"/>
        <w:tabs>
          <w:tab w:leader="none" w:pos="161"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67" w:lineRule="exact"/>
        <w:rPr>
          <w:rFonts w:ascii="Arial" w:cs="Arial" w:eastAsia="Arial" w:hAnsi="Arial"/>
          <w:sz w:val="16"/>
          <w:szCs w:val="16"/>
          <w:color w:val="auto"/>
        </w:rPr>
      </w:pPr>
    </w:p>
    <w:p>
      <w:pPr>
        <w:ind w:left="1440" w:right="160" w:hanging="321"/>
        <w:spacing w:after="0" w:line="238" w:lineRule="auto"/>
        <w:tabs>
          <w:tab w:leader="none" w:pos="1338"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Arial" w:cs="Arial" w:eastAsia="Arial" w:hAnsi="Arial"/>
          <w:sz w:val="16"/>
          <w:szCs w:val="16"/>
          <w:color w:val="auto"/>
        </w:rPr>
      </w:pPr>
    </w:p>
    <w:p>
      <w:pPr>
        <w:ind w:left="1440" w:right="60" w:hanging="321"/>
        <w:spacing w:after="0" w:line="267" w:lineRule="auto"/>
        <w:tabs>
          <w:tab w:leader="none" w:pos="13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sz w:val="20"/>
          <w:szCs w:val="20"/>
          <w:color w:val="auto"/>
        </w:rPr>
      </w:pPr>
    </w:p>
    <w:p>
      <w:pPr>
        <w:ind w:left="1440" w:right="260" w:hanging="317"/>
        <w:spacing w:after="0" w:line="248" w:lineRule="auto"/>
        <w:rPr>
          <w:sz w:val="20"/>
          <w:szCs w:val="20"/>
          <w:color w:val="auto"/>
        </w:rPr>
      </w:pPr>
      <w:r>
        <w:rPr>
          <w:rFonts w:ascii="Arial" w:cs="Arial" w:eastAsia="Arial" w:hAnsi="Arial"/>
          <w:sz w:val="16"/>
          <w:szCs w:val="16"/>
          <w:color w:val="auto"/>
        </w:rPr>
        <w:t>(c) Disclosed in this report any change in the registrant's internal control over financial reporting that occurred</w:t>
      </w:r>
      <w:r>
        <w:rPr>
          <w:sz w:val="20"/>
          <w:szCs w:val="20"/>
          <w:color w:val="auto"/>
        </w:rPr>
        <w:t xml:space="preserve"> </w:t>
      </w:r>
      <w:r>
        <w:rPr>
          <w:rFonts w:ascii="Arial" w:cs="Arial" w:eastAsia="Arial" w:hAnsi="Arial"/>
          <w:sz w:val="16"/>
          <w:szCs w:val="16"/>
          <w:color w:val="auto"/>
        </w:rPr>
        <w:t>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9" w:lineRule="exact"/>
        <w:rPr>
          <w:sz w:val="20"/>
          <w:szCs w:val="20"/>
          <w:color w:val="auto"/>
        </w:rPr>
      </w:pPr>
    </w:p>
    <w:p>
      <w:pPr>
        <w:ind w:left="320" w:hanging="314"/>
        <w:spacing w:after="0" w:line="267" w:lineRule="auto"/>
        <w:tabs>
          <w:tab w:leader="none" w:pos="174"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6"/>
          <w:szCs w:val="16"/>
          <w:color w:val="auto"/>
        </w:rPr>
      </w:pPr>
    </w:p>
    <w:p>
      <w:pPr>
        <w:ind w:left="1440" w:right="220" w:hanging="321"/>
        <w:spacing w:after="0" w:line="267" w:lineRule="auto"/>
        <w:tabs>
          <w:tab w:leader="none" w:pos="1351"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6"/>
          <w:szCs w:val="16"/>
          <w:color w:val="auto"/>
        </w:rPr>
      </w:pPr>
    </w:p>
    <w:p>
      <w:pPr>
        <w:ind w:left="1440" w:right="440" w:hanging="321"/>
        <w:spacing w:after="0" w:line="267" w:lineRule="auto"/>
        <w:tabs>
          <w:tab w:leader="none" w:pos="13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p>
      <w:pPr>
        <w:ind w:left="40"/>
        <w:spacing w:after="0"/>
        <w:tabs>
          <w:tab w:leader="none" w:pos="5680" w:val="left"/>
          <w:tab w:leader="none" w:pos="7900" w:val="left"/>
        </w:tabs>
        <w:rPr>
          <w:sz w:val="20"/>
          <w:szCs w:val="20"/>
          <w:color w:val="auto"/>
        </w:rPr>
      </w:pPr>
      <w:r>
        <w:rPr>
          <w:rFonts w:ascii="Arial" w:cs="Arial" w:eastAsia="Arial" w:hAnsi="Arial"/>
          <w:sz w:val="16"/>
          <w:szCs w:val="16"/>
          <w:color w:val="auto"/>
        </w:rPr>
        <w:t>Date: August 5,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24130</wp:posOffset>
            </wp:positionV>
            <wp:extent cx="33572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357245" cy="8255"/>
                    </a:xfrm>
                    <a:prstGeom prst="rect">
                      <a:avLst/>
                    </a:prstGeom>
                    <a:noFill/>
                  </pic:spPr>
                </pic:pic>
              </a:graphicData>
            </a:graphic>
          </wp:anchor>
        </w:drawing>
      </w:r>
    </w:p>
    <w:p>
      <w:pPr>
        <w:spacing w:after="0" w:line="35"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Leo M. Greenstein</w:t>
      </w:r>
    </w:p>
    <w:p>
      <w:pPr>
        <w:jc w:val="center"/>
        <w:ind w:left="5960"/>
        <w:spacing w:after="0" w:line="227" w:lineRule="auto"/>
        <w:rPr>
          <w:sz w:val="20"/>
          <w:szCs w:val="20"/>
          <w:color w:val="auto"/>
        </w:rPr>
      </w:pPr>
      <w:r>
        <w:rPr>
          <w:rFonts w:ascii="Arial" w:cs="Arial" w:eastAsia="Arial" w:hAnsi="Arial"/>
          <w:sz w:val="16"/>
          <w:szCs w:val="16"/>
          <w:color w:val="auto"/>
        </w:rPr>
        <w:t>Chief Financial Officer</w:t>
      </w:r>
    </w:p>
    <w:p>
      <w:pPr>
        <w:jc w:val="center"/>
        <w:ind w:left="5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Financial Officer and Principal Accounting Officer</w:t>
      </w:r>
      <w:r>
        <w:rPr>
          <w:rFonts w:ascii="Arial" w:cs="Arial" w:eastAsia="Arial" w:hAnsi="Arial"/>
          <w:sz w:val="16"/>
          <w:szCs w:val="16"/>
          <w:color w:val="auto"/>
        </w:rPr>
        <w:t>)</w:t>
      </w:r>
    </w:p>
    <w:p>
      <w:pPr>
        <w:sectPr>
          <w:pgSz w:w="11900" w:h="16838" w:orient="portrait"/>
          <w:cols w:equalWidth="0" w:num="1">
            <w:col w:w="11240"/>
          </w:cols>
          <w:pgMar w:left="320" w:top="1384" w:right="339" w:bottom="1440" w:gutter="0" w:footer="0" w:header="0"/>
        </w:sectPr>
      </w:pPr>
    </w:p>
    <w:bookmarkStart w:id="42" w:name="page43"/>
    <w:bookmarkEnd w:id="42"/>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OF PRINCIPAL EXECUTIVE OFFICER AND PRINCIPAL FINANCIAL OFFICER</w:t>
      </w:r>
    </w:p>
    <w:p>
      <w:pPr>
        <w:jc w:val="center"/>
        <w:spacing w:after="0" w:line="237" w:lineRule="auto"/>
        <w:rPr>
          <w:sz w:val="20"/>
          <w:szCs w:val="20"/>
          <w:color w:val="auto"/>
        </w:rPr>
      </w:pPr>
      <w:r>
        <w:rPr>
          <w:rFonts w:ascii="Arial" w:cs="Arial" w:eastAsia="Arial" w:hAnsi="Arial"/>
          <w:sz w:val="18"/>
          <w:szCs w:val="18"/>
          <w:color w:val="auto"/>
        </w:rPr>
        <w:t>PURSUANT TO</w:t>
      </w:r>
    </w:p>
    <w:p>
      <w:pPr>
        <w:jc w:val="center"/>
        <w:spacing w:after="0" w:line="230" w:lineRule="auto"/>
        <w:rPr>
          <w:sz w:val="20"/>
          <w:szCs w:val="20"/>
          <w:color w:val="auto"/>
        </w:rPr>
      </w:pPr>
      <w:r>
        <w:rPr>
          <w:rFonts w:ascii="Arial" w:cs="Arial" w:eastAsia="Arial" w:hAnsi="Arial"/>
          <w:sz w:val="18"/>
          <w:szCs w:val="18"/>
          <w:color w:val="auto"/>
        </w:rPr>
        <w:t>18 U.S.C. SECTION 1350,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6" w:lineRule="exact"/>
        <w:rPr>
          <w:sz w:val="20"/>
          <w:szCs w:val="20"/>
          <w:color w:val="auto"/>
        </w:rPr>
      </w:pPr>
    </w:p>
    <w:p>
      <w:pPr>
        <w:jc w:val="both"/>
        <w:ind w:right="140" w:firstLine="566"/>
        <w:spacing w:after="0" w:line="239" w:lineRule="auto"/>
        <w:rPr>
          <w:sz w:val="20"/>
          <w:szCs w:val="20"/>
          <w:color w:val="auto"/>
        </w:rPr>
      </w:pPr>
      <w:r>
        <w:rPr>
          <w:rFonts w:ascii="Arial" w:cs="Arial" w:eastAsia="Arial" w:hAnsi="Arial"/>
          <w:sz w:val="18"/>
          <w:szCs w:val="18"/>
          <w:color w:val="auto"/>
        </w:rPr>
        <w:t>In connection with the Quarterly Report of Tarsus Pharmaceuticals, Inc. (the “Company”) on Form 10-Q for the period ended June 30, 2021 as filed with the Securities and Exchange Commission on the date hereof (the “Report”), I, Bobak Azamian, hereby certify, pursuant to 18 U.S.C. § 1350, as adopted pursuant to § 906 of the Sarbanes-Oxley Act of 2002, that:</w:t>
      </w:r>
    </w:p>
    <w:p>
      <w:pPr>
        <w:spacing w:after="0" w:line="296" w:lineRule="exact"/>
        <w:rPr>
          <w:sz w:val="20"/>
          <w:szCs w:val="20"/>
          <w:color w:val="auto"/>
        </w:rPr>
      </w:pPr>
    </w:p>
    <w:p>
      <w:pPr>
        <w:ind w:left="900" w:right="2860" w:hanging="528"/>
        <w:spacing w:after="0" w:line="24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900" w:right="2780" w:hanging="528"/>
        <w:spacing w:after="0" w:line="24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92" w:lineRule="exact"/>
        <w:rPr>
          <w:sz w:val="20"/>
          <w:szCs w:val="20"/>
          <w:color w:val="auto"/>
        </w:rPr>
      </w:pPr>
    </w:p>
    <w:p>
      <w:pPr>
        <w:ind w:left="40"/>
        <w:spacing w:after="0"/>
        <w:tabs>
          <w:tab w:leader="none" w:pos="5200" w:val="left"/>
          <w:tab w:leader="none" w:pos="598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/s/ </w:t>
      </w:r>
      <w:r>
        <w:rPr>
          <w:rFonts w:ascii="Arial" w:cs="Arial" w:eastAsia="Arial" w:hAnsi="Arial"/>
          <w:sz w:val="14"/>
          <w:szCs w:val="14"/>
          <w:color w:val="auto"/>
        </w:rPr>
        <w:t>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19685</wp:posOffset>
            </wp:positionV>
            <wp:extent cx="33483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27"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Bobak Azamian, M.D., Ph.D.</w:t>
      </w:r>
    </w:p>
    <w:p>
      <w:pPr>
        <w:spacing w:after="0" w:line="5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and Chief Executive Officer</w:t>
      </w:r>
    </w:p>
    <w:p>
      <w:pPr>
        <w:spacing w:after="0" w:line="45"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OF PRINCIPAL EXECUTIVE OFFICER AND PRINCIPAL FINANCIAL OFFICER</w:t>
      </w:r>
    </w:p>
    <w:p>
      <w:pPr>
        <w:jc w:val="center"/>
        <w:spacing w:after="0" w:line="237" w:lineRule="auto"/>
        <w:rPr>
          <w:sz w:val="20"/>
          <w:szCs w:val="20"/>
          <w:color w:val="auto"/>
        </w:rPr>
      </w:pPr>
      <w:r>
        <w:rPr>
          <w:rFonts w:ascii="Arial" w:cs="Arial" w:eastAsia="Arial" w:hAnsi="Arial"/>
          <w:sz w:val="18"/>
          <w:szCs w:val="18"/>
          <w:color w:val="auto"/>
        </w:rPr>
        <w:t>PURSUANT TO</w:t>
      </w:r>
    </w:p>
    <w:p>
      <w:pPr>
        <w:jc w:val="center"/>
        <w:spacing w:after="0" w:line="230" w:lineRule="auto"/>
        <w:rPr>
          <w:sz w:val="20"/>
          <w:szCs w:val="20"/>
          <w:color w:val="auto"/>
        </w:rPr>
      </w:pPr>
      <w:r>
        <w:rPr>
          <w:rFonts w:ascii="Arial" w:cs="Arial" w:eastAsia="Arial" w:hAnsi="Arial"/>
          <w:sz w:val="18"/>
          <w:szCs w:val="18"/>
          <w:color w:val="auto"/>
        </w:rPr>
        <w:t>18 U.S.C. SECTION 1350,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6" w:lineRule="exact"/>
        <w:rPr>
          <w:sz w:val="20"/>
          <w:szCs w:val="20"/>
          <w:color w:val="auto"/>
        </w:rPr>
      </w:pPr>
    </w:p>
    <w:p>
      <w:pPr>
        <w:ind w:right="200" w:firstLine="566"/>
        <w:spacing w:after="0" w:line="239" w:lineRule="auto"/>
        <w:rPr>
          <w:sz w:val="20"/>
          <w:szCs w:val="20"/>
          <w:color w:val="auto"/>
        </w:rPr>
      </w:pPr>
      <w:r>
        <w:rPr>
          <w:rFonts w:ascii="Arial" w:cs="Arial" w:eastAsia="Arial" w:hAnsi="Arial"/>
          <w:sz w:val="18"/>
          <w:szCs w:val="18"/>
          <w:color w:val="auto"/>
        </w:rPr>
        <w:t>In connection with the Quarterly Report of Tarsus Pharmaceuticals, Inc. (the “Company”) on Form 10-Q for the period ended June 30, 2021 as filed with the Securities and Exchange Commission on the date hereof (the “Report”), I, Leo M. Greenstein, hereby certify, pursuant to 18 U.S.C. § 1350, as adopted pursuant to § 906 of the Sarbanes-Oxley Act of 2002, that:</w:t>
      </w:r>
    </w:p>
    <w:p>
      <w:pPr>
        <w:spacing w:after="0" w:line="296" w:lineRule="exact"/>
        <w:rPr>
          <w:sz w:val="20"/>
          <w:szCs w:val="20"/>
          <w:color w:val="auto"/>
        </w:rPr>
      </w:pPr>
    </w:p>
    <w:p>
      <w:pPr>
        <w:ind w:left="900" w:right="2860" w:hanging="528"/>
        <w:spacing w:after="0" w:line="24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900" w:right="2780" w:hanging="528"/>
        <w:spacing w:after="0" w:line="24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92" w:lineRule="exact"/>
        <w:rPr>
          <w:sz w:val="20"/>
          <w:szCs w:val="20"/>
          <w:color w:val="auto"/>
        </w:rPr>
      </w:pPr>
    </w:p>
    <w:p>
      <w:pPr>
        <w:ind w:left="40"/>
        <w:spacing w:after="0"/>
        <w:tabs>
          <w:tab w:leader="none" w:pos="5200" w:val="left"/>
          <w:tab w:leader="none" w:pos="598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/s/ </w:t>
      </w:r>
      <w:r>
        <w:rPr>
          <w:rFonts w:ascii="Arial" w:cs="Arial" w:eastAsia="Arial" w:hAnsi="Arial"/>
          <w:sz w:val="14"/>
          <w:szCs w:val="14"/>
          <w:color w:val="auto"/>
        </w:rPr>
        <w:t>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19685</wp:posOffset>
            </wp:positionV>
            <wp:extent cx="33483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27"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Leo M. Greenstein</w:t>
      </w:r>
    </w:p>
    <w:p>
      <w:pPr>
        <w:spacing w:after="0" w:line="5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Financial Officer</w:t>
      </w:r>
    </w:p>
    <w:p>
      <w:pPr>
        <w:spacing w:after="0" w:line="45"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(Principal Financial Officer and Principal Accounting Officer)</w:t>
      </w:r>
    </w:p>
    <w:sectPr>
      <w:pgSz w:w="11900" w:h="16838" w:orient="portrait"/>
      <w:cols w:equalWidth="0" w:num="1">
        <w:col w:w="11240"/>
      </w:cols>
      <w:pgMar w:left="320" w:top="13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Roman"/>
      <w:start w:val="6"/>
    </w:lvl>
  </w:abstractNum>
  <w:abstractNum w:abstractNumId="3">
    <w:nsid w:val="3352255A"/>
    <w:multiLevelType w:val="hybridMultilevel"/>
    <w:lvl w:ilvl="0">
      <w:lvlJc w:val="left"/>
      <w:lvlText w:val="%1"/>
      <w:numFmt w:val="lowerRoman"/>
      <w:start w:val="1"/>
    </w:lvl>
    <w:lvl w:ilvl="1">
      <w:lvlJc w:val="left"/>
      <w:lvlText w:val="(%2)"/>
      <w:numFmt w:val="decimal"/>
      <w:start w:val="1"/>
    </w:lvl>
  </w:abstractNum>
  <w:abstractNum w:abstractNumId="4">
    <w:nsid w:val="109CF92E"/>
    <w:multiLevelType w:val="hybridMultilevel"/>
    <w:lvl w:ilvl="0">
      <w:lvlJc w:val="left"/>
      <w:lvlText w:val="(%1)"/>
      <w:numFmt w:val="lowerRoman"/>
      <w:start w:val="7"/>
    </w:lvl>
    <w:lvl w:ilvl="1">
      <w:lvlJc w:val="left"/>
      <w:lvlText w:val="%2"/>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8"/>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lowerRoman"/>
      <w:start w:val="5"/>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3"/>
    </w:lvl>
    <w:lvl w:ilvl="1">
      <w:lvlJc w:val="left"/>
      <w:lvlText w:val="(%2)"/>
      <w:numFmt w:val="lowerLetter"/>
      <w:start w:val="1"/>
    </w:lvl>
  </w:abstractNum>
  <w:abstractNum w:abstractNumId="17">
    <w:nsid w:val="62BBD95A"/>
    <w:multiLevelType w:val="hybridMultilevel"/>
    <w:lvl w:ilvl="0">
      <w:lvlJc w:val="left"/>
      <w:lvlText w:val="%1."/>
      <w:numFmt w:val="decimal"/>
      <w:start w:val="5"/>
    </w:lvl>
    <w:lvl w:ilvl="1">
      <w:lvlJc w:val="left"/>
      <w:lvlText w:val="(%2)"/>
      <w:numFmt w:val="lowerLetter"/>
      <w:start w:val="1"/>
    </w:lvl>
  </w:abstractNum>
  <w:abstractNum w:abstractNumId="18">
    <w:nsid w:val="436C6125"/>
    <w:multiLevelType w:val="hybridMultilevel"/>
    <w:lvl w:ilvl="0">
      <w:lvlJc w:val="left"/>
      <w:lvlText w:val="%1."/>
      <w:numFmt w:val="decimal"/>
      <w:start w:val="3"/>
    </w:lvl>
    <w:lvl w:ilvl="1">
      <w:lvlJc w:val="left"/>
      <w:lvlText w:val="(%2)"/>
      <w:numFmt w:val="lowerLetter"/>
      <w:start w:val="1"/>
    </w:lvl>
  </w:abstractNum>
  <w:abstractNum w:abstractNumId="19">
    <w:nsid w:val="628C895D"/>
    <w:multiLevelType w:val="hybridMultilevel"/>
    <w:lvl w:ilvl="0">
      <w:lvlJc w:val="left"/>
      <w:lvlText w:val="%1."/>
      <w:numFmt w:val="decimal"/>
      <w:start w:val="5"/>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53" Type="http://schemas.openxmlformats.org/officeDocument/2006/relationships/hyperlink" Target="https://www.sec.gov/Archives/edgar/data/1819790/000119312520272900/d11649dex31.htm" TargetMode="External"/><Relationship Id="rId54" Type="http://schemas.openxmlformats.org/officeDocument/2006/relationships/hyperlink" Target="https://www.sec.gov/Archives/edgar/data/1819790/000119312520272900/d11649dex32.htm" TargetMode="External"/><Relationship Id="rId55" Type="http://schemas.openxmlformats.org/officeDocument/2006/relationships/hyperlink" Target="https://www.sec.gov/Archives/edgar/data/1819790/000119312520267327/d30607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2021-08-05T05:45:48Z</dcterms:created>
  <dcterms:modified xsi:type="dcterms:W3CDTF">2021-08-05T05:45:48Z</dcterms:modified>
</cp:coreProperties>
</file>