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957"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RTW INVESTMENTS, LP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Tarsus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TARS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957"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40 10TH AVENUE, FLOOR 7</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10014</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957"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2,463,601</w:t>
            </w:r>
          </w:p>
        </w:tc>
        <w:tc>
          <w:tcPr>
            <w:tcW w:w="1000" w:type="dxa"/>
            <w:vAlign w:val="bottom"/>
            <w:tcBorders>
              <w:bottom w:val="single" w:sz="8" w:color="2C2C2C"/>
            </w:tcBorders>
            <w:gridSpan w:val="2"/>
          </w:tcPr>
          <w:p>
            <w:pPr>
              <w:ind w:left="900"/>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rPr>
              <w:t>By RTW</w:t>
            </w:r>
            <w:r>
              <w:rPr>
                <w:rFonts w:ascii="Arial" w:cs="Arial" w:eastAsia="Arial" w:hAnsi="Arial"/>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w w:val="95"/>
              </w:rPr>
            </w:pPr>
            <w:hyperlink r:id="rId10">
              <w:r>
                <w:rPr>
                  <w:rFonts w:ascii="Arial" w:cs="Arial" w:eastAsia="Arial" w:hAnsi="Arial"/>
                  <w:sz w:val="24"/>
                  <w:szCs w:val="24"/>
                  <w:u w:val="single" w:color="auto"/>
                  <w:color w:val="0000EE"/>
                  <w:w w:val="95"/>
                </w:rPr>
                <w:t>RTW INVESTMENTS, LP</w:t>
              </w:r>
            </w:hyperlink>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40 10TH AVENUE, FLOOR 7</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60" w:type="dxa"/>
            <w:vAlign w:val="bottom"/>
          </w:tcPr>
          <w:p>
            <w:pPr>
              <w:ind w:left="10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WONG RODERICK</w:t>
              </w:r>
            </w:hyperlink>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w w:val="97"/>
              </w:rPr>
              <w:t>C/O RTW INVESTMENTS, LP</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40 10TH AVENUE, FLOOR7</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60" w:type="dxa"/>
            <w:vAlign w:val="bottom"/>
          </w:tcPr>
          <w:p>
            <w:pPr>
              <w:ind w:left="10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-5240020</wp:posOffset>
            </wp:positionV>
            <wp:extent cx="6946900" cy="5317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317490"/>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80" w:firstLine="5"/>
        <w:spacing w:after="0" w:line="297"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securities reported herein may be deemed beneficially owned by each of: (i) RTW Investments, LP ("RTW"), which is deemed the beneficial owner of shares held by RTW Master Fund, Ltd., RTW Venture Fund Limited and RTW Innovation Master Fund, Ltd. (the "Funds"), which are investment funds managed by RTW, and (ii) Roderick Wong, M.D who serves as the Managing Partner and Chief Investment Officer of RTW. Dr. Wong exercises voting and dispositive control over the securities held by RTW and is therefore</w:t>
      </w:r>
    </w:p>
    <w:p>
      <w:pPr>
        <w:sectPr>
          <w:pgSz w:w="11900" w:h="16957" w:orient="portrait"/>
          <w:cols w:equalWidth="0" w:num="1">
            <w:col w:w="10940"/>
          </w:cols>
          <w:pgMar w:left="480" w:top="236" w:right="479" w:bottom="0" w:gutter="0" w:footer="0" w:header="0"/>
          <w:type w:val="continuous"/>
        </w:sectPr>
      </w:pPr>
    </w:p>
    <w:bookmarkStart w:id="1" w:name="page2"/>
    <w:bookmarkEnd w:id="1"/>
    <w:p>
      <w:pPr>
        <w:ind w:right="300"/>
        <w:spacing w:after="0" w:line="253" w:lineRule="auto"/>
        <w:rPr>
          <w:sz w:val="20"/>
          <w:szCs w:val="20"/>
          <w:color w:val="auto"/>
        </w:rPr>
      </w:pPr>
      <w:r>
        <w:rPr>
          <w:rFonts w:ascii="Arial" w:cs="Arial" w:eastAsia="Arial" w:hAnsi="Arial"/>
          <w:sz w:val="15"/>
          <w:szCs w:val="15"/>
          <w:color w:val="008000"/>
        </w:rPr>
        <w:t>deemed to be a beneficial owner of securities owned or controlled by RTW. Dr. Wong disclaims beneficial ownership of the reported securities held by the Funds, except to the extent of his pecuniary interest therein.</w:t>
      </w:r>
    </w:p>
    <w:p>
      <w:pPr>
        <w:spacing w:after="0" w:line="32"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7"/>
              </w:rPr>
              <w:t>/s/ Roderick Wong,</w:t>
            </w:r>
          </w:p>
        </w:tc>
        <w:tc>
          <w:tcPr>
            <w:tcW w:w="6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w w:val="87"/>
              </w:rPr>
              <w:t>10/26/2020</w:t>
            </w:r>
          </w:p>
        </w:tc>
        <w:tc>
          <w:tcPr>
            <w:tcW w:w="0" w:type="dxa"/>
            <w:vAlign w:val="bottom"/>
          </w:tcPr>
          <w:p>
            <w:pPr>
              <w:spacing w:after="0"/>
              <w:rPr>
                <w:sz w:val="1"/>
                <w:szCs w:val="1"/>
                <w:color w:val="auto"/>
              </w:rPr>
            </w:pPr>
          </w:p>
        </w:tc>
      </w:tr>
      <w:tr>
        <w:trPr>
          <w:trHeight w:val="105"/>
        </w:trPr>
        <w:tc>
          <w:tcPr>
            <w:tcW w:w="1400" w:type="dxa"/>
            <w:vAlign w:val="bottom"/>
            <w:vMerge w:val="restart"/>
          </w:tcPr>
          <w:p>
            <w:pPr>
              <w:spacing w:after="0" w:line="220" w:lineRule="exact"/>
              <w:rPr>
                <w:sz w:val="20"/>
                <w:szCs w:val="20"/>
                <w:color w:val="auto"/>
              </w:rPr>
            </w:pPr>
            <w:r>
              <w:rPr>
                <w:rFonts w:ascii="Arial" w:cs="Arial" w:eastAsia="Arial" w:hAnsi="Arial"/>
                <w:sz w:val="20"/>
                <w:szCs w:val="20"/>
                <w:color w:val="0000FF"/>
                <w:w w:val="86"/>
              </w:rPr>
              <w:t>Managing Partner</w:t>
            </w:r>
          </w:p>
        </w:tc>
        <w:tc>
          <w:tcPr>
            <w:tcW w:w="780" w:type="dxa"/>
            <w:vAlign w:val="bottom"/>
            <w:gridSpan w:val="3"/>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00" w:type="dxa"/>
            <w:vAlign w:val="bottom"/>
            <w:tcBorders>
              <w:bottom w:val="single" w:sz="8" w:color="auto"/>
            </w:tcBorders>
            <w:vMerge w:val="continue"/>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Roderick Wong</w:t>
            </w:r>
          </w:p>
        </w:tc>
        <w:tc>
          <w:tcPr>
            <w:tcW w:w="720" w:type="dxa"/>
            <w:vAlign w:val="bottom"/>
            <w:gridSpan w:val="2"/>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7"/>
              </w:rPr>
              <w:t>10/26/2020</w:t>
            </w:r>
          </w:p>
        </w:tc>
        <w:tc>
          <w:tcPr>
            <w:tcW w:w="0" w:type="dxa"/>
            <w:vAlign w:val="bottom"/>
          </w:tcPr>
          <w:p>
            <w:pPr>
              <w:spacing w:after="0"/>
              <w:rPr>
                <w:sz w:val="1"/>
                <w:szCs w:val="1"/>
                <w:color w:val="auto"/>
              </w:rPr>
            </w:pP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0" Type="http://schemas.openxmlformats.org/officeDocument/2006/relationships/hyperlink" Target="http://www.sec.gov/cgi-bin/browse-edgar?action=getcompany&amp;CIK=0001493215" TargetMode="External"/><Relationship Id="rId11" Type="http://schemas.openxmlformats.org/officeDocument/2006/relationships/hyperlink" Target="http://www.sec.gov/cgi-bin/browse-edgar?action=getcompany&amp;CIK=0001819790" TargetMode="External"/><Relationship Id="rId13" Type="http://schemas.openxmlformats.org/officeDocument/2006/relationships/hyperlink" Target="http://www.sec.gov/cgi-bin/browse-edgar?action=getcompany&amp;CIK=0001493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2020-10-26T13:41:31Z</dcterms:created>
  <dcterms:modified xsi:type="dcterms:W3CDTF">2020-10-26T13:41:31Z</dcterms:modified>
</cp:coreProperties>
</file>